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Calibri"/>
          <w:color w:val="B7432A"/>
          <w:spacing w:val="30"/>
          <w:sz w:val="22"/>
          <w:szCs w:val="22"/>
          <w:lang w:val="en-GB"/>
        </w:rPr>
        <w:id w:val="1916512131"/>
        <w:docPartObj>
          <w:docPartGallery w:val="Cover Pages"/>
          <w:docPartUnique/>
        </w:docPartObj>
      </w:sdtPr>
      <w:sdtEndPr>
        <w:rPr>
          <w:color w:val="806000" w:themeColor="accent4" w:themeShade="80"/>
        </w:rPr>
      </w:sdtEndPr>
      <w:sdtContent>
        <w:p w14:paraId="77DF9E20" w14:textId="237A2C2E" w:rsidR="00C9168A" w:rsidRPr="0029511A" w:rsidRDefault="00743297" w:rsidP="001546D8">
          <w:pPr>
            <w:pStyle w:val="Bodycopy"/>
            <w:spacing w:before="3360" w:after="0"/>
            <w:rPr>
              <w:rStyle w:val="MajorHeading"/>
              <w:rFonts w:ascii="Calibri" w:hAnsi="Calibri" w:cs="Calibri"/>
              <w:sz w:val="22"/>
              <w:szCs w:val="22"/>
              <w:lang w:val="en-GB"/>
            </w:rPr>
          </w:pPr>
          <w:r w:rsidRPr="0029511A">
            <w:rPr>
              <w:rStyle w:val="MajorHeading"/>
              <w:rFonts w:ascii="Calibri" w:hAnsi="Calibri" w:cs="Calibri"/>
              <w:sz w:val="22"/>
              <w:szCs w:val="22"/>
              <w:lang w:val="en-GB"/>
            </w:rPr>
            <w:t>Mid-Term Review of Australia’s APEC Support Program (AASP)</w:t>
          </w:r>
        </w:p>
        <w:p w14:paraId="42369B71" w14:textId="77777777" w:rsidR="008F731C" w:rsidRPr="0029511A" w:rsidRDefault="008F731C" w:rsidP="00370438">
          <w:pPr>
            <w:rPr>
              <w:rFonts w:ascii="Calibri" w:hAnsi="Calibri" w:cs="Calibri"/>
              <w:lang w:val="en-GB"/>
            </w:rPr>
          </w:pPr>
        </w:p>
        <w:p w14:paraId="2A196B46" w14:textId="2F7C4528" w:rsidR="00C44655" w:rsidRPr="0029511A" w:rsidRDefault="001941A7" w:rsidP="00BD1C56">
          <w:pPr>
            <w:pStyle w:val="Subheading"/>
            <w:rPr>
              <w:rFonts w:ascii="Calibri" w:hAnsi="Calibri" w:cs="Calibri"/>
              <w:lang w:val="en-GB"/>
            </w:rPr>
          </w:pPr>
          <w:r w:rsidRPr="0029511A">
            <w:rPr>
              <w:rFonts w:ascii="Calibri" w:hAnsi="Calibri" w:cs="Calibri"/>
              <w:lang w:val="en-GB"/>
            </w:rPr>
            <w:t>January, 2025</w:t>
          </w:r>
        </w:p>
      </w:sdtContent>
    </w:sdt>
    <w:p w14:paraId="11C34468" w14:textId="77777777" w:rsidR="006077B7" w:rsidRPr="0029511A" w:rsidRDefault="006077B7" w:rsidP="00370438">
      <w:pPr>
        <w:rPr>
          <w:rFonts w:ascii="Calibri" w:hAnsi="Calibri" w:cs="Calibri"/>
          <w:lang w:val="en-GB"/>
        </w:rPr>
      </w:pPr>
    </w:p>
    <w:p w14:paraId="781BE17E" w14:textId="37999336" w:rsidR="00C44655" w:rsidRPr="0029511A" w:rsidRDefault="00C44655" w:rsidP="00370438">
      <w:pPr>
        <w:rPr>
          <w:rFonts w:ascii="Calibri" w:hAnsi="Calibri" w:cs="Calibri"/>
          <w:lang w:val="en-GB"/>
        </w:rPr>
      </w:pPr>
      <w:r w:rsidRPr="0029511A">
        <w:rPr>
          <w:rFonts w:ascii="Calibri" w:hAnsi="Calibri" w:cs="Calibri"/>
          <w:lang w:val="en-GB"/>
        </w:rPr>
        <w:t xml:space="preserve">This report has been prepared by </w:t>
      </w:r>
      <w:r w:rsidR="00743297" w:rsidRPr="0029511A">
        <w:rPr>
          <w:rFonts w:ascii="Calibri" w:hAnsi="Calibri" w:cs="Calibri"/>
          <w:lang w:val="en-GB"/>
        </w:rPr>
        <w:t>Matt Smith</w:t>
      </w:r>
      <w:r w:rsidR="001552AF" w:rsidRPr="0029511A">
        <w:rPr>
          <w:rFonts w:ascii="Calibri" w:hAnsi="Calibri" w:cs="Calibri"/>
          <w:lang w:val="en-GB"/>
        </w:rPr>
        <w:t xml:space="preserve"> </w:t>
      </w:r>
      <w:r w:rsidR="00743297" w:rsidRPr="0029511A">
        <w:rPr>
          <w:rFonts w:ascii="Calibri" w:hAnsi="Calibri" w:cs="Calibri"/>
          <w:lang w:val="en-GB"/>
        </w:rPr>
        <w:t>and Alex Gruenewald</w:t>
      </w:r>
      <w:r w:rsidR="00B87937" w:rsidRPr="0029511A">
        <w:rPr>
          <w:rFonts w:ascii="Calibri" w:hAnsi="Calibri" w:cs="Calibri"/>
          <w:lang w:val="en-GB"/>
        </w:rPr>
        <w:t xml:space="preserve"> </w:t>
      </w:r>
    </w:p>
    <w:p w14:paraId="337085E7" w14:textId="4C8CABFB" w:rsidR="00B70E11" w:rsidRPr="0029511A" w:rsidRDefault="00B70E11" w:rsidP="00370438">
      <w:pPr>
        <w:rPr>
          <w:rFonts w:ascii="Calibri" w:hAnsi="Calibri" w:cs="Calibri"/>
          <w:lang w:val="en-GB"/>
        </w:rPr>
        <w:sectPr w:rsidR="00B70E11" w:rsidRPr="0029511A" w:rsidSect="00D06192">
          <w:footerReference w:type="even" r:id="rId11"/>
          <w:footerReference w:type="default" r:id="rId12"/>
          <w:footerReference w:type="first" r:id="rId13"/>
          <w:pgSz w:w="11900" w:h="16840"/>
          <w:pgMar w:top="1701" w:right="1440" w:bottom="1440" w:left="1440" w:header="709" w:footer="709" w:gutter="0"/>
          <w:pgNumType w:start="0"/>
          <w:cols w:space="708"/>
          <w:titlePg/>
          <w:docGrid w:linePitch="360"/>
        </w:sectPr>
      </w:pPr>
    </w:p>
    <w:p w14:paraId="55267988" w14:textId="3F91BFA8" w:rsidR="00D02520" w:rsidRDefault="000659F4" w:rsidP="00881A99">
      <w:pPr>
        <w:pStyle w:val="ExecSumH1"/>
        <w:rPr>
          <w:rFonts w:ascii="Calibri" w:hAnsi="Calibri" w:cs="Calibri"/>
          <w:sz w:val="22"/>
          <w:szCs w:val="22"/>
          <w:lang w:val="en-GB"/>
        </w:rPr>
      </w:pPr>
      <w:bookmarkStart w:id="0" w:name="_Toc190934877"/>
      <w:r w:rsidRPr="0029511A">
        <w:rPr>
          <w:rFonts w:ascii="Calibri" w:hAnsi="Calibri" w:cs="Calibri"/>
          <w:sz w:val="22"/>
          <w:szCs w:val="22"/>
          <w:lang w:val="en-GB"/>
        </w:rPr>
        <w:lastRenderedPageBreak/>
        <w:t>ACRONYMS LIST</w:t>
      </w:r>
      <w:bookmarkEnd w:id="0"/>
    </w:p>
    <w:p w14:paraId="4791A59C" w14:textId="77777777" w:rsidR="006E4FF3" w:rsidRPr="006E4FF3" w:rsidRDefault="006E4FF3" w:rsidP="00D3418B">
      <w:pPr>
        <w:rPr>
          <w:rFonts w:ascii="Calibri" w:hAnsi="Calibri" w:cs="Calibri"/>
          <w:lang w:val="en-GB"/>
        </w:rPr>
      </w:pPr>
      <w:r w:rsidRPr="006E4FF3">
        <w:rPr>
          <w:rFonts w:ascii="Calibri" w:hAnsi="Calibri" w:cs="Calibri"/>
          <w:lang w:val="en-GB"/>
        </w:rPr>
        <w:t>AASP</w:t>
      </w:r>
      <w:r w:rsidRPr="006E4FF3">
        <w:rPr>
          <w:rFonts w:ascii="Calibri" w:hAnsi="Calibri" w:cs="Calibri"/>
          <w:lang w:val="en-GB"/>
        </w:rPr>
        <w:tab/>
        <w:t>Australia’s APEC Support Program</w:t>
      </w:r>
    </w:p>
    <w:p w14:paraId="398B3E18" w14:textId="77777777" w:rsidR="006E4FF3" w:rsidRPr="006E4FF3" w:rsidRDefault="006E4FF3" w:rsidP="00D3418B">
      <w:pPr>
        <w:rPr>
          <w:rFonts w:ascii="Calibri" w:hAnsi="Calibri" w:cs="Calibri"/>
          <w:lang w:val="en-GB"/>
        </w:rPr>
      </w:pPr>
      <w:r w:rsidRPr="006E4FF3">
        <w:rPr>
          <w:rFonts w:ascii="Calibri" w:hAnsi="Calibri" w:cs="Calibri"/>
          <w:lang w:val="en-GB"/>
        </w:rPr>
        <w:t>ABAC</w:t>
      </w:r>
      <w:r w:rsidRPr="006E4FF3">
        <w:rPr>
          <w:rFonts w:ascii="Calibri" w:hAnsi="Calibri" w:cs="Calibri"/>
          <w:lang w:val="en-GB"/>
        </w:rPr>
        <w:tab/>
        <w:t>APEC Business Advisory Council</w:t>
      </w:r>
    </w:p>
    <w:p w14:paraId="2DD9F231" w14:textId="77777777" w:rsidR="006E4FF3" w:rsidRPr="006E4FF3" w:rsidRDefault="006E4FF3" w:rsidP="00D3418B">
      <w:pPr>
        <w:rPr>
          <w:rFonts w:ascii="Calibri" w:hAnsi="Calibri" w:cs="Calibri"/>
          <w:lang w:val="en-GB"/>
        </w:rPr>
      </w:pPr>
      <w:r w:rsidRPr="006E4FF3">
        <w:rPr>
          <w:rFonts w:ascii="Calibri" w:hAnsi="Calibri" w:cs="Calibri"/>
          <w:lang w:val="en-GB"/>
        </w:rPr>
        <w:t>ALM</w:t>
      </w:r>
      <w:r w:rsidRPr="006E4FF3">
        <w:rPr>
          <w:rFonts w:ascii="Calibri" w:hAnsi="Calibri" w:cs="Calibri"/>
          <w:lang w:val="en-GB"/>
        </w:rPr>
        <w:tab/>
        <w:t>APEC and Latin America branch (DFAT)</w:t>
      </w:r>
    </w:p>
    <w:p w14:paraId="1D2D029E" w14:textId="77777777" w:rsidR="006E4FF3" w:rsidRPr="006E4FF3" w:rsidRDefault="006E4FF3" w:rsidP="00D3418B">
      <w:pPr>
        <w:rPr>
          <w:rFonts w:ascii="Calibri" w:hAnsi="Calibri" w:cs="Calibri"/>
          <w:lang w:val="en-GB"/>
        </w:rPr>
      </w:pPr>
      <w:r w:rsidRPr="006E4FF3">
        <w:rPr>
          <w:rFonts w:ascii="Calibri" w:hAnsi="Calibri" w:cs="Calibri"/>
          <w:lang w:val="en-GB"/>
        </w:rPr>
        <w:t>APEC</w:t>
      </w:r>
      <w:r w:rsidRPr="006E4FF3">
        <w:rPr>
          <w:rFonts w:ascii="Calibri" w:hAnsi="Calibri" w:cs="Calibri"/>
          <w:lang w:val="en-GB"/>
        </w:rPr>
        <w:tab/>
        <w:t>Asia-Pacific Economic Cooperation</w:t>
      </w:r>
    </w:p>
    <w:p w14:paraId="62CA1F71" w14:textId="77777777" w:rsidR="006E4FF3" w:rsidRPr="006E4FF3" w:rsidRDefault="006E4FF3" w:rsidP="00D3418B">
      <w:pPr>
        <w:rPr>
          <w:rFonts w:ascii="Calibri" w:hAnsi="Calibri" w:cs="Calibri"/>
          <w:lang w:val="en-GB"/>
        </w:rPr>
      </w:pPr>
      <w:r w:rsidRPr="006E4FF3">
        <w:rPr>
          <w:rFonts w:ascii="Calibri" w:hAnsi="Calibri" w:cs="Calibri"/>
          <w:lang w:val="en-GB"/>
        </w:rPr>
        <w:t>APS</w:t>
      </w:r>
      <w:r w:rsidRPr="006E4FF3">
        <w:rPr>
          <w:rFonts w:ascii="Calibri" w:hAnsi="Calibri" w:cs="Calibri"/>
          <w:lang w:val="en-GB"/>
        </w:rPr>
        <w:tab/>
        <w:t>Australian Public Service</w:t>
      </w:r>
    </w:p>
    <w:p w14:paraId="7F252D28" w14:textId="77777777" w:rsidR="006E4FF3" w:rsidRPr="006E4FF3" w:rsidRDefault="006E4FF3" w:rsidP="00D3418B">
      <w:pPr>
        <w:rPr>
          <w:rFonts w:ascii="Calibri" w:hAnsi="Calibri" w:cs="Calibri"/>
          <w:lang w:val="en-GB"/>
        </w:rPr>
      </w:pPr>
      <w:r w:rsidRPr="006E4FF3">
        <w:rPr>
          <w:rFonts w:ascii="Calibri" w:hAnsi="Calibri" w:cs="Calibri"/>
          <w:lang w:val="en-GB"/>
        </w:rPr>
        <w:t>ASCR</w:t>
      </w:r>
      <w:r w:rsidRPr="006E4FF3">
        <w:rPr>
          <w:rFonts w:ascii="Calibri" w:hAnsi="Calibri" w:cs="Calibri"/>
          <w:lang w:val="en-GB"/>
        </w:rPr>
        <w:tab/>
        <w:t xml:space="preserve">APEC Services Competitiveness Roadmap </w:t>
      </w:r>
    </w:p>
    <w:p w14:paraId="50424214" w14:textId="77777777" w:rsidR="006E4FF3" w:rsidRPr="006E4FF3" w:rsidRDefault="006E4FF3" w:rsidP="00D3418B">
      <w:pPr>
        <w:rPr>
          <w:rFonts w:ascii="Calibri" w:hAnsi="Calibri" w:cs="Calibri"/>
          <w:lang w:val="en-GB"/>
        </w:rPr>
      </w:pPr>
      <w:r w:rsidRPr="006E4FF3">
        <w:rPr>
          <w:rFonts w:ascii="Calibri" w:hAnsi="Calibri" w:cs="Calibri"/>
          <w:lang w:val="en-GB"/>
        </w:rPr>
        <w:t>CTI</w:t>
      </w:r>
      <w:r w:rsidRPr="006E4FF3">
        <w:rPr>
          <w:rFonts w:ascii="Calibri" w:hAnsi="Calibri" w:cs="Calibri"/>
          <w:lang w:val="en-GB"/>
        </w:rPr>
        <w:tab/>
        <w:t>Committee on Trade and Investment</w:t>
      </w:r>
    </w:p>
    <w:p w14:paraId="18EDDE7F" w14:textId="77777777" w:rsidR="006E4FF3" w:rsidRPr="006E4FF3" w:rsidRDefault="006E4FF3" w:rsidP="00D3418B">
      <w:pPr>
        <w:rPr>
          <w:rFonts w:ascii="Calibri" w:hAnsi="Calibri" w:cs="Calibri"/>
          <w:lang w:val="en-GB"/>
        </w:rPr>
      </w:pPr>
      <w:r w:rsidRPr="006E4FF3">
        <w:rPr>
          <w:rFonts w:ascii="Calibri" w:hAnsi="Calibri" w:cs="Calibri"/>
          <w:lang w:val="en-GB"/>
        </w:rPr>
        <w:t>DAFF</w:t>
      </w:r>
      <w:r w:rsidRPr="006E4FF3">
        <w:rPr>
          <w:rFonts w:ascii="Calibri" w:hAnsi="Calibri" w:cs="Calibri"/>
          <w:lang w:val="en-GB"/>
        </w:rPr>
        <w:tab/>
        <w:t>Department of Agriculture, Fisheries and Forestry</w:t>
      </w:r>
    </w:p>
    <w:p w14:paraId="787D70D2" w14:textId="76494E67" w:rsidR="006E4FF3" w:rsidRPr="006E4FF3" w:rsidRDefault="006E4FF3" w:rsidP="00D3418B">
      <w:pPr>
        <w:rPr>
          <w:rFonts w:ascii="Calibri" w:hAnsi="Calibri" w:cs="Calibri"/>
          <w:lang w:val="en-GB"/>
        </w:rPr>
      </w:pPr>
      <w:r w:rsidRPr="006E4FF3">
        <w:rPr>
          <w:rFonts w:ascii="Calibri" w:hAnsi="Calibri" w:cs="Calibri"/>
          <w:lang w:val="en-GB"/>
        </w:rPr>
        <w:t>DCCEEW</w:t>
      </w:r>
      <w:r>
        <w:rPr>
          <w:rFonts w:ascii="Calibri" w:hAnsi="Calibri" w:cs="Calibri"/>
          <w:lang w:val="en-GB"/>
        </w:rPr>
        <w:t xml:space="preserve"> </w:t>
      </w:r>
      <w:r w:rsidRPr="006E4FF3">
        <w:rPr>
          <w:rFonts w:ascii="Calibri" w:hAnsi="Calibri" w:cs="Calibri"/>
          <w:lang w:val="en-GB"/>
        </w:rPr>
        <w:t>Department of Climate Change, Energy, the Environment and Water</w:t>
      </w:r>
    </w:p>
    <w:p w14:paraId="7F5E1B73" w14:textId="77777777" w:rsidR="006E4FF3" w:rsidRPr="006E4FF3" w:rsidRDefault="006E4FF3" w:rsidP="00D3418B">
      <w:pPr>
        <w:rPr>
          <w:rFonts w:ascii="Calibri" w:hAnsi="Calibri" w:cs="Calibri"/>
          <w:lang w:val="en-GB"/>
        </w:rPr>
      </w:pPr>
      <w:r w:rsidRPr="006E4FF3">
        <w:rPr>
          <w:rFonts w:ascii="Calibri" w:hAnsi="Calibri" w:cs="Calibri"/>
          <w:lang w:val="en-GB"/>
        </w:rPr>
        <w:t>DFAT</w:t>
      </w:r>
      <w:r w:rsidRPr="006E4FF3">
        <w:rPr>
          <w:rFonts w:ascii="Calibri" w:hAnsi="Calibri" w:cs="Calibri"/>
          <w:lang w:val="en-GB"/>
        </w:rPr>
        <w:tab/>
        <w:t xml:space="preserve">Australian Department of Foreign Affairs and Trade </w:t>
      </w:r>
    </w:p>
    <w:p w14:paraId="58501206" w14:textId="77777777" w:rsidR="006E4FF3" w:rsidRPr="006E4FF3" w:rsidRDefault="006E4FF3" w:rsidP="00D3418B">
      <w:pPr>
        <w:rPr>
          <w:rFonts w:ascii="Calibri" w:hAnsi="Calibri" w:cs="Calibri"/>
          <w:lang w:val="en-GB"/>
        </w:rPr>
      </w:pPr>
      <w:r w:rsidRPr="006E4FF3">
        <w:rPr>
          <w:rFonts w:ascii="Calibri" w:hAnsi="Calibri" w:cs="Calibri"/>
          <w:lang w:val="en-GB"/>
        </w:rPr>
        <w:t>DPOs</w:t>
      </w:r>
      <w:r w:rsidRPr="006E4FF3">
        <w:rPr>
          <w:rFonts w:ascii="Calibri" w:hAnsi="Calibri" w:cs="Calibri"/>
          <w:lang w:val="en-GB"/>
        </w:rPr>
        <w:tab/>
        <w:t>Disabled Peoples Organisations</w:t>
      </w:r>
    </w:p>
    <w:p w14:paraId="12D044C7" w14:textId="77777777" w:rsidR="006E4FF3" w:rsidRPr="006E4FF3" w:rsidRDefault="006E4FF3" w:rsidP="00D3418B">
      <w:pPr>
        <w:rPr>
          <w:rFonts w:ascii="Calibri" w:hAnsi="Calibri" w:cs="Calibri"/>
          <w:lang w:val="en-GB"/>
        </w:rPr>
      </w:pPr>
      <w:r w:rsidRPr="006E4FF3">
        <w:rPr>
          <w:rFonts w:ascii="Calibri" w:hAnsi="Calibri" w:cs="Calibri"/>
          <w:lang w:val="en-GB"/>
        </w:rPr>
        <w:t>EOPO</w:t>
      </w:r>
      <w:r w:rsidRPr="006E4FF3">
        <w:rPr>
          <w:rFonts w:ascii="Calibri" w:hAnsi="Calibri" w:cs="Calibri"/>
          <w:lang w:val="en-GB"/>
        </w:rPr>
        <w:tab/>
        <w:t>End of Program Outcomes</w:t>
      </w:r>
    </w:p>
    <w:p w14:paraId="5AEB3C8A" w14:textId="77777777" w:rsidR="006E4FF3" w:rsidRPr="006E4FF3" w:rsidRDefault="006E4FF3" w:rsidP="00D3418B">
      <w:pPr>
        <w:rPr>
          <w:rFonts w:ascii="Calibri" w:hAnsi="Calibri" w:cs="Calibri"/>
          <w:lang w:val="en-GB"/>
        </w:rPr>
      </w:pPr>
      <w:r w:rsidRPr="006E4FF3">
        <w:rPr>
          <w:rFonts w:ascii="Calibri" w:hAnsi="Calibri" w:cs="Calibri"/>
          <w:lang w:val="en-GB"/>
        </w:rPr>
        <w:t>FTA</w:t>
      </w:r>
      <w:r w:rsidRPr="006E4FF3">
        <w:rPr>
          <w:rFonts w:ascii="Calibri" w:hAnsi="Calibri" w:cs="Calibri"/>
          <w:lang w:val="en-GB"/>
        </w:rPr>
        <w:tab/>
        <w:t>Free Trade Agreement</w:t>
      </w:r>
    </w:p>
    <w:p w14:paraId="0D7E6775" w14:textId="77777777" w:rsidR="006E4FF3" w:rsidRPr="006E4FF3" w:rsidRDefault="006E4FF3" w:rsidP="00D3418B">
      <w:pPr>
        <w:rPr>
          <w:rFonts w:ascii="Calibri" w:hAnsi="Calibri" w:cs="Calibri"/>
          <w:lang w:val="en-GB"/>
        </w:rPr>
      </w:pPr>
      <w:r w:rsidRPr="006E4FF3">
        <w:rPr>
          <w:rFonts w:ascii="Calibri" w:hAnsi="Calibri" w:cs="Calibri"/>
          <w:lang w:val="en-GB"/>
        </w:rPr>
        <w:t>GEDSI</w:t>
      </w:r>
      <w:r w:rsidRPr="006E4FF3">
        <w:rPr>
          <w:rFonts w:ascii="Calibri" w:hAnsi="Calibri" w:cs="Calibri"/>
          <w:lang w:val="en-GB"/>
        </w:rPr>
        <w:tab/>
        <w:t>Gender Equality, Disability and Social Inclusion</w:t>
      </w:r>
    </w:p>
    <w:p w14:paraId="4553A781" w14:textId="77777777" w:rsidR="006E4FF3" w:rsidRPr="006E4FF3" w:rsidRDefault="006E4FF3" w:rsidP="00D3418B">
      <w:pPr>
        <w:rPr>
          <w:rFonts w:ascii="Calibri" w:hAnsi="Calibri" w:cs="Calibri"/>
          <w:lang w:val="en-GB"/>
        </w:rPr>
      </w:pPr>
      <w:r w:rsidRPr="006E4FF3">
        <w:rPr>
          <w:rFonts w:ascii="Calibri" w:hAnsi="Calibri" w:cs="Calibri"/>
          <w:lang w:val="en-GB"/>
        </w:rPr>
        <w:t>GOS</w:t>
      </w:r>
      <w:r w:rsidRPr="006E4FF3">
        <w:rPr>
          <w:rFonts w:ascii="Calibri" w:hAnsi="Calibri" w:cs="Calibri"/>
          <w:lang w:val="en-GB"/>
        </w:rPr>
        <w:tab/>
        <w:t>Group on Services</w:t>
      </w:r>
    </w:p>
    <w:p w14:paraId="354DDBF3" w14:textId="77777777" w:rsidR="006E4FF3" w:rsidRPr="006E4FF3" w:rsidRDefault="006E4FF3" w:rsidP="00D3418B">
      <w:pPr>
        <w:rPr>
          <w:rFonts w:ascii="Calibri" w:hAnsi="Calibri" w:cs="Calibri"/>
          <w:lang w:val="en-GB"/>
        </w:rPr>
      </w:pPr>
      <w:r w:rsidRPr="006E4FF3">
        <w:rPr>
          <w:rFonts w:ascii="Calibri" w:hAnsi="Calibri" w:cs="Calibri"/>
          <w:lang w:val="en-GB"/>
        </w:rPr>
        <w:t>GRIT</w:t>
      </w:r>
      <w:r w:rsidRPr="006E4FF3">
        <w:rPr>
          <w:rFonts w:ascii="Calibri" w:hAnsi="Calibri" w:cs="Calibri"/>
          <w:lang w:val="en-GB"/>
        </w:rPr>
        <w:tab/>
        <w:t>Growing Indigenous Business Through Trade</w:t>
      </w:r>
    </w:p>
    <w:p w14:paraId="06FBDC30" w14:textId="77777777" w:rsidR="006E4FF3" w:rsidRPr="006E4FF3" w:rsidRDefault="006E4FF3" w:rsidP="00D3418B">
      <w:pPr>
        <w:rPr>
          <w:rFonts w:ascii="Calibri" w:hAnsi="Calibri" w:cs="Calibri"/>
          <w:lang w:val="en-GB"/>
        </w:rPr>
      </w:pPr>
      <w:r w:rsidRPr="006E4FF3">
        <w:rPr>
          <w:rFonts w:ascii="Calibri" w:hAnsi="Calibri" w:cs="Calibri"/>
          <w:lang w:val="en-GB"/>
        </w:rPr>
        <w:t>IDCs</w:t>
      </w:r>
      <w:r w:rsidRPr="006E4FF3">
        <w:rPr>
          <w:rFonts w:ascii="Calibri" w:hAnsi="Calibri" w:cs="Calibri"/>
          <w:lang w:val="en-GB"/>
        </w:rPr>
        <w:tab/>
        <w:t xml:space="preserve">Inter-Departmental Committees </w:t>
      </w:r>
    </w:p>
    <w:p w14:paraId="073AC7ED" w14:textId="77777777" w:rsidR="006E4FF3" w:rsidRPr="006E4FF3" w:rsidRDefault="006E4FF3" w:rsidP="00D3418B">
      <w:pPr>
        <w:rPr>
          <w:rFonts w:ascii="Calibri" w:hAnsi="Calibri" w:cs="Calibri"/>
          <w:lang w:val="en-GB"/>
        </w:rPr>
      </w:pPr>
      <w:r w:rsidRPr="006E4FF3">
        <w:rPr>
          <w:rFonts w:ascii="Calibri" w:hAnsi="Calibri" w:cs="Calibri"/>
          <w:lang w:val="en-GB"/>
        </w:rPr>
        <w:t>IDP</w:t>
      </w:r>
      <w:r w:rsidRPr="006E4FF3">
        <w:rPr>
          <w:rFonts w:ascii="Calibri" w:hAnsi="Calibri" w:cs="Calibri"/>
          <w:lang w:val="en-GB"/>
        </w:rPr>
        <w:tab/>
        <w:t>Australia’s International Development Policy</w:t>
      </w:r>
    </w:p>
    <w:p w14:paraId="75148232" w14:textId="77777777" w:rsidR="006E4FF3" w:rsidRPr="006E4FF3" w:rsidRDefault="006E4FF3" w:rsidP="00D3418B">
      <w:pPr>
        <w:rPr>
          <w:rFonts w:ascii="Calibri" w:hAnsi="Calibri" w:cs="Calibri"/>
          <w:lang w:val="en-GB"/>
        </w:rPr>
      </w:pPr>
      <w:r w:rsidRPr="006E4FF3">
        <w:rPr>
          <w:rFonts w:ascii="Calibri" w:hAnsi="Calibri" w:cs="Calibri"/>
          <w:lang w:val="en-GB"/>
        </w:rPr>
        <w:t>IMR</w:t>
      </w:r>
      <w:r w:rsidRPr="006E4FF3">
        <w:rPr>
          <w:rFonts w:ascii="Calibri" w:hAnsi="Calibri" w:cs="Calibri"/>
          <w:lang w:val="en-GB"/>
        </w:rPr>
        <w:tab/>
        <w:t>Investment Monitoring Report</w:t>
      </w:r>
    </w:p>
    <w:p w14:paraId="2ED3B3B9" w14:textId="77777777" w:rsidR="006E4FF3" w:rsidRPr="006E4FF3" w:rsidRDefault="006E4FF3" w:rsidP="00D3418B">
      <w:pPr>
        <w:rPr>
          <w:rFonts w:ascii="Calibri" w:hAnsi="Calibri" w:cs="Calibri"/>
          <w:lang w:val="en-GB"/>
        </w:rPr>
      </w:pPr>
      <w:r w:rsidRPr="006E4FF3">
        <w:rPr>
          <w:rFonts w:ascii="Calibri" w:hAnsi="Calibri" w:cs="Calibri"/>
          <w:lang w:val="en-GB"/>
        </w:rPr>
        <w:t>KII</w:t>
      </w:r>
      <w:r w:rsidRPr="006E4FF3">
        <w:rPr>
          <w:rFonts w:ascii="Calibri" w:hAnsi="Calibri" w:cs="Calibri"/>
          <w:lang w:val="en-GB"/>
        </w:rPr>
        <w:tab/>
        <w:t xml:space="preserve">Key Informant Interview </w:t>
      </w:r>
    </w:p>
    <w:p w14:paraId="0AA287EB" w14:textId="77777777" w:rsidR="006E4FF3" w:rsidRPr="006E4FF3" w:rsidRDefault="006E4FF3" w:rsidP="00D3418B">
      <w:pPr>
        <w:rPr>
          <w:rFonts w:ascii="Calibri" w:hAnsi="Calibri" w:cs="Calibri"/>
          <w:lang w:val="en-GB"/>
        </w:rPr>
      </w:pPr>
      <w:r w:rsidRPr="006E4FF3">
        <w:rPr>
          <w:rFonts w:ascii="Calibri" w:hAnsi="Calibri" w:cs="Calibri"/>
          <w:lang w:val="en-GB"/>
        </w:rPr>
        <w:t>M&amp;E</w:t>
      </w:r>
      <w:r w:rsidRPr="006E4FF3">
        <w:rPr>
          <w:rFonts w:ascii="Calibri" w:hAnsi="Calibri" w:cs="Calibri"/>
          <w:lang w:val="en-GB"/>
        </w:rPr>
        <w:tab/>
        <w:t xml:space="preserve">Monitoring and Evaluation </w:t>
      </w:r>
    </w:p>
    <w:p w14:paraId="1844EF55" w14:textId="77777777" w:rsidR="006E4FF3" w:rsidRPr="006E4FF3" w:rsidRDefault="006E4FF3" w:rsidP="00D3418B">
      <w:pPr>
        <w:rPr>
          <w:rFonts w:ascii="Calibri" w:hAnsi="Calibri" w:cs="Calibri"/>
          <w:lang w:val="en-GB"/>
        </w:rPr>
      </w:pPr>
      <w:r w:rsidRPr="006E4FF3">
        <w:rPr>
          <w:rFonts w:ascii="Calibri" w:hAnsi="Calibri" w:cs="Calibri"/>
          <w:lang w:val="en-GB"/>
        </w:rPr>
        <w:t>MC</w:t>
      </w:r>
      <w:r w:rsidRPr="006E4FF3">
        <w:rPr>
          <w:rFonts w:ascii="Calibri" w:hAnsi="Calibri" w:cs="Calibri"/>
          <w:lang w:val="en-GB"/>
        </w:rPr>
        <w:tab/>
        <w:t>Managing Contractor</w:t>
      </w:r>
    </w:p>
    <w:p w14:paraId="279E42C2" w14:textId="77777777" w:rsidR="006E4FF3" w:rsidRPr="006E4FF3" w:rsidRDefault="006E4FF3" w:rsidP="00D3418B">
      <w:pPr>
        <w:rPr>
          <w:rFonts w:ascii="Calibri" w:hAnsi="Calibri" w:cs="Calibri"/>
          <w:lang w:val="en-GB"/>
        </w:rPr>
      </w:pPr>
      <w:r w:rsidRPr="006E4FF3">
        <w:rPr>
          <w:rFonts w:ascii="Calibri" w:hAnsi="Calibri" w:cs="Calibri"/>
          <w:lang w:val="en-GB"/>
        </w:rPr>
        <w:t>MEL</w:t>
      </w:r>
      <w:r w:rsidRPr="006E4FF3">
        <w:rPr>
          <w:rFonts w:ascii="Calibri" w:hAnsi="Calibri" w:cs="Calibri"/>
          <w:lang w:val="en-GB"/>
        </w:rPr>
        <w:tab/>
        <w:t>Monitoring, Evaluation and Learning</w:t>
      </w:r>
    </w:p>
    <w:p w14:paraId="7D73CCC3" w14:textId="77777777" w:rsidR="006E4FF3" w:rsidRPr="006E4FF3" w:rsidRDefault="006E4FF3" w:rsidP="00D3418B">
      <w:pPr>
        <w:rPr>
          <w:rFonts w:ascii="Calibri" w:hAnsi="Calibri" w:cs="Calibri"/>
          <w:lang w:val="en-GB"/>
        </w:rPr>
      </w:pPr>
      <w:r w:rsidRPr="006E4FF3">
        <w:rPr>
          <w:rFonts w:ascii="Calibri" w:hAnsi="Calibri" w:cs="Calibri"/>
          <w:lang w:val="en-GB"/>
        </w:rPr>
        <w:t>MTR</w:t>
      </w:r>
      <w:r w:rsidRPr="006E4FF3">
        <w:rPr>
          <w:rFonts w:ascii="Calibri" w:hAnsi="Calibri" w:cs="Calibri"/>
          <w:lang w:val="en-GB"/>
        </w:rPr>
        <w:tab/>
        <w:t>Mid Term Review</w:t>
      </w:r>
    </w:p>
    <w:p w14:paraId="5E834F32" w14:textId="77777777" w:rsidR="006E4FF3" w:rsidRPr="006E4FF3" w:rsidRDefault="006E4FF3" w:rsidP="00D3418B">
      <w:pPr>
        <w:rPr>
          <w:rFonts w:ascii="Calibri" w:hAnsi="Calibri" w:cs="Calibri"/>
          <w:lang w:val="en-GB"/>
        </w:rPr>
      </w:pPr>
      <w:r w:rsidRPr="006E4FF3">
        <w:rPr>
          <w:rFonts w:ascii="Calibri" w:hAnsi="Calibri" w:cs="Calibri"/>
          <w:lang w:val="en-GB"/>
        </w:rPr>
        <w:t>MRA</w:t>
      </w:r>
      <w:r w:rsidRPr="006E4FF3">
        <w:rPr>
          <w:rFonts w:ascii="Calibri" w:hAnsi="Calibri" w:cs="Calibri"/>
          <w:lang w:val="en-GB"/>
        </w:rPr>
        <w:tab/>
        <w:t>Mutual Recognition Agreement</w:t>
      </w:r>
    </w:p>
    <w:p w14:paraId="6E8222D4" w14:textId="77777777" w:rsidR="006E4FF3" w:rsidRPr="006E4FF3" w:rsidRDefault="006E4FF3" w:rsidP="00D3418B">
      <w:pPr>
        <w:rPr>
          <w:rFonts w:ascii="Calibri" w:hAnsi="Calibri" w:cs="Calibri"/>
          <w:lang w:val="en-GB"/>
        </w:rPr>
      </w:pPr>
      <w:r w:rsidRPr="006E4FF3">
        <w:rPr>
          <w:rFonts w:ascii="Calibri" w:hAnsi="Calibri" w:cs="Calibri"/>
          <w:lang w:val="en-GB"/>
        </w:rPr>
        <w:t>MSME</w:t>
      </w:r>
      <w:r w:rsidRPr="006E4FF3">
        <w:rPr>
          <w:rFonts w:ascii="Calibri" w:hAnsi="Calibri" w:cs="Calibri"/>
          <w:lang w:val="en-GB"/>
        </w:rPr>
        <w:tab/>
        <w:t>Micro, Small and Medium Enterprises</w:t>
      </w:r>
    </w:p>
    <w:p w14:paraId="117F0DEA" w14:textId="77777777" w:rsidR="006E4FF3" w:rsidRPr="006E4FF3" w:rsidRDefault="006E4FF3" w:rsidP="00D3418B">
      <w:pPr>
        <w:rPr>
          <w:rFonts w:ascii="Calibri" w:hAnsi="Calibri" w:cs="Calibri"/>
          <w:lang w:val="en-GB"/>
        </w:rPr>
      </w:pPr>
      <w:r w:rsidRPr="006E4FF3">
        <w:rPr>
          <w:rFonts w:ascii="Calibri" w:hAnsi="Calibri" w:cs="Calibri"/>
          <w:lang w:val="en-GB"/>
        </w:rPr>
        <w:t>NGO</w:t>
      </w:r>
      <w:r w:rsidRPr="006E4FF3">
        <w:rPr>
          <w:rFonts w:ascii="Calibri" w:hAnsi="Calibri" w:cs="Calibri"/>
          <w:lang w:val="en-GB"/>
        </w:rPr>
        <w:tab/>
        <w:t>Non-Governmental Organisation</w:t>
      </w:r>
    </w:p>
    <w:p w14:paraId="524576E4" w14:textId="77777777" w:rsidR="006E4FF3" w:rsidRPr="006E4FF3" w:rsidRDefault="006E4FF3" w:rsidP="00D3418B">
      <w:pPr>
        <w:rPr>
          <w:rFonts w:ascii="Calibri" w:hAnsi="Calibri" w:cs="Calibri"/>
          <w:lang w:val="en-GB"/>
        </w:rPr>
      </w:pPr>
      <w:r w:rsidRPr="006E4FF3">
        <w:rPr>
          <w:rFonts w:ascii="Calibri" w:hAnsi="Calibri" w:cs="Calibri"/>
          <w:lang w:val="en-GB"/>
        </w:rPr>
        <w:t>NIAA</w:t>
      </w:r>
      <w:r w:rsidRPr="006E4FF3">
        <w:rPr>
          <w:rFonts w:ascii="Calibri" w:hAnsi="Calibri" w:cs="Calibri"/>
          <w:lang w:val="en-GB"/>
        </w:rPr>
        <w:tab/>
        <w:t xml:space="preserve">National Indigenous Australians Agency </w:t>
      </w:r>
    </w:p>
    <w:p w14:paraId="4DEEDB19" w14:textId="77777777" w:rsidR="006E4FF3" w:rsidRPr="006E4FF3" w:rsidRDefault="006E4FF3" w:rsidP="00D3418B">
      <w:pPr>
        <w:rPr>
          <w:rFonts w:ascii="Calibri" w:hAnsi="Calibri" w:cs="Calibri"/>
          <w:lang w:val="en-GB"/>
        </w:rPr>
      </w:pPr>
      <w:r w:rsidRPr="006E4FF3">
        <w:rPr>
          <w:rFonts w:ascii="Calibri" w:hAnsi="Calibri" w:cs="Calibri"/>
          <w:lang w:val="en-GB"/>
        </w:rPr>
        <w:t>ODA</w:t>
      </w:r>
      <w:r w:rsidRPr="006E4FF3">
        <w:rPr>
          <w:rFonts w:ascii="Calibri" w:hAnsi="Calibri" w:cs="Calibri"/>
          <w:lang w:val="en-GB"/>
        </w:rPr>
        <w:tab/>
        <w:t>Official Development Assistance</w:t>
      </w:r>
    </w:p>
    <w:p w14:paraId="5F5838DA" w14:textId="77777777" w:rsidR="006E4FF3" w:rsidRPr="006E4FF3" w:rsidRDefault="006E4FF3" w:rsidP="00D3418B">
      <w:pPr>
        <w:rPr>
          <w:rFonts w:ascii="Calibri" w:hAnsi="Calibri" w:cs="Calibri"/>
          <w:lang w:val="en-GB"/>
        </w:rPr>
      </w:pPr>
      <w:r w:rsidRPr="006E4FF3">
        <w:rPr>
          <w:rFonts w:ascii="Calibri" w:hAnsi="Calibri" w:cs="Calibri"/>
          <w:lang w:val="en-GB"/>
        </w:rPr>
        <w:t>OECD</w:t>
      </w:r>
      <w:r w:rsidRPr="006E4FF3">
        <w:rPr>
          <w:rFonts w:ascii="Calibri" w:hAnsi="Calibri" w:cs="Calibri"/>
          <w:lang w:val="en-GB"/>
        </w:rPr>
        <w:tab/>
        <w:t xml:space="preserve">Organisation for Economic Co-operation and Development </w:t>
      </w:r>
    </w:p>
    <w:p w14:paraId="5689FD2D" w14:textId="77777777" w:rsidR="006E4FF3" w:rsidRPr="006E4FF3" w:rsidRDefault="006E4FF3" w:rsidP="00D3418B">
      <w:pPr>
        <w:rPr>
          <w:rFonts w:ascii="Calibri" w:hAnsi="Calibri" w:cs="Calibri"/>
          <w:lang w:val="en-GB"/>
        </w:rPr>
      </w:pPr>
      <w:r w:rsidRPr="006E4FF3">
        <w:rPr>
          <w:rFonts w:ascii="Calibri" w:hAnsi="Calibri" w:cs="Calibri"/>
          <w:lang w:val="en-GB"/>
        </w:rPr>
        <w:t>PPWE</w:t>
      </w:r>
      <w:r w:rsidRPr="006E4FF3">
        <w:rPr>
          <w:rFonts w:ascii="Calibri" w:hAnsi="Calibri" w:cs="Calibri"/>
          <w:lang w:val="en-GB"/>
        </w:rPr>
        <w:tab/>
        <w:t>Policy Partnership on Women and the Economy</w:t>
      </w:r>
    </w:p>
    <w:p w14:paraId="06C29C77" w14:textId="77777777" w:rsidR="006E4FF3" w:rsidRPr="006E4FF3" w:rsidRDefault="006E4FF3" w:rsidP="00D3418B">
      <w:pPr>
        <w:rPr>
          <w:rFonts w:ascii="Calibri" w:hAnsi="Calibri" w:cs="Calibri"/>
          <w:lang w:val="en-GB"/>
        </w:rPr>
      </w:pPr>
      <w:r w:rsidRPr="006E4FF3">
        <w:rPr>
          <w:rFonts w:ascii="Calibri" w:hAnsi="Calibri" w:cs="Calibri"/>
          <w:lang w:val="en-GB"/>
        </w:rPr>
        <w:t>PSEAH</w:t>
      </w:r>
      <w:r w:rsidRPr="006E4FF3">
        <w:rPr>
          <w:rFonts w:ascii="Calibri" w:hAnsi="Calibri" w:cs="Calibri"/>
          <w:lang w:val="en-GB"/>
        </w:rPr>
        <w:tab/>
        <w:t xml:space="preserve">Preventing sexual exploitation, abuse and harassment </w:t>
      </w:r>
    </w:p>
    <w:p w14:paraId="72F93108" w14:textId="77777777" w:rsidR="006E4FF3" w:rsidRPr="006E4FF3" w:rsidRDefault="006E4FF3" w:rsidP="00D3418B">
      <w:pPr>
        <w:rPr>
          <w:rFonts w:ascii="Calibri" w:hAnsi="Calibri" w:cs="Calibri"/>
          <w:lang w:val="en-GB"/>
        </w:rPr>
      </w:pPr>
      <w:r w:rsidRPr="006E4FF3">
        <w:rPr>
          <w:rFonts w:ascii="Calibri" w:hAnsi="Calibri" w:cs="Calibri"/>
          <w:lang w:val="en-GB"/>
        </w:rPr>
        <w:t>QRM</w:t>
      </w:r>
      <w:r w:rsidRPr="006E4FF3">
        <w:rPr>
          <w:rFonts w:ascii="Calibri" w:hAnsi="Calibri" w:cs="Calibri"/>
          <w:lang w:val="en-GB"/>
        </w:rPr>
        <w:tab/>
        <w:t xml:space="preserve">Quarantine Regulators Meeting </w:t>
      </w:r>
    </w:p>
    <w:p w14:paraId="5CDAFBC3" w14:textId="77777777" w:rsidR="006E4FF3" w:rsidRPr="006E4FF3" w:rsidRDefault="006E4FF3" w:rsidP="00D3418B">
      <w:pPr>
        <w:rPr>
          <w:rFonts w:ascii="Calibri" w:hAnsi="Calibri" w:cs="Calibri"/>
          <w:lang w:val="en-GB"/>
        </w:rPr>
      </w:pPr>
      <w:r w:rsidRPr="006E4FF3">
        <w:rPr>
          <w:rFonts w:ascii="Calibri" w:hAnsi="Calibri" w:cs="Calibri"/>
          <w:lang w:val="en-GB"/>
        </w:rPr>
        <w:t>RMIT</w:t>
      </w:r>
      <w:r w:rsidRPr="006E4FF3">
        <w:rPr>
          <w:rFonts w:ascii="Calibri" w:hAnsi="Calibri" w:cs="Calibri"/>
          <w:lang w:val="en-GB"/>
        </w:rPr>
        <w:tab/>
        <w:t>Royal Melbourne Institute of Technology</w:t>
      </w:r>
    </w:p>
    <w:p w14:paraId="57F94B6B" w14:textId="77777777" w:rsidR="006E4FF3" w:rsidRPr="006E4FF3" w:rsidRDefault="006E4FF3" w:rsidP="00D3418B">
      <w:pPr>
        <w:rPr>
          <w:rFonts w:ascii="Calibri" w:hAnsi="Calibri" w:cs="Calibri"/>
          <w:lang w:val="en-GB"/>
        </w:rPr>
      </w:pPr>
      <w:r w:rsidRPr="006E4FF3">
        <w:rPr>
          <w:rFonts w:ascii="Calibri" w:hAnsi="Calibri" w:cs="Calibri"/>
          <w:lang w:val="en-GB"/>
        </w:rPr>
        <w:lastRenderedPageBreak/>
        <w:t>SMEs</w:t>
      </w:r>
      <w:r w:rsidRPr="006E4FF3">
        <w:rPr>
          <w:rFonts w:ascii="Calibri" w:hAnsi="Calibri" w:cs="Calibri"/>
          <w:lang w:val="en-GB"/>
        </w:rPr>
        <w:tab/>
        <w:t>Small and medium enterprises</w:t>
      </w:r>
    </w:p>
    <w:p w14:paraId="11CF3113" w14:textId="77777777" w:rsidR="006E4FF3" w:rsidRPr="006E4FF3" w:rsidRDefault="006E4FF3" w:rsidP="00D3418B">
      <w:pPr>
        <w:rPr>
          <w:rFonts w:ascii="Calibri" w:hAnsi="Calibri" w:cs="Calibri"/>
          <w:lang w:val="en-GB"/>
        </w:rPr>
      </w:pPr>
      <w:r w:rsidRPr="006E4FF3">
        <w:rPr>
          <w:rFonts w:ascii="Calibri" w:hAnsi="Calibri" w:cs="Calibri"/>
          <w:lang w:val="en-GB"/>
        </w:rPr>
        <w:t>SOM</w:t>
      </w:r>
      <w:r w:rsidRPr="006E4FF3">
        <w:rPr>
          <w:rFonts w:ascii="Calibri" w:hAnsi="Calibri" w:cs="Calibri"/>
          <w:lang w:val="en-GB"/>
        </w:rPr>
        <w:tab/>
        <w:t>Senior Officials’ Meeting</w:t>
      </w:r>
    </w:p>
    <w:p w14:paraId="549A5A47" w14:textId="77777777" w:rsidR="006E4FF3" w:rsidRPr="006E4FF3" w:rsidRDefault="006E4FF3" w:rsidP="00D3418B">
      <w:pPr>
        <w:rPr>
          <w:rFonts w:ascii="Calibri" w:hAnsi="Calibri" w:cs="Calibri"/>
          <w:lang w:val="en-GB"/>
        </w:rPr>
      </w:pPr>
      <w:r w:rsidRPr="006E4FF3">
        <w:rPr>
          <w:rFonts w:ascii="Calibri" w:hAnsi="Calibri" w:cs="Calibri"/>
          <w:lang w:val="en-GB"/>
        </w:rPr>
        <w:t>SOP</w:t>
      </w:r>
      <w:r w:rsidRPr="006E4FF3">
        <w:rPr>
          <w:rFonts w:ascii="Calibri" w:hAnsi="Calibri" w:cs="Calibri"/>
          <w:lang w:val="en-GB"/>
        </w:rPr>
        <w:tab/>
        <w:t>Standard Operating Procedure</w:t>
      </w:r>
    </w:p>
    <w:p w14:paraId="40862E5C" w14:textId="77777777" w:rsidR="006E4FF3" w:rsidRPr="006E4FF3" w:rsidRDefault="006E4FF3" w:rsidP="00D3418B">
      <w:pPr>
        <w:rPr>
          <w:rFonts w:ascii="Calibri" w:hAnsi="Calibri" w:cs="Calibri"/>
          <w:lang w:val="en-GB"/>
        </w:rPr>
      </w:pPr>
      <w:r w:rsidRPr="006E4FF3">
        <w:rPr>
          <w:rFonts w:ascii="Calibri" w:hAnsi="Calibri" w:cs="Calibri"/>
          <w:lang w:val="en-GB"/>
        </w:rPr>
        <w:t>STEM</w:t>
      </w:r>
      <w:r w:rsidRPr="006E4FF3">
        <w:rPr>
          <w:rFonts w:ascii="Calibri" w:hAnsi="Calibri" w:cs="Calibri"/>
          <w:lang w:val="en-GB"/>
        </w:rPr>
        <w:tab/>
        <w:t xml:space="preserve">Science, Technology, Engineering and Mathematics </w:t>
      </w:r>
    </w:p>
    <w:p w14:paraId="76AD4DB8" w14:textId="77777777" w:rsidR="006E4FF3" w:rsidRPr="006E4FF3" w:rsidRDefault="006E4FF3" w:rsidP="00D3418B">
      <w:pPr>
        <w:rPr>
          <w:rFonts w:ascii="Calibri" w:hAnsi="Calibri" w:cs="Calibri"/>
          <w:lang w:val="en-GB"/>
        </w:rPr>
      </w:pPr>
      <w:r w:rsidRPr="006E4FF3">
        <w:rPr>
          <w:rFonts w:ascii="Calibri" w:hAnsi="Calibri" w:cs="Calibri"/>
          <w:lang w:val="en-GB"/>
        </w:rPr>
        <w:t>STRI</w:t>
      </w:r>
      <w:r w:rsidRPr="006E4FF3">
        <w:rPr>
          <w:rFonts w:ascii="Calibri" w:hAnsi="Calibri" w:cs="Calibri"/>
          <w:lang w:val="en-GB"/>
        </w:rPr>
        <w:tab/>
        <w:t xml:space="preserve">Services Trade Restrictiveness Index </w:t>
      </w:r>
    </w:p>
    <w:p w14:paraId="718B84ED" w14:textId="77777777" w:rsidR="006E4FF3" w:rsidRPr="006E4FF3" w:rsidRDefault="006E4FF3" w:rsidP="00D3418B">
      <w:pPr>
        <w:rPr>
          <w:rFonts w:ascii="Calibri" w:hAnsi="Calibri" w:cs="Calibri"/>
          <w:lang w:val="en-GB"/>
        </w:rPr>
      </w:pPr>
      <w:r w:rsidRPr="006E4FF3">
        <w:rPr>
          <w:rFonts w:ascii="Calibri" w:hAnsi="Calibri" w:cs="Calibri"/>
          <w:lang w:val="en-GB"/>
        </w:rPr>
        <w:t>TFA</w:t>
      </w:r>
      <w:r w:rsidRPr="006E4FF3">
        <w:rPr>
          <w:rFonts w:ascii="Calibri" w:hAnsi="Calibri" w:cs="Calibri"/>
          <w:lang w:val="en-GB"/>
        </w:rPr>
        <w:tab/>
        <w:t>Trade Facilitation Agreement</w:t>
      </w:r>
    </w:p>
    <w:p w14:paraId="10776652" w14:textId="77777777" w:rsidR="006E4FF3" w:rsidRPr="006E4FF3" w:rsidRDefault="006E4FF3" w:rsidP="00D3418B">
      <w:pPr>
        <w:rPr>
          <w:rFonts w:ascii="Calibri" w:hAnsi="Calibri" w:cs="Calibri"/>
          <w:lang w:val="en-GB"/>
        </w:rPr>
      </w:pPr>
      <w:r w:rsidRPr="006E4FF3">
        <w:rPr>
          <w:rFonts w:ascii="Calibri" w:hAnsi="Calibri" w:cs="Calibri"/>
          <w:lang w:val="en-GB"/>
        </w:rPr>
        <w:t>TOC</w:t>
      </w:r>
      <w:r w:rsidRPr="006E4FF3">
        <w:rPr>
          <w:rFonts w:ascii="Calibri" w:hAnsi="Calibri" w:cs="Calibri"/>
          <w:lang w:val="en-GB"/>
        </w:rPr>
        <w:tab/>
        <w:t xml:space="preserve">Theory of Change </w:t>
      </w:r>
    </w:p>
    <w:p w14:paraId="4F9D12C2" w14:textId="77777777" w:rsidR="006E4FF3" w:rsidRPr="006E4FF3" w:rsidRDefault="006E4FF3" w:rsidP="00D3418B">
      <w:pPr>
        <w:rPr>
          <w:rFonts w:ascii="Calibri" w:hAnsi="Calibri" w:cs="Calibri"/>
          <w:lang w:val="en-GB"/>
        </w:rPr>
      </w:pPr>
      <w:r w:rsidRPr="006E4FF3">
        <w:rPr>
          <w:rFonts w:ascii="Calibri" w:hAnsi="Calibri" w:cs="Calibri"/>
          <w:lang w:val="en-GB"/>
        </w:rPr>
        <w:t>TOR</w:t>
      </w:r>
      <w:r w:rsidRPr="006E4FF3">
        <w:rPr>
          <w:rFonts w:ascii="Calibri" w:hAnsi="Calibri" w:cs="Calibri"/>
          <w:lang w:val="en-GB"/>
        </w:rPr>
        <w:tab/>
        <w:t xml:space="preserve">Terms of Reference </w:t>
      </w:r>
    </w:p>
    <w:p w14:paraId="57E57471" w14:textId="77777777" w:rsidR="006E4FF3" w:rsidRPr="006E4FF3" w:rsidRDefault="006E4FF3" w:rsidP="00D3418B">
      <w:pPr>
        <w:rPr>
          <w:rFonts w:ascii="Calibri" w:hAnsi="Calibri" w:cs="Calibri"/>
          <w:lang w:val="en-GB"/>
        </w:rPr>
      </w:pPr>
      <w:r w:rsidRPr="006E4FF3">
        <w:rPr>
          <w:rFonts w:ascii="Calibri" w:hAnsi="Calibri" w:cs="Calibri"/>
          <w:lang w:val="en-GB"/>
        </w:rPr>
        <w:t>WEF</w:t>
      </w:r>
      <w:r w:rsidRPr="006E4FF3">
        <w:rPr>
          <w:rFonts w:ascii="Calibri" w:hAnsi="Calibri" w:cs="Calibri"/>
          <w:lang w:val="en-GB"/>
        </w:rPr>
        <w:tab/>
        <w:t>World Economic Forum</w:t>
      </w:r>
    </w:p>
    <w:p w14:paraId="3DE64205" w14:textId="18B0F655" w:rsidR="006E4FF3" w:rsidRPr="006E4FF3" w:rsidRDefault="006E4FF3" w:rsidP="00D3418B">
      <w:pPr>
        <w:rPr>
          <w:rFonts w:ascii="Calibri" w:hAnsi="Calibri" w:cs="Calibri"/>
          <w:lang w:val="en-GB"/>
        </w:rPr>
      </w:pPr>
      <w:r w:rsidRPr="006E4FF3">
        <w:rPr>
          <w:rFonts w:ascii="Calibri" w:hAnsi="Calibri" w:cs="Calibri"/>
          <w:lang w:val="en-GB"/>
        </w:rPr>
        <w:t>WTO</w:t>
      </w:r>
      <w:r w:rsidRPr="006E4FF3">
        <w:rPr>
          <w:rFonts w:ascii="Calibri" w:hAnsi="Calibri" w:cs="Calibri"/>
          <w:lang w:val="en-GB"/>
        </w:rPr>
        <w:tab/>
        <w:t>World Trade Organisation</w:t>
      </w:r>
    </w:p>
    <w:p w14:paraId="478785C7" w14:textId="77777777" w:rsidR="006E4FF3" w:rsidRPr="0029511A" w:rsidRDefault="006E4FF3" w:rsidP="00881A99">
      <w:pPr>
        <w:pStyle w:val="ExecSumH1"/>
        <w:rPr>
          <w:rFonts w:ascii="Calibri" w:hAnsi="Calibri" w:cs="Calibri"/>
          <w:sz w:val="22"/>
          <w:szCs w:val="22"/>
          <w:lang w:val="en-GB"/>
        </w:rPr>
      </w:pPr>
    </w:p>
    <w:p w14:paraId="430A84D3" w14:textId="77777777" w:rsidR="00DF0AAE" w:rsidRPr="0029511A" w:rsidRDefault="00DF0AAE" w:rsidP="00370438">
      <w:pPr>
        <w:rPr>
          <w:rFonts w:ascii="Calibri" w:hAnsi="Calibri" w:cs="Calibri"/>
          <w:lang w:val="en-GB"/>
        </w:rPr>
        <w:sectPr w:rsidR="00DF0AAE" w:rsidRPr="0029511A" w:rsidSect="00D06192">
          <w:footerReference w:type="default" r:id="rId14"/>
          <w:pgSz w:w="11900" w:h="16840"/>
          <w:pgMar w:top="1418" w:right="1440" w:bottom="1440" w:left="1440" w:header="709" w:footer="709" w:gutter="0"/>
          <w:pgNumType w:fmt="lowerRoman"/>
          <w:cols w:space="708"/>
          <w:docGrid w:linePitch="360"/>
        </w:sectPr>
      </w:pPr>
    </w:p>
    <w:p w14:paraId="71AEF4C3" w14:textId="77777777" w:rsidR="00CD17DF" w:rsidRDefault="00FB2C3C">
      <w:pPr>
        <w:pStyle w:val="TOC1"/>
      </w:pPr>
      <w:bookmarkStart w:id="1" w:name="_Toc157765357"/>
      <w:bookmarkStart w:id="2" w:name="_Toc157767463"/>
      <w:bookmarkStart w:id="3" w:name="_Toc165140694"/>
      <w:bookmarkStart w:id="4" w:name="_Toc165140732"/>
      <w:r w:rsidRPr="0029511A">
        <w:rPr>
          <w:rFonts w:ascii="Calibri" w:hAnsi="Calibri" w:cs="Calibri"/>
          <w:lang w:val="en-GB"/>
        </w:rPr>
        <w:lastRenderedPageBreak/>
        <w:t>CONTENTS</w:t>
      </w:r>
      <w:bookmarkEnd w:id="1"/>
      <w:bookmarkEnd w:id="2"/>
      <w:bookmarkEnd w:id="3"/>
      <w:bookmarkEnd w:id="4"/>
      <w:r w:rsidR="005C3028" w:rsidRPr="0029511A">
        <w:rPr>
          <w:rFonts w:ascii="Calibri" w:eastAsiaTheme="majorEastAsia" w:hAnsi="Calibri" w:cs="Calibri"/>
          <w:color w:val="2F5496" w:themeColor="accent1" w:themeShade="BF"/>
          <w:lang w:val="en-GB"/>
        </w:rPr>
        <w:fldChar w:fldCharType="begin"/>
      </w:r>
      <w:r w:rsidR="005C3028" w:rsidRPr="0029511A">
        <w:rPr>
          <w:rFonts w:ascii="Calibri" w:hAnsi="Calibri" w:cs="Calibri"/>
          <w:lang w:val="en-GB"/>
        </w:rPr>
        <w:instrText xml:space="preserve"> TOC \o "1-2" \h \z \u </w:instrText>
      </w:r>
      <w:r w:rsidR="005C3028" w:rsidRPr="0029511A">
        <w:rPr>
          <w:rFonts w:ascii="Calibri" w:eastAsiaTheme="majorEastAsia" w:hAnsi="Calibri" w:cs="Calibri"/>
          <w:color w:val="2F5496" w:themeColor="accent1" w:themeShade="BF"/>
          <w:lang w:val="en-GB"/>
        </w:rPr>
        <w:fldChar w:fldCharType="separate"/>
      </w:r>
    </w:p>
    <w:p w14:paraId="5FF0CAFC" w14:textId="5AB1AAB0" w:rsidR="00CD17DF" w:rsidRDefault="00F1599D">
      <w:pPr>
        <w:pStyle w:val="TOC1"/>
        <w:rPr>
          <w:rFonts w:asciiTheme="minorHAnsi" w:eastAsiaTheme="minorEastAsia" w:hAnsiTheme="minorHAnsi" w:cstheme="minorBidi"/>
          <w:b w:val="0"/>
          <w:bCs w:val="0"/>
          <w:kern w:val="2"/>
          <w:sz w:val="24"/>
          <w:szCs w:val="24"/>
          <w:lang w:eastAsia="en-AU"/>
          <w14:ligatures w14:val="standardContextual"/>
        </w:rPr>
      </w:pPr>
      <w:hyperlink w:anchor="_Toc190934877" w:history="1">
        <w:r w:rsidR="00CD17DF" w:rsidRPr="008E70E0">
          <w:rPr>
            <w:rStyle w:val="Hyperlink"/>
            <w:rFonts w:ascii="Calibri" w:hAnsi="Calibri" w:cs="Calibri"/>
            <w:lang w:val="en-GB"/>
          </w:rPr>
          <w:t>ACRONYMS LIST</w:t>
        </w:r>
        <w:r w:rsidR="00CD17DF">
          <w:rPr>
            <w:webHidden/>
          </w:rPr>
          <w:tab/>
        </w:r>
        <w:r w:rsidR="00CD17DF">
          <w:rPr>
            <w:webHidden/>
          </w:rPr>
          <w:fldChar w:fldCharType="begin"/>
        </w:r>
        <w:r w:rsidR="00CD17DF">
          <w:rPr>
            <w:webHidden/>
          </w:rPr>
          <w:instrText xml:space="preserve"> PAGEREF _Toc190934877 \h </w:instrText>
        </w:r>
        <w:r w:rsidR="00CD17DF">
          <w:rPr>
            <w:webHidden/>
          </w:rPr>
        </w:r>
        <w:r w:rsidR="00CD17DF">
          <w:rPr>
            <w:webHidden/>
          </w:rPr>
          <w:fldChar w:fldCharType="separate"/>
        </w:r>
        <w:r w:rsidR="00CD17DF">
          <w:rPr>
            <w:webHidden/>
          </w:rPr>
          <w:t>i</w:t>
        </w:r>
        <w:r w:rsidR="00CD17DF">
          <w:rPr>
            <w:webHidden/>
          </w:rPr>
          <w:fldChar w:fldCharType="end"/>
        </w:r>
      </w:hyperlink>
    </w:p>
    <w:p w14:paraId="33A7FFFD" w14:textId="6D77523E" w:rsidR="00CD17DF" w:rsidRDefault="00F1599D">
      <w:pPr>
        <w:pStyle w:val="TOC1"/>
        <w:rPr>
          <w:rFonts w:asciiTheme="minorHAnsi" w:eastAsiaTheme="minorEastAsia" w:hAnsiTheme="minorHAnsi" w:cstheme="minorBidi"/>
          <w:b w:val="0"/>
          <w:bCs w:val="0"/>
          <w:kern w:val="2"/>
          <w:sz w:val="24"/>
          <w:szCs w:val="24"/>
          <w:lang w:eastAsia="en-AU"/>
          <w14:ligatures w14:val="standardContextual"/>
        </w:rPr>
      </w:pPr>
      <w:hyperlink w:anchor="_Toc190934878" w:history="1">
        <w:r w:rsidR="00CD17DF" w:rsidRPr="008E70E0">
          <w:rPr>
            <w:rStyle w:val="Hyperlink"/>
            <w:rFonts w:ascii="Calibri" w:hAnsi="Calibri" w:cs="Calibri"/>
            <w:lang w:val="en-GB"/>
          </w:rPr>
          <w:t>EXECUTIVE SUMMARY</w:t>
        </w:r>
        <w:r w:rsidR="00CD17DF">
          <w:rPr>
            <w:webHidden/>
          </w:rPr>
          <w:tab/>
        </w:r>
        <w:r w:rsidR="00CD17DF">
          <w:rPr>
            <w:webHidden/>
          </w:rPr>
          <w:fldChar w:fldCharType="begin"/>
        </w:r>
        <w:r w:rsidR="00CD17DF">
          <w:rPr>
            <w:webHidden/>
          </w:rPr>
          <w:instrText xml:space="preserve"> PAGEREF _Toc190934878 \h </w:instrText>
        </w:r>
        <w:r w:rsidR="00CD17DF">
          <w:rPr>
            <w:webHidden/>
          </w:rPr>
        </w:r>
        <w:r w:rsidR="00CD17DF">
          <w:rPr>
            <w:webHidden/>
          </w:rPr>
          <w:fldChar w:fldCharType="separate"/>
        </w:r>
        <w:r w:rsidR="00CD17DF">
          <w:rPr>
            <w:webHidden/>
          </w:rPr>
          <w:t>i</w:t>
        </w:r>
        <w:r w:rsidR="00CD17DF">
          <w:rPr>
            <w:webHidden/>
          </w:rPr>
          <w:fldChar w:fldCharType="end"/>
        </w:r>
      </w:hyperlink>
    </w:p>
    <w:p w14:paraId="4F14499A" w14:textId="4AA63AFF" w:rsidR="00CD17DF" w:rsidRDefault="00F1599D">
      <w:pPr>
        <w:pStyle w:val="TOC2"/>
        <w:rPr>
          <w:rFonts w:asciiTheme="minorHAnsi" w:eastAsiaTheme="minorEastAsia" w:hAnsiTheme="minorHAnsi" w:cstheme="minorBidi"/>
          <w:noProof/>
          <w:kern w:val="2"/>
          <w:sz w:val="24"/>
          <w:szCs w:val="24"/>
          <w:lang w:eastAsia="en-AU"/>
          <w14:ligatures w14:val="standardContextual"/>
        </w:rPr>
      </w:pPr>
      <w:hyperlink w:anchor="_Toc190934879" w:history="1">
        <w:r w:rsidR="00CD17DF" w:rsidRPr="008E70E0">
          <w:rPr>
            <w:rStyle w:val="Hyperlink"/>
            <w:rFonts w:ascii="Calibri" w:hAnsi="Calibri" w:cs="Calibri"/>
            <w:noProof/>
          </w:rPr>
          <w:t>Overview</w:t>
        </w:r>
        <w:r w:rsidR="00CD17DF">
          <w:rPr>
            <w:noProof/>
            <w:webHidden/>
          </w:rPr>
          <w:tab/>
        </w:r>
        <w:r w:rsidR="00CD17DF">
          <w:rPr>
            <w:noProof/>
            <w:webHidden/>
          </w:rPr>
          <w:fldChar w:fldCharType="begin"/>
        </w:r>
        <w:r w:rsidR="00CD17DF">
          <w:rPr>
            <w:noProof/>
            <w:webHidden/>
          </w:rPr>
          <w:instrText xml:space="preserve"> PAGEREF _Toc190934879 \h </w:instrText>
        </w:r>
        <w:r w:rsidR="00CD17DF">
          <w:rPr>
            <w:noProof/>
            <w:webHidden/>
          </w:rPr>
        </w:r>
        <w:r w:rsidR="00CD17DF">
          <w:rPr>
            <w:noProof/>
            <w:webHidden/>
          </w:rPr>
          <w:fldChar w:fldCharType="separate"/>
        </w:r>
        <w:r w:rsidR="00CD17DF">
          <w:rPr>
            <w:noProof/>
            <w:webHidden/>
          </w:rPr>
          <w:t>i</w:t>
        </w:r>
        <w:r w:rsidR="00CD17DF">
          <w:rPr>
            <w:noProof/>
            <w:webHidden/>
          </w:rPr>
          <w:fldChar w:fldCharType="end"/>
        </w:r>
      </w:hyperlink>
    </w:p>
    <w:p w14:paraId="585877BA" w14:textId="66F79019" w:rsidR="00CD17DF" w:rsidRDefault="00F1599D">
      <w:pPr>
        <w:pStyle w:val="TOC2"/>
        <w:rPr>
          <w:rFonts w:asciiTheme="minorHAnsi" w:eastAsiaTheme="minorEastAsia" w:hAnsiTheme="minorHAnsi" w:cstheme="minorBidi"/>
          <w:noProof/>
          <w:kern w:val="2"/>
          <w:sz w:val="24"/>
          <w:szCs w:val="24"/>
          <w:lang w:eastAsia="en-AU"/>
          <w14:ligatures w14:val="standardContextual"/>
        </w:rPr>
      </w:pPr>
      <w:hyperlink w:anchor="_Toc190934880" w:history="1">
        <w:r w:rsidR="00CD17DF" w:rsidRPr="008E70E0">
          <w:rPr>
            <w:rStyle w:val="Hyperlink"/>
            <w:rFonts w:ascii="Calibri" w:hAnsi="Calibri" w:cs="Calibri"/>
            <w:noProof/>
          </w:rPr>
          <w:t>Purpose</w:t>
        </w:r>
        <w:r w:rsidR="00CD17DF">
          <w:rPr>
            <w:noProof/>
            <w:webHidden/>
          </w:rPr>
          <w:tab/>
        </w:r>
        <w:r w:rsidR="00CD17DF">
          <w:rPr>
            <w:noProof/>
            <w:webHidden/>
          </w:rPr>
          <w:fldChar w:fldCharType="begin"/>
        </w:r>
        <w:r w:rsidR="00CD17DF">
          <w:rPr>
            <w:noProof/>
            <w:webHidden/>
          </w:rPr>
          <w:instrText xml:space="preserve"> PAGEREF _Toc190934880 \h </w:instrText>
        </w:r>
        <w:r w:rsidR="00CD17DF">
          <w:rPr>
            <w:noProof/>
            <w:webHidden/>
          </w:rPr>
        </w:r>
        <w:r w:rsidR="00CD17DF">
          <w:rPr>
            <w:noProof/>
            <w:webHidden/>
          </w:rPr>
          <w:fldChar w:fldCharType="separate"/>
        </w:r>
        <w:r w:rsidR="00CD17DF">
          <w:rPr>
            <w:noProof/>
            <w:webHidden/>
          </w:rPr>
          <w:t>i</w:t>
        </w:r>
        <w:r w:rsidR="00CD17DF">
          <w:rPr>
            <w:noProof/>
            <w:webHidden/>
          </w:rPr>
          <w:fldChar w:fldCharType="end"/>
        </w:r>
      </w:hyperlink>
    </w:p>
    <w:p w14:paraId="54F61228" w14:textId="78D9B24F" w:rsidR="00CD17DF" w:rsidRDefault="00F1599D">
      <w:pPr>
        <w:pStyle w:val="TOC2"/>
        <w:rPr>
          <w:rFonts w:asciiTheme="minorHAnsi" w:eastAsiaTheme="minorEastAsia" w:hAnsiTheme="minorHAnsi" w:cstheme="minorBidi"/>
          <w:noProof/>
          <w:kern w:val="2"/>
          <w:sz w:val="24"/>
          <w:szCs w:val="24"/>
          <w:lang w:eastAsia="en-AU"/>
          <w14:ligatures w14:val="standardContextual"/>
        </w:rPr>
      </w:pPr>
      <w:hyperlink w:anchor="_Toc190934881" w:history="1">
        <w:r w:rsidR="00CD17DF" w:rsidRPr="008E70E0">
          <w:rPr>
            <w:rStyle w:val="Hyperlink"/>
            <w:rFonts w:ascii="Calibri" w:hAnsi="Calibri" w:cs="Calibri"/>
            <w:noProof/>
          </w:rPr>
          <w:t>Approach</w:t>
        </w:r>
        <w:r w:rsidR="00CD17DF">
          <w:rPr>
            <w:noProof/>
            <w:webHidden/>
          </w:rPr>
          <w:tab/>
        </w:r>
        <w:r w:rsidR="00CD17DF">
          <w:rPr>
            <w:noProof/>
            <w:webHidden/>
          </w:rPr>
          <w:fldChar w:fldCharType="begin"/>
        </w:r>
        <w:r w:rsidR="00CD17DF">
          <w:rPr>
            <w:noProof/>
            <w:webHidden/>
          </w:rPr>
          <w:instrText xml:space="preserve"> PAGEREF _Toc190934881 \h </w:instrText>
        </w:r>
        <w:r w:rsidR="00CD17DF">
          <w:rPr>
            <w:noProof/>
            <w:webHidden/>
          </w:rPr>
        </w:r>
        <w:r w:rsidR="00CD17DF">
          <w:rPr>
            <w:noProof/>
            <w:webHidden/>
          </w:rPr>
          <w:fldChar w:fldCharType="separate"/>
        </w:r>
        <w:r w:rsidR="00CD17DF">
          <w:rPr>
            <w:noProof/>
            <w:webHidden/>
          </w:rPr>
          <w:t>i</w:t>
        </w:r>
        <w:r w:rsidR="00CD17DF">
          <w:rPr>
            <w:noProof/>
            <w:webHidden/>
          </w:rPr>
          <w:fldChar w:fldCharType="end"/>
        </w:r>
      </w:hyperlink>
    </w:p>
    <w:p w14:paraId="7F235E78" w14:textId="26F60C8D" w:rsidR="00CD17DF" w:rsidRDefault="00F1599D">
      <w:pPr>
        <w:pStyle w:val="TOC2"/>
        <w:rPr>
          <w:rFonts w:asciiTheme="minorHAnsi" w:eastAsiaTheme="minorEastAsia" w:hAnsiTheme="minorHAnsi" w:cstheme="minorBidi"/>
          <w:noProof/>
          <w:kern w:val="2"/>
          <w:sz w:val="24"/>
          <w:szCs w:val="24"/>
          <w:lang w:eastAsia="en-AU"/>
          <w14:ligatures w14:val="standardContextual"/>
        </w:rPr>
      </w:pPr>
      <w:hyperlink w:anchor="_Toc190934882" w:history="1">
        <w:r w:rsidR="00CD17DF" w:rsidRPr="008E70E0">
          <w:rPr>
            <w:rStyle w:val="Hyperlink"/>
            <w:rFonts w:ascii="Calibri" w:hAnsi="Calibri" w:cs="Calibri"/>
            <w:noProof/>
          </w:rPr>
          <w:t>Findings</w:t>
        </w:r>
        <w:r w:rsidR="00CD17DF">
          <w:rPr>
            <w:noProof/>
            <w:webHidden/>
          </w:rPr>
          <w:tab/>
        </w:r>
        <w:r w:rsidR="00CD17DF">
          <w:rPr>
            <w:noProof/>
            <w:webHidden/>
          </w:rPr>
          <w:fldChar w:fldCharType="begin"/>
        </w:r>
        <w:r w:rsidR="00CD17DF">
          <w:rPr>
            <w:noProof/>
            <w:webHidden/>
          </w:rPr>
          <w:instrText xml:space="preserve"> PAGEREF _Toc190934882 \h </w:instrText>
        </w:r>
        <w:r w:rsidR="00CD17DF">
          <w:rPr>
            <w:noProof/>
            <w:webHidden/>
          </w:rPr>
        </w:r>
        <w:r w:rsidR="00CD17DF">
          <w:rPr>
            <w:noProof/>
            <w:webHidden/>
          </w:rPr>
          <w:fldChar w:fldCharType="separate"/>
        </w:r>
        <w:r w:rsidR="00CD17DF">
          <w:rPr>
            <w:noProof/>
            <w:webHidden/>
          </w:rPr>
          <w:t>2</w:t>
        </w:r>
        <w:r w:rsidR="00CD17DF">
          <w:rPr>
            <w:noProof/>
            <w:webHidden/>
          </w:rPr>
          <w:fldChar w:fldCharType="end"/>
        </w:r>
      </w:hyperlink>
    </w:p>
    <w:p w14:paraId="0AEC2EE9" w14:textId="5C880097" w:rsidR="00CD17DF" w:rsidRDefault="00F1599D">
      <w:pPr>
        <w:pStyle w:val="TOC2"/>
        <w:rPr>
          <w:rFonts w:asciiTheme="minorHAnsi" w:eastAsiaTheme="minorEastAsia" w:hAnsiTheme="minorHAnsi" w:cstheme="minorBidi"/>
          <w:noProof/>
          <w:kern w:val="2"/>
          <w:sz w:val="24"/>
          <w:szCs w:val="24"/>
          <w:lang w:eastAsia="en-AU"/>
          <w14:ligatures w14:val="standardContextual"/>
        </w:rPr>
      </w:pPr>
      <w:hyperlink w:anchor="_Toc190934883" w:history="1">
        <w:r w:rsidR="00CD17DF" w:rsidRPr="008E70E0">
          <w:rPr>
            <w:rStyle w:val="Hyperlink"/>
            <w:rFonts w:ascii="Calibri" w:hAnsi="Calibri" w:cs="Calibri"/>
            <w:noProof/>
          </w:rPr>
          <w:t>Conclusion</w:t>
        </w:r>
        <w:r w:rsidR="00CD17DF">
          <w:rPr>
            <w:noProof/>
            <w:webHidden/>
          </w:rPr>
          <w:tab/>
        </w:r>
        <w:r w:rsidR="00CD17DF">
          <w:rPr>
            <w:noProof/>
            <w:webHidden/>
          </w:rPr>
          <w:fldChar w:fldCharType="begin"/>
        </w:r>
        <w:r w:rsidR="00CD17DF">
          <w:rPr>
            <w:noProof/>
            <w:webHidden/>
          </w:rPr>
          <w:instrText xml:space="preserve"> PAGEREF _Toc190934883 \h </w:instrText>
        </w:r>
        <w:r w:rsidR="00CD17DF">
          <w:rPr>
            <w:noProof/>
            <w:webHidden/>
          </w:rPr>
        </w:r>
        <w:r w:rsidR="00CD17DF">
          <w:rPr>
            <w:noProof/>
            <w:webHidden/>
          </w:rPr>
          <w:fldChar w:fldCharType="separate"/>
        </w:r>
        <w:r w:rsidR="00CD17DF">
          <w:rPr>
            <w:noProof/>
            <w:webHidden/>
          </w:rPr>
          <w:t>5</w:t>
        </w:r>
        <w:r w:rsidR="00CD17DF">
          <w:rPr>
            <w:noProof/>
            <w:webHidden/>
          </w:rPr>
          <w:fldChar w:fldCharType="end"/>
        </w:r>
      </w:hyperlink>
    </w:p>
    <w:p w14:paraId="21D06A4D" w14:textId="59AA605F" w:rsidR="00CD17DF" w:rsidRDefault="00F1599D">
      <w:pPr>
        <w:pStyle w:val="TOC2"/>
        <w:rPr>
          <w:rFonts w:asciiTheme="minorHAnsi" w:eastAsiaTheme="minorEastAsia" w:hAnsiTheme="minorHAnsi" w:cstheme="minorBidi"/>
          <w:noProof/>
          <w:kern w:val="2"/>
          <w:sz w:val="24"/>
          <w:szCs w:val="24"/>
          <w:lang w:eastAsia="en-AU"/>
          <w14:ligatures w14:val="standardContextual"/>
        </w:rPr>
      </w:pPr>
      <w:hyperlink w:anchor="_Toc190934884" w:history="1">
        <w:r w:rsidR="00CD17DF" w:rsidRPr="008E70E0">
          <w:rPr>
            <w:rStyle w:val="Hyperlink"/>
            <w:rFonts w:ascii="Calibri" w:hAnsi="Calibri" w:cs="Calibri"/>
            <w:noProof/>
          </w:rPr>
          <w:t>Recommendations</w:t>
        </w:r>
        <w:r w:rsidR="00CD17DF">
          <w:rPr>
            <w:noProof/>
            <w:webHidden/>
          </w:rPr>
          <w:tab/>
        </w:r>
        <w:r w:rsidR="00CD17DF">
          <w:rPr>
            <w:noProof/>
            <w:webHidden/>
          </w:rPr>
          <w:fldChar w:fldCharType="begin"/>
        </w:r>
        <w:r w:rsidR="00CD17DF">
          <w:rPr>
            <w:noProof/>
            <w:webHidden/>
          </w:rPr>
          <w:instrText xml:space="preserve"> PAGEREF _Toc190934884 \h </w:instrText>
        </w:r>
        <w:r w:rsidR="00CD17DF">
          <w:rPr>
            <w:noProof/>
            <w:webHidden/>
          </w:rPr>
        </w:r>
        <w:r w:rsidR="00CD17DF">
          <w:rPr>
            <w:noProof/>
            <w:webHidden/>
          </w:rPr>
          <w:fldChar w:fldCharType="separate"/>
        </w:r>
        <w:r w:rsidR="00CD17DF">
          <w:rPr>
            <w:noProof/>
            <w:webHidden/>
          </w:rPr>
          <w:t>6</w:t>
        </w:r>
        <w:r w:rsidR="00CD17DF">
          <w:rPr>
            <w:noProof/>
            <w:webHidden/>
          </w:rPr>
          <w:fldChar w:fldCharType="end"/>
        </w:r>
      </w:hyperlink>
    </w:p>
    <w:p w14:paraId="538AD4A7" w14:textId="6648E951" w:rsidR="00CD17DF" w:rsidRDefault="00F1599D">
      <w:pPr>
        <w:pStyle w:val="TOC1"/>
        <w:tabs>
          <w:tab w:val="left" w:pos="480"/>
        </w:tabs>
        <w:rPr>
          <w:rFonts w:asciiTheme="minorHAnsi" w:eastAsiaTheme="minorEastAsia" w:hAnsiTheme="minorHAnsi" w:cstheme="minorBidi"/>
          <w:b w:val="0"/>
          <w:bCs w:val="0"/>
          <w:kern w:val="2"/>
          <w:sz w:val="24"/>
          <w:szCs w:val="24"/>
          <w:lang w:eastAsia="en-AU"/>
          <w14:ligatures w14:val="standardContextual"/>
        </w:rPr>
      </w:pPr>
      <w:hyperlink w:anchor="_Toc190934885" w:history="1">
        <w:r w:rsidR="00CD17DF" w:rsidRPr="008E70E0">
          <w:rPr>
            <w:rStyle w:val="Hyperlink"/>
            <w:rFonts w:ascii="Calibri" w:hAnsi="Calibri" w:cs="Calibri"/>
            <w:lang w:val="en-GB"/>
          </w:rPr>
          <w:t>1.</w:t>
        </w:r>
        <w:r w:rsidR="00CD17DF">
          <w:rPr>
            <w:rFonts w:asciiTheme="minorHAnsi" w:eastAsiaTheme="minorEastAsia" w:hAnsiTheme="minorHAnsi" w:cstheme="minorBidi"/>
            <w:b w:val="0"/>
            <w:bCs w:val="0"/>
            <w:kern w:val="2"/>
            <w:sz w:val="24"/>
            <w:szCs w:val="24"/>
            <w:lang w:eastAsia="en-AU"/>
            <w14:ligatures w14:val="standardContextual"/>
          </w:rPr>
          <w:tab/>
        </w:r>
        <w:r w:rsidR="00CD17DF" w:rsidRPr="008E70E0">
          <w:rPr>
            <w:rStyle w:val="Hyperlink"/>
            <w:rFonts w:ascii="Calibri" w:hAnsi="Calibri" w:cs="Calibri"/>
            <w:lang w:val="en-GB"/>
          </w:rPr>
          <w:t>INTRODUCTION</w:t>
        </w:r>
        <w:r w:rsidR="00CD17DF">
          <w:rPr>
            <w:webHidden/>
          </w:rPr>
          <w:tab/>
        </w:r>
        <w:r w:rsidR="00CD17DF">
          <w:rPr>
            <w:webHidden/>
          </w:rPr>
          <w:fldChar w:fldCharType="begin"/>
        </w:r>
        <w:r w:rsidR="00CD17DF">
          <w:rPr>
            <w:webHidden/>
          </w:rPr>
          <w:instrText xml:space="preserve"> PAGEREF _Toc190934885 \h </w:instrText>
        </w:r>
        <w:r w:rsidR="00CD17DF">
          <w:rPr>
            <w:webHidden/>
          </w:rPr>
        </w:r>
        <w:r w:rsidR="00CD17DF">
          <w:rPr>
            <w:webHidden/>
          </w:rPr>
          <w:fldChar w:fldCharType="separate"/>
        </w:r>
        <w:r w:rsidR="00CD17DF">
          <w:rPr>
            <w:webHidden/>
          </w:rPr>
          <w:t>7</w:t>
        </w:r>
        <w:r w:rsidR="00CD17DF">
          <w:rPr>
            <w:webHidden/>
          </w:rPr>
          <w:fldChar w:fldCharType="end"/>
        </w:r>
      </w:hyperlink>
    </w:p>
    <w:p w14:paraId="100CEBDA" w14:textId="7E5DA702" w:rsidR="00CD17DF" w:rsidRDefault="00F1599D">
      <w:pPr>
        <w:pStyle w:val="TOC2"/>
        <w:rPr>
          <w:rFonts w:asciiTheme="minorHAnsi" w:eastAsiaTheme="minorEastAsia" w:hAnsiTheme="minorHAnsi" w:cstheme="minorBidi"/>
          <w:noProof/>
          <w:kern w:val="2"/>
          <w:sz w:val="24"/>
          <w:szCs w:val="24"/>
          <w:lang w:eastAsia="en-AU"/>
          <w14:ligatures w14:val="standardContextual"/>
        </w:rPr>
      </w:pPr>
      <w:hyperlink w:anchor="_Toc190934886" w:history="1">
        <w:r w:rsidR="00CD17DF" w:rsidRPr="008E70E0">
          <w:rPr>
            <w:rStyle w:val="Hyperlink"/>
            <w:rFonts w:ascii="Calibri" w:hAnsi="Calibri" w:cs="Calibri"/>
            <w:noProof/>
          </w:rPr>
          <w:t>1.1.</w:t>
        </w:r>
        <w:r w:rsidR="00CD17DF">
          <w:rPr>
            <w:rFonts w:asciiTheme="minorHAnsi" w:eastAsiaTheme="minorEastAsia" w:hAnsiTheme="minorHAnsi" w:cstheme="minorBidi"/>
            <w:noProof/>
            <w:kern w:val="2"/>
            <w:sz w:val="24"/>
            <w:szCs w:val="24"/>
            <w:lang w:eastAsia="en-AU"/>
            <w14:ligatures w14:val="standardContextual"/>
          </w:rPr>
          <w:tab/>
        </w:r>
        <w:r w:rsidR="00CD17DF" w:rsidRPr="008E70E0">
          <w:rPr>
            <w:rStyle w:val="Hyperlink"/>
            <w:rFonts w:ascii="Calibri" w:hAnsi="Calibri" w:cs="Calibri"/>
            <w:noProof/>
          </w:rPr>
          <w:t>Background</w:t>
        </w:r>
        <w:r w:rsidR="00CD17DF">
          <w:rPr>
            <w:noProof/>
            <w:webHidden/>
          </w:rPr>
          <w:tab/>
        </w:r>
        <w:r w:rsidR="00CD17DF">
          <w:rPr>
            <w:noProof/>
            <w:webHidden/>
          </w:rPr>
          <w:fldChar w:fldCharType="begin"/>
        </w:r>
        <w:r w:rsidR="00CD17DF">
          <w:rPr>
            <w:noProof/>
            <w:webHidden/>
          </w:rPr>
          <w:instrText xml:space="preserve"> PAGEREF _Toc190934886 \h </w:instrText>
        </w:r>
        <w:r w:rsidR="00CD17DF">
          <w:rPr>
            <w:noProof/>
            <w:webHidden/>
          </w:rPr>
        </w:r>
        <w:r w:rsidR="00CD17DF">
          <w:rPr>
            <w:noProof/>
            <w:webHidden/>
          </w:rPr>
          <w:fldChar w:fldCharType="separate"/>
        </w:r>
        <w:r w:rsidR="00CD17DF">
          <w:rPr>
            <w:noProof/>
            <w:webHidden/>
          </w:rPr>
          <w:t>7</w:t>
        </w:r>
        <w:r w:rsidR="00CD17DF">
          <w:rPr>
            <w:noProof/>
            <w:webHidden/>
          </w:rPr>
          <w:fldChar w:fldCharType="end"/>
        </w:r>
      </w:hyperlink>
    </w:p>
    <w:p w14:paraId="5AC0D439" w14:textId="048DD13F" w:rsidR="00CD17DF" w:rsidRDefault="00F1599D">
      <w:pPr>
        <w:pStyle w:val="TOC2"/>
        <w:rPr>
          <w:rFonts w:asciiTheme="minorHAnsi" w:eastAsiaTheme="minorEastAsia" w:hAnsiTheme="minorHAnsi" w:cstheme="minorBidi"/>
          <w:noProof/>
          <w:kern w:val="2"/>
          <w:sz w:val="24"/>
          <w:szCs w:val="24"/>
          <w:lang w:eastAsia="en-AU"/>
          <w14:ligatures w14:val="standardContextual"/>
        </w:rPr>
      </w:pPr>
      <w:hyperlink w:anchor="_Toc190934887" w:history="1">
        <w:r w:rsidR="00CD17DF" w:rsidRPr="008E70E0">
          <w:rPr>
            <w:rStyle w:val="Hyperlink"/>
            <w:rFonts w:ascii="Calibri" w:hAnsi="Calibri" w:cs="Calibri"/>
            <w:noProof/>
          </w:rPr>
          <w:t>1.2.</w:t>
        </w:r>
        <w:r w:rsidR="00CD17DF">
          <w:rPr>
            <w:rFonts w:asciiTheme="minorHAnsi" w:eastAsiaTheme="minorEastAsia" w:hAnsiTheme="minorHAnsi" w:cstheme="minorBidi"/>
            <w:noProof/>
            <w:kern w:val="2"/>
            <w:sz w:val="24"/>
            <w:szCs w:val="24"/>
            <w:lang w:eastAsia="en-AU"/>
            <w14:ligatures w14:val="standardContextual"/>
          </w:rPr>
          <w:tab/>
        </w:r>
        <w:r w:rsidR="00CD17DF" w:rsidRPr="008E70E0">
          <w:rPr>
            <w:rStyle w:val="Hyperlink"/>
            <w:rFonts w:ascii="Calibri" w:hAnsi="Calibri" w:cs="Calibri"/>
            <w:noProof/>
          </w:rPr>
          <w:t>Purpose and Scope</w:t>
        </w:r>
        <w:r w:rsidR="00CD17DF">
          <w:rPr>
            <w:noProof/>
            <w:webHidden/>
          </w:rPr>
          <w:tab/>
        </w:r>
        <w:r w:rsidR="00CD17DF">
          <w:rPr>
            <w:noProof/>
            <w:webHidden/>
          </w:rPr>
          <w:fldChar w:fldCharType="begin"/>
        </w:r>
        <w:r w:rsidR="00CD17DF">
          <w:rPr>
            <w:noProof/>
            <w:webHidden/>
          </w:rPr>
          <w:instrText xml:space="preserve"> PAGEREF _Toc190934887 \h </w:instrText>
        </w:r>
        <w:r w:rsidR="00CD17DF">
          <w:rPr>
            <w:noProof/>
            <w:webHidden/>
          </w:rPr>
        </w:r>
        <w:r w:rsidR="00CD17DF">
          <w:rPr>
            <w:noProof/>
            <w:webHidden/>
          </w:rPr>
          <w:fldChar w:fldCharType="separate"/>
        </w:r>
        <w:r w:rsidR="00CD17DF">
          <w:rPr>
            <w:noProof/>
            <w:webHidden/>
          </w:rPr>
          <w:t>8</w:t>
        </w:r>
        <w:r w:rsidR="00CD17DF">
          <w:rPr>
            <w:noProof/>
            <w:webHidden/>
          </w:rPr>
          <w:fldChar w:fldCharType="end"/>
        </w:r>
      </w:hyperlink>
    </w:p>
    <w:p w14:paraId="329A7A3B" w14:textId="06F049FC" w:rsidR="00CD17DF" w:rsidRDefault="00F1599D">
      <w:pPr>
        <w:pStyle w:val="TOC2"/>
        <w:rPr>
          <w:rFonts w:asciiTheme="minorHAnsi" w:eastAsiaTheme="minorEastAsia" w:hAnsiTheme="minorHAnsi" w:cstheme="minorBidi"/>
          <w:noProof/>
          <w:kern w:val="2"/>
          <w:sz w:val="24"/>
          <w:szCs w:val="24"/>
          <w:lang w:eastAsia="en-AU"/>
          <w14:ligatures w14:val="standardContextual"/>
        </w:rPr>
      </w:pPr>
      <w:hyperlink w:anchor="_Toc190934888" w:history="1">
        <w:r w:rsidR="00CD17DF" w:rsidRPr="008E70E0">
          <w:rPr>
            <w:rStyle w:val="Hyperlink"/>
            <w:rFonts w:ascii="Calibri" w:hAnsi="Calibri" w:cs="Calibri"/>
            <w:noProof/>
          </w:rPr>
          <w:t>1.3.</w:t>
        </w:r>
        <w:r w:rsidR="00CD17DF">
          <w:rPr>
            <w:rFonts w:asciiTheme="minorHAnsi" w:eastAsiaTheme="minorEastAsia" w:hAnsiTheme="minorHAnsi" w:cstheme="minorBidi"/>
            <w:noProof/>
            <w:kern w:val="2"/>
            <w:sz w:val="24"/>
            <w:szCs w:val="24"/>
            <w:lang w:eastAsia="en-AU"/>
            <w14:ligatures w14:val="standardContextual"/>
          </w:rPr>
          <w:tab/>
        </w:r>
        <w:r w:rsidR="00CD17DF" w:rsidRPr="008E70E0">
          <w:rPr>
            <w:rStyle w:val="Hyperlink"/>
            <w:rFonts w:ascii="Calibri" w:hAnsi="Calibri" w:cs="Calibri"/>
            <w:noProof/>
          </w:rPr>
          <w:t>Methodology</w:t>
        </w:r>
        <w:r w:rsidR="00CD17DF">
          <w:rPr>
            <w:noProof/>
            <w:webHidden/>
          </w:rPr>
          <w:tab/>
        </w:r>
        <w:r w:rsidR="00CD17DF">
          <w:rPr>
            <w:noProof/>
            <w:webHidden/>
          </w:rPr>
          <w:fldChar w:fldCharType="begin"/>
        </w:r>
        <w:r w:rsidR="00CD17DF">
          <w:rPr>
            <w:noProof/>
            <w:webHidden/>
          </w:rPr>
          <w:instrText xml:space="preserve"> PAGEREF _Toc190934888 \h </w:instrText>
        </w:r>
        <w:r w:rsidR="00CD17DF">
          <w:rPr>
            <w:noProof/>
            <w:webHidden/>
          </w:rPr>
        </w:r>
        <w:r w:rsidR="00CD17DF">
          <w:rPr>
            <w:noProof/>
            <w:webHidden/>
          </w:rPr>
          <w:fldChar w:fldCharType="separate"/>
        </w:r>
        <w:r w:rsidR="00CD17DF">
          <w:rPr>
            <w:noProof/>
            <w:webHidden/>
          </w:rPr>
          <w:t>9</w:t>
        </w:r>
        <w:r w:rsidR="00CD17DF">
          <w:rPr>
            <w:noProof/>
            <w:webHidden/>
          </w:rPr>
          <w:fldChar w:fldCharType="end"/>
        </w:r>
      </w:hyperlink>
    </w:p>
    <w:p w14:paraId="6B4FF602" w14:textId="1604F2E5" w:rsidR="00CD17DF" w:rsidRDefault="00F1599D">
      <w:pPr>
        <w:pStyle w:val="TOC2"/>
        <w:rPr>
          <w:rFonts w:asciiTheme="minorHAnsi" w:eastAsiaTheme="minorEastAsia" w:hAnsiTheme="minorHAnsi" w:cstheme="minorBidi"/>
          <w:noProof/>
          <w:kern w:val="2"/>
          <w:sz w:val="24"/>
          <w:szCs w:val="24"/>
          <w:lang w:eastAsia="en-AU"/>
          <w14:ligatures w14:val="standardContextual"/>
        </w:rPr>
      </w:pPr>
      <w:hyperlink w:anchor="_Toc190934889" w:history="1">
        <w:r w:rsidR="00CD17DF" w:rsidRPr="008E70E0">
          <w:rPr>
            <w:rStyle w:val="Hyperlink"/>
            <w:rFonts w:ascii="Calibri" w:hAnsi="Calibri" w:cs="Calibri"/>
            <w:noProof/>
          </w:rPr>
          <w:t>1.4.</w:t>
        </w:r>
        <w:r w:rsidR="00CD17DF">
          <w:rPr>
            <w:rFonts w:asciiTheme="minorHAnsi" w:eastAsiaTheme="minorEastAsia" w:hAnsiTheme="minorHAnsi" w:cstheme="minorBidi"/>
            <w:noProof/>
            <w:kern w:val="2"/>
            <w:sz w:val="24"/>
            <w:szCs w:val="24"/>
            <w:lang w:eastAsia="en-AU"/>
            <w14:ligatures w14:val="standardContextual"/>
          </w:rPr>
          <w:tab/>
        </w:r>
        <w:r w:rsidR="00CD17DF" w:rsidRPr="008E70E0">
          <w:rPr>
            <w:rStyle w:val="Hyperlink"/>
            <w:rFonts w:ascii="Calibri" w:hAnsi="Calibri" w:cs="Calibri"/>
            <w:noProof/>
          </w:rPr>
          <w:t>Limitations</w:t>
        </w:r>
        <w:r w:rsidR="00CD17DF">
          <w:rPr>
            <w:noProof/>
            <w:webHidden/>
          </w:rPr>
          <w:tab/>
        </w:r>
        <w:r w:rsidR="00CD17DF">
          <w:rPr>
            <w:noProof/>
            <w:webHidden/>
          </w:rPr>
          <w:fldChar w:fldCharType="begin"/>
        </w:r>
        <w:r w:rsidR="00CD17DF">
          <w:rPr>
            <w:noProof/>
            <w:webHidden/>
          </w:rPr>
          <w:instrText xml:space="preserve"> PAGEREF _Toc190934889 \h </w:instrText>
        </w:r>
        <w:r w:rsidR="00CD17DF">
          <w:rPr>
            <w:noProof/>
            <w:webHidden/>
          </w:rPr>
        </w:r>
        <w:r w:rsidR="00CD17DF">
          <w:rPr>
            <w:noProof/>
            <w:webHidden/>
          </w:rPr>
          <w:fldChar w:fldCharType="separate"/>
        </w:r>
        <w:r w:rsidR="00CD17DF">
          <w:rPr>
            <w:noProof/>
            <w:webHidden/>
          </w:rPr>
          <w:t>9</w:t>
        </w:r>
        <w:r w:rsidR="00CD17DF">
          <w:rPr>
            <w:noProof/>
            <w:webHidden/>
          </w:rPr>
          <w:fldChar w:fldCharType="end"/>
        </w:r>
      </w:hyperlink>
    </w:p>
    <w:p w14:paraId="759D9CFD" w14:textId="446B17A8" w:rsidR="00CD17DF" w:rsidRDefault="00F1599D">
      <w:pPr>
        <w:pStyle w:val="TOC1"/>
        <w:tabs>
          <w:tab w:val="left" w:pos="480"/>
        </w:tabs>
        <w:rPr>
          <w:rFonts w:asciiTheme="minorHAnsi" w:eastAsiaTheme="minorEastAsia" w:hAnsiTheme="minorHAnsi" w:cstheme="minorBidi"/>
          <w:b w:val="0"/>
          <w:bCs w:val="0"/>
          <w:kern w:val="2"/>
          <w:sz w:val="24"/>
          <w:szCs w:val="24"/>
          <w:lang w:eastAsia="en-AU"/>
          <w14:ligatures w14:val="standardContextual"/>
        </w:rPr>
      </w:pPr>
      <w:hyperlink w:anchor="_Toc190934890" w:history="1">
        <w:r w:rsidR="00CD17DF" w:rsidRPr="008E70E0">
          <w:rPr>
            <w:rStyle w:val="Hyperlink"/>
            <w:rFonts w:ascii="Calibri" w:hAnsi="Calibri" w:cs="Calibri"/>
            <w:lang w:val="en-GB"/>
          </w:rPr>
          <w:t>2.</w:t>
        </w:r>
        <w:r w:rsidR="00CD17DF">
          <w:rPr>
            <w:rFonts w:asciiTheme="minorHAnsi" w:eastAsiaTheme="minorEastAsia" w:hAnsiTheme="minorHAnsi" w:cstheme="minorBidi"/>
            <w:b w:val="0"/>
            <w:bCs w:val="0"/>
            <w:kern w:val="2"/>
            <w:sz w:val="24"/>
            <w:szCs w:val="24"/>
            <w:lang w:eastAsia="en-AU"/>
            <w14:ligatures w14:val="standardContextual"/>
          </w:rPr>
          <w:tab/>
        </w:r>
        <w:r w:rsidR="00CD17DF" w:rsidRPr="008E70E0">
          <w:rPr>
            <w:rStyle w:val="Hyperlink"/>
            <w:rFonts w:ascii="Calibri" w:hAnsi="Calibri" w:cs="Calibri"/>
            <w:lang w:val="en-GB"/>
          </w:rPr>
          <w:t>FINDINGS</w:t>
        </w:r>
        <w:r w:rsidR="00CD17DF">
          <w:rPr>
            <w:webHidden/>
          </w:rPr>
          <w:tab/>
        </w:r>
        <w:r w:rsidR="00CD17DF">
          <w:rPr>
            <w:webHidden/>
          </w:rPr>
          <w:fldChar w:fldCharType="begin"/>
        </w:r>
        <w:r w:rsidR="00CD17DF">
          <w:rPr>
            <w:webHidden/>
          </w:rPr>
          <w:instrText xml:space="preserve"> PAGEREF _Toc190934890 \h </w:instrText>
        </w:r>
        <w:r w:rsidR="00CD17DF">
          <w:rPr>
            <w:webHidden/>
          </w:rPr>
        </w:r>
        <w:r w:rsidR="00CD17DF">
          <w:rPr>
            <w:webHidden/>
          </w:rPr>
          <w:fldChar w:fldCharType="separate"/>
        </w:r>
        <w:r w:rsidR="00CD17DF">
          <w:rPr>
            <w:webHidden/>
          </w:rPr>
          <w:t>9</w:t>
        </w:r>
        <w:r w:rsidR="00CD17DF">
          <w:rPr>
            <w:webHidden/>
          </w:rPr>
          <w:fldChar w:fldCharType="end"/>
        </w:r>
      </w:hyperlink>
    </w:p>
    <w:p w14:paraId="3A9C9643" w14:textId="33B57C49" w:rsidR="00CD17DF" w:rsidRDefault="00F1599D">
      <w:pPr>
        <w:pStyle w:val="TOC2"/>
        <w:rPr>
          <w:rFonts w:asciiTheme="minorHAnsi" w:eastAsiaTheme="minorEastAsia" w:hAnsiTheme="minorHAnsi" w:cstheme="minorBidi"/>
          <w:noProof/>
          <w:kern w:val="2"/>
          <w:sz w:val="24"/>
          <w:szCs w:val="24"/>
          <w:lang w:eastAsia="en-AU"/>
          <w14:ligatures w14:val="standardContextual"/>
        </w:rPr>
      </w:pPr>
      <w:hyperlink w:anchor="_Toc190934891" w:history="1">
        <w:r w:rsidR="00CD17DF" w:rsidRPr="008E70E0">
          <w:rPr>
            <w:rStyle w:val="Hyperlink"/>
            <w:rFonts w:ascii="Calibri" w:hAnsi="Calibri" w:cs="Calibri"/>
            <w:noProof/>
          </w:rPr>
          <w:t>2.1.</w:t>
        </w:r>
        <w:r w:rsidR="00CD17DF">
          <w:rPr>
            <w:rFonts w:asciiTheme="minorHAnsi" w:eastAsiaTheme="minorEastAsia" w:hAnsiTheme="minorHAnsi" w:cstheme="minorBidi"/>
            <w:noProof/>
            <w:kern w:val="2"/>
            <w:sz w:val="24"/>
            <w:szCs w:val="24"/>
            <w:lang w:eastAsia="en-AU"/>
            <w14:ligatures w14:val="standardContextual"/>
          </w:rPr>
          <w:tab/>
        </w:r>
        <w:r w:rsidR="00CD17DF" w:rsidRPr="008E70E0">
          <w:rPr>
            <w:rStyle w:val="Hyperlink"/>
            <w:rFonts w:ascii="Calibri" w:hAnsi="Calibri" w:cs="Calibri"/>
            <w:noProof/>
          </w:rPr>
          <w:t>Effectiveness</w:t>
        </w:r>
        <w:r w:rsidR="00CD17DF">
          <w:rPr>
            <w:noProof/>
            <w:webHidden/>
          </w:rPr>
          <w:tab/>
        </w:r>
        <w:r w:rsidR="00CD17DF">
          <w:rPr>
            <w:noProof/>
            <w:webHidden/>
          </w:rPr>
          <w:fldChar w:fldCharType="begin"/>
        </w:r>
        <w:r w:rsidR="00CD17DF">
          <w:rPr>
            <w:noProof/>
            <w:webHidden/>
          </w:rPr>
          <w:instrText xml:space="preserve"> PAGEREF _Toc190934891 \h </w:instrText>
        </w:r>
        <w:r w:rsidR="00CD17DF">
          <w:rPr>
            <w:noProof/>
            <w:webHidden/>
          </w:rPr>
        </w:r>
        <w:r w:rsidR="00CD17DF">
          <w:rPr>
            <w:noProof/>
            <w:webHidden/>
          </w:rPr>
          <w:fldChar w:fldCharType="separate"/>
        </w:r>
        <w:r w:rsidR="00CD17DF">
          <w:rPr>
            <w:noProof/>
            <w:webHidden/>
          </w:rPr>
          <w:t>9</w:t>
        </w:r>
        <w:r w:rsidR="00CD17DF">
          <w:rPr>
            <w:noProof/>
            <w:webHidden/>
          </w:rPr>
          <w:fldChar w:fldCharType="end"/>
        </w:r>
      </w:hyperlink>
    </w:p>
    <w:p w14:paraId="243D6806" w14:textId="433A5F9D" w:rsidR="00CD17DF" w:rsidRDefault="00F1599D">
      <w:pPr>
        <w:pStyle w:val="TOC2"/>
        <w:rPr>
          <w:rFonts w:asciiTheme="minorHAnsi" w:eastAsiaTheme="minorEastAsia" w:hAnsiTheme="minorHAnsi" w:cstheme="minorBidi"/>
          <w:noProof/>
          <w:kern w:val="2"/>
          <w:sz w:val="24"/>
          <w:szCs w:val="24"/>
          <w:lang w:eastAsia="en-AU"/>
          <w14:ligatures w14:val="standardContextual"/>
        </w:rPr>
      </w:pPr>
      <w:hyperlink w:anchor="_Toc190934892" w:history="1">
        <w:r w:rsidR="00CD17DF" w:rsidRPr="008E70E0">
          <w:rPr>
            <w:rStyle w:val="Hyperlink"/>
            <w:rFonts w:ascii="Calibri" w:hAnsi="Calibri" w:cs="Calibri"/>
            <w:noProof/>
          </w:rPr>
          <w:t>2.2.</w:t>
        </w:r>
        <w:r w:rsidR="00CD17DF">
          <w:rPr>
            <w:rFonts w:asciiTheme="minorHAnsi" w:eastAsiaTheme="minorEastAsia" w:hAnsiTheme="minorHAnsi" w:cstheme="minorBidi"/>
            <w:noProof/>
            <w:kern w:val="2"/>
            <w:sz w:val="24"/>
            <w:szCs w:val="24"/>
            <w:lang w:eastAsia="en-AU"/>
            <w14:ligatures w14:val="standardContextual"/>
          </w:rPr>
          <w:tab/>
        </w:r>
        <w:r w:rsidR="00CD17DF" w:rsidRPr="008E70E0">
          <w:rPr>
            <w:rStyle w:val="Hyperlink"/>
            <w:rFonts w:ascii="Calibri" w:hAnsi="Calibri" w:cs="Calibri"/>
            <w:noProof/>
          </w:rPr>
          <w:t>Efficiency</w:t>
        </w:r>
        <w:r w:rsidR="00CD17DF">
          <w:rPr>
            <w:noProof/>
            <w:webHidden/>
          </w:rPr>
          <w:tab/>
        </w:r>
        <w:r w:rsidR="00CD17DF">
          <w:rPr>
            <w:noProof/>
            <w:webHidden/>
          </w:rPr>
          <w:fldChar w:fldCharType="begin"/>
        </w:r>
        <w:r w:rsidR="00CD17DF">
          <w:rPr>
            <w:noProof/>
            <w:webHidden/>
          </w:rPr>
          <w:instrText xml:space="preserve"> PAGEREF _Toc190934892 \h </w:instrText>
        </w:r>
        <w:r w:rsidR="00CD17DF">
          <w:rPr>
            <w:noProof/>
            <w:webHidden/>
          </w:rPr>
        </w:r>
        <w:r w:rsidR="00CD17DF">
          <w:rPr>
            <w:noProof/>
            <w:webHidden/>
          </w:rPr>
          <w:fldChar w:fldCharType="separate"/>
        </w:r>
        <w:r w:rsidR="00CD17DF">
          <w:rPr>
            <w:noProof/>
            <w:webHidden/>
          </w:rPr>
          <w:t>23</w:t>
        </w:r>
        <w:r w:rsidR="00CD17DF">
          <w:rPr>
            <w:noProof/>
            <w:webHidden/>
          </w:rPr>
          <w:fldChar w:fldCharType="end"/>
        </w:r>
      </w:hyperlink>
    </w:p>
    <w:p w14:paraId="62CC864B" w14:textId="578C0D47" w:rsidR="00CD17DF" w:rsidRDefault="00F1599D">
      <w:pPr>
        <w:pStyle w:val="TOC2"/>
        <w:rPr>
          <w:rFonts w:asciiTheme="minorHAnsi" w:eastAsiaTheme="minorEastAsia" w:hAnsiTheme="minorHAnsi" w:cstheme="minorBidi"/>
          <w:noProof/>
          <w:kern w:val="2"/>
          <w:sz w:val="24"/>
          <w:szCs w:val="24"/>
          <w:lang w:eastAsia="en-AU"/>
          <w14:ligatures w14:val="standardContextual"/>
        </w:rPr>
      </w:pPr>
      <w:hyperlink w:anchor="_Toc190934893" w:history="1">
        <w:r w:rsidR="00CD17DF" w:rsidRPr="008E70E0">
          <w:rPr>
            <w:rStyle w:val="Hyperlink"/>
            <w:rFonts w:ascii="Calibri" w:hAnsi="Calibri" w:cs="Calibri"/>
            <w:noProof/>
          </w:rPr>
          <w:t>2.3.</w:t>
        </w:r>
        <w:r w:rsidR="00CD17DF">
          <w:rPr>
            <w:rFonts w:asciiTheme="minorHAnsi" w:eastAsiaTheme="minorEastAsia" w:hAnsiTheme="minorHAnsi" w:cstheme="minorBidi"/>
            <w:noProof/>
            <w:kern w:val="2"/>
            <w:sz w:val="24"/>
            <w:szCs w:val="24"/>
            <w:lang w:eastAsia="en-AU"/>
            <w14:ligatures w14:val="standardContextual"/>
          </w:rPr>
          <w:tab/>
        </w:r>
        <w:r w:rsidR="00CD17DF" w:rsidRPr="008E70E0">
          <w:rPr>
            <w:rStyle w:val="Hyperlink"/>
            <w:rFonts w:ascii="Calibri" w:hAnsi="Calibri" w:cs="Calibri"/>
            <w:noProof/>
          </w:rPr>
          <w:t>Risks and Safeguards</w:t>
        </w:r>
        <w:r w:rsidR="00CD17DF">
          <w:rPr>
            <w:noProof/>
            <w:webHidden/>
          </w:rPr>
          <w:tab/>
        </w:r>
        <w:r w:rsidR="00CD17DF">
          <w:rPr>
            <w:noProof/>
            <w:webHidden/>
          </w:rPr>
          <w:fldChar w:fldCharType="begin"/>
        </w:r>
        <w:r w:rsidR="00CD17DF">
          <w:rPr>
            <w:noProof/>
            <w:webHidden/>
          </w:rPr>
          <w:instrText xml:space="preserve"> PAGEREF _Toc190934893 \h </w:instrText>
        </w:r>
        <w:r w:rsidR="00CD17DF">
          <w:rPr>
            <w:noProof/>
            <w:webHidden/>
          </w:rPr>
        </w:r>
        <w:r w:rsidR="00CD17DF">
          <w:rPr>
            <w:noProof/>
            <w:webHidden/>
          </w:rPr>
          <w:fldChar w:fldCharType="separate"/>
        </w:r>
        <w:r w:rsidR="00CD17DF">
          <w:rPr>
            <w:noProof/>
            <w:webHidden/>
          </w:rPr>
          <w:t>27</w:t>
        </w:r>
        <w:r w:rsidR="00CD17DF">
          <w:rPr>
            <w:noProof/>
            <w:webHidden/>
          </w:rPr>
          <w:fldChar w:fldCharType="end"/>
        </w:r>
      </w:hyperlink>
    </w:p>
    <w:p w14:paraId="5B48DC76" w14:textId="50B9C2B0" w:rsidR="00CD17DF" w:rsidRDefault="00F1599D">
      <w:pPr>
        <w:pStyle w:val="TOC1"/>
        <w:tabs>
          <w:tab w:val="left" w:pos="480"/>
        </w:tabs>
        <w:rPr>
          <w:rFonts w:asciiTheme="minorHAnsi" w:eastAsiaTheme="minorEastAsia" w:hAnsiTheme="minorHAnsi" w:cstheme="minorBidi"/>
          <w:b w:val="0"/>
          <w:bCs w:val="0"/>
          <w:kern w:val="2"/>
          <w:sz w:val="24"/>
          <w:szCs w:val="24"/>
          <w:lang w:eastAsia="en-AU"/>
          <w14:ligatures w14:val="standardContextual"/>
        </w:rPr>
      </w:pPr>
      <w:hyperlink w:anchor="_Toc190934894" w:history="1">
        <w:r w:rsidR="00CD17DF" w:rsidRPr="008E70E0">
          <w:rPr>
            <w:rStyle w:val="Hyperlink"/>
            <w:rFonts w:ascii="Calibri" w:hAnsi="Calibri" w:cs="Calibri"/>
            <w:lang w:val="en-GB"/>
          </w:rPr>
          <w:t>3.</w:t>
        </w:r>
        <w:r w:rsidR="00CD17DF">
          <w:rPr>
            <w:rFonts w:asciiTheme="minorHAnsi" w:eastAsiaTheme="minorEastAsia" w:hAnsiTheme="minorHAnsi" w:cstheme="minorBidi"/>
            <w:b w:val="0"/>
            <w:bCs w:val="0"/>
            <w:kern w:val="2"/>
            <w:sz w:val="24"/>
            <w:szCs w:val="24"/>
            <w:lang w:eastAsia="en-AU"/>
            <w14:ligatures w14:val="standardContextual"/>
          </w:rPr>
          <w:tab/>
        </w:r>
        <w:r w:rsidR="00CD17DF" w:rsidRPr="008E70E0">
          <w:rPr>
            <w:rStyle w:val="Hyperlink"/>
            <w:rFonts w:ascii="Calibri" w:hAnsi="Calibri" w:cs="Calibri"/>
            <w:lang w:val="en-GB"/>
          </w:rPr>
          <w:t>Conclusion and Recommendations</w:t>
        </w:r>
        <w:r w:rsidR="00CD17DF">
          <w:rPr>
            <w:webHidden/>
          </w:rPr>
          <w:tab/>
        </w:r>
        <w:r w:rsidR="00CD17DF">
          <w:rPr>
            <w:webHidden/>
          </w:rPr>
          <w:fldChar w:fldCharType="begin"/>
        </w:r>
        <w:r w:rsidR="00CD17DF">
          <w:rPr>
            <w:webHidden/>
          </w:rPr>
          <w:instrText xml:space="preserve"> PAGEREF _Toc190934894 \h </w:instrText>
        </w:r>
        <w:r w:rsidR="00CD17DF">
          <w:rPr>
            <w:webHidden/>
          </w:rPr>
        </w:r>
        <w:r w:rsidR="00CD17DF">
          <w:rPr>
            <w:webHidden/>
          </w:rPr>
          <w:fldChar w:fldCharType="separate"/>
        </w:r>
        <w:r w:rsidR="00CD17DF">
          <w:rPr>
            <w:webHidden/>
          </w:rPr>
          <w:t>30</w:t>
        </w:r>
        <w:r w:rsidR="00CD17DF">
          <w:rPr>
            <w:webHidden/>
          </w:rPr>
          <w:fldChar w:fldCharType="end"/>
        </w:r>
      </w:hyperlink>
    </w:p>
    <w:p w14:paraId="153E8651" w14:textId="7B5C8321" w:rsidR="00CD17DF" w:rsidRDefault="00F1599D">
      <w:pPr>
        <w:pStyle w:val="TOC1"/>
        <w:rPr>
          <w:rFonts w:asciiTheme="minorHAnsi" w:eastAsiaTheme="minorEastAsia" w:hAnsiTheme="minorHAnsi" w:cstheme="minorBidi"/>
          <w:b w:val="0"/>
          <w:bCs w:val="0"/>
          <w:kern w:val="2"/>
          <w:sz w:val="24"/>
          <w:szCs w:val="24"/>
          <w:lang w:eastAsia="en-AU"/>
          <w14:ligatures w14:val="standardContextual"/>
        </w:rPr>
      </w:pPr>
      <w:hyperlink w:anchor="_Toc190934895" w:history="1">
        <w:r w:rsidR="00CD17DF" w:rsidRPr="008E70E0">
          <w:rPr>
            <w:rStyle w:val="Hyperlink"/>
            <w:rFonts w:ascii="Calibri" w:hAnsi="Calibri" w:cs="Calibri"/>
            <w:lang w:val="en-GB"/>
          </w:rPr>
          <w:t>Annex 1 – Evaluation Questions</w:t>
        </w:r>
        <w:r w:rsidR="00CD17DF">
          <w:rPr>
            <w:webHidden/>
          </w:rPr>
          <w:tab/>
        </w:r>
        <w:r w:rsidR="00CD17DF">
          <w:rPr>
            <w:webHidden/>
          </w:rPr>
          <w:fldChar w:fldCharType="begin"/>
        </w:r>
        <w:r w:rsidR="00CD17DF">
          <w:rPr>
            <w:webHidden/>
          </w:rPr>
          <w:instrText xml:space="preserve"> PAGEREF _Toc190934895 \h </w:instrText>
        </w:r>
        <w:r w:rsidR="00CD17DF">
          <w:rPr>
            <w:webHidden/>
          </w:rPr>
        </w:r>
        <w:r w:rsidR="00CD17DF">
          <w:rPr>
            <w:webHidden/>
          </w:rPr>
          <w:fldChar w:fldCharType="separate"/>
        </w:r>
        <w:r w:rsidR="00CD17DF">
          <w:rPr>
            <w:webHidden/>
          </w:rPr>
          <w:t>33</w:t>
        </w:r>
        <w:r w:rsidR="00CD17DF">
          <w:rPr>
            <w:webHidden/>
          </w:rPr>
          <w:fldChar w:fldCharType="end"/>
        </w:r>
      </w:hyperlink>
    </w:p>
    <w:p w14:paraId="1AB39709" w14:textId="3A9D5E70" w:rsidR="00CD17DF" w:rsidRDefault="00F1599D">
      <w:pPr>
        <w:pStyle w:val="TOC1"/>
        <w:rPr>
          <w:rFonts w:asciiTheme="minorHAnsi" w:eastAsiaTheme="minorEastAsia" w:hAnsiTheme="minorHAnsi" w:cstheme="minorBidi"/>
          <w:b w:val="0"/>
          <w:bCs w:val="0"/>
          <w:kern w:val="2"/>
          <w:sz w:val="24"/>
          <w:szCs w:val="24"/>
          <w:lang w:eastAsia="en-AU"/>
          <w14:ligatures w14:val="standardContextual"/>
        </w:rPr>
      </w:pPr>
      <w:hyperlink w:anchor="_Toc190934896" w:history="1">
        <w:r w:rsidR="00CD17DF" w:rsidRPr="008E70E0">
          <w:rPr>
            <w:rStyle w:val="Hyperlink"/>
            <w:rFonts w:ascii="Calibri" w:hAnsi="Calibri" w:cs="Calibri"/>
            <w:lang w:val="en-GB"/>
          </w:rPr>
          <w:t>Annex 3 – List of Documents</w:t>
        </w:r>
        <w:r w:rsidR="00CD17DF">
          <w:rPr>
            <w:webHidden/>
          </w:rPr>
          <w:tab/>
        </w:r>
        <w:r w:rsidR="00CD17DF">
          <w:rPr>
            <w:webHidden/>
          </w:rPr>
          <w:fldChar w:fldCharType="begin"/>
        </w:r>
        <w:r w:rsidR="00CD17DF">
          <w:rPr>
            <w:webHidden/>
          </w:rPr>
          <w:instrText xml:space="preserve"> PAGEREF _Toc190934896 \h </w:instrText>
        </w:r>
        <w:r w:rsidR="00CD17DF">
          <w:rPr>
            <w:webHidden/>
          </w:rPr>
        </w:r>
        <w:r w:rsidR="00CD17DF">
          <w:rPr>
            <w:webHidden/>
          </w:rPr>
          <w:fldChar w:fldCharType="separate"/>
        </w:r>
        <w:r w:rsidR="00CD17DF">
          <w:rPr>
            <w:webHidden/>
          </w:rPr>
          <w:t>37</w:t>
        </w:r>
        <w:r w:rsidR="00CD17DF">
          <w:rPr>
            <w:webHidden/>
          </w:rPr>
          <w:fldChar w:fldCharType="end"/>
        </w:r>
      </w:hyperlink>
    </w:p>
    <w:p w14:paraId="76B6044A" w14:textId="7B9CE66C" w:rsidR="00CD17DF" w:rsidRDefault="00F1599D">
      <w:pPr>
        <w:pStyle w:val="TOC1"/>
        <w:rPr>
          <w:rFonts w:asciiTheme="minorHAnsi" w:eastAsiaTheme="minorEastAsia" w:hAnsiTheme="minorHAnsi" w:cstheme="minorBidi"/>
          <w:b w:val="0"/>
          <w:bCs w:val="0"/>
          <w:kern w:val="2"/>
          <w:sz w:val="24"/>
          <w:szCs w:val="24"/>
          <w:lang w:eastAsia="en-AU"/>
          <w14:ligatures w14:val="standardContextual"/>
        </w:rPr>
      </w:pPr>
      <w:hyperlink w:anchor="_Toc190934897" w:history="1">
        <w:r w:rsidR="00CD17DF" w:rsidRPr="008E70E0">
          <w:rPr>
            <w:rStyle w:val="Hyperlink"/>
            <w:rFonts w:ascii="Calibri" w:hAnsi="Calibri" w:cs="Calibri"/>
            <w:lang w:val="en-GB"/>
          </w:rPr>
          <w:t>Annex 4 – Case Studies</w:t>
        </w:r>
        <w:r w:rsidR="00CD17DF">
          <w:rPr>
            <w:webHidden/>
          </w:rPr>
          <w:tab/>
        </w:r>
        <w:r w:rsidR="00CD17DF">
          <w:rPr>
            <w:webHidden/>
          </w:rPr>
          <w:fldChar w:fldCharType="begin"/>
        </w:r>
        <w:r w:rsidR="00CD17DF">
          <w:rPr>
            <w:webHidden/>
          </w:rPr>
          <w:instrText xml:space="preserve"> PAGEREF _Toc190934897 \h </w:instrText>
        </w:r>
        <w:r w:rsidR="00CD17DF">
          <w:rPr>
            <w:webHidden/>
          </w:rPr>
        </w:r>
        <w:r w:rsidR="00CD17DF">
          <w:rPr>
            <w:webHidden/>
          </w:rPr>
          <w:fldChar w:fldCharType="separate"/>
        </w:r>
        <w:r w:rsidR="00CD17DF">
          <w:rPr>
            <w:webHidden/>
          </w:rPr>
          <w:t>39</w:t>
        </w:r>
        <w:r w:rsidR="00CD17DF">
          <w:rPr>
            <w:webHidden/>
          </w:rPr>
          <w:fldChar w:fldCharType="end"/>
        </w:r>
      </w:hyperlink>
    </w:p>
    <w:p w14:paraId="3FCF8AC9" w14:textId="3A8D9B93" w:rsidR="00CD17DF" w:rsidRDefault="00F1599D">
      <w:pPr>
        <w:pStyle w:val="TOC1"/>
        <w:rPr>
          <w:rFonts w:asciiTheme="minorHAnsi" w:eastAsiaTheme="minorEastAsia" w:hAnsiTheme="minorHAnsi" w:cstheme="minorBidi"/>
          <w:b w:val="0"/>
          <w:bCs w:val="0"/>
          <w:kern w:val="2"/>
          <w:sz w:val="24"/>
          <w:szCs w:val="24"/>
          <w:lang w:eastAsia="en-AU"/>
          <w14:ligatures w14:val="standardContextual"/>
        </w:rPr>
      </w:pPr>
      <w:hyperlink w:anchor="_Toc190934898" w:history="1">
        <w:r w:rsidR="00CD17DF" w:rsidRPr="008E70E0">
          <w:rPr>
            <w:rStyle w:val="Hyperlink"/>
            <w:rFonts w:ascii="Calibri" w:hAnsi="Calibri" w:cs="Calibri"/>
            <w:lang w:val="en-GB"/>
          </w:rPr>
          <w:t>Annex 5 – MTR Scope of Work</w:t>
        </w:r>
        <w:r w:rsidR="00CD17DF">
          <w:rPr>
            <w:webHidden/>
          </w:rPr>
          <w:tab/>
        </w:r>
        <w:r w:rsidR="00CD17DF">
          <w:rPr>
            <w:webHidden/>
          </w:rPr>
          <w:fldChar w:fldCharType="begin"/>
        </w:r>
        <w:r w:rsidR="00CD17DF">
          <w:rPr>
            <w:webHidden/>
          </w:rPr>
          <w:instrText xml:space="preserve"> PAGEREF _Toc190934898 \h </w:instrText>
        </w:r>
        <w:r w:rsidR="00CD17DF">
          <w:rPr>
            <w:webHidden/>
          </w:rPr>
        </w:r>
        <w:r w:rsidR="00CD17DF">
          <w:rPr>
            <w:webHidden/>
          </w:rPr>
          <w:fldChar w:fldCharType="separate"/>
        </w:r>
        <w:r w:rsidR="00CD17DF">
          <w:rPr>
            <w:webHidden/>
          </w:rPr>
          <w:t>40</w:t>
        </w:r>
        <w:r w:rsidR="00CD17DF">
          <w:rPr>
            <w:webHidden/>
          </w:rPr>
          <w:fldChar w:fldCharType="end"/>
        </w:r>
      </w:hyperlink>
    </w:p>
    <w:p w14:paraId="7797CEB3" w14:textId="77777777" w:rsidR="000659F4" w:rsidRPr="0029511A" w:rsidRDefault="005C3028" w:rsidP="000117E1">
      <w:pPr>
        <w:rPr>
          <w:rFonts w:ascii="Calibri" w:hAnsi="Calibri" w:cs="Calibri"/>
          <w:lang w:val="en-GB"/>
        </w:rPr>
      </w:pPr>
      <w:r w:rsidRPr="0029511A">
        <w:rPr>
          <w:rFonts w:ascii="Calibri" w:hAnsi="Calibri" w:cs="Calibri"/>
          <w:lang w:val="en-GB"/>
        </w:rPr>
        <w:fldChar w:fldCharType="end"/>
      </w:r>
      <w:bookmarkStart w:id="5" w:name="_Toc520113646"/>
      <w:bookmarkStart w:id="6" w:name="_Toc520113936"/>
    </w:p>
    <w:p w14:paraId="12224A63" w14:textId="506F0C2D" w:rsidR="00480747" w:rsidRPr="0029511A" w:rsidRDefault="00480747" w:rsidP="000117E1">
      <w:pPr>
        <w:rPr>
          <w:rFonts w:ascii="Calibri" w:hAnsi="Calibri" w:cs="Calibri"/>
          <w:lang w:val="en-GB"/>
        </w:rPr>
      </w:pPr>
      <w:r w:rsidRPr="0029511A">
        <w:rPr>
          <w:rFonts w:ascii="Calibri" w:hAnsi="Calibri" w:cs="Calibri"/>
          <w:lang w:val="en-GB"/>
        </w:rPr>
        <w:br w:type="page"/>
      </w:r>
    </w:p>
    <w:p w14:paraId="1630C5B2" w14:textId="77777777" w:rsidR="00DF0AAE" w:rsidRPr="0029511A" w:rsidRDefault="00DF0AAE" w:rsidP="00370438">
      <w:pPr>
        <w:rPr>
          <w:rFonts w:ascii="Calibri" w:hAnsi="Calibri" w:cs="Calibri"/>
          <w:lang w:val="en-GB"/>
        </w:rPr>
        <w:sectPr w:rsidR="00DF0AAE" w:rsidRPr="0029511A" w:rsidSect="00D06192">
          <w:footerReference w:type="default" r:id="rId15"/>
          <w:pgSz w:w="11900" w:h="16840"/>
          <w:pgMar w:top="1418" w:right="1440" w:bottom="1440" w:left="1440" w:header="709" w:footer="709" w:gutter="0"/>
          <w:pgNumType w:fmt="lowerRoman" w:start="1"/>
          <w:cols w:space="708"/>
          <w:docGrid w:linePitch="360"/>
        </w:sectPr>
      </w:pPr>
    </w:p>
    <w:p w14:paraId="60CA127A" w14:textId="77777777" w:rsidR="00596242" w:rsidRPr="0029511A" w:rsidRDefault="00F34681" w:rsidP="00F34681">
      <w:pPr>
        <w:pStyle w:val="ExecSumH1"/>
        <w:rPr>
          <w:rFonts w:ascii="Calibri" w:hAnsi="Calibri" w:cs="Calibri"/>
          <w:sz w:val="22"/>
          <w:szCs w:val="22"/>
          <w:lang w:val="en-GB"/>
        </w:rPr>
        <w:sectPr w:rsidR="00596242" w:rsidRPr="0029511A" w:rsidSect="003400B4">
          <w:footerReference w:type="default" r:id="rId16"/>
          <w:type w:val="continuous"/>
          <w:pgSz w:w="11900" w:h="16840"/>
          <w:pgMar w:top="1418" w:right="1440" w:bottom="1440" w:left="1440" w:header="709" w:footer="709" w:gutter="0"/>
          <w:pgNumType w:fmt="lowerRoman" w:start="1"/>
          <w:cols w:space="708"/>
          <w:docGrid w:linePitch="360"/>
        </w:sectPr>
      </w:pPr>
      <w:bookmarkStart w:id="7" w:name="_Toc520113639"/>
      <w:bookmarkStart w:id="8" w:name="_Toc520113928"/>
      <w:bookmarkStart w:id="9" w:name="_Toc156506656"/>
      <w:bookmarkStart w:id="10" w:name="_Toc190934878"/>
      <w:bookmarkStart w:id="11" w:name="_Toc156506657"/>
      <w:r w:rsidRPr="0029511A">
        <w:rPr>
          <w:rFonts w:ascii="Calibri" w:hAnsi="Calibri" w:cs="Calibri"/>
          <w:sz w:val="22"/>
          <w:szCs w:val="22"/>
          <w:lang w:val="en-GB"/>
        </w:rPr>
        <w:lastRenderedPageBreak/>
        <w:t>EXECUTIVE SUMMARY</w:t>
      </w:r>
      <w:bookmarkEnd w:id="7"/>
      <w:bookmarkEnd w:id="8"/>
      <w:bookmarkEnd w:id="9"/>
      <w:bookmarkEnd w:id="10"/>
    </w:p>
    <w:p w14:paraId="5D6ACF59" w14:textId="07E0DD31" w:rsidR="00F34681" w:rsidRPr="0029511A" w:rsidRDefault="00492DD6" w:rsidP="001E3791">
      <w:pPr>
        <w:pStyle w:val="Heading2"/>
        <w:numPr>
          <w:ilvl w:val="0"/>
          <w:numId w:val="0"/>
        </w:numPr>
        <w:rPr>
          <w:rFonts w:ascii="Calibri" w:hAnsi="Calibri" w:cs="Calibri"/>
          <w:sz w:val="22"/>
          <w:szCs w:val="22"/>
        </w:rPr>
      </w:pPr>
      <w:bookmarkStart w:id="12" w:name="_Toc190934879"/>
      <w:r w:rsidRPr="0029511A">
        <w:rPr>
          <w:rFonts w:ascii="Calibri" w:hAnsi="Calibri" w:cs="Calibri"/>
          <w:sz w:val="22"/>
          <w:szCs w:val="22"/>
        </w:rPr>
        <w:t>Overview</w:t>
      </w:r>
      <w:bookmarkEnd w:id="12"/>
    </w:p>
    <w:p w14:paraId="2E2BE535" w14:textId="50E12C32" w:rsidR="00F34681" w:rsidRPr="0029511A" w:rsidRDefault="00492DD6" w:rsidP="00492DD6">
      <w:pPr>
        <w:rPr>
          <w:rFonts w:ascii="Calibri" w:hAnsi="Calibri" w:cs="Calibri"/>
          <w:lang w:val="en-GB"/>
        </w:rPr>
      </w:pPr>
      <w:r w:rsidRPr="0029511A">
        <w:rPr>
          <w:rFonts w:ascii="Calibri" w:hAnsi="Calibri" w:cs="Calibri"/>
          <w:lang w:val="en-GB"/>
        </w:rPr>
        <w:t>The program under review is Australia’s APEC Support Program</w:t>
      </w:r>
      <w:r w:rsidR="002B37B5" w:rsidRPr="0029511A">
        <w:rPr>
          <w:rFonts w:ascii="Calibri" w:hAnsi="Calibri" w:cs="Calibri"/>
          <w:lang w:val="en-GB"/>
        </w:rPr>
        <w:t xml:space="preserve"> (AASP)</w:t>
      </w:r>
      <w:r w:rsidRPr="0029511A">
        <w:rPr>
          <w:rFonts w:ascii="Calibri" w:hAnsi="Calibri" w:cs="Calibri"/>
          <w:lang w:val="en-GB"/>
        </w:rPr>
        <w:t xml:space="preserve"> (June 2022 - June 2026). </w:t>
      </w:r>
      <w:r w:rsidR="004E6EA4" w:rsidRPr="0029511A">
        <w:rPr>
          <w:rFonts w:ascii="Calibri" w:eastAsia="calibri,sans-serif" w:hAnsi="Calibri" w:cs="Calibri"/>
          <w:color w:val="000000"/>
          <w:lang w:val="en-GB"/>
        </w:rPr>
        <w:t xml:space="preserve">The </w:t>
      </w:r>
      <w:r w:rsidR="000C0563" w:rsidRPr="0029511A">
        <w:rPr>
          <w:rFonts w:ascii="Calibri" w:eastAsia="calibri,sans-serif" w:hAnsi="Calibri" w:cs="Calibri"/>
          <w:color w:val="000000"/>
          <w:lang w:val="en-GB"/>
        </w:rPr>
        <w:t xml:space="preserve">AASP is designed to support initiatives that </w:t>
      </w:r>
      <w:r w:rsidR="00E46D74" w:rsidRPr="0029511A">
        <w:rPr>
          <w:rFonts w:ascii="Calibri" w:eastAsia="calibri,sans-serif" w:hAnsi="Calibri" w:cs="Calibri"/>
          <w:color w:val="000000"/>
          <w:lang w:val="en-GB"/>
        </w:rPr>
        <w:t>build the capacities of</w:t>
      </w:r>
      <w:r w:rsidR="00184024" w:rsidRPr="0029511A">
        <w:rPr>
          <w:rFonts w:ascii="Calibri" w:eastAsia="calibri,sans-serif" w:hAnsi="Calibri" w:cs="Calibri"/>
          <w:color w:val="000000"/>
          <w:lang w:val="en-GB"/>
        </w:rPr>
        <w:t xml:space="preserve"> Asia</w:t>
      </w:r>
      <w:r w:rsidR="00E23348" w:rsidRPr="0029511A">
        <w:rPr>
          <w:rFonts w:ascii="Calibri" w:eastAsia="calibri,sans-serif" w:hAnsi="Calibri" w:cs="Calibri"/>
          <w:color w:val="000000"/>
          <w:lang w:val="en-GB"/>
        </w:rPr>
        <w:t>–</w:t>
      </w:r>
      <w:r w:rsidR="00184024" w:rsidRPr="0029511A">
        <w:rPr>
          <w:rFonts w:ascii="Calibri" w:eastAsia="calibri,sans-serif" w:hAnsi="Calibri" w:cs="Calibri"/>
          <w:color w:val="000000"/>
          <w:lang w:val="en-GB"/>
        </w:rPr>
        <w:t>Pacific Economic Cooperation</w:t>
      </w:r>
      <w:r w:rsidR="00E46D74" w:rsidRPr="0029511A">
        <w:rPr>
          <w:rFonts w:ascii="Calibri" w:eastAsia="calibri,sans-serif" w:hAnsi="Calibri" w:cs="Calibri"/>
          <w:color w:val="000000"/>
          <w:lang w:val="en-GB"/>
        </w:rPr>
        <w:t xml:space="preserve"> </w:t>
      </w:r>
      <w:r w:rsidR="00E23348" w:rsidRPr="0029511A">
        <w:rPr>
          <w:rFonts w:ascii="Calibri" w:eastAsia="calibri,sans-serif" w:hAnsi="Calibri" w:cs="Calibri"/>
          <w:color w:val="000000"/>
          <w:lang w:val="en-GB"/>
        </w:rPr>
        <w:t>(</w:t>
      </w:r>
      <w:r w:rsidR="00E46D74" w:rsidRPr="0029511A">
        <w:rPr>
          <w:rFonts w:ascii="Calibri" w:eastAsia="calibri,sans-serif" w:hAnsi="Calibri" w:cs="Calibri"/>
          <w:color w:val="000000"/>
          <w:lang w:val="en-GB"/>
        </w:rPr>
        <w:t>APEC</w:t>
      </w:r>
      <w:r w:rsidR="00E23348" w:rsidRPr="0029511A">
        <w:rPr>
          <w:rFonts w:ascii="Calibri" w:eastAsia="calibri,sans-serif" w:hAnsi="Calibri" w:cs="Calibri"/>
          <w:color w:val="000000"/>
          <w:lang w:val="en-GB"/>
        </w:rPr>
        <w:t>)</w:t>
      </w:r>
      <w:r w:rsidR="00E46D74" w:rsidRPr="0029511A">
        <w:rPr>
          <w:rFonts w:ascii="Calibri" w:eastAsia="calibri,sans-serif" w:hAnsi="Calibri" w:cs="Calibri"/>
          <w:color w:val="000000"/>
          <w:lang w:val="en-GB"/>
        </w:rPr>
        <w:t xml:space="preserve"> developing economies in economic and trade policy development aligned with </w:t>
      </w:r>
      <w:r w:rsidR="000C0563" w:rsidRPr="0029511A">
        <w:rPr>
          <w:rFonts w:ascii="Calibri" w:eastAsia="calibri,sans-serif" w:hAnsi="Calibri" w:cs="Calibri"/>
          <w:color w:val="000000"/>
          <w:lang w:val="en-GB"/>
        </w:rPr>
        <w:t xml:space="preserve">Australia’s long-term priorities within </w:t>
      </w:r>
      <w:r w:rsidR="008B52DF" w:rsidRPr="0029511A">
        <w:rPr>
          <w:rFonts w:ascii="Calibri" w:eastAsia="calibri,sans-serif" w:hAnsi="Calibri" w:cs="Calibri"/>
          <w:color w:val="000000"/>
          <w:lang w:val="en-GB"/>
        </w:rPr>
        <w:t>APEC consistent</w:t>
      </w:r>
      <w:r w:rsidR="00FC3AFB" w:rsidRPr="0029511A">
        <w:rPr>
          <w:rFonts w:ascii="Calibri" w:eastAsia="calibri,sans-serif" w:hAnsi="Calibri" w:cs="Calibri"/>
          <w:color w:val="000000"/>
          <w:lang w:val="en-GB"/>
        </w:rPr>
        <w:t xml:space="preserve"> with the </w:t>
      </w:r>
      <w:r w:rsidR="000C0563" w:rsidRPr="0029511A">
        <w:rPr>
          <w:rFonts w:ascii="Calibri" w:eastAsia="calibri,sans-serif" w:hAnsi="Calibri" w:cs="Calibri"/>
          <w:color w:val="000000"/>
          <w:lang w:val="en-GB"/>
        </w:rPr>
        <w:t xml:space="preserve">effective and efficient use of Australia’s </w:t>
      </w:r>
      <w:r w:rsidR="003743D5" w:rsidRPr="0029511A">
        <w:rPr>
          <w:rFonts w:ascii="Calibri" w:eastAsia="calibri,sans-serif" w:hAnsi="Calibri" w:cs="Calibri"/>
          <w:color w:val="000000"/>
          <w:lang w:val="en-GB"/>
        </w:rPr>
        <w:t>O</w:t>
      </w:r>
      <w:r w:rsidR="000C0563" w:rsidRPr="0029511A">
        <w:rPr>
          <w:rFonts w:ascii="Calibri" w:eastAsia="calibri,sans-serif" w:hAnsi="Calibri" w:cs="Calibri"/>
          <w:color w:val="000000"/>
          <w:lang w:val="en-GB"/>
        </w:rPr>
        <w:t xml:space="preserve">fficial </w:t>
      </w:r>
      <w:r w:rsidR="003743D5" w:rsidRPr="0029511A">
        <w:rPr>
          <w:rFonts w:ascii="Calibri" w:eastAsia="calibri,sans-serif" w:hAnsi="Calibri" w:cs="Calibri"/>
          <w:color w:val="000000"/>
          <w:lang w:val="en-GB"/>
        </w:rPr>
        <w:t>D</w:t>
      </w:r>
      <w:r w:rsidR="000C0563" w:rsidRPr="0029511A">
        <w:rPr>
          <w:rFonts w:ascii="Calibri" w:eastAsia="calibri,sans-serif" w:hAnsi="Calibri" w:cs="Calibri"/>
          <w:color w:val="000000"/>
          <w:lang w:val="en-GB"/>
        </w:rPr>
        <w:t xml:space="preserve">evelopment </w:t>
      </w:r>
      <w:r w:rsidR="003743D5" w:rsidRPr="0029511A">
        <w:rPr>
          <w:rFonts w:ascii="Calibri" w:eastAsia="calibri,sans-serif" w:hAnsi="Calibri" w:cs="Calibri"/>
          <w:color w:val="000000"/>
          <w:lang w:val="en-GB"/>
        </w:rPr>
        <w:t>A</w:t>
      </w:r>
      <w:r w:rsidR="000C0563" w:rsidRPr="0029511A">
        <w:rPr>
          <w:rFonts w:ascii="Calibri" w:eastAsia="calibri,sans-serif" w:hAnsi="Calibri" w:cs="Calibri"/>
          <w:color w:val="000000"/>
          <w:lang w:val="en-GB"/>
        </w:rPr>
        <w:t>ssistance</w:t>
      </w:r>
      <w:r w:rsidR="003D035D" w:rsidRPr="0029511A">
        <w:rPr>
          <w:rFonts w:ascii="Calibri" w:eastAsia="calibri,sans-serif" w:hAnsi="Calibri" w:cs="Calibri"/>
          <w:color w:val="000000"/>
          <w:lang w:val="en-GB"/>
        </w:rPr>
        <w:t xml:space="preserve"> (ODA)</w:t>
      </w:r>
      <w:r w:rsidR="000C0563" w:rsidRPr="0029511A">
        <w:rPr>
          <w:rFonts w:ascii="Calibri" w:eastAsia="calibri,sans-serif" w:hAnsi="Calibri" w:cs="Calibri"/>
          <w:color w:val="000000"/>
          <w:lang w:val="en-GB"/>
        </w:rPr>
        <w:t>.</w:t>
      </w:r>
    </w:p>
    <w:p w14:paraId="79DE22CD" w14:textId="35007930" w:rsidR="00492DD6" w:rsidRPr="00D27C6F" w:rsidRDefault="00492DD6" w:rsidP="00D27C6F">
      <w:pPr>
        <w:pStyle w:val="Heading2"/>
        <w:numPr>
          <w:ilvl w:val="0"/>
          <w:numId w:val="0"/>
        </w:numPr>
        <w:rPr>
          <w:rFonts w:ascii="Calibri" w:hAnsi="Calibri" w:cs="Calibri"/>
          <w:sz w:val="22"/>
          <w:szCs w:val="22"/>
        </w:rPr>
      </w:pPr>
      <w:bookmarkStart w:id="13" w:name="_Toc190934880"/>
      <w:r w:rsidRPr="00D27C6F">
        <w:rPr>
          <w:rFonts w:ascii="Calibri" w:hAnsi="Calibri" w:cs="Calibri"/>
          <w:sz w:val="22"/>
          <w:szCs w:val="22"/>
        </w:rPr>
        <w:t>Purpose</w:t>
      </w:r>
      <w:bookmarkEnd w:id="13"/>
    </w:p>
    <w:p w14:paraId="036B2D91" w14:textId="4ACF6D7E" w:rsidR="00492DD6" w:rsidRPr="0029511A" w:rsidRDefault="00492DD6" w:rsidP="00492DD6">
      <w:pPr>
        <w:rPr>
          <w:rFonts w:ascii="Calibri" w:hAnsi="Calibri" w:cs="Calibri"/>
          <w:lang w:val="en-GB"/>
        </w:rPr>
      </w:pPr>
      <w:r w:rsidRPr="0029511A">
        <w:rPr>
          <w:rFonts w:ascii="Calibri" w:hAnsi="Calibri" w:cs="Calibri"/>
          <w:lang w:val="en-GB"/>
        </w:rPr>
        <w:t xml:space="preserve">The primary objective of the Mid-Term Review (MTR) is to </w:t>
      </w:r>
      <w:r w:rsidR="000C0563" w:rsidRPr="0029511A">
        <w:rPr>
          <w:rFonts w:ascii="Calibri" w:hAnsi="Calibri" w:cs="Calibri"/>
          <w:lang w:val="en-GB"/>
        </w:rPr>
        <w:t xml:space="preserve">assess the </w:t>
      </w:r>
      <w:r w:rsidR="003B6445" w:rsidRPr="0029511A">
        <w:rPr>
          <w:rFonts w:ascii="Calibri" w:hAnsi="Calibri" w:cs="Calibri"/>
          <w:lang w:val="en-GB"/>
        </w:rPr>
        <w:t>AASP</w:t>
      </w:r>
      <w:r w:rsidR="000C0563" w:rsidRPr="0029511A">
        <w:rPr>
          <w:rFonts w:ascii="Calibri" w:hAnsi="Calibri" w:cs="Calibri"/>
          <w:lang w:val="en-GB"/>
        </w:rPr>
        <w:t xml:space="preserve">’s progress towards the </w:t>
      </w:r>
      <w:r w:rsidR="001905DF" w:rsidRPr="0029511A">
        <w:rPr>
          <w:rFonts w:ascii="Calibri" w:hAnsi="Calibri" w:cs="Calibri"/>
          <w:lang w:val="en-GB"/>
        </w:rPr>
        <w:t>I</w:t>
      </w:r>
      <w:r w:rsidR="000C0563" w:rsidRPr="0029511A">
        <w:rPr>
          <w:rFonts w:ascii="Calibri" w:hAnsi="Calibri" w:cs="Calibri"/>
          <w:lang w:val="en-GB"/>
        </w:rPr>
        <w:t xml:space="preserve">ntermediate and </w:t>
      </w:r>
      <w:r w:rsidR="001905DF" w:rsidRPr="0029511A">
        <w:rPr>
          <w:rFonts w:ascii="Calibri" w:hAnsi="Calibri" w:cs="Calibri"/>
          <w:lang w:val="en-GB"/>
        </w:rPr>
        <w:t>E</w:t>
      </w:r>
      <w:r w:rsidR="000C0563" w:rsidRPr="0029511A">
        <w:rPr>
          <w:rFonts w:ascii="Calibri" w:hAnsi="Calibri" w:cs="Calibri"/>
          <w:lang w:val="en-GB"/>
        </w:rPr>
        <w:t>n</w:t>
      </w:r>
      <w:r w:rsidR="001905DF" w:rsidRPr="0029511A">
        <w:rPr>
          <w:rFonts w:ascii="Calibri" w:hAnsi="Calibri" w:cs="Calibri"/>
          <w:lang w:val="en-GB"/>
        </w:rPr>
        <w:t xml:space="preserve">d </w:t>
      </w:r>
      <w:r w:rsidR="000C0563" w:rsidRPr="0029511A">
        <w:rPr>
          <w:rFonts w:ascii="Calibri" w:hAnsi="Calibri" w:cs="Calibri"/>
          <w:lang w:val="en-GB"/>
        </w:rPr>
        <w:t>of</w:t>
      </w:r>
      <w:r w:rsidR="001905DF" w:rsidRPr="0029511A">
        <w:rPr>
          <w:rFonts w:ascii="Calibri" w:hAnsi="Calibri" w:cs="Calibri"/>
          <w:lang w:val="en-GB"/>
        </w:rPr>
        <w:t xml:space="preserve"> P</w:t>
      </w:r>
      <w:r w:rsidR="000C0563" w:rsidRPr="0029511A">
        <w:rPr>
          <w:rFonts w:ascii="Calibri" w:hAnsi="Calibri" w:cs="Calibri"/>
          <w:lang w:val="en-GB"/>
        </w:rPr>
        <w:t xml:space="preserve">rogram </w:t>
      </w:r>
      <w:r w:rsidR="001905DF" w:rsidRPr="0029511A">
        <w:rPr>
          <w:rFonts w:ascii="Calibri" w:hAnsi="Calibri" w:cs="Calibri"/>
          <w:lang w:val="en-GB"/>
        </w:rPr>
        <w:t>O</w:t>
      </w:r>
      <w:r w:rsidR="000C0563" w:rsidRPr="0029511A">
        <w:rPr>
          <w:rFonts w:ascii="Calibri" w:hAnsi="Calibri" w:cs="Calibri"/>
          <w:lang w:val="en-GB"/>
        </w:rPr>
        <w:t>utcomes</w:t>
      </w:r>
      <w:r w:rsidR="00E46D74" w:rsidRPr="0029511A">
        <w:rPr>
          <w:rFonts w:ascii="Calibri" w:hAnsi="Calibri" w:cs="Calibri"/>
          <w:lang w:val="en-GB"/>
        </w:rPr>
        <w:t xml:space="preserve"> </w:t>
      </w:r>
      <w:r w:rsidR="00AA293E" w:rsidRPr="0029511A">
        <w:rPr>
          <w:rFonts w:ascii="Calibri" w:hAnsi="Calibri" w:cs="Calibri"/>
          <w:lang w:val="en-GB"/>
        </w:rPr>
        <w:t>(</w:t>
      </w:r>
      <w:proofErr w:type="spellStart"/>
      <w:r w:rsidR="00AA293E" w:rsidRPr="0029511A">
        <w:rPr>
          <w:rFonts w:ascii="Calibri" w:hAnsi="Calibri" w:cs="Calibri"/>
          <w:lang w:val="en-GB"/>
        </w:rPr>
        <w:t>EoPOs</w:t>
      </w:r>
      <w:proofErr w:type="spellEnd"/>
      <w:r w:rsidR="00AA293E" w:rsidRPr="0029511A">
        <w:rPr>
          <w:rFonts w:ascii="Calibri" w:hAnsi="Calibri" w:cs="Calibri"/>
          <w:lang w:val="en-GB"/>
        </w:rPr>
        <w:t xml:space="preserve">) </w:t>
      </w:r>
      <w:r w:rsidR="00E46D74" w:rsidRPr="0029511A">
        <w:rPr>
          <w:rFonts w:ascii="Calibri" w:hAnsi="Calibri" w:cs="Calibri"/>
          <w:lang w:val="en-GB"/>
        </w:rPr>
        <w:t>from June 2022 until July 2024 (mid-way through the program)</w:t>
      </w:r>
      <w:r w:rsidR="000C0563" w:rsidRPr="0029511A">
        <w:rPr>
          <w:rFonts w:ascii="Calibri" w:hAnsi="Calibri" w:cs="Calibri"/>
          <w:lang w:val="en-GB"/>
        </w:rPr>
        <w:t xml:space="preserve">. In so doing, the MTR will also assess performance, inform learning, and </w:t>
      </w:r>
      <w:r w:rsidR="00966187" w:rsidRPr="0029511A">
        <w:rPr>
          <w:rFonts w:ascii="Calibri" w:hAnsi="Calibri" w:cs="Calibri"/>
          <w:lang w:val="en-GB"/>
        </w:rPr>
        <w:t>propose</w:t>
      </w:r>
      <w:r w:rsidR="00DF36DE" w:rsidRPr="0029511A">
        <w:rPr>
          <w:rFonts w:ascii="Calibri" w:hAnsi="Calibri" w:cs="Calibri"/>
          <w:lang w:val="en-GB"/>
        </w:rPr>
        <w:t xml:space="preserve"> recommendations to </w:t>
      </w:r>
      <w:r w:rsidR="000C0563" w:rsidRPr="0029511A">
        <w:rPr>
          <w:rFonts w:ascii="Calibri" w:hAnsi="Calibri" w:cs="Calibri"/>
          <w:lang w:val="en-GB"/>
        </w:rPr>
        <w:t xml:space="preserve">help guide decision making regarding </w:t>
      </w:r>
      <w:r w:rsidR="00DF36DE" w:rsidRPr="0029511A">
        <w:rPr>
          <w:rFonts w:ascii="Calibri" w:hAnsi="Calibri" w:cs="Calibri"/>
          <w:lang w:val="en-GB"/>
        </w:rPr>
        <w:t xml:space="preserve">current and </w:t>
      </w:r>
      <w:r w:rsidR="000C0563" w:rsidRPr="0029511A">
        <w:rPr>
          <w:rFonts w:ascii="Calibri" w:hAnsi="Calibri" w:cs="Calibri"/>
          <w:lang w:val="en-GB"/>
        </w:rPr>
        <w:t>future programming for the investment</w:t>
      </w:r>
      <w:r w:rsidR="00787EEB" w:rsidRPr="0029511A">
        <w:rPr>
          <w:rFonts w:ascii="Calibri" w:hAnsi="Calibri" w:cs="Calibri"/>
          <w:lang w:val="en-GB"/>
        </w:rPr>
        <w:t>.</w:t>
      </w:r>
    </w:p>
    <w:p w14:paraId="3623C281" w14:textId="3859FFD3" w:rsidR="00492DD6" w:rsidRPr="00D27C6F" w:rsidRDefault="00492DD6" w:rsidP="00D27C6F">
      <w:pPr>
        <w:pStyle w:val="Heading2"/>
        <w:numPr>
          <w:ilvl w:val="0"/>
          <w:numId w:val="0"/>
        </w:numPr>
        <w:rPr>
          <w:rFonts w:ascii="Calibri" w:hAnsi="Calibri" w:cs="Calibri"/>
          <w:sz w:val="22"/>
          <w:szCs w:val="22"/>
        </w:rPr>
      </w:pPr>
      <w:bookmarkStart w:id="14" w:name="_Toc190934881"/>
      <w:r w:rsidRPr="00D27C6F">
        <w:rPr>
          <w:rFonts w:ascii="Calibri" w:hAnsi="Calibri" w:cs="Calibri"/>
          <w:sz w:val="22"/>
          <w:szCs w:val="22"/>
        </w:rPr>
        <w:t>Approach</w:t>
      </w:r>
      <w:bookmarkEnd w:id="14"/>
    </w:p>
    <w:p w14:paraId="50BAB048" w14:textId="5BC46966" w:rsidR="000447BE" w:rsidRPr="0029511A" w:rsidRDefault="00492DD6" w:rsidP="004A3D3A">
      <w:pPr>
        <w:rPr>
          <w:rFonts w:ascii="Calibri" w:hAnsi="Calibri" w:cs="Calibri"/>
          <w:lang w:val="en-GB"/>
        </w:rPr>
      </w:pPr>
      <w:r w:rsidRPr="0029511A">
        <w:rPr>
          <w:rFonts w:ascii="Calibri" w:hAnsi="Calibri" w:cs="Calibri"/>
          <w:lang w:val="en-GB"/>
        </w:rPr>
        <w:t xml:space="preserve">As set out in the Scope of Work, the MTR was conducted using a mixed-methods approach (largely </w:t>
      </w:r>
      <w:r w:rsidR="00E46D74" w:rsidRPr="0029511A">
        <w:rPr>
          <w:rFonts w:ascii="Calibri" w:hAnsi="Calibri" w:cs="Calibri"/>
          <w:lang w:val="en-GB"/>
        </w:rPr>
        <w:t xml:space="preserve">through </w:t>
      </w:r>
      <w:r w:rsidRPr="0029511A">
        <w:rPr>
          <w:rFonts w:ascii="Calibri" w:hAnsi="Calibri" w:cs="Calibri"/>
          <w:lang w:val="en-GB"/>
        </w:rPr>
        <w:t>in</w:t>
      </w:r>
      <w:r w:rsidR="00544125" w:rsidRPr="0029511A">
        <w:rPr>
          <w:rFonts w:ascii="Calibri" w:hAnsi="Calibri" w:cs="Calibri"/>
          <w:lang w:val="en-GB"/>
        </w:rPr>
        <w:t>-</w:t>
      </w:r>
      <w:r w:rsidRPr="0029511A">
        <w:rPr>
          <w:rFonts w:ascii="Calibri" w:hAnsi="Calibri" w:cs="Calibri"/>
          <w:lang w:val="en-GB"/>
        </w:rPr>
        <w:t>person</w:t>
      </w:r>
      <w:r w:rsidR="00E46D74" w:rsidRPr="0029511A">
        <w:rPr>
          <w:rFonts w:ascii="Calibri" w:hAnsi="Calibri" w:cs="Calibri"/>
          <w:lang w:val="en-GB"/>
        </w:rPr>
        <w:t xml:space="preserve"> interviews</w:t>
      </w:r>
      <w:r w:rsidRPr="0029511A">
        <w:rPr>
          <w:rFonts w:ascii="Calibri" w:hAnsi="Calibri" w:cs="Calibri"/>
          <w:lang w:val="en-GB"/>
        </w:rPr>
        <w:t xml:space="preserve">, although some </w:t>
      </w:r>
      <w:r w:rsidR="00E46D74" w:rsidRPr="0029511A">
        <w:rPr>
          <w:rFonts w:ascii="Calibri" w:hAnsi="Calibri" w:cs="Calibri"/>
          <w:lang w:val="en-GB"/>
        </w:rPr>
        <w:t xml:space="preserve">interviews </w:t>
      </w:r>
      <w:r w:rsidRPr="0029511A">
        <w:rPr>
          <w:rFonts w:ascii="Calibri" w:hAnsi="Calibri" w:cs="Calibri"/>
          <w:lang w:val="en-GB"/>
        </w:rPr>
        <w:t xml:space="preserve">were </w:t>
      </w:r>
      <w:r w:rsidR="007C2D70" w:rsidRPr="0029511A">
        <w:rPr>
          <w:rFonts w:ascii="Calibri" w:hAnsi="Calibri" w:cs="Calibri"/>
          <w:lang w:val="en-GB"/>
        </w:rPr>
        <w:t>conducted</w:t>
      </w:r>
      <w:r w:rsidRPr="0029511A">
        <w:rPr>
          <w:rFonts w:ascii="Calibri" w:hAnsi="Calibri" w:cs="Calibri"/>
          <w:lang w:val="en-GB"/>
        </w:rPr>
        <w:t xml:space="preserve"> remotely), using </w:t>
      </w:r>
      <w:r w:rsidR="003743D5" w:rsidRPr="0029511A">
        <w:rPr>
          <w:rFonts w:ascii="Calibri" w:hAnsi="Calibri" w:cs="Calibri"/>
          <w:lang w:val="en-GB"/>
        </w:rPr>
        <w:t>K</w:t>
      </w:r>
      <w:r w:rsidRPr="0029511A">
        <w:rPr>
          <w:rFonts w:ascii="Calibri" w:hAnsi="Calibri" w:cs="Calibri"/>
          <w:lang w:val="en-GB"/>
        </w:rPr>
        <w:t xml:space="preserve">ey </w:t>
      </w:r>
      <w:r w:rsidR="003743D5" w:rsidRPr="0029511A">
        <w:rPr>
          <w:rFonts w:ascii="Calibri" w:hAnsi="Calibri" w:cs="Calibri"/>
          <w:lang w:val="en-GB"/>
        </w:rPr>
        <w:t>I</w:t>
      </w:r>
      <w:r w:rsidRPr="0029511A">
        <w:rPr>
          <w:rFonts w:ascii="Calibri" w:hAnsi="Calibri" w:cs="Calibri"/>
          <w:lang w:val="en-GB"/>
        </w:rPr>
        <w:t xml:space="preserve">nformant </w:t>
      </w:r>
      <w:r w:rsidR="003743D5" w:rsidRPr="0029511A">
        <w:rPr>
          <w:rFonts w:ascii="Calibri" w:hAnsi="Calibri" w:cs="Calibri"/>
          <w:lang w:val="en-GB"/>
        </w:rPr>
        <w:t>I</w:t>
      </w:r>
      <w:r w:rsidRPr="0029511A">
        <w:rPr>
          <w:rFonts w:ascii="Calibri" w:hAnsi="Calibri" w:cs="Calibri"/>
          <w:lang w:val="en-GB"/>
        </w:rPr>
        <w:t>nterviews (KIIs), extensive review of project documentation (including Project Completion Reports)</w:t>
      </w:r>
      <w:r w:rsidR="00DA5A79" w:rsidRPr="0029511A">
        <w:rPr>
          <w:rFonts w:ascii="Calibri" w:hAnsi="Calibri" w:cs="Calibri"/>
          <w:lang w:val="en-GB"/>
        </w:rPr>
        <w:t xml:space="preserve">, an </w:t>
      </w:r>
      <w:r w:rsidRPr="0029511A">
        <w:rPr>
          <w:rFonts w:ascii="Calibri" w:hAnsi="Calibri" w:cs="Calibri"/>
          <w:lang w:val="en-GB"/>
        </w:rPr>
        <w:t>online survey</w:t>
      </w:r>
      <w:r w:rsidR="00DA5A79" w:rsidRPr="0029511A">
        <w:rPr>
          <w:rFonts w:ascii="Calibri" w:hAnsi="Calibri" w:cs="Calibri"/>
          <w:lang w:val="en-GB"/>
        </w:rPr>
        <w:t xml:space="preserve"> of participants</w:t>
      </w:r>
      <w:r w:rsidRPr="0029511A">
        <w:rPr>
          <w:rFonts w:ascii="Calibri" w:hAnsi="Calibri" w:cs="Calibri"/>
          <w:lang w:val="en-GB"/>
        </w:rPr>
        <w:t xml:space="preserve">, and the preparation of </w:t>
      </w:r>
      <w:r w:rsidR="00E46D74" w:rsidRPr="0029511A">
        <w:rPr>
          <w:rFonts w:ascii="Calibri" w:hAnsi="Calibri" w:cs="Calibri"/>
          <w:lang w:val="en-GB"/>
        </w:rPr>
        <w:t xml:space="preserve">four </w:t>
      </w:r>
      <w:r w:rsidR="007C2D70" w:rsidRPr="0029511A">
        <w:rPr>
          <w:rFonts w:ascii="Calibri" w:hAnsi="Calibri" w:cs="Calibri"/>
          <w:lang w:val="en-GB"/>
        </w:rPr>
        <w:t>c</w:t>
      </w:r>
      <w:r w:rsidRPr="0029511A">
        <w:rPr>
          <w:rFonts w:ascii="Calibri" w:hAnsi="Calibri" w:cs="Calibri"/>
          <w:lang w:val="en-GB"/>
        </w:rPr>
        <w:t xml:space="preserve">ase </w:t>
      </w:r>
      <w:r w:rsidR="007C2D70" w:rsidRPr="0029511A">
        <w:rPr>
          <w:rFonts w:ascii="Calibri" w:hAnsi="Calibri" w:cs="Calibri"/>
          <w:lang w:val="en-GB"/>
        </w:rPr>
        <w:t>s</w:t>
      </w:r>
      <w:r w:rsidRPr="0029511A">
        <w:rPr>
          <w:rFonts w:ascii="Calibri" w:hAnsi="Calibri" w:cs="Calibri"/>
          <w:lang w:val="en-GB"/>
        </w:rPr>
        <w:t>tudies. In total</w:t>
      </w:r>
      <w:r w:rsidR="00E46D74" w:rsidRPr="0029511A">
        <w:rPr>
          <w:rFonts w:ascii="Calibri" w:hAnsi="Calibri" w:cs="Calibri"/>
          <w:lang w:val="en-GB"/>
        </w:rPr>
        <w:t>,</w:t>
      </w:r>
      <w:r w:rsidRPr="0029511A">
        <w:rPr>
          <w:rFonts w:ascii="Calibri" w:hAnsi="Calibri" w:cs="Calibri"/>
          <w:lang w:val="en-GB"/>
        </w:rPr>
        <w:t xml:space="preserve"> more than </w:t>
      </w:r>
      <w:r w:rsidR="00DA5A79" w:rsidRPr="0029511A">
        <w:rPr>
          <w:rFonts w:ascii="Calibri" w:hAnsi="Calibri" w:cs="Calibri"/>
          <w:lang w:val="en-GB"/>
        </w:rPr>
        <w:t xml:space="preserve">50 </w:t>
      </w:r>
      <w:r w:rsidRPr="0029511A">
        <w:rPr>
          <w:rFonts w:ascii="Calibri" w:hAnsi="Calibri" w:cs="Calibri"/>
          <w:lang w:val="en-GB"/>
        </w:rPr>
        <w:t>informants participated in</w:t>
      </w:r>
      <w:r w:rsidR="00514B8F" w:rsidRPr="0029511A">
        <w:rPr>
          <w:rFonts w:ascii="Calibri" w:hAnsi="Calibri" w:cs="Calibri"/>
          <w:lang w:val="en-GB"/>
        </w:rPr>
        <w:t xml:space="preserve"> Key Informant Interviews</w:t>
      </w:r>
      <w:r w:rsidRPr="0029511A">
        <w:rPr>
          <w:rFonts w:ascii="Calibri" w:hAnsi="Calibri" w:cs="Calibri"/>
          <w:lang w:val="en-GB"/>
        </w:rPr>
        <w:t>.</w:t>
      </w:r>
    </w:p>
    <w:p w14:paraId="180FCD1D" w14:textId="77777777" w:rsidR="00596242" w:rsidRPr="0029511A" w:rsidRDefault="00596242" w:rsidP="004A3D3A">
      <w:pPr>
        <w:rPr>
          <w:rFonts w:ascii="Calibri" w:hAnsi="Calibri" w:cs="Calibri"/>
          <w:lang w:val="en-GB"/>
        </w:rPr>
        <w:sectPr w:rsidR="00596242" w:rsidRPr="0029511A" w:rsidSect="003400B4">
          <w:type w:val="continuous"/>
          <w:pgSz w:w="11900" w:h="16840"/>
          <w:pgMar w:top="1418" w:right="1440" w:bottom="1440" w:left="1440" w:header="709" w:footer="709" w:gutter="0"/>
          <w:pgNumType w:fmt="lowerRoman" w:start="1"/>
          <w:cols w:space="708"/>
          <w:docGrid w:linePitch="360"/>
        </w:sectPr>
      </w:pPr>
    </w:p>
    <w:p w14:paraId="61D2B658" w14:textId="38A816CD" w:rsidR="004A3D3A" w:rsidRPr="0029511A" w:rsidRDefault="004A3D3A" w:rsidP="004A3D3A">
      <w:pPr>
        <w:rPr>
          <w:rFonts w:ascii="Calibri" w:hAnsi="Calibri" w:cs="Calibri"/>
          <w:lang w:val="en-GB"/>
        </w:rPr>
      </w:pPr>
    </w:p>
    <w:p w14:paraId="09CC431B" w14:textId="546398D1" w:rsidR="004A3D3A" w:rsidRPr="0029511A" w:rsidRDefault="004A3D3A" w:rsidP="004A3D3A">
      <w:pPr>
        <w:rPr>
          <w:rFonts w:ascii="Calibri" w:hAnsi="Calibri" w:cs="Calibri"/>
          <w:lang w:val="en-GB"/>
        </w:rPr>
        <w:sectPr w:rsidR="004A3D3A" w:rsidRPr="0029511A" w:rsidSect="00D06192">
          <w:type w:val="continuous"/>
          <w:pgSz w:w="11900" w:h="16840"/>
          <w:pgMar w:top="1418" w:right="1440" w:bottom="1440" w:left="1440" w:header="709" w:footer="709" w:gutter="0"/>
          <w:pgNumType w:fmt="lowerRoman" w:start="1"/>
          <w:cols w:space="708"/>
          <w:docGrid w:linePitch="360"/>
        </w:sectPr>
      </w:pPr>
    </w:p>
    <w:p w14:paraId="0967EBFE" w14:textId="14E9AD03" w:rsidR="00F34681" w:rsidRPr="0029511A" w:rsidRDefault="00F34681" w:rsidP="001E3791">
      <w:pPr>
        <w:pStyle w:val="Heading2"/>
        <w:numPr>
          <w:ilvl w:val="0"/>
          <w:numId w:val="0"/>
        </w:numPr>
        <w:rPr>
          <w:rFonts w:ascii="Calibri" w:hAnsi="Calibri" w:cs="Calibri"/>
          <w:sz w:val="22"/>
          <w:szCs w:val="22"/>
        </w:rPr>
      </w:pPr>
      <w:bookmarkStart w:id="15" w:name="_Toc190934882"/>
      <w:r w:rsidRPr="0029511A">
        <w:rPr>
          <w:rFonts w:ascii="Calibri" w:hAnsi="Calibri" w:cs="Calibri"/>
          <w:sz w:val="22"/>
          <w:szCs w:val="22"/>
        </w:rPr>
        <w:lastRenderedPageBreak/>
        <w:t>Findings</w:t>
      </w:r>
      <w:bookmarkEnd w:id="15"/>
    </w:p>
    <w:p w14:paraId="20E86347" w14:textId="77777777" w:rsidR="00F34681" w:rsidRPr="00D27C6F" w:rsidRDefault="00F34681" w:rsidP="00F34681">
      <w:pPr>
        <w:pStyle w:val="Subheading"/>
        <w:rPr>
          <w:rFonts w:ascii="Calibri" w:hAnsi="Calibri" w:cs="Calibri"/>
          <w:color w:val="002060"/>
          <w:lang w:val="en-GB"/>
        </w:rPr>
      </w:pPr>
      <w:r w:rsidRPr="00D27C6F">
        <w:rPr>
          <w:rFonts w:ascii="Calibri" w:hAnsi="Calibri" w:cs="Calibri"/>
          <w:color w:val="002060"/>
          <w:lang w:val="en-GB"/>
        </w:rPr>
        <w:t>Effectiveness</w:t>
      </w:r>
    </w:p>
    <w:p w14:paraId="4AEA514E" w14:textId="7A397BF7" w:rsidR="005C2A12" w:rsidRPr="0029511A" w:rsidRDefault="00B04FCE" w:rsidP="00A76836">
      <w:pPr>
        <w:pStyle w:val="FootnoteText"/>
        <w:spacing w:after="0"/>
        <w:rPr>
          <w:rFonts w:ascii="Calibri" w:hAnsi="Calibri" w:cs="Calibri"/>
          <w:sz w:val="22"/>
          <w:szCs w:val="22"/>
          <w:lang w:val="en-GB"/>
        </w:rPr>
      </w:pPr>
      <w:r w:rsidRPr="0029511A">
        <w:rPr>
          <w:rFonts w:ascii="Calibri" w:hAnsi="Calibri" w:cs="Calibri"/>
          <w:sz w:val="22"/>
          <w:szCs w:val="22"/>
          <w:lang w:val="en-GB"/>
        </w:rPr>
        <w:t xml:space="preserve">The AASP has made notable gains under each of its </w:t>
      </w:r>
      <w:r w:rsidR="00221D69" w:rsidRPr="0029511A">
        <w:rPr>
          <w:rFonts w:ascii="Calibri" w:hAnsi="Calibri" w:cs="Calibri"/>
          <w:sz w:val="22"/>
          <w:szCs w:val="22"/>
          <w:lang w:val="en-GB"/>
        </w:rPr>
        <w:t>five</w:t>
      </w:r>
      <w:r w:rsidRPr="0029511A">
        <w:rPr>
          <w:rFonts w:ascii="Calibri" w:hAnsi="Calibri" w:cs="Calibri"/>
          <w:sz w:val="22"/>
          <w:szCs w:val="22"/>
          <w:lang w:val="en-GB"/>
        </w:rPr>
        <w:t xml:space="preserve"> </w:t>
      </w:r>
      <w:r w:rsidR="003743D5" w:rsidRPr="0029511A">
        <w:rPr>
          <w:rFonts w:ascii="Calibri" w:hAnsi="Calibri" w:cs="Calibri"/>
          <w:sz w:val="22"/>
          <w:szCs w:val="22"/>
          <w:lang w:val="en-GB"/>
        </w:rPr>
        <w:t>I</w:t>
      </w:r>
      <w:r w:rsidRPr="0029511A">
        <w:rPr>
          <w:rFonts w:ascii="Calibri" w:hAnsi="Calibri" w:cs="Calibri"/>
          <w:sz w:val="22"/>
          <w:szCs w:val="22"/>
          <w:lang w:val="en-GB"/>
        </w:rPr>
        <w:t xml:space="preserve">ntermediate </w:t>
      </w:r>
      <w:r w:rsidR="003743D5" w:rsidRPr="0029511A">
        <w:rPr>
          <w:rFonts w:ascii="Calibri" w:hAnsi="Calibri" w:cs="Calibri"/>
          <w:sz w:val="22"/>
          <w:szCs w:val="22"/>
          <w:lang w:val="en-GB"/>
        </w:rPr>
        <w:t>O</w:t>
      </w:r>
      <w:r w:rsidR="00DA5A79" w:rsidRPr="0029511A">
        <w:rPr>
          <w:rFonts w:ascii="Calibri" w:hAnsi="Calibri" w:cs="Calibri"/>
          <w:sz w:val="22"/>
          <w:szCs w:val="22"/>
          <w:lang w:val="en-GB"/>
        </w:rPr>
        <w:t>utcomes</w:t>
      </w:r>
      <w:r w:rsidR="00E46D74" w:rsidRPr="0029511A">
        <w:rPr>
          <w:rStyle w:val="FootnoteReference"/>
          <w:rFonts w:ascii="Calibri" w:hAnsi="Calibri" w:cs="Calibri"/>
          <w:sz w:val="22"/>
          <w:szCs w:val="22"/>
          <w:lang w:val="en-GB"/>
        </w:rPr>
        <w:footnoteReference w:id="2"/>
      </w:r>
      <w:r w:rsidR="00DA5A79" w:rsidRPr="0029511A">
        <w:rPr>
          <w:rFonts w:ascii="Calibri" w:hAnsi="Calibri" w:cs="Calibri"/>
          <w:sz w:val="22"/>
          <w:szCs w:val="22"/>
          <w:lang w:val="en-GB"/>
        </w:rPr>
        <w:t xml:space="preserve"> and</w:t>
      </w:r>
      <w:r w:rsidRPr="0029511A">
        <w:rPr>
          <w:rFonts w:ascii="Calibri" w:hAnsi="Calibri" w:cs="Calibri"/>
          <w:sz w:val="22"/>
          <w:szCs w:val="22"/>
          <w:lang w:val="en-GB"/>
        </w:rPr>
        <w:t xml:space="preserve"> is making strong progress towards its two End of Program Outcomes</w:t>
      </w:r>
      <w:r w:rsidR="00B87937" w:rsidRPr="0029511A">
        <w:rPr>
          <w:rFonts w:ascii="Calibri" w:hAnsi="Calibri" w:cs="Calibri"/>
          <w:sz w:val="22"/>
          <w:szCs w:val="22"/>
          <w:lang w:val="en-GB"/>
        </w:rPr>
        <w:t xml:space="preserve"> (</w:t>
      </w:r>
      <w:proofErr w:type="spellStart"/>
      <w:r w:rsidR="00B87937" w:rsidRPr="0029511A">
        <w:rPr>
          <w:rFonts w:ascii="Calibri" w:hAnsi="Calibri" w:cs="Calibri"/>
          <w:sz w:val="22"/>
          <w:szCs w:val="22"/>
          <w:lang w:val="en-GB"/>
        </w:rPr>
        <w:t>EoPOs</w:t>
      </w:r>
      <w:proofErr w:type="spellEnd"/>
      <w:r w:rsidR="00B87937" w:rsidRPr="0029511A">
        <w:rPr>
          <w:rFonts w:ascii="Calibri" w:hAnsi="Calibri" w:cs="Calibri"/>
          <w:sz w:val="22"/>
          <w:szCs w:val="22"/>
          <w:lang w:val="en-GB"/>
        </w:rPr>
        <w:t>)</w:t>
      </w:r>
      <w:r w:rsidR="00E33D4B" w:rsidRPr="0029511A">
        <w:rPr>
          <w:rFonts w:ascii="Calibri" w:hAnsi="Calibri" w:cs="Calibri"/>
          <w:sz w:val="22"/>
          <w:szCs w:val="22"/>
          <w:lang w:val="en-GB"/>
        </w:rPr>
        <w:t>.</w:t>
      </w:r>
    </w:p>
    <w:p w14:paraId="06A2054A" w14:textId="77777777" w:rsidR="00B9029F" w:rsidRPr="0029511A" w:rsidRDefault="00B9029F" w:rsidP="00A76836">
      <w:pPr>
        <w:pStyle w:val="FootnoteText"/>
        <w:spacing w:after="0"/>
        <w:rPr>
          <w:rFonts w:ascii="Calibri" w:hAnsi="Calibri" w:cs="Calibri"/>
          <w:sz w:val="22"/>
          <w:szCs w:val="22"/>
          <w:lang w:val="en-GB"/>
        </w:rPr>
      </w:pPr>
    </w:p>
    <w:p w14:paraId="460EDF63" w14:textId="4709EE8E" w:rsidR="00674830" w:rsidRPr="00D27C6F" w:rsidRDefault="00674830" w:rsidP="00C06977">
      <w:pPr>
        <w:spacing w:after="160" w:line="252" w:lineRule="auto"/>
        <w:rPr>
          <w:rStyle w:val="cf21"/>
          <w:rFonts w:ascii="Calibri" w:hAnsi="Calibri"/>
          <w:color w:val="002060"/>
        </w:rPr>
      </w:pPr>
      <w:r w:rsidRPr="00D27C6F">
        <w:rPr>
          <w:rStyle w:val="cf21"/>
          <w:rFonts w:ascii="Calibri" w:hAnsi="Calibri"/>
          <w:color w:val="002060"/>
        </w:rPr>
        <w:t>I</w:t>
      </w:r>
      <w:r w:rsidR="00B87937" w:rsidRPr="00D27C6F">
        <w:rPr>
          <w:rStyle w:val="cf21"/>
          <w:rFonts w:ascii="Calibri" w:hAnsi="Calibri"/>
          <w:color w:val="002060"/>
        </w:rPr>
        <w:t xml:space="preserve">ntermediate </w:t>
      </w:r>
      <w:r w:rsidRPr="00D27C6F">
        <w:rPr>
          <w:rStyle w:val="cf21"/>
          <w:rFonts w:ascii="Calibri" w:hAnsi="Calibri"/>
          <w:color w:val="002060"/>
        </w:rPr>
        <w:t>O</w:t>
      </w:r>
      <w:r w:rsidR="00B87937" w:rsidRPr="00D27C6F">
        <w:rPr>
          <w:rStyle w:val="cf21"/>
          <w:rFonts w:ascii="Calibri" w:hAnsi="Calibri"/>
          <w:color w:val="002060"/>
        </w:rPr>
        <w:t>utcome</w:t>
      </w:r>
      <w:r w:rsidRPr="00D27C6F">
        <w:rPr>
          <w:rStyle w:val="cf21"/>
          <w:rFonts w:ascii="Calibri" w:hAnsi="Calibri"/>
          <w:color w:val="002060"/>
        </w:rPr>
        <w:t xml:space="preserve"> 1: APEC developing economies progressing implementation of an open and rules-based trade and investment environment by 2026 </w:t>
      </w:r>
    </w:p>
    <w:p w14:paraId="439CB9EC" w14:textId="461ECC3D" w:rsidR="00674830" w:rsidRPr="0029511A" w:rsidRDefault="00674830" w:rsidP="00674830">
      <w:pPr>
        <w:rPr>
          <w:rFonts w:ascii="Calibri" w:hAnsi="Calibri" w:cs="Calibri"/>
        </w:rPr>
      </w:pPr>
      <w:r w:rsidRPr="0029511A">
        <w:rPr>
          <w:rFonts w:ascii="Calibri" w:hAnsi="Calibri" w:cs="Calibri"/>
        </w:rPr>
        <w:t>The AASP has supported a growing body of work to help progress the implementation of an open, rules-based trade and investment environment, and AASP projects have been effective in raising the importance of international standards to enhance rules-based trade. Key projects included creating an APEC-wide agreement on</w:t>
      </w:r>
      <w:r w:rsidR="00504561" w:rsidRPr="0029511A">
        <w:rPr>
          <w:rFonts w:ascii="Calibri" w:hAnsi="Calibri" w:cs="Calibri"/>
        </w:rPr>
        <w:t xml:space="preserve"> the </w:t>
      </w:r>
      <w:r w:rsidR="00504561" w:rsidRPr="0029511A">
        <w:rPr>
          <w:rFonts w:ascii="Calibri" w:hAnsi="Calibri" w:cs="Calibri"/>
          <w:lang w:val="en-GB"/>
        </w:rPr>
        <w:t xml:space="preserve">definition of logistics-related services to allow for APEC economies to have a better understanding of the impact of logistics-related services on the movement of essential goods; </w:t>
      </w:r>
      <w:r w:rsidRPr="0029511A">
        <w:rPr>
          <w:rFonts w:ascii="Calibri" w:hAnsi="Calibri" w:cs="Calibri"/>
        </w:rPr>
        <w:t xml:space="preserve"> supporting economies in clarifying their obligations towards foreign investors and investor-state dispute resolution</w:t>
      </w:r>
      <w:r w:rsidR="00504561" w:rsidRPr="0029511A">
        <w:rPr>
          <w:rFonts w:ascii="Calibri" w:hAnsi="Calibri" w:cs="Calibri"/>
        </w:rPr>
        <w:t>;</w:t>
      </w:r>
      <w:r w:rsidRPr="0029511A">
        <w:rPr>
          <w:rFonts w:ascii="Calibri" w:hAnsi="Calibri" w:cs="Calibri"/>
        </w:rPr>
        <w:t xml:space="preserve"> </w:t>
      </w:r>
      <w:r w:rsidR="00C136CA" w:rsidRPr="0029511A">
        <w:rPr>
          <w:rFonts w:ascii="Calibri" w:hAnsi="Calibri" w:cs="Calibri"/>
          <w:lang w:val="en-GB"/>
        </w:rPr>
        <w:t>facilitating the development of a common APEC understanding of what constitutes an environmental good</w:t>
      </w:r>
      <w:r w:rsidR="00504561" w:rsidRPr="0029511A">
        <w:rPr>
          <w:rFonts w:ascii="Calibri" w:hAnsi="Calibri" w:cs="Calibri"/>
        </w:rPr>
        <w:t>;</w:t>
      </w:r>
      <w:r w:rsidRPr="0029511A">
        <w:rPr>
          <w:rFonts w:ascii="Calibri" w:hAnsi="Calibri" w:cs="Calibri"/>
        </w:rPr>
        <w:t xml:space="preserve"> advocating for economies to adopt international AI norms and standards</w:t>
      </w:r>
      <w:r w:rsidR="00504561" w:rsidRPr="0029511A">
        <w:rPr>
          <w:rFonts w:ascii="Calibri" w:hAnsi="Calibri" w:cs="Calibri"/>
        </w:rPr>
        <w:t>;</w:t>
      </w:r>
      <w:r w:rsidRPr="0029511A">
        <w:rPr>
          <w:rFonts w:ascii="Calibri" w:hAnsi="Calibri" w:cs="Calibri"/>
        </w:rPr>
        <w:t xml:space="preserve"> and raising awareness of circular economy standards for more sustainable trade.</w:t>
      </w:r>
    </w:p>
    <w:p w14:paraId="6E956E38" w14:textId="77777777" w:rsidR="00674830" w:rsidRPr="0029511A" w:rsidRDefault="00674830" w:rsidP="00674830">
      <w:pPr>
        <w:rPr>
          <w:rFonts w:ascii="Calibri" w:hAnsi="Calibri" w:cs="Calibri"/>
        </w:rPr>
      </w:pPr>
    </w:p>
    <w:p w14:paraId="55096CE3" w14:textId="09F3C5AE" w:rsidR="00674830" w:rsidRPr="00D27C6F" w:rsidRDefault="00674830" w:rsidP="00674830">
      <w:pPr>
        <w:rPr>
          <w:rFonts w:ascii="Calibri" w:hAnsi="Calibri" w:cs="Calibri"/>
          <w:color w:val="002060"/>
        </w:rPr>
      </w:pPr>
      <w:r w:rsidRPr="00D27C6F">
        <w:rPr>
          <w:rStyle w:val="cf21"/>
          <w:rFonts w:ascii="Calibri" w:hAnsi="Calibri"/>
          <w:color w:val="002060"/>
        </w:rPr>
        <w:t>I</w:t>
      </w:r>
      <w:r w:rsidR="00B87937" w:rsidRPr="00D27C6F">
        <w:rPr>
          <w:rStyle w:val="cf21"/>
          <w:rFonts w:ascii="Calibri" w:hAnsi="Calibri"/>
          <w:color w:val="002060"/>
        </w:rPr>
        <w:t xml:space="preserve">ntermediate </w:t>
      </w:r>
      <w:r w:rsidRPr="00D27C6F">
        <w:rPr>
          <w:rStyle w:val="cf21"/>
          <w:rFonts w:ascii="Calibri" w:hAnsi="Calibri"/>
          <w:color w:val="002060"/>
        </w:rPr>
        <w:t>O</w:t>
      </w:r>
      <w:r w:rsidR="00B87937" w:rsidRPr="00D27C6F">
        <w:rPr>
          <w:rStyle w:val="cf21"/>
          <w:rFonts w:ascii="Calibri" w:hAnsi="Calibri"/>
          <w:color w:val="002060"/>
        </w:rPr>
        <w:t>utcome</w:t>
      </w:r>
      <w:r w:rsidRPr="00D27C6F">
        <w:rPr>
          <w:rStyle w:val="cf21"/>
          <w:rFonts w:ascii="Calibri" w:hAnsi="Calibri"/>
          <w:color w:val="002060"/>
        </w:rPr>
        <w:t xml:space="preserve"> 2: APEC developing economies progressing implementation of measures to promote regional integration and domestic structural reforms by 2026</w:t>
      </w:r>
    </w:p>
    <w:p w14:paraId="65A31701" w14:textId="268E16EE" w:rsidR="00674830" w:rsidRPr="0029511A" w:rsidRDefault="00674830" w:rsidP="00674830">
      <w:pPr>
        <w:rPr>
          <w:rFonts w:ascii="Calibri" w:eastAsia="Calibri Light" w:hAnsi="Calibri" w:cs="Calibri"/>
          <w:color w:val="000000"/>
        </w:rPr>
      </w:pPr>
      <w:r w:rsidRPr="0029511A">
        <w:rPr>
          <w:rFonts w:ascii="Calibri" w:eastAsia="Calibri Light" w:hAnsi="Calibri" w:cs="Calibri"/>
          <w:color w:val="000000"/>
        </w:rPr>
        <w:t xml:space="preserve">Australia is widely considered to be leading the work on trade </w:t>
      </w:r>
      <w:r w:rsidR="00B87937" w:rsidRPr="0029511A">
        <w:rPr>
          <w:rFonts w:ascii="Calibri" w:eastAsia="Calibri Light" w:hAnsi="Calibri" w:cs="Calibri"/>
          <w:color w:val="000000"/>
        </w:rPr>
        <w:t xml:space="preserve">and structural reforms </w:t>
      </w:r>
      <w:r w:rsidRPr="0029511A">
        <w:rPr>
          <w:rFonts w:ascii="Calibri" w:eastAsia="Calibri Light" w:hAnsi="Calibri" w:cs="Calibri"/>
          <w:color w:val="000000"/>
        </w:rPr>
        <w:t>in the services sector within APEC</w:t>
      </w:r>
      <w:r w:rsidR="00B87937" w:rsidRPr="0029511A">
        <w:rPr>
          <w:rFonts w:ascii="Calibri" w:eastAsia="Calibri Light" w:hAnsi="Calibri" w:cs="Calibri"/>
          <w:color w:val="000000"/>
        </w:rPr>
        <w:t>, supported by a multiyear project funded through the AASP</w:t>
      </w:r>
      <w:r w:rsidRPr="0029511A">
        <w:rPr>
          <w:rFonts w:ascii="Calibri" w:eastAsia="Calibri Light" w:hAnsi="Calibri" w:cs="Calibri"/>
          <w:color w:val="000000"/>
        </w:rPr>
        <w:t xml:space="preserve">. AASP has also been instrumental in supporting Australia’s leadership on APEC’s work in Mutual Recognition Agreements. The </w:t>
      </w:r>
      <w:r w:rsidR="00B87937" w:rsidRPr="0029511A">
        <w:rPr>
          <w:rFonts w:ascii="Calibri" w:eastAsia="Calibri Light" w:hAnsi="Calibri" w:cs="Calibri"/>
          <w:color w:val="000000"/>
        </w:rPr>
        <w:t xml:space="preserve">AASP </w:t>
      </w:r>
      <w:r w:rsidRPr="0029511A">
        <w:rPr>
          <w:rFonts w:ascii="Calibri" w:eastAsia="Calibri Light" w:hAnsi="Calibri" w:cs="Calibri"/>
          <w:color w:val="000000"/>
        </w:rPr>
        <w:t xml:space="preserve">has also helped strengthen biosecurity risk management within APEC economies, enhanced awareness of effective food safety risk communication within APEC </w:t>
      </w:r>
      <w:r w:rsidR="008B52DF" w:rsidRPr="0029511A">
        <w:rPr>
          <w:rFonts w:ascii="Calibri" w:eastAsia="Calibri Light" w:hAnsi="Calibri" w:cs="Calibri"/>
          <w:color w:val="000000"/>
        </w:rPr>
        <w:t>economies and</w:t>
      </w:r>
      <w:r w:rsidRPr="0029511A">
        <w:rPr>
          <w:rFonts w:ascii="Calibri" w:eastAsia="Calibri Light" w:hAnsi="Calibri" w:cs="Calibri"/>
          <w:color w:val="000000"/>
        </w:rPr>
        <w:t xml:space="preserve"> assisted in shaping current deliberations on how to advance APEC’s work to address the impacts and costs of marine debris. By contributing to the </w:t>
      </w:r>
      <w:r w:rsidRPr="0029511A">
        <w:rPr>
          <w:rFonts w:ascii="Calibri" w:eastAsia="Calibri Light" w:hAnsi="Calibri" w:cs="Calibri"/>
          <w:i/>
          <w:iCs/>
          <w:color w:val="000000"/>
        </w:rPr>
        <w:t>Enhanced APEC Agenda for the Structural Sub-fund</w:t>
      </w:r>
      <w:r w:rsidRPr="0029511A">
        <w:rPr>
          <w:rFonts w:ascii="Calibri" w:eastAsia="Calibri Light" w:hAnsi="Calibri" w:cs="Calibri"/>
          <w:color w:val="000000"/>
        </w:rPr>
        <w:t>, the AASP supports improving the design and performance of regulatory systems in developing economies.</w:t>
      </w:r>
    </w:p>
    <w:p w14:paraId="3CB679B3" w14:textId="77777777" w:rsidR="00674830" w:rsidRPr="0029511A" w:rsidRDefault="00674830" w:rsidP="00674830">
      <w:pPr>
        <w:rPr>
          <w:rFonts w:ascii="Calibri" w:hAnsi="Calibri" w:cs="Calibri"/>
          <w:color w:val="002060"/>
        </w:rPr>
      </w:pPr>
    </w:p>
    <w:p w14:paraId="3F6796ED" w14:textId="77777777" w:rsidR="00674830" w:rsidRPr="00D27C6F" w:rsidRDefault="00674830" w:rsidP="00674830">
      <w:pPr>
        <w:spacing w:after="160" w:line="252" w:lineRule="auto"/>
        <w:rPr>
          <w:rStyle w:val="cf21"/>
          <w:rFonts w:ascii="Calibri" w:hAnsi="Calibri"/>
          <w:color w:val="002060"/>
        </w:rPr>
      </w:pPr>
      <w:r w:rsidRPr="00D27C6F">
        <w:rPr>
          <w:rStyle w:val="cf21"/>
          <w:rFonts w:ascii="Calibri" w:hAnsi="Calibri"/>
          <w:color w:val="002060"/>
        </w:rPr>
        <w:t>Intermediate Outcome 3: APEC developing economies progressing implementation of efforts within APEC to promote international standards, norms and rules on digital trade by 2026</w:t>
      </w:r>
    </w:p>
    <w:p w14:paraId="2380087C" w14:textId="77777777" w:rsidR="003400B4" w:rsidRDefault="00674830" w:rsidP="00674830">
      <w:pPr>
        <w:rPr>
          <w:rFonts w:ascii="Calibri" w:hAnsi="Calibri" w:cs="Calibri"/>
          <w:lang w:eastAsia="en-AU"/>
        </w:rPr>
      </w:pPr>
      <w:r w:rsidRPr="0029511A">
        <w:rPr>
          <w:rFonts w:ascii="Calibri" w:hAnsi="Calibri" w:cs="Calibri"/>
        </w:rPr>
        <w:t xml:space="preserve">A growing number of AASP projects are ensuring that key building blocks of digital trade are being developed to ensure more economies, including developing economies, align with international standards and norms. AASP is also helping to raise awareness of the value of e-invoicing for cross-border interoperability, and the benefits of paperless trade </w:t>
      </w:r>
      <w:proofErr w:type="gramStart"/>
      <w:r w:rsidRPr="0029511A">
        <w:rPr>
          <w:rFonts w:ascii="Calibri" w:hAnsi="Calibri" w:cs="Calibri"/>
        </w:rPr>
        <w:t>through the use of</w:t>
      </w:r>
      <w:proofErr w:type="gramEnd"/>
      <w:r w:rsidRPr="0029511A">
        <w:rPr>
          <w:rFonts w:ascii="Calibri" w:hAnsi="Calibri" w:cs="Calibri"/>
        </w:rPr>
        <w:t xml:space="preserve"> electronic trade documentation. Focusing specifically on small and medium enterprises, AASP has been facilitating the adoption of emerging digital technologies to enhance the operational efficiency and global competitiveness of these enterprises.</w:t>
      </w:r>
      <w:r w:rsidR="00210C74" w:rsidRPr="0029511A">
        <w:rPr>
          <w:rFonts w:ascii="Calibri" w:hAnsi="Calibri" w:cs="Calibri"/>
        </w:rPr>
        <w:t xml:space="preserve"> The AASP has also </w:t>
      </w:r>
      <w:r w:rsidR="00210C74" w:rsidRPr="0029511A">
        <w:rPr>
          <w:rFonts w:ascii="Calibri" w:hAnsi="Calibri" w:cs="Calibri"/>
          <w:lang w:eastAsia="en-AU"/>
        </w:rPr>
        <w:t>enabled dialogue on how international standards can support good governance of AI and promote operationalising AI solutions in the APEC region.</w:t>
      </w:r>
    </w:p>
    <w:p w14:paraId="7A1D1754" w14:textId="02C60A2A" w:rsidR="00674830" w:rsidRPr="00727C29" w:rsidRDefault="00674830" w:rsidP="00674830">
      <w:pPr>
        <w:spacing w:after="160" w:line="252" w:lineRule="auto"/>
        <w:rPr>
          <w:rStyle w:val="cf21"/>
          <w:rFonts w:ascii="Calibri" w:hAnsi="Calibri"/>
          <w:color w:val="002060"/>
        </w:rPr>
      </w:pPr>
      <w:r w:rsidRPr="00727C29">
        <w:rPr>
          <w:rStyle w:val="cf21"/>
          <w:rFonts w:ascii="Calibri" w:hAnsi="Calibri"/>
          <w:color w:val="002060"/>
        </w:rPr>
        <w:lastRenderedPageBreak/>
        <w:t>Intermediate Outcome 4: Gender equality and disability equity and inclusion are integrated in AASP plans, projects, M&amp;E, and analysis</w:t>
      </w:r>
    </w:p>
    <w:p w14:paraId="43BDAF43" w14:textId="341268FA" w:rsidR="00674830" w:rsidRPr="0029511A" w:rsidRDefault="00674830" w:rsidP="00674830">
      <w:pPr>
        <w:rPr>
          <w:rFonts w:ascii="Calibri" w:hAnsi="Calibri" w:cs="Calibri"/>
        </w:rPr>
      </w:pPr>
      <w:r w:rsidRPr="0029511A">
        <w:rPr>
          <w:rFonts w:ascii="Calibri" w:hAnsi="Calibri" w:cs="Calibri"/>
        </w:rPr>
        <w:t>The AASP demonstrates a strong commitment to gender mainstreaming, both in the design of all projects and in actively pursuing projects that focus on gender equality and women’s economic empowerment. On average, more women than men participated in projects (57% of all participants were women), and more women than men presented at events as speakers (54% of all speakers were women). AASP’s work is closely aligned with the work of the Policy Partnership on Women and the Economy (PPWE - led by the Department of Prime Minister and Cabinet, and which Australia is the chair of for the period 2023 to 2024). By providing voluntary contributions to the Women and Economy sub-fund, the AASP supports the integration of gender perspectives across the APEC agenda and helps APEC address barriers to women’s economic participation region</w:t>
      </w:r>
      <w:r w:rsidRPr="0029511A">
        <w:rPr>
          <w:rFonts w:ascii="Calibri" w:hAnsi="Calibri" w:cs="Calibri"/>
          <w:lang w:val="en-GB"/>
        </w:rPr>
        <w:t>.</w:t>
      </w:r>
    </w:p>
    <w:p w14:paraId="24B9C1BD" w14:textId="7445D282" w:rsidR="00674830" w:rsidRPr="0029511A" w:rsidRDefault="00674830" w:rsidP="00674830">
      <w:pPr>
        <w:rPr>
          <w:rFonts w:ascii="Calibri" w:hAnsi="Calibri" w:cs="Calibri"/>
        </w:rPr>
      </w:pPr>
      <w:r w:rsidRPr="0029511A">
        <w:rPr>
          <w:rFonts w:ascii="Calibri" w:hAnsi="Calibri" w:cs="Calibri"/>
        </w:rPr>
        <w:t xml:space="preserve">AASP has rapidly expanded its portfolio of projects advocating for gender equality within APEC in 2023-2024. AASP’s projects have provided training, policy briefs, non-binding guidelines and toolkits to help government and public officials, civil society organisations, and academics in developing economies better understand economic decisions to support equitable growth. </w:t>
      </w:r>
    </w:p>
    <w:p w14:paraId="08246809" w14:textId="4152015B" w:rsidR="00674830" w:rsidRPr="0029511A" w:rsidRDefault="00674830" w:rsidP="00674830">
      <w:pPr>
        <w:rPr>
          <w:rFonts w:ascii="Calibri" w:hAnsi="Calibri" w:cs="Calibri"/>
          <w:bCs/>
        </w:rPr>
      </w:pPr>
      <w:r w:rsidRPr="0029511A">
        <w:rPr>
          <w:rFonts w:ascii="Calibri" w:hAnsi="Calibri" w:cs="Calibri"/>
        </w:rPr>
        <w:t>Disability inclusion remains a challenge for the AASP, and there has been little change since the 2022 and 2023 analysis which found that disability inclusion is primarily focused on the provision of reasonable physical accommodation options for participants with a disability</w:t>
      </w:r>
      <w:r w:rsidRPr="0029511A">
        <w:rPr>
          <w:rFonts w:ascii="Calibri" w:hAnsi="Calibri" w:cs="Calibri"/>
          <w:b/>
        </w:rPr>
        <w:t xml:space="preserve">. </w:t>
      </w:r>
      <w:r w:rsidRPr="0029511A">
        <w:rPr>
          <w:rFonts w:ascii="Calibri" w:hAnsi="Calibri" w:cs="Calibri"/>
          <w:bCs/>
        </w:rPr>
        <w:t>It is therefore critical that the AASP implements the relevant recommendations from the GEDSI Analysis (</w:t>
      </w:r>
      <w:r w:rsidRPr="0029511A">
        <w:rPr>
          <w:rFonts w:ascii="Calibri" w:eastAsia="Calibri Light" w:hAnsi="Calibri" w:cs="Calibri"/>
          <w:color w:val="000000"/>
        </w:rPr>
        <w:t xml:space="preserve">and, most importantly, Australia’s forthcoming </w:t>
      </w:r>
      <w:hyperlink r:id="rId17" w:history="1">
        <w:r w:rsidRPr="0029511A">
          <w:rPr>
            <w:rStyle w:val="Hyperlink"/>
            <w:rFonts w:ascii="Calibri" w:eastAsia="Calibri Light" w:hAnsi="Calibri" w:cs="Calibri"/>
          </w:rPr>
          <w:t>International Disability Equity and Rights Strategy</w:t>
        </w:r>
      </w:hyperlink>
      <w:r w:rsidRPr="0029511A">
        <w:rPr>
          <w:rFonts w:ascii="Calibri" w:eastAsia="Calibri Light" w:hAnsi="Calibri" w:cs="Calibri"/>
          <w:color w:val="000000"/>
        </w:rPr>
        <w:t xml:space="preserve"> </w:t>
      </w:r>
      <w:r w:rsidRPr="0029511A">
        <w:rPr>
          <w:rFonts w:ascii="Calibri" w:hAnsi="Calibri" w:cs="Calibri"/>
          <w:bCs/>
        </w:rPr>
        <w:t>), including that the AASP ‘mainstreams disability perspectives into broader project spaces’, actively considers ways to consult with Disabled Peoples Organisations (DPOs) where applicable, and funds one or more specific disability inclusion projects in the current phase.</w:t>
      </w:r>
    </w:p>
    <w:p w14:paraId="77B7E8E6" w14:textId="77777777" w:rsidR="00674830" w:rsidRPr="0029511A" w:rsidRDefault="00674830" w:rsidP="00674830">
      <w:pPr>
        <w:rPr>
          <w:rFonts w:ascii="Calibri" w:hAnsi="Calibri" w:cs="Calibri"/>
        </w:rPr>
      </w:pPr>
      <w:r w:rsidRPr="0029511A">
        <w:rPr>
          <w:rFonts w:ascii="Calibri" w:eastAsia="Calibri Light" w:hAnsi="Calibri" w:cs="Calibri"/>
          <w:color w:val="000000"/>
        </w:rPr>
        <w:t>With respect to other social inclusion aspects, the AASP has significantly increased its focus on empowering Indigenous Peoples, including ‘leveraging learnings from other economies’ as recommended in the 2023 AASP GEDSI Analysis</w:t>
      </w:r>
      <w:r w:rsidRPr="0029511A">
        <w:rPr>
          <w:rFonts w:ascii="Calibri" w:hAnsi="Calibri" w:cs="Calibri"/>
          <w:color w:val="313131"/>
          <w:shd w:val="clear" w:color="auto" w:fill="FFFFFF"/>
        </w:rPr>
        <w:t xml:space="preserve">. </w:t>
      </w:r>
      <w:r w:rsidRPr="0029511A">
        <w:rPr>
          <w:rFonts w:ascii="Calibri" w:eastAsia="Calibri Light" w:hAnsi="Calibri" w:cs="Calibri"/>
          <w:color w:val="000000"/>
        </w:rPr>
        <w:t xml:space="preserve">The AASP has supported several successful projects </w:t>
      </w:r>
      <w:r w:rsidRPr="0029511A">
        <w:rPr>
          <w:rFonts w:ascii="Calibri" w:hAnsi="Calibri" w:cs="Calibri"/>
        </w:rPr>
        <w:t>where Indigenous entrepreneurs and businesses have identified shared challenges and new areas for collaboration, discussed innovative approaches to grow Indigenous trade, created networks and incorporated Indigenous views into APEC’s work on trade and investment. Notwithstanding this success, the AASP in early 2024 commissioned a scoping study to outline potential priorities to</w:t>
      </w:r>
      <w:r w:rsidRPr="0029511A">
        <w:rPr>
          <w:rFonts w:ascii="Calibri" w:hAnsi="Calibri" w:cs="Calibri"/>
          <w:color w:val="000000" w:themeColor="text1"/>
        </w:rPr>
        <w:t xml:space="preserve"> guide Australia’s future work on Indigenous international trade and investment, particularly in the APEC region. While the study acknowledges that the </w:t>
      </w:r>
      <w:r w:rsidRPr="0029511A">
        <w:rPr>
          <w:rFonts w:ascii="Calibri" w:hAnsi="Calibri" w:cs="Calibri"/>
        </w:rPr>
        <w:t xml:space="preserve">level of activity and policy discussion has increased over the last two years, it judiciously concludes that future programming must be ‘informed by ongoing consultation with Indigenous representatives and relevant agencies’ and that ‘Australian officials should continue to pursue policy dialogues in APEC across key themes and work directly with Indigenous businesses in priority </w:t>
      </w:r>
      <w:proofErr w:type="gramStart"/>
      <w:r w:rsidRPr="0029511A">
        <w:rPr>
          <w:rFonts w:ascii="Calibri" w:hAnsi="Calibri" w:cs="Calibri"/>
        </w:rPr>
        <w:t>economies’</w:t>
      </w:r>
      <w:proofErr w:type="gramEnd"/>
      <w:r w:rsidRPr="0029511A">
        <w:rPr>
          <w:rFonts w:ascii="Calibri" w:hAnsi="Calibri" w:cs="Calibri"/>
        </w:rPr>
        <w:t>.</w:t>
      </w:r>
    </w:p>
    <w:p w14:paraId="656EB245" w14:textId="77777777" w:rsidR="00674830" w:rsidRPr="0029511A" w:rsidRDefault="00674830" w:rsidP="00674830">
      <w:pPr>
        <w:rPr>
          <w:rFonts w:ascii="Calibri" w:hAnsi="Calibri" w:cs="Calibri"/>
        </w:rPr>
      </w:pPr>
    </w:p>
    <w:p w14:paraId="62B9DE80" w14:textId="77777777" w:rsidR="00674830" w:rsidRPr="00D27C6F" w:rsidRDefault="00674830" w:rsidP="00674830">
      <w:pPr>
        <w:rPr>
          <w:rFonts w:ascii="Calibri" w:hAnsi="Calibri" w:cs="Calibri"/>
          <w:color w:val="002060"/>
        </w:rPr>
      </w:pPr>
      <w:r w:rsidRPr="00D27C6F">
        <w:rPr>
          <w:rStyle w:val="cf21"/>
          <w:rFonts w:ascii="Calibri" w:hAnsi="Calibri"/>
          <w:color w:val="002060"/>
        </w:rPr>
        <w:t xml:space="preserve">Intermediate Outcome 5: </w:t>
      </w:r>
      <w:r w:rsidRPr="00D27C6F">
        <w:rPr>
          <w:rFonts w:ascii="Calibri" w:eastAsia="Calibri Light" w:hAnsi="Calibri" w:cs="Calibri"/>
          <w:color w:val="002060"/>
        </w:rPr>
        <w:t>APEC developing economies reporting the contribution of AASP as valuable</w:t>
      </w:r>
    </w:p>
    <w:p w14:paraId="0F99C1C0" w14:textId="77777777" w:rsidR="00674830" w:rsidRPr="0029511A" w:rsidRDefault="00674830" w:rsidP="00674830">
      <w:pPr>
        <w:rPr>
          <w:rFonts w:ascii="Calibri" w:hAnsi="Calibri" w:cs="Calibri"/>
        </w:rPr>
      </w:pPr>
      <w:r w:rsidRPr="0029511A">
        <w:rPr>
          <w:rFonts w:ascii="Calibri" w:eastAsia="Calibri Light" w:hAnsi="Calibri" w:cs="Calibri"/>
          <w:color w:val="000000"/>
        </w:rPr>
        <w:t xml:space="preserve">The mean satisfaction score for all completed AASP projects is a very high 4.5 out of a maximum score of 5. Participants have consistently rated AASP projects highly, reporting high levels of satisfaction with both the relevance of the topics addressed in the respective projects and the utility of the knowledge shared through these projects. All four case studies noted the value of the AASP to developing economies. </w:t>
      </w:r>
    </w:p>
    <w:p w14:paraId="18AA8FC9" w14:textId="77777777" w:rsidR="00674830" w:rsidRPr="0029511A" w:rsidRDefault="00674830" w:rsidP="00674830">
      <w:pPr>
        <w:rPr>
          <w:rFonts w:ascii="Calibri" w:hAnsi="Calibri" w:cs="Calibri"/>
        </w:rPr>
      </w:pPr>
    </w:p>
    <w:p w14:paraId="504BBFD1" w14:textId="1809A6AA" w:rsidR="00674830" w:rsidRPr="00D27C6F" w:rsidRDefault="00674830" w:rsidP="00674830">
      <w:pPr>
        <w:rPr>
          <w:rFonts w:ascii="Calibri" w:eastAsia="Calibri Light" w:hAnsi="Calibri" w:cs="Calibri"/>
          <w:color w:val="002060"/>
        </w:rPr>
      </w:pPr>
      <w:r w:rsidRPr="00D27C6F">
        <w:rPr>
          <w:rStyle w:val="cf21"/>
          <w:rFonts w:ascii="Calibri" w:hAnsi="Calibri"/>
          <w:color w:val="002060"/>
        </w:rPr>
        <w:lastRenderedPageBreak/>
        <w:t>E</w:t>
      </w:r>
      <w:r w:rsidR="00B87937" w:rsidRPr="00D27C6F">
        <w:rPr>
          <w:rStyle w:val="cf21"/>
          <w:rFonts w:ascii="Calibri" w:hAnsi="Calibri"/>
          <w:color w:val="002060"/>
        </w:rPr>
        <w:t>nd of Program Outcome</w:t>
      </w:r>
      <w:r w:rsidRPr="00D27C6F">
        <w:rPr>
          <w:rStyle w:val="cf21"/>
          <w:rFonts w:ascii="Calibri" w:hAnsi="Calibri"/>
          <w:color w:val="002060"/>
        </w:rPr>
        <w:t xml:space="preserve"> 1: </w:t>
      </w:r>
      <w:r w:rsidRPr="00D27C6F">
        <w:rPr>
          <w:rFonts w:ascii="Calibri" w:eastAsia="Calibri Light" w:hAnsi="Calibri" w:cs="Calibri"/>
          <w:color w:val="002060"/>
        </w:rPr>
        <w:t>Regional economic integration and structural reform that is consistent with Australia’s broader</w:t>
      </w:r>
      <w:r w:rsidR="007A5344" w:rsidRPr="00D27C6F">
        <w:rPr>
          <w:rFonts w:ascii="Calibri" w:eastAsia="Calibri Light" w:hAnsi="Calibri" w:cs="Calibri"/>
          <w:color w:val="002060"/>
        </w:rPr>
        <w:t xml:space="preserve"> </w:t>
      </w:r>
      <w:r w:rsidRPr="00D27C6F">
        <w:rPr>
          <w:rFonts w:ascii="Calibri" w:eastAsia="Calibri Light" w:hAnsi="Calibri" w:cs="Calibri"/>
          <w:color w:val="002060"/>
        </w:rPr>
        <w:t>trade and investment agenda is strengthened to maximise inclusive growth for APEC developing economies</w:t>
      </w:r>
      <w:r w:rsidRPr="00D27C6F">
        <w:rPr>
          <w:rStyle w:val="cf21"/>
          <w:rFonts w:ascii="Calibri" w:hAnsi="Calibri"/>
          <w:color w:val="002060"/>
        </w:rPr>
        <w:t>.</w:t>
      </w:r>
    </w:p>
    <w:p w14:paraId="050A894D" w14:textId="770B0A91" w:rsidR="00674830" w:rsidRPr="0029511A" w:rsidRDefault="00674830" w:rsidP="00674830">
      <w:pPr>
        <w:rPr>
          <w:rStyle w:val="cf21"/>
          <w:rFonts w:ascii="Calibri" w:hAnsi="Calibri"/>
        </w:rPr>
      </w:pPr>
      <w:r w:rsidRPr="0029511A">
        <w:rPr>
          <w:rStyle w:val="cf21"/>
          <w:rFonts w:ascii="Calibri" w:hAnsi="Calibri"/>
        </w:rPr>
        <w:t xml:space="preserve">There is clear evidence that despite the relatively short </w:t>
      </w:r>
      <w:proofErr w:type="gramStart"/>
      <w:r w:rsidRPr="0029511A">
        <w:rPr>
          <w:rStyle w:val="cf21"/>
          <w:rFonts w:ascii="Calibri" w:hAnsi="Calibri"/>
        </w:rPr>
        <w:t>time period</w:t>
      </w:r>
      <w:proofErr w:type="gramEnd"/>
      <w:r w:rsidRPr="0029511A">
        <w:rPr>
          <w:rStyle w:val="cf21"/>
          <w:rFonts w:ascii="Calibri" w:hAnsi="Calibri"/>
        </w:rPr>
        <w:t xml:space="preserve"> of the majority of the AASP self-funded projects, the program is making strong progress towards </w:t>
      </w:r>
      <w:proofErr w:type="spellStart"/>
      <w:r w:rsidRPr="0029511A">
        <w:rPr>
          <w:rStyle w:val="cf21"/>
          <w:rFonts w:ascii="Calibri" w:hAnsi="Calibri"/>
        </w:rPr>
        <w:t>EoPO</w:t>
      </w:r>
      <w:proofErr w:type="spellEnd"/>
      <w:r w:rsidRPr="0029511A">
        <w:rPr>
          <w:rStyle w:val="cf21"/>
          <w:rFonts w:ascii="Calibri" w:hAnsi="Calibri"/>
        </w:rPr>
        <w:t xml:space="preserve"> 1. By </w:t>
      </w:r>
      <w:r w:rsidR="00B87937" w:rsidRPr="0029511A">
        <w:rPr>
          <w:rStyle w:val="cf21"/>
          <w:rFonts w:ascii="Calibri" w:hAnsi="Calibri"/>
        </w:rPr>
        <w:t xml:space="preserve">aligning with </w:t>
      </w:r>
      <w:r w:rsidRPr="0029511A">
        <w:rPr>
          <w:rStyle w:val="cf21"/>
          <w:rFonts w:ascii="Calibri" w:hAnsi="Calibri"/>
        </w:rPr>
        <w:t>Australia’s priorities within APEC, the AASP is also helping developing economies realise their own ambitions with respect to inclusive growth. The AASP has helped to strengthen regional economic integration, including through increasing capacities in developing economies regarding bilateral and free trade agreements (FTAs). The AASP has also promoted structural reform to maximise inclusive growth for APEC developing economies. In addition, the AASP is having a notable impact on policy development through the provision of critical building blocks necessary for economic and structural reform.</w:t>
      </w:r>
    </w:p>
    <w:p w14:paraId="0041F052" w14:textId="77777777" w:rsidR="00674830" w:rsidRPr="0029511A" w:rsidRDefault="00674830" w:rsidP="00674830">
      <w:pPr>
        <w:rPr>
          <w:rStyle w:val="cf21"/>
          <w:rFonts w:ascii="Calibri" w:hAnsi="Calibri"/>
        </w:rPr>
      </w:pPr>
    </w:p>
    <w:p w14:paraId="19B446A1" w14:textId="7DA14FD7" w:rsidR="00674830" w:rsidRPr="00D27C6F" w:rsidRDefault="00674830" w:rsidP="00674830">
      <w:pPr>
        <w:rPr>
          <w:rFonts w:ascii="Calibri" w:hAnsi="Calibri" w:cs="Calibri"/>
          <w:color w:val="002060"/>
        </w:rPr>
      </w:pPr>
      <w:r w:rsidRPr="00D27C6F">
        <w:rPr>
          <w:rStyle w:val="cf21"/>
          <w:rFonts w:ascii="Calibri" w:hAnsi="Calibri"/>
          <w:color w:val="002060"/>
        </w:rPr>
        <w:t>E</w:t>
      </w:r>
      <w:r w:rsidR="00B87937" w:rsidRPr="00D27C6F">
        <w:rPr>
          <w:rStyle w:val="cf21"/>
          <w:rFonts w:ascii="Calibri" w:hAnsi="Calibri"/>
          <w:color w:val="002060"/>
        </w:rPr>
        <w:t>nd of Program Outcome</w:t>
      </w:r>
      <w:r w:rsidRPr="00D27C6F">
        <w:rPr>
          <w:rStyle w:val="cf21"/>
          <w:rFonts w:ascii="Calibri" w:hAnsi="Calibri"/>
          <w:color w:val="002060"/>
        </w:rPr>
        <w:t xml:space="preserve"> 2: Australia’s influence within APEC and across the region is enhanced to support open and free rules-based trading systems that bring mutual benefit to participating economies.</w:t>
      </w:r>
    </w:p>
    <w:p w14:paraId="5301A69B" w14:textId="1CAC4DE6" w:rsidR="00BD4C21" w:rsidRPr="0029511A" w:rsidRDefault="00674830" w:rsidP="00674830">
      <w:pPr>
        <w:rPr>
          <w:rFonts w:ascii="Calibri" w:eastAsia="Times New Roman" w:hAnsi="Calibri" w:cs="Calibri"/>
          <w:color w:val="000000"/>
          <w:lang w:val="en-GB" w:eastAsia="en-GB"/>
        </w:rPr>
      </w:pPr>
      <w:r w:rsidRPr="0029511A">
        <w:rPr>
          <w:rFonts w:ascii="Calibri" w:eastAsia="Times New Roman" w:hAnsi="Calibri" w:cs="Calibri"/>
          <w:color w:val="000000"/>
          <w:lang w:val="en-GB" w:eastAsia="en-GB"/>
        </w:rPr>
        <w:t>Australian leadership and capacity-building offerings in APEC are regarded as best practice by key informants, with self-funded projects delivered by the AASP enhancing Australia's reputation as a robust capacity-building and technical cooperation partner within the APEC region. Australia is seen as leading APEC’s work on several key policy priorities, taking the initiative on crucial aspects such as services and structural reform, which benefit all APEC economies. Interviews with Australia’s partners within APEC support the view that Australia’s contributions are valuable and agree that the AASP bolsters Australia’s influence within APEC, promoting open and free rules-based trading systems that yield mutual benefits for participating economies.</w:t>
      </w:r>
    </w:p>
    <w:p w14:paraId="32722BEA" w14:textId="22B348EE" w:rsidR="00F34681" w:rsidRPr="00D27C6F" w:rsidRDefault="00F34681" w:rsidP="00F34681">
      <w:pPr>
        <w:pStyle w:val="Subheading"/>
        <w:rPr>
          <w:rFonts w:ascii="Calibri" w:hAnsi="Calibri" w:cs="Calibri"/>
          <w:color w:val="002060"/>
          <w:lang w:val="en-GB"/>
        </w:rPr>
      </w:pPr>
      <w:r w:rsidRPr="00D27C6F">
        <w:rPr>
          <w:rFonts w:ascii="Calibri" w:hAnsi="Calibri" w:cs="Calibri"/>
          <w:color w:val="002060"/>
          <w:lang w:val="en-GB"/>
        </w:rPr>
        <w:t>Efficiency</w:t>
      </w:r>
    </w:p>
    <w:p w14:paraId="610B8114" w14:textId="39DB418B" w:rsidR="00F34681" w:rsidRPr="0029511A" w:rsidRDefault="00E95692" w:rsidP="00F34681">
      <w:pPr>
        <w:rPr>
          <w:rFonts w:ascii="Calibri" w:hAnsi="Calibri" w:cs="Calibri"/>
          <w:lang w:val="en-GB"/>
        </w:rPr>
      </w:pPr>
      <w:r w:rsidRPr="0029511A">
        <w:rPr>
          <w:rFonts w:ascii="Calibri" w:eastAsia="Times New Roman" w:hAnsi="Calibri" w:cs="Calibri"/>
          <w:color w:val="000000"/>
          <w:lang w:val="en-GB" w:eastAsia="en-GB"/>
        </w:rPr>
        <w:t>The AASP is on track to expend as expected against the full investment by its conclusion in June 2026</w:t>
      </w:r>
      <w:r w:rsidR="00F34681" w:rsidRPr="0029511A">
        <w:rPr>
          <w:rFonts w:ascii="Calibri" w:hAnsi="Calibri" w:cs="Calibri"/>
          <w:lang w:val="en-GB"/>
        </w:rPr>
        <w:t xml:space="preserve">. </w:t>
      </w:r>
      <w:r w:rsidRPr="0029511A">
        <w:rPr>
          <w:rFonts w:ascii="Calibri" w:hAnsi="Calibri" w:cs="Calibri"/>
          <w:lang w:val="en-GB"/>
        </w:rPr>
        <w:t>The AASP has ensured a relatively balanced portfolio across the key priorities of the program. The program</w:t>
      </w:r>
      <w:r w:rsidR="00E46D74" w:rsidRPr="0029511A">
        <w:rPr>
          <w:rFonts w:ascii="Calibri" w:hAnsi="Calibri" w:cs="Calibri"/>
          <w:lang w:val="en-GB"/>
        </w:rPr>
        <w:t>, however,</w:t>
      </w:r>
      <w:r w:rsidRPr="0029511A">
        <w:rPr>
          <w:rFonts w:ascii="Calibri" w:hAnsi="Calibri" w:cs="Calibri"/>
          <w:lang w:val="en-GB"/>
        </w:rPr>
        <w:t xml:space="preserve"> will need to be continually proactive in ensuring that the pipeline continues to maintain a balanced portfolio</w:t>
      </w:r>
      <w:r w:rsidR="00F5135E" w:rsidRPr="0029511A">
        <w:rPr>
          <w:rFonts w:ascii="Calibri" w:hAnsi="Calibri" w:cs="Calibri"/>
          <w:lang w:val="en-GB"/>
        </w:rPr>
        <w:t xml:space="preserve"> as it risks not having sufficient projects generated by whole-of</w:t>
      </w:r>
      <w:r w:rsidR="003A0B25" w:rsidRPr="0029511A">
        <w:rPr>
          <w:rFonts w:ascii="Calibri" w:hAnsi="Calibri" w:cs="Calibri"/>
          <w:lang w:val="en-GB"/>
        </w:rPr>
        <w:t>-</w:t>
      </w:r>
      <w:r w:rsidR="00F5135E" w:rsidRPr="0029511A">
        <w:rPr>
          <w:rFonts w:ascii="Calibri" w:hAnsi="Calibri" w:cs="Calibri"/>
          <w:lang w:val="en-GB"/>
        </w:rPr>
        <w:t>government partners due to increasing resourcing constraints raised by these partners</w:t>
      </w:r>
      <w:r w:rsidRPr="0029511A">
        <w:rPr>
          <w:rFonts w:ascii="Calibri" w:hAnsi="Calibri" w:cs="Calibri"/>
          <w:lang w:val="en-GB"/>
        </w:rPr>
        <w:t>.</w:t>
      </w:r>
      <w:r w:rsidR="00F5135E" w:rsidRPr="0029511A">
        <w:rPr>
          <w:rFonts w:ascii="Calibri" w:hAnsi="Calibri" w:cs="Calibri"/>
          <w:lang w:val="en-GB"/>
        </w:rPr>
        <w:t xml:space="preserve"> </w:t>
      </w:r>
      <w:r w:rsidR="00EC3CD5" w:rsidRPr="0029511A">
        <w:rPr>
          <w:rFonts w:ascii="Calibri" w:hAnsi="Calibri" w:cs="Calibri"/>
          <w:lang w:val="en-GB"/>
        </w:rPr>
        <w:t>Within DFAT</w:t>
      </w:r>
      <w:r w:rsidR="00F5135E" w:rsidRPr="0029511A">
        <w:rPr>
          <w:rFonts w:ascii="Calibri" w:hAnsi="Calibri" w:cs="Calibri"/>
          <w:lang w:val="en-GB"/>
        </w:rPr>
        <w:t xml:space="preserve">, the program needs to carefully prioritise projects that address Australia’s APEC priorities and intended AASP outcomes in a balanced fashion (i.e. avoid overrepresentation of some projects for one priority and neglect projects </w:t>
      </w:r>
      <w:r w:rsidR="005125BE" w:rsidRPr="0029511A">
        <w:rPr>
          <w:rFonts w:ascii="Calibri" w:hAnsi="Calibri" w:cs="Calibri"/>
          <w:lang w:val="en-GB"/>
        </w:rPr>
        <w:t>for</w:t>
      </w:r>
      <w:r w:rsidR="00F5135E" w:rsidRPr="0029511A">
        <w:rPr>
          <w:rFonts w:ascii="Calibri" w:hAnsi="Calibri" w:cs="Calibri"/>
          <w:lang w:val="en-GB"/>
        </w:rPr>
        <w:t xml:space="preserve"> others).</w:t>
      </w:r>
    </w:p>
    <w:p w14:paraId="58B7436F" w14:textId="77777777" w:rsidR="00224F31" w:rsidRPr="0029511A" w:rsidRDefault="00E95692" w:rsidP="00F34681">
      <w:pPr>
        <w:rPr>
          <w:rFonts w:ascii="Calibri" w:eastAsia="Times New Roman" w:hAnsi="Calibri" w:cs="Calibri"/>
          <w:color w:val="000000"/>
          <w:lang w:val="en-GB" w:eastAsia="en-GB"/>
        </w:rPr>
      </w:pPr>
      <w:r w:rsidRPr="0029511A">
        <w:rPr>
          <w:rFonts w:ascii="Calibri" w:eastAsia="Times New Roman" w:hAnsi="Calibri" w:cs="Calibri"/>
          <w:color w:val="000000"/>
          <w:lang w:val="en-GB" w:eastAsia="en-GB"/>
        </w:rPr>
        <w:t xml:space="preserve">The AASP has improved systems and processes internally to enhance the efficiency of the </w:t>
      </w:r>
      <w:r w:rsidR="001151A2" w:rsidRPr="0029511A">
        <w:rPr>
          <w:rFonts w:ascii="Calibri" w:eastAsia="Times New Roman" w:hAnsi="Calibri" w:cs="Calibri"/>
          <w:color w:val="000000"/>
          <w:lang w:val="en-GB" w:eastAsia="en-GB"/>
        </w:rPr>
        <w:t>program and</w:t>
      </w:r>
      <w:r w:rsidRPr="0029511A">
        <w:rPr>
          <w:rFonts w:ascii="Calibri" w:eastAsia="Times New Roman" w:hAnsi="Calibri" w:cs="Calibri"/>
          <w:color w:val="000000"/>
          <w:lang w:val="en-GB" w:eastAsia="en-GB"/>
        </w:rPr>
        <w:t xml:space="preserve"> </w:t>
      </w:r>
      <w:r w:rsidR="00DA278C" w:rsidRPr="0029511A">
        <w:rPr>
          <w:rFonts w:ascii="Calibri" w:eastAsia="Times New Roman" w:hAnsi="Calibri" w:cs="Calibri"/>
          <w:color w:val="000000"/>
          <w:lang w:val="en-GB" w:eastAsia="en-GB"/>
        </w:rPr>
        <w:t xml:space="preserve">has enhanced its </w:t>
      </w:r>
      <w:r w:rsidRPr="0029511A">
        <w:rPr>
          <w:rFonts w:ascii="Calibri" w:eastAsia="Times New Roman" w:hAnsi="Calibri" w:cs="Calibri"/>
          <w:color w:val="000000"/>
          <w:lang w:val="en-GB" w:eastAsia="en-GB"/>
        </w:rPr>
        <w:t xml:space="preserve">information sharing on the processes (including revised project templates, a step-by-step guide to project proposal preparation and implementation, and regular interaction with </w:t>
      </w:r>
      <w:r w:rsidR="00BE2D4E" w:rsidRPr="0029511A">
        <w:rPr>
          <w:rFonts w:ascii="Calibri" w:eastAsia="Times New Roman" w:hAnsi="Calibri" w:cs="Calibri"/>
          <w:color w:val="000000"/>
          <w:lang w:val="en-GB" w:eastAsia="en-GB"/>
        </w:rPr>
        <w:t>whole</w:t>
      </w:r>
      <w:r w:rsidR="00964BAF" w:rsidRPr="0029511A">
        <w:rPr>
          <w:rFonts w:ascii="Calibri" w:eastAsia="Times New Roman" w:hAnsi="Calibri" w:cs="Calibri"/>
          <w:color w:val="000000"/>
          <w:lang w:val="en-GB" w:eastAsia="en-GB"/>
        </w:rPr>
        <w:t>-of-government partners</w:t>
      </w:r>
      <w:r w:rsidRPr="0029511A">
        <w:rPr>
          <w:rFonts w:ascii="Calibri" w:eastAsia="Times New Roman" w:hAnsi="Calibri" w:cs="Calibri"/>
          <w:color w:val="000000"/>
          <w:lang w:val="en-GB" w:eastAsia="en-GB"/>
        </w:rPr>
        <w:t>)</w:t>
      </w:r>
      <w:r w:rsidR="00DA278C" w:rsidRPr="0029511A">
        <w:rPr>
          <w:rFonts w:ascii="Calibri" w:eastAsia="Times New Roman" w:hAnsi="Calibri" w:cs="Calibri"/>
          <w:color w:val="000000"/>
          <w:lang w:val="en-GB" w:eastAsia="en-GB"/>
        </w:rPr>
        <w:t>.</w:t>
      </w:r>
      <w:r w:rsidR="0042393E" w:rsidRPr="0029511A">
        <w:rPr>
          <w:rFonts w:ascii="Calibri" w:eastAsia="Times New Roman" w:hAnsi="Calibri" w:cs="Calibri"/>
          <w:color w:val="000000"/>
          <w:lang w:val="en-GB" w:eastAsia="en-GB"/>
        </w:rPr>
        <w:t xml:space="preserve"> </w:t>
      </w:r>
    </w:p>
    <w:p w14:paraId="6FA02D8F" w14:textId="2B6E3E00" w:rsidR="00224F31" w:rsidRPr="0029511A" w:rsidRDefault="00224F31" w:rsidP="00F34681">
      <w:pPr>
        <w:rPr>
          <w:rFonts w:ascii="Calibri" w:eastAsia="Times New Roman" w:hAnsi="Calibri" w:cs="Calibri"/>
          <w:color w:val="000000"/>
          <w:lang w:val="en-GB" w:eastAsia="en-GB"/>
        </w:rPr>
      </w:pPr>
      <w:r w:rsidRPr="0029511A">
        <w:rPr>
          <w:rFonts w:ascii="Calibri" w:eastAsia="Times New Roman" w:hAnsi="Calibri" w:cs="Calibri"/>
          <w:color w:val="000000" w:themeColor="text1"/>
          <w:lang w:val="en-GB" w:eastAsia="en-GB"/>
        </w:rPr>
        <w:t xml:space="preserve">The AASP provides </w:t>
      </w:r>
      <w:r w:rsidRPr="0029511A">
        <w:rPr>
          <w:rFonts w:ascii="Calibri" w:eastAsiaTheme="minorEastAsia" w:hAnsi="Calibri" w:cs="Calibri"/>
          <w:color w:val="000000" w:themeColor="text1"/>
          <w:lang w:val="en-GB" w:eastAsia="en-GB"/>
        </w:rPr>
        <w:t>support to the APEC Secretariat by funding the position of APEC’s Project Management Unit (PMU) Director. In that role, an Australian official is seconded to oversee the implementation of APEC funds - including funds provided by Australia. PMU has implemented various approaches to improve efficiency</w:t>
      </w:r>
      <w:r w:rsidR="003A0B25" w:rsidRPr="0029511A">
        <w:rPr>
          <w:rFonts w:ascii="Calibri" w:eastAsiaTheme="minorEastAsia" w:hAnsi="Calibri" w:cs="Calibri"/>
          <w:color w:val="000000" w:themeColor="text1"/>
          <w:lang w:val="en-GB" w:eastAsia="en-GB"/>
        </w:rPr>
        <w:t>,</w:t>
      </w:r>
      <w:r w:rsidRPr="0029511A">
        <w:rPr>
          <w:rFonts w:ascii="Calibri" w:eastAsiaTheme="minorEastAsia" w:hAnsi="Calibri" w:cs="Calibri"/>
          <w:color w:val="000000" w:themeColor="text1"/>
          <w:lang w:val="en-GB" w:eastAsia="en-GB"/>
        </w:rPr>
        <w:t xml:space="preserve"> including introducing new online tools for project management and training.</w:t>
      </w:r>
    </w:p>
    <w:p w14:paraId="3B99F7EA" w14:textId="77777777" w:rsidR="007A5344" w:rsidRDefault="0042393E" w:rsidP="00B760C6">
      <w:pPr>
        <w:rPr>
          <w:rFonts w:ascii="Calibri" w:eastAsia="Times New Roman" w:hAnsi="Calibri" w:cs="Calibri"/>
          <w:color w:val="000000"/>
          <w:lang w:val="en-GB" w:eastAsia="en-GB"/>
        </w:rPr>
      </w:pPr>
      <w:r w:rsidRPr="0029511A">
        <w:rPr>
          <w:rFonts w:ascii="Calibri" w:eastAsia="Times New Roman" w:hAnsi="Calibri" w:cs="Calibri"/>
          <w:color w:val="000000"/>
          <w:lang w:val="en-GB" w:eastAsia="en-GB"/>
        </w:rPr>
        <w:t xml:space="preserve">Proactive </w:t>
      </w:r>
      <w:r w:rsidR="00F5135E" w:rsidRPr="0029511A">
        <w:rPr>
          <w:rFonts w:ascii="Calibri" w:eastAsia="Times New Roman" w:hAnsi="Calibri" w:cs="Calibri"/>
          <w:color w:val="000000"/>
          <w:lang w:val="en-GB" w:eastAsia="en-GB"/>
        </w:rPr>
        <w:t xml:space="preserve">early planning </w:t>
      </w:r>
      <w:r w:rsidRPr="0029511A">
        <w:rPr>
          <w:rFonts w:ascii="Calibri" w:eastAsia="Times New Roman" w:hAnsi="Calibri" w:cs="Calibri"/>
          <w:color w:val="000000"/>
          <w:lang w:val="en-GB" w:eastAsia="en-GB"/>
        </w:rPr>
        <w:t xml:space="preserve">of a pipeline of </w:t>
      </w:r>
      <w:r w:rsidR="00BE54AE" w:rsidRPr="0029511A">
        <w:rPr>
          <w:rFonts w:ascii="Calibri" w:eastAsia="Times New Roman" w:hAnsi="Calibri" w:cs="Calibri"/>
          <w:color w:val="000000"/>
          <w:lang w:val="en-GB" w:eastAsia="en-GB"/>
        </w:rPr>
        <w:t>activities and</w:t>
      </w:r>
      <w:r w:rsidR="00F5135E" w:rsidRPr="0029511A">
        <w:rPr>
          <w:rFonts w:ascii="Calibri" w:eastAsia="Times New Roman" w:hAnsi="Calibri" w:cs="Calibri"/>
          <w:color w:val="000000"/>
          <w:lang w:val="en-GB" w:eastAsia="en-GB"/>
        </w:rPr>
        <w:t xml:space="preserve"> </w:t>
      </w:r>
      <w:r w:rsidR="006538B2" w:rsidRPr="0029511A">
        <w:rPr>
          <w:rFonts w:ascii="Calibri" w:eastAsia="Times New Roman" w:hAnsi="Calibri" w:cs="Calibri"/>
          <w:color w:val="000000"/>
          <w:lang w:val="en-GB" w:eastAsia="en-GB"/>
        </w:rPr>
        <w:t>ramped-</w:t>
      </w:r>
      <w:r w:rsidR="00F5135E" w:rsidRPr="0029511A">
        <w:rPr>
          <w:rFonts w:ascii="Calibri" w:eastAsia="Times New Roman" w:hAnsi="Calibri" w:cs="Calibri"/>
          <w:color w:val="000000"/>
          <w:lang w:val="en-GB" w:eastAsia="en-GB"/>
        </w:rPr>
        <w:t>up communication efforts</w:t>
      </w:r>
      <w:r w:rsidR="0087746D" w:rsidRPr="0029511A">
        <w:rPr>
          <w:rFonts w:ascii="Calibri" w:eastAsia="Times New Roman" w:hAnsi="Calibri" w:cs="Calibri"/>
          <w:color w:val="000000"/>
          <w:lang w:val="en-GB" w:eastAsia="en-GB"/>
        </w:rPr>
        <w:t xml:space="preserve"> </w:t>
      </w:r>
      <w:r w:rsidRPr="0029511A">
        <w:rPr>
          <w:rFonts w:ascii="Calibri" w:eastAsia="Times New Roman" w:hAnsi="Calibri" w:cs="Calibri"/>
          <w:color w:val="000000"/>
          <w:lang w:val="en-GB" w:eastAsia="en-GB"/>
        </w:rPr>
        <w:t>offer ample flexibility for the consideration and embrace of innovative approaches and activities</w:t>
      </w:r>
      <w:r w:rsidR="00EC3CD5" w:rsidRPr="0029511A">
        <w:rPr>
          <w:rFonts w:ascii="Calibri" w:eastAsia="Times New Roman" w:hAnsi="Calibri" w:cs="Calibri"/>
          <w:color w:val="000000"/>
          <w:lang w:val="en-GB" w:eastAsia="en-GB"/>
        </w:rPr>
        <w:t xml:space="preserve">, thus ensuring </w:t>
      </w:r>
      <w:r w:rsidRPr="0029511A">
        <w:rPr>
          <w:rFonts w:ascii="Calibri" w:eastAsia="Times New Roman" w:hAnsi="Calibri" w:cs="Calibri"/>
          <w:color w:val="000000"/>
          <w:lang w:val="en-GB" w:eastAsia="en-GB"/>
        </w:rPr>
        <w:t xml:space="preserve">better value </w:t>
      </w:r>
      <w:r w:rsidR="004149C8" w:rsidRPr="0029511A">
        <w:rPr>
          <w:rFonts w:ascii="Calibri" w:eastAsia="Times New Roman" w:hAnsi="Calibri" w:cs="Calibri"/>
          <w:color w:val="000000"/>
          <w:lang w:val="en-GB" w:eastAsia="en-GB"/>
        </w:rPr>
        <w:t>for</w:t>
      </w:r>
      <w:r w:rsidRPr="0029511A">
        <w:rPr>
          <w:rFonts w:ascii="Calibri" w:eastAsia="Times New Roman" w:hAnsi="Calibri" w:cs="Calibri"/>
          <w:color w:val="000000"/>
          <w:lang w:val="en-GB" w:eastAsia="en-GB"/>
        </w:rPr>
        <w:t xml:space="preserve"> </w:t>
      </w:r>
      <w:r w:rsidR="00D30B0B" w:rsidRPr="0029511A">
        <w:rPr>
          <w:rFonts w:ascii="Calibri" w:eastAsia="Times New Roman" w:hAnsi="Calibri" w:cs="Calibri"/>
          <w:color w:val="000000"/>
          <w:lang w:val="en-GB" w:eastAsia="en-GB"/>
        </w:rPr>
        <w:t xml:space="preserve">our </w:t>
      </w:r>
      <w:r w:rsidRPr="0029511A">
        <w:rPr>
          <w:rFonts w:ascii="Calibri" w:eastAsia="Times New Roman" w:hAnsi="Calibri" w:cs="Calibri"/>
          <w:color w:val="000000"/>
          <w:lang w:val="en-GB" w:eastAsia="en-GB"/>
        </w:rPr>
        <w:t>ODA</w:t>
      </w:r>
      <w:r w:rsidR="00D30B0B" w:rsidRPr="0029511A">
        <w:rPr>
          <w:rFonts w:ascii="Calibri" w:eastAsia="Times New Roman" w:hAnsi="Calibri" w:cs="Calibri"/>
          <w:color w:val="000000"/>
          <w:lang w:val="en-GB" w:eastAsia="en-GB"/>
        </w:rPr>
        <w:t xml:space="preserve"> investment</w:t>
      </w:r>
      <w:r w:rsidR="00EC3CD5" w:rsidRPr="0029511A">
        <w:rPr>
          <w:rFonts w:ascii="Calibri" w:eastAsia="Times New Roman" w:hAnsi="Calibri" w:cs="Calibri"/>
          <w:color w:val="000000"/>
          <w:lang w:val="en-GB" w:eastAsia="en-GB"/>
        </w:rPr>
        <w:t>. T</w:t>
      </w:r>
      <w:r w:rsidR="00C80DE4" w:rsidRPr="0029511A">
        <w:rPr>
          <w:rFonts w:ascii="Calibri" w:eastAsia="Times New Roman" w:hAnsi="Calibri" w:cs="Calibri"/>
          <w:color w:val="000000"/>
          <w:lang w:val="en-GB" w:eastAsia="en-GB"/>
        </w:rPr>
        <w:t xml:space="preserve">he AASP has implemented </w:t>
      </w:r>
      <w:proofErr w:type="gramStart"/>
      <w:r w:rsidR="00C80DE4" w:rsidRPr="0029511A">
        <w:rPr>
          <w:rFonts w:ascii="Calibri" w:eastAsia="Times New Roman" w:hAnsi="Calibri" w:cs="Calibri"/>
          <w:color w:val="000000"/>
          <w:lang w:val="en-GB" w:eastAsia="en-GB"/>
        </w:rPr>
        <w:t>a number of</w:t>
      </w:r>
      <w:proofErr w:type="gramEnd"/>
      <w:r w:rsidR="00C80DE4" w:rsidRPr="0029511A">
        <w:rPr>
          <w:rFonts w:ascii="Calibri" w:eastAsia="Times New Roman" w:hAnsi="Calibri" w:cs="Calibri"/>
          <w:color w:val="000000"/>
          <w:lang w:val="en-GB" w:eastAsia="en-GB"/>
        </w:rPr>
        <w:t xml:space="preserve"> steps to ensure the efficient delivery of projects</w:t>
      </w:r>
      <w:r w:rsidR="00EC3CD5" w:rsidRPr="0029511A">
        <w:rPr>
          <w:rFonts w:ascii="Calibri" w:eastAsia="Times New Roman" w:hAnsi="Calibri" w:cs="Calibri"/>
          <w:color w:val="000000"/>
          <w:lang w:val="en-GB" w:eastAsia="en-GB"/>
        </w:rPr>
        <w:t xml:space="preserve">, </w:t>
      </w:r>
      <w:r w:rsidR="00C80DE4" w:rsidRPr="0029511A">
        <w:rPr>
          <w:rFonts w:ascii="Calibri" w:eastAsia="Times New Roman" w:hAnsi="Calibri" w:cs="Calibri"/>
          <w:color w:val="000000"/>
          <w:lang w:val="en-GB" w:eastAsia="en-GB"/>
        </w:rPr>
        <w:t>including leveraging hybrid and innovative ways to enhance capacity building, developing a program database of experts, and hosting events alongside face-to-face meetings of key APEC committees. When necessary</w:t>
      </w:r>
      <w:r w:rsidR="006538B2" w:rsidRPr="0029511A">
        <w:rPr>
          <w:rFonts w:ascii="Calibri" w:eastAsia="Times New Roman" w:hAnsi="Calibri" w:cs="Calibri"/>
          <w:color w:val="000000"/>
          <w:lang w:val="en-GB" w:eastAsia="en-GB"/>
        </w:rPr>
        <w:t>,</w:t>
      </w:r>
      <w:r w:rsidR="00C80DE4" w:rsidRPr="0029511A">
        <w:rPr>
          <w:rFonts w:ascii="Calibri" w:eastAsia="Times New Roman" w:hAnsi="Calibri" w:cs="Calibri"/>
          <w:color w:val="000000"/>
          <w:lang w:val="en-GB" w:eastAsia="en-GB"/>
        </w:rPr>
        <w:t xml:space="preserve"> AASP </w:t>
      </w:r>
      <w:r w:rsidR="006538B2" w:rsidRPr="0029511A">
        <w:rPr>
          <w:rFonts w:ascii="Calibri" w:eastAsia="Times New Roman" w:hAnsi="Calibri" w:cs="Calibri"/>
          <w:color w:val="000000"/>
          <w:lang w:val="en-GB" w:eastAsia="en-GB"/>
        </w:rPr>
        <w:t xml:space="preserve">has </w:t>
      </w:r>
      <w:r w:rsidR="00C80DE4" w:rsidRPr="0029511A">
        <w:rPr>
          <w:rFonts w:ascii="Calibri" w:eastAsia="Times New Roman" w:hAnsi="Calibri" w:cs="Calibri"/>
          <w:color w:val="000000"/>
          <w:lang w:val="en-GB" w:eastAsia="en-GB"/>
        </w:rPr>
        <w:t>been adaptive and respons</w:t>
      </w:r>
      <w:r w:rsidR="00914A61" w:rsidRPr="0029511A">
        <w:rPr>
          <w:rFonts w:ascii="Calibri" w:eastAsia="Times New Roman" w:hAnsi="Calibri" w:cs="Calibri"/>
          <w:color w:val="000000"/>
          <w:lang w:val="en-GB" w:eastAsia="en-GB"/>
        </w:rPr>
        <w:t>ive</w:t>
      </w:r>
      <w:r w:rsidR="00C80DE4" w:rsidRPr="0029511A">
        <w:rPr>
          <w:rFonts w:ascii="Calibri" w:eastAsia="Times New Roman" w:hAnsi="Calibri" w:cs="Calibri"/>
          <w:color w:val="000000"/>
          <w:lang w:val="en-GB" w:eastAsia="en-GB"/>
        </w:rPr>
        <w:t xml:space="preserve"> to </w:t>
      </w:r>
      <w:r w:rsidR="00C80DE4" w:rsidRPr="0029511A">
        <w:rPr>
          <w:rFonts w:ascii="Calibri" w:eastAsia="Times New Roman" w:hAnsi="Calibri" w:cs="Calibri"/>
          <w:color w:val="000000"/>
          <w:lang w:val="en-GB" w:eastAsia="en-GB"/>
        </w:rPr>
        <w:lastRenderedPageBreak/>
        <w:t xml:space="preserve">changing </w:t>
      </w:r>
      <w:r w:rsidR="004149C8" w:rsidRPr="0029511A">
        <w:rPr>
          <w:rFonts w:ascii="Calibri" w:eastAsia="Times New Roman" w:hAnsi="Calibri" w:cs="Calibri"/>
          <w:color w:val="000000"/>
          <w:lang w:val="en-GB" w:eastAsia="en-GB"/>
        </w:rPr>
        <w:t>needs and</w:t>
      </w:r>
      <w:r w:rsidR="00C80DE4" w:rsidRPr="0029511A">
        <w:rPr>
          <w:rFonts w:ascii="Calibri" w:eastAsia="Times New Roman" w:hAnsi="Calibri" w:cs="Calibri"/>
          <w:color w:val="000000"/>
          <w:lang w:val="en-GB" w:eastAsia="en-GB"/>
        </w:rPr>
        <w:t xml:space="preserve"> </w:t>
      </w:r>
      <w:r w:rsidR="006538B2" w:rsidRPr="0029511A">
        <w:rPr>
          <w:rFonts w:ascii="Calibri" w:eastAsia="Times New Roman" w:hAnsi="Calibri" w:cs="Calibri"/>
          <w:color w:val="000000"/>
          <w:lang w:val="en-GB" w:eastAsia="en-GB"/>
        </w:rPr>
        <w:t xml:space="preserve">has </w:t>
      </w:r>
      <w:r w:rsidR="00C80DE4" w:rsidRPr="0029511A">
        <w:rPr>
          <w:rFonts w:ascii="Calibri" w:eastAsia="Times New Roman" w:hAnsi="Calibri" w:cs="Calibri"/>
          <w:color w:val="000000"/>
          <w:lang w:val="en-GB" w:eastAsia="en-GB"/>
        </w:rPr>
        <w:t>pivoted to address changes in context.</w:t>
      </w:r>
      <w:r w:rsidR="00696B38" w:rsidRPr="0029511A">
        <w:rPr>
          <w:rFonts w:ascii="Calibri" w:eastAsia="Times New Roman" w:hAnsi="Calibri" w:cs="Calibri"/>
          <w:color w:val="000000"/>
          <w:lang w:val="en-GB" w:eastAsia="en-GB"/>
        </w:rPr>
        <w:t xml:space="preserve"> </w:t>
      </w:r>
      <w:r w:rsidR="00920738" w:rsidRPr="0029511A">
        <w:rPr>
          <w:rFonts w:ascii="Calibri" w:eastAsia="Times New Roman" w:hAnsi="Calibri" w:cs="Calibri"/>
          <w:color w:val="000000"/>
          <w:lang w:val="en-GB" w:eastAsia="en-GB"/>
        </w:rPr>
        <w:t xml:space="preserve">Signing </w:t>
      </w:r>
      <w:r w:rsidR="00334138" w:rsidRPr="0029511A">
        <w:rPr>
          <w:rFonts w:ascii="Calibri" w:eastAsia="Times New Roman" w:hAnsi="Calibri" w:cs="Calibri"/>
          <w:color w:val="000000"/>
          <w:lang w:val="en-GB" w:eastAsia="en-GB"/>
        </w:rPr>
        <w:t>the extension of the</w:t>
      </w:r>
      <w:r w:rsidR="00931989" w:rsidRPr="0029511A">
        <w:rPr>
          <w:rFonts w:ascii="Calibri" w:eastAsia="Times New Roman" w:hAnsi="Calibri" w:cs="Calibri"/>
          <w:color w:val="000000"/>
          <w:lang w:val="en-GB" w:eastAsia="en-GB"/>
        </w:rPr>
        <w:t xml:space="preserve"> contract </w:t>
      </w:r>
      <w:r w:rsidR="00334138" w:rsidRPr="0029511A">
        <w:rPr>
          <w:rFonts w:ascii="Calibri" w:eastAsia="Times New Roman" w:hAnsi="Calibri" w:cs="Calibri"/>
          <w:color w:val="000000"/>
          <w:lang w:val="en-GB" w:eastAsia="en-GB"/>
        </w:rPr>
        <w:t xml:space="preserve">with the </w:t>
      </w:r>
      <w:r w:rsidR="00EC3CD5" w:rsidRPr="0029511A">
        <w:rPr>
          <w:rFonts w:ascii="Calibri" w:eastAsia="Times New Roman" w:hAnsi="Calibri" w:cs="Calibri"/>
          <w:color w:val="000000"/>
          <w:lang w:val="en-GB" w:eastAsia="en-GB"/>
        </w:rPr>
        <w:t xml:space="preserve">Advisory </w:t>
      </w:r>
      <w:r w:rsidR="006538B2" w:rsidRPr="0029511A">
        <w:rPr>
          <w:rFonts w:ascii="Calibri" w:eastAsia="Times New Roman" w:hAnsi="Calibri" w:cs="Calibri"/>
          <w:color w:val="000000"/>
          <w:lang w:val="en-GB" w:eastAsia="en-GB"/>
        </w:rPr>
        <w:t>S</w:t>
      </w:r>
      <w:r w:rsidR="00EC3CD5" w:rsidRPr="0029511A">
        <w:rPr>
          <w:rFonts w:ascii="Calibri" w:eastAsia="Times New Roman" w:hAnsi="Calibri" w:cs="Calibri"/>
          <w:color w:val="000000"/>
          <w:lang w:val="en-GB" w:eastAsia="en-GB"/>
        </w:rPr>
        <w:t xml:space="preserve">upport </w:t>
      </w:r>
      <w:r w:rsidR="00334138" w:rsidRPr="0029511A">
        <w:rPr>
          <w:rFonts w:ascii="Calibri" w:eastAsia="Times New Roman" w:hAnsi="Calibri" w:cs="Calibri"/>
          <w:color w:val="000000"/>
          <w:lang w:val="en-GB" w:eastAsia="en-GB"/>
        </w:rPr>
        <w:t>contractor</w:t>
      </w:r>
      <w:r w:rsidR="00931989" w:rsidRPr="0029511A">
        <w:rPr>
          <w:rFonts w:ascii="Calibri" w:eastAsia="Times New Roman" w:hAnsi="Calibri" w:cs="Calibri"/>
          <w:color w:val="000000"/>
          <w:lang w:val="en-GB" w:eastAsia="en-GB"/>
        </w:rPr>
        <w:t xml:space="preserve"> </w:t>
      </w:r>
      <w:r w:rsidR="00EC3CD5" w:rsidRPr="0029511A">
        <w:rPr>
          <w:rFonts w:ascii="Calibri" w:eastAsia="Times New Roman" w:hAnsi="Calibri" w:cs="Calibri"/>
          <w:color w:val="000000"/>
          <w:lang w:val="en-GB" w:eastAsia="en-GB"/>
        </w:rPr>
        <w:t>f</w:t>
      </w:r>
      <w:r w:rsidR="00334138" w:rsidRPr="0029511A">
        <w:rPr>
          <w:rFonts w:ascii="Calibri" w:eastAsia="Times New Roman" w:hAnsi="Calibri" w:cs="Calibri"/>
          <w:color w:val="000000"/>
          <w:lang w:val="en-GB" w:eastAsia="en-GB"/>
        </w:rPr>
        <w:t xml:space="preserve">or another 12 months </w:t>
      </w:r>
      <w:r w:rsidR="00931989" w:rsidRPr="0029511A">
        <w:rPr>
          <w:rFonts w:ascii="Calibri" w:eastAsia="Times New Roman" w:hAnsi="Calibri" w:cs="Calibri"/>
          <w:color w:val="000000"/>
          <w:lang w:val="en-GB" w:eastAsia="en-GB"/>
        </w:rPr>
        <w:t>h</w:t>
      </w:r>
      <w:r w:rsidR="00696B38" w:rsidRPr="0029511A">
        <w:rPr>
          <w:rFonts w:ascii="Calibri" w:eastAsia="Times New Roman" w:hAnsi="Calibri" w:cs="Calibri"/>
          <w:color w:val="000000"/>
          <w:lang w:val="en-GB" w:eastAsia="en-GB"/>
        </w:rPr>
        <w:t xml:space="preserve">as also </w:t>
      </w:r>
      <w:r w:rsidR="00920738" w:rsidRPr="0029511A">
        <w:rPr>
          <w:rFonts w:ascii="Calibri" w:eastAsia="Times New Roman" w:hAnsi="Calibri" w:cs="Calibri"/>
          <w:color w:val="000000"/>
          <w:lang w:val="en-GB" w:eastAsia="en-GB"/>
        </w:rPr>
        <w:t xml:space="preserve">ensured continuity of </w:t>
      </w:r>
      <w:r w:rsidR="00931989" w:rsidRPr="0029511A">
        <w:rPr>
          <w:rFonts w:ascii="Calibri" w:eastAsia="Times New Roman" w:hAnsi="Calibri" w:cs="Calibri"/>
          <w:color w:val="000000"/>
          <w:lang w:val="en-GB" w:eastAsia="en-GB"/>
        </w:rPr>
        <w:t xml:space="preserve">additional </w:t>
      </w:r>
      <w:r w:rsidR="00920738" w:rsidRPr="0029511A">
        <w:rPr>
          <w:rFonts w:ascii="Calibri" w:eastAsia="Times New Roman" w:hAnsi="Calibri" w:cs="Calibri"/>
          <w:color w:val="000000"/>
          <w:lang w:val="en-GB" w:eastAsia="en-GB"/>
        </w:rPr>
        <w:t xml:space="preserve">external </w:t>
      </w:r>
      <w:r w:rsidR="00931989" w:rsidRPr="0029511A">
        <w:rPr>
          <w:rFonts w:ascii="Calibri" w:eastAsia="Times New Roman" w:hAnsi="Calibri" w:cs="Calibri"/>
          <w:color w:val="000000"/>
          <w:lang w:val="en-GB" w:eastAsia="en-GB"/>
        </w:rPr>
        <w:t>technical assistance required to manage the program.</w:t>
      </w:r>
    </w:p>
    <w:p w14:paraId="4191724A" w14:textId="77777777" w:rsidR="007D3D66" w:rsidRDefault="007D3D66" w:rsidP="00B760C6">
      <w:pPr>
        <w:rPr>
          <w:rFonts w:ascii="Calibri" w:eastAsia="Times New Roman" w:hAnsi="Calibri" w:cs="Calibri"/>
          <w:color w:val="000000"/>
          <w:lang w:val="en-GB" w:eastAsia="en-GB"/>
        </w:rPr>
      </w:pPr>
    </w:p>
    <w:p w14:paraId="105AE276" w14:textId="38590DB9" w:rsidR="00492DD6" w:rsidRPr="00D27C6F" w:rsidRDefault="00492DD6" w:rsidP="00492DD6">
      <w:pPr>
        <w:pStyle w:val="Subheading"/>
        <w:rPr>
          <w:rFonts w:ascii="Calibri" w:hAnsi="Calibri" w:cs="Calibri"/>
          <w:color w:val="002060"/>
          <w:lang w:val="en-GB"/>
        </w:rPr>
      </w:pPr>
      <w:r w:rsidRPr="00D27C6F">
        <w:rPr>
          <w:rFonts w:ascii="Calibri" w:hAnsi="Calibri" w:cs="Calibri"/>
          <w:color w:val="002060"/>
          <w:lang w:val="en-GB"/>
        </w:rPr>
        <w:t>Risks and Safeguards</w:t>
      </w:r>
    </w:p>
    <w:p w14:paraId="47091706" w14:textId="409D84C5" w:rsidR="00224F31" w:rsidRPr="0029511A" w:rsidRDefault="00D30B0B" w:rsidP="00492DD6">
      <w:pPr>
        <w:rPr>
          <w:rFonts w:ascii="Calibri" w:eastAsia="calibri,sans-serif" w:hAnsi="Calibri" w:cs="Calibri"/>
          <w:color w:val="000000"/>
          <w:lang w:val="en-GB"/>
        </w:rPr>
      </w:pPr>
      <w:r w:rsidRPr="0029511A">
        <w:rPr>
          <w:rFonts w:ascii="Calibri" w:eastAsia="calibri,sans-serif" w:hAnsi="Calibri" w:cs="Calibri"/>
          <w:color w:val="000000"/>
          <w:lang w:val="en-GB"/>
        </w:rPr>
        <w:t>The</w:t>
      </w:r>
      <w:r w:rsidR="001D4E02" w:rsidRPr="0029511A">
        <w:rPr>
          <w:rFonts w:ascii="Calibri" w:eastAsia="calibri,sans-serif" w:hAnsi="Calibri" w:cs="Calibri"/>
          <w:color w:val="000000"/>
          <w:lang w:val="en-GB"/>
        </w:rPr>
        <w:t xml:space="preserve"> AASP </w:t>
      </w:r>
      <w:r w:rsidRPr="0029511A">
        <w:rPr>
          <w:rFonts w:ascii="Calibri" w:eastAsia="calibri,sans-serif" w:hAnsi="Calibri" w:cs="Calibri"/>
          <w:color w:val="000000"/>
          <w:lang w:val="en-GB"/>
        </w:rPr>
        <w:t>is</w:t>
      </w:r>
      <w:r w:rsidR="001D4E02" w:rsidRPr="0029511A">
        <w:rPr>
          <w:rFonts w:ascii="Calibri" w:eastAsia="calibri,sans-serif" w:hAnsi="Calibri" w:cs="Calibri"/>
          <w:color w:val="000000"/>
          <w:lang w:val="en-GB"/>
        </w:rPr>
        <w:t xml:space="preserve"> a low-risk program</w:t>
      </w:r>
      <w:r w:rsidRPr="0029511A">
        <w:rPr>
          <w:rFonts w:ascii="Calibri" w:eastAsia="calibri,sans-serif" w:hAnsi="Calibri" w:cs="Calibri"/>
          <w:color w:val="000000"/>
          <w:lang w:val="en-GB"/>
        </w:rPr>
        <w:t xml:space="preserve">. The </w:t>
      </w:r>
      <w:r w:rsidR="00F55253" w:rsidRPr="0029511A">
        <w:rPr>
          <w:rFonts w:ascii="Calibri" w:eastAsia="calibri,sans-serif" w:hAnsi="Calibri" w:cs="Calibri"/>
          <w:color w:val="000000"/>
          <w:lang w:val="en-GB"/>
        </w:rPr>
        <w:t>I</w:t>
      </w:r>
      <w:r w:rsidRPr="0029511A">
        <w:rPr>
          <w:rFonts w:ascii="Calibri" w:eastAsia="calibri,sans-serif" w:hAnsi="Calibri" w:cs="Calibri"/>
          <w:color w:val="000000"/>
          <w:lang w:val="en-GB"/>
        </w:rPr>
        <w:t>nvestment Manager, in collaboration with the Managing Contractor</w:t>
      </w:r>
      <w:r w:rsidR="0015272F" w:rsidRPr="0029511A">
        <w:rPr>
          <w:rFonts w:ascii="Calibri" w:eastAsia="calibri,sans-serif" w:hAnsi="Calibri" w:cs="Calibri"/>
          <w:color w:val="000000"/>
          <w:lang w:val="en-GB"/>
        </w:rPr>
        <w:t xml:space="preserve"> (MC)</w:t>
      </w:r>
      <w:r w:rsidRPr="0029511A">
        <w:rPr>
          <w:rFonts w:ascii="Calibri" w:eastAsia="calibri,sans-serif" w:hAnsi="Calibri" w:cs="Calibri"/>
          <w:color w:val="000000"/>
          <w:lang w:val="en-GB"/>
        </w:rPr>
        <w:t>, perform</w:t>
      </w:r>
      <w:r w:rsidR="004539F4" w:rsidRPr="0029511A">
        <w:rPr>
          <w:rFonts w:ascii="Calibri" w:eastAsia="calibri,sans-serif" w:hAnsi="Calibri" w:cs="Calibri"/>
          <w:color w:val="000000"/>
          <w:lang w:val="en-GB"/>
        </w:rPr>
        <w:t>s</w:t>
      </w:r>
      <w:r w:rsidR="001D4E02" w:rsidRPr="0029511A">
        <w:rPr>
          <w:rFonts w:ascii="Calibri" w:eastAsia="calibri,sans-serif" w:hAnsi="Calibri" w:cs="Calibri"/>
          <w:color w:val="000000"/>
          <w:lang w:val="en-GB"/>
        </w:rPr>
        <w:t xml:space="preserve"> routine assessments of </w:t>
      </w:r>
      <w:r w:rsidRPr="0029511A">
        <w:rPr>
          <w:rFonts w:ascii="Calibri" w:eastAsia="calibri,sans-serif" w:hAnsi="Calibri" w:cs="Calibri"/>
          <w:color w:val="000000"/>
          <w:lang w:val="en-GB"/>
        </w:rPr>
        <w:t xml:space="preserve">the </w:t>
      </w:r>
      <w:r w:rsidR="001D4E02" w:rsidRPr="0029511A">
        <w:rPr>
          <w:rFonts w:ascii="Calibri" w:eastAsia="calibri,sans-serif" w:hAnsi="Calibri" w:cs="Calibri"/>
          <w:color w:val="000000"/>
          <w:lang w:val="en-GB"/>
        </w:rPr>
        <w:t xml:space="preserve">risk register, </w:t>
      </w:r>
      <w:r w:rsidRPr="0029511A">
        <w:rPr>
          <w:rFonts w:ascii="Calibri" w:eastAsia="calibri,sans-serif" w:hAnsi="Calibri" w:cs="Calibri"/>
          <w:color w:val="000000"/>
          <w:lang w:val="en-GB"/>
        </w:rPr>
        <w:t>conduct</w:t>
      </w:r>
      <w:r w:rsidR="004539F4" w:rsidRPr="0029511A">
        <w:rPr>
          <w:rFonts w:ascii="Calibri" w:eastAsia="calibri,sans-serif" w:hAnsi="Calibri" w:cs="Calibri"/>
          <w:color w:val="000000"/>
          <w:lang w:val="en-GB"/>
        </w:rPr>
        <w:t>s</w:t>
      </w:r>
      <w:r w:rsidRPr="0029511A">
        <w:rPr>
          <w:rFonts w:ascii="Calibri" w:eastAsia="calibri,sans-serif" w:hAnsi="Calibri" w:cs="Calibri"/>
          <w:color w:val="000000"/>
          <w:lang w:val="en-GB"/>
        </w:rPr>
        <w:t xml:space="preserve"> </w:t>
      </w:r>
      <w:r w:rsidR="001D4E02" w:rsidRPr="0029511A">
        <w:rPr>
          <w:rFonts w:ascii="Calibri" w:eastAsia="calibri,sans-serif" w:hAnsi="Calibri" w:cs="Calibri"/>
          <w:color w:val="000000"/>
          <w:lang w:val="en-GB"/>
        </w:rPr>
        <w:t xml:space="preserve">risk assessments for each proposed project, and </w:t>
      </w:r>
      <w:r w:rsidRPr="0029511A">
        <w:rPr>
          <w:rFonts w:ascii="Calibri" w:eastAsia="calibri,sans-serif" w:hAnsi="Calibri" w:cs="Calibri"/>
          <w:color w:val="000000"/>
          <w:lang w:val="en-GB"/>
        </w:rPr>
        <w:t>consider</w:t>
      </w:r>
      <w:r w:rsidR="004539F4" w:rsidRPr="0029511A">
        <w:rPr>
          <w:rFonts w:ascii="Calibri" w:eastAsia="calibri,sans-serif" w:hAnsi="Calibri" w:cs="Calibri"/>
          <w:color w:val="000000"/>
          <w:lang w:val="en-GB"/>
        </w:rPr>
        <w:t>s</w:t>
      </w:r>
      <w:r w:rsidR="001D4E02" w:rsidRPr="0029511A">
        <w:rPr>
          <w:rFonts w:ascii="Calibri" w:eastAsia="calibri,sans-serif" w:hAnsi="Calibri" w:cs="Calibri"/>
          <w:color w:val="000000"/>
          <w:lang w:val="en-GB"/>
        </w:rPr>
        <w:t xml:space="preserve"> risk and safeguards </w:t>
      </w:r>
      <w:r w:rsidR="00EC3CD5" w:rsidRPr="0029511A">
        <w:rPr>
          <w:rFonts w:ascii="Calibri" w:eastAsia="calibri,sans-serif" w:hAnsi="Calibri" w:cs="Calibri"/>
          <w:color w:val="000000"/>
          <w:lang w:val="en-GB"/>
        </w:rPr>
        <w:t xml:space="preserve">as part of </w:t>
      </w:r>
      <w:r w:rsidR="005B0073" w:rsidRPr="0029511A">
        <w:rPr>
          <w:rFonts w:ascii="Calibri" w:eastAsia="calibri,sans-serif" w:hAnsi="Calibri" w:cs="Calibri"/>
          <w:color w:val="000000"/>
          <w:lang w:val="en-GB"/>
        </w:rPr>
        <w:t xml:space="preserve">the </w:t>
      </w:r>
      <w:r w:rsidR="00EC3CD5" w:rsidRPr="0029511A">
        <w:rPr>
          <w:rFonts w:ascii="Calibri" w:eastAsia="calibri,sans-serif" w:hAnsi="Calibri" w:cs="Calibri"/>
          <w:color w:val="000000"/>
          <w:lang w:val="en-GB"/>
        </w:rPr>
        <w:t>project proposal assessment stages</w:t>
      </w:r>
      <w:r w:rsidR="001D4E02" w:rsidRPr="0029511A">
        <w:rPr>
          <w:rFonts w:ascii="Calibri" w:eastAsia="calibri,sans-serif" w:hAnsi="Calibri" w:cs="Calibri"/>
          <w:color w:val="000000"/>
          <w:lang w:val="en-GB"/>
        </w:rPr>
        <w:t xml:space="preserve">. </w:t>
      </w:r>
      <w:r w:rsidR="00603A02" w:rsidRPr="0029511A">
        <w:rPr>
          <w:rFonts w:ascii="Calibri" w:eastAsia="calibri,sans-serif" w:hAnsi="Calibri" w:cs="Calibri"/>
          <w:color w:val="000000"/>
          <w:lang w:val="en-GB"/>
        </w:rPr>
        <w:t xml:space="preserve">The </w:t>
      </w:r>
      <w:r w:rsidR="00EC3CD5" w:rsidRPr="0029511A">
        <w:rPr>
          <w:rFonts w:ascii="Calibri" w:eastAsia="calibri,sans-serif" w:hAnsi="Calibri" w:cs="Calibri"/>
          <w:color w:val="000000"/>
          <w:lang w:val="en-GB"/>
        </w:rPr>
        <w:t>DFAT Investment Manager le</w:t>
      </w:r>
      <w:r w:rsidR="00C57243" w:rsidRPr="0029511A">
        <w:rPr>
          <w:rFonts w:ascii="Calibri" w:eastAsia="calibri,sans-serif" w:hAnsi="Calibri" w:cs="Calibri"/>
          <w:color w:val="000000"/>
          <w:lang w:val="en-GB"/>
        </w:rPr>
        <w:t>d</w:t>
      </w:r>
      <w:r w:rsidR="00EC3CD5" w:rsidRPr="0029511A">
        <w:rPr>
          <w:rFonts w:ascii="Calibri" w:eastAsia="calibri,sans-serif" w:hAnsi="Calibri" w:cs="Calibri"/>
          <w:color w:val="000000"/>
          <w:lang w:val="en-GB"/>
        </w:rPr>
        <w:t xml:space="preserve"> the drafting of the due diligence assessment of the APEC Secretariat in 2024. The due diligence exercise provided an opportunity to </w:t>
      </w:r>
      <w:r w:rsidR="00FA2565" w:rsidRPr="0029511A">
        <w:rPr>
          <w:rFonts w:ascii="Calibri" w:eastAsia="calibri,sans-serif" w:hAnsi="Calibri" w:cs="Calibri"/>
          <w:color w:val="000000"/>
          <w:lang w:val="en-GB"/>
        </w:rPr>
        <w:t xml:space="preserve">review and </w:t>
      </w:r>
      <w:r w:rsidR="00EC3CD5" w:rsidRPr="0029511A">
        <w:rPr>
          <w:rFonts w:ascii="Calibri" w:eastAsia="calibri,sans-serif" w:hAnsi="Calibri" w:cs="Calibri"/>
          <w:color w:val="000000"/>
          <w:lang w:val="en-GB"/>
        </w:rPr>
        <w:t xml:space="preserve">evaluate the risks associated with providing funds to the APEC Secretariat as Australia’s </w:t>
      </w:r>
      <w:r w:rsidR="00FA2565" w:rsidRPr="0029511A">
        <w:rPr>
          <w:rFonts w:ascii="Calibri" w:eastAsia="calibri,sans-serif" w:hAnsi="Calibri" w:cs="Calibri"/>
          <w:color w:val="000000"/>
          <w:lang w:val="en-GB"/>
        </w:rPr>
        <w:t>funding partner and</w:t>
      </w:r>
      <w:r w:rsidR="00EC3CD5" w:rsidRPr="0029511A">
        <w:rPr>
          <w:rFonts w:ascii="Calibri" w:eastAsia="calibri,sans-serif" w:hAnsi="Calibri" w:cs="Calibri"/>
          <w:color w:val="000000"/>
          <w:lang w:val="en-GB"/>
        </w:rPr>
        <w:t xml:space="preserve"> ensure </w:t>
      </w:r>
      <w:r w:rsidR="00FA2565" w:rsidRPr="0029511A">
        <w:rPr>
          <w:rFonts w:ascii="Calibri" w:eastAsia="calibri,sans-serif" w:hAnsi="Calibri" w:cs="Calibri"/>
          <w:color w:val="000000"/>
          <w:lang w:val="en-GB"/>
        </w:rPr>
        <w:t xml:space="preserve">DFAT has </w:t>
      </w:r>
      <w:r w:rsidR="00EC3CD5" w:rsidRPr="0029511A">
        <w:rPr>
          <w:rFonts w:ascii="Calibri" w:eastAsia="calibri,sans-serif" w:hAnsi="Calibri" w:cs="Calibri"/>
          <w:color w:val="000000"/>
          <w:lang w:val="en-GB"/>
        </w:rPr>
        <w:t xml:space="preserve">appropriate mitigation measures in place. </w:t>
      </w:r>
    </w:p>
    <w:p w14:paraId="0530C516" w14:textId="22DDBEE6" w:rsidR="00224F31" w:rsidRPr="0029511A" w:rsidRDefault="00DE6B5D" w:rsidP="00492DD6">
      <w:pPr>
        <w:rPr>
          <w:rFonts w:ascii="Calibri" w:eastAsia="calibri,sans-serif" w:hAnsi="Calibri" w:cs="Calibri"/>
          <w:color w:val="000000"/>
          <w:lang w:val="en-GB"/>
        </w:rPr>
      </w:pPr>
      <w:r w:rsidRPr="0029511A">
        <w:rPr>
          <w:rFonts w:ascii="Calibri" w:eastAsia="calibri,sans-serif" w:hAnsi="Calibri" w:cs="Calibri"/>
          <w:color w:val="000000"/>
          <w:lang w:val="en-GB"/>
        </w:rPr>
        <w:t>Additionally, the AASP-funded position of an Australian officer as APEC’s PMU Director oversees the implementation of APEC Sub-Funds, including contributions to these Sub-Funds made by Australia. The PMU Director has adopted various strategies to manage risk, such as online training for officials from APEC economies and supervising staff to conduct thorough quality assessments of project proposals.</w:t>
      </w:r>
    </w:p>
    <w:p w14:paraId="34759D67" w14:textId="10C5894B" w:rsidR="00FA2565" w:rsidRPr="0029511A" w:rsidRDefault="00EC3CD5" w:rsidP="00492DD6">
      <w:pPr>
        <w:rPr>
          <w:rFonts w:ascii="Calibri" w:hAnsi="Calibri" w:cs="Calibri"/>
          <w:color w:val="000000"/>
          <w:lang w:val="en-GB"/>
        </w:rPr>
      </w:pPr>
      <w:r w:rsidRPr="0029511A">
        <w:rPr>
          <w:rFonts w:ascii="Calibri" w:eastAsia="calibri,sans-serif" w:hAnsi="Calibri" w:cs="Calibri"/>
          <w:color w:val="000000"/>
          <w:lang w:val="en-GB"/>
        </w:rPr>
        <w:t xml:space="preserve">While </w:t>
      </w:r>
      <w:r w:rsidR="00FA2565" w:rsidRPr="0029511A">
        <w:rPr>
          <w:rFonts w:ascii="Calibri" w:hAnsi="Calibri" w:cs="Calibri"/>
          <w:color w:val="000000"/>
          <w:lang w:val="en-GB"/>
        </w:rPr>
        <w:t>the</w:t>
      </w:r>
      <w:r w:rsidR="001D4E02" w:rsidRPr="0029511A">
        <w:rPr>
          <w:rFonts w:ascii="Calibri" w:hAnsi="Calibri" w:cs="Calibri"/>
          <w:color w:val="000000"/>
          <w:lang w:val="en-GB"/>
        </w:rPr>
        <w:t xml:space="preserve"> MTR process</w:t>
      </w:r>
      <w:r w:rsidR="00FA2565" w:rsidRPr="0029511A">
        <w:rPr>
          <w:rFonts w:ascii="Calibri" w:hAnsi="Calibri" w:cs="Calibri"/>
          <w:color w:val="000000"/>
          <w:lang w:val="en-GB"/>
        </w:rPr>
        <w:t xml:space="preserve"> did not identify any major risks</w:t>
      </w:r>
      <w:r w:rsidR="001D4E02" w:rsidRPr="0029511A">
        <w:rPr>
          <w:rFonts w:ascii="Calibri" w:hAnsi="Calibri" w:cs="Calibri"/>
          <w:color w:val="000000"/>
          <w:lang w:val="en-GB"/>
        </w:rPr>
        <w:t xml:space="preserve"> </w:t>
      </w:r>
      <w:r w:rsidR="00FA2565" w:rsidRPr="0029511A">
        <w:rPr>
          <w:rFonts w:ascii="Calibri" w:hAnsi="Calibri" w:cs="Calibri"/>
          <w:color w:val="000000"/>
          <w:lang w:val="en-GB"/>
        </w:rPr>
        <w:t>that can</w:t>
      </w:r>
      <w:r w:rsidR="001D4E02" w:rsidRPr="0029511A">
        <w:rPr>
          <w:rFonts w:ascii="Calibri" w:hAnsi="Calibri" w:cs="Calibri"/>
          <w:color w:val="000000"/>
          <w:lang w:val="en-GB"/>
        </w:rPr>
        <w:t xml:space="preserve"> have a direct impact on the program,</w:t>
      </w:r>
      <w:r w:rsidR="00FA2565" w:rsidRPr="0029511A">
        <w:rPr>
          <w:rFonts w:ascii="Calibri" w:hAnsi="Calibri" w:cs="Calibri"/>
          <w:color w:val="000000"/>
          <w:lang w:val="en-GB"/>
        </w:rPr>
        <w:t xml:space="preserve"> below are some risks worth monitoring</w:t>
      </w:r>
      <w:r w:rsidR="00D30B0B" w:rsidRPr="0029511A">
        <w:rPr>
          <w:rFonts w:ascii="Calibri" w:hAnsi="Calibri" w:cs="Calibri"/>
          <w:color w:val="000000"/>
          <w:lang w:val="en-GB"/>
        </w:rPr>
        <w:t xml:space="preserve"> for the remainder of the program</w:t>
      </w:r>
      <w:r w:rsidR="00514B8F" w:rsidRPr="0029511A">
        <w:rPr>
          <w:rFonts w:ascii="Calibri" w:hAnsi="Calibri" w:cs="Calibri"/>
          <w:color w:val="000000"/>
          <w:lang w:val="en-GB"/>
        </w:rPr>
        <w:t>:</w:t>
      </w:r>
    </w:p>
    <w:p w14:paraId="102C05F7" w14:textId="58101DF0" w:rsidR="00FA2565" w:rsidRPr="0029511A" w:rsidRDefault="00914535" w:rsidP="00D078C9">
      <w:pPr>
        <w:pStyle w:val="ListParagraph"/>
        <w:numPr>
          <w:ilvl w:val="0"/>
          <w:numId w:val="13"/>
        </w:numPr>
        <w:rPr>
          <w:rFonts w:ascii="Calibri" w:hAnsi="Calibri" w:cs="Calibri"/>
          <w:color w:val="000000"/>
          <w:lang w:val="en-GB"/>
        </w:rPr>
      </w:pPr>
      <w:r w:rsidRPr="0029511A">
        <w:rPr>
          <w:rFonts w:ascii="Calibri" w:hAnsi="Calibri" w:cs="Calibri"/>
          <w:color w:val="000000"/>
          <w:lang w:val="en-GB"/>
        </w:rPr>
        <w:t>The pipeline each year needs to be carefully managed to ensure it is fully programmed early on during the financial year (preferably no later than March of each financial year)</w:t>
      </w:r>
      <w:r w:rsidR="006523D5" w:rsidRPr="0029511A">
        <w:rPr>
          <w:rFonts w:ascii="Calibri" w:hAnsi="Calibri" w:cs="Calibri"/>
          <w:color w:val="000000"/>
          <w:lang w:val="en-GB"/>
        </w:rPr>
        <w:t>.</w:t>
      </w:r>
      <w:r w:rsidRPr="0029511A">
        <w:rPr>
          <w:rFonts w:ascii="Calibri" w:hAnsi="Calibri" w:cs="Calibri"/>
          <w:color w:val="000000"/>
          <w:lang w:val="en-GB"/>
        </w:rPr>
        <w:t xml:space="preserve"> </w:t>
      </w:r>
      <w:r w:rsidR="003475E6" w:rsidRPr="0029511A">
        <w:rPr>
          <w:rFonts w:ascii="Calibri" w:hAnsi="Calibri" w:cs="Calibri"/>
          <w:color w:val="000000"/>
          <w:lang w:val="en-GB"/>
        </w:rPr>
        <w:t>Increasingly</w:t>
      </w:r>
      <w:r w:rsidR="004539F4" w:rsidRPr="0029511A">
        <w:rPr>
          <w:rFonts w:ascii="Calibri" w:hAnsi="Calibri" w:cs="Calibri"/>
          <w:color w:val="000000"/>
          <w:lang w:val="en-GB"/>
        </w:rPr>
        <w:t>,</w:t>
      </w:r>
      <w:r w:rsidR="003475E6" w:rsidRPr="0029511A">
        <w:rPr>
          <w:rFonts w:ascii="Calibri" w:hAnsi="Calibri" w:cs="Calibri"/>
          <w:color w:val="000000"/>
          <w:lang w:val="en-GB"/>
        </w:rPr>
        <w:t xml:space="preserve"> the pressure is growing on DFAT to </w:t>
      </w:r>
      <w:r w:rsidR="00D70DDF" w:rsidRPr="0029511A">
        <w:rPr>
          <w:rFonts w:ascii="Calibri" w:hAnsi="Calibri" w:cs="Calibri"/>
          <w:color w:val="000000"/>
          <w:lang w:val="en-GB"/>
        </w:rPr>
        <w:t>design and</w:t>
      </w:r>
      <w:r w:rsidR="003475E6" w:rsidRPr="0029511A">
        <w:rPr>
          <w:rFonts w:ascii="Calibri" w:hAnsi="Calibri" w:cs="Calibri"/>
          <w:color w:val="000000"/>
          <w:lang w:val="en-GB"/>
        </w:rPr>
        <w:t xml:space="preserve"> implement more and more projects to populate the pipeline</w:t>
      </w:r>
      <w:r w:rsidR="00A1589F" w:rsidRPr="0029511A">
        <w:rPr>
          <w:rFonts w:ascii="Calibri" w:hAnsi="Calibri" w:cs="Calibri"/>
          <w:color w:val="000000"/>
          <w:lang w:val="en-GB"/>
        </w:rPr>
        <w:t>.</w:t>
      </w:r>
      <w:r w:rsidR="00D70DDF" w:rsidRPr="0029511A">
        <w:rPr>
          <w:rFonts w:ascii="Calibri" w:hAnsi="Calibri" w:cs="Calibri"/>
          <w:color w:val="000000"/>
          <w:lang w:val="en-GB"/>
        </w:rPr>
        <w:t xml:space="preserve"> </w:t>
      </w:r>
      <w:r w:rsidR="00A1589F" w:rsidRPr="0029511A">
        <w:rPr>
          <w:rFonts w:ascii="Calibri" w:hAnsi="Calibri" w:cs="Calibri"/>
          <w:color w:val="000000"/>
          <w:lang w:val="en-GB"/>
        </w:rPr>
        <w:t>H</w:t>
      </w:r>
      <w:r w:rsidR="00FA2565" w:rsidRPr="0029511A">
        <w:rPr>
          <w:rFonts w:ascii="Calibri" w:hAnsi="Calibri" w:cs="Calibri"/>
          <w:color w:val="000000"/>
          <w:lang w:val="en-GB"/>
        </w:rPr>
        <w:t>owever, it was evident from the MTR consultations that not</w:t>
      </w:r>
      <w:r w:rsidR="001D4E02" w:rsidRPr="0029511A">
        <w:rPr>
          <w:rFonts w:ascii="Calibri" w:hAnsi="Calibri" w:cs="Calibri"/>
          <w:color w:val="000000"/>
          <w:lang w:val="en-GB"/>
        </w:rPr>
        <w:t xml:space="preserve"> all </w:t>
      </w:r>
      <w:r w:rsidR="00514B8F" w:rsidRPr="0029511A">
        <w:rPr>
          <w:rFonts w:ascii="Calibri" w:hAnsi="Calibri" w:cs="Calibri"/>
          <w:color w:val="000000"/>
          <w:lang w:val="en-GB"/>
        </w:rPr>
        <w:t>whole</w:t>
      </w:r>
      <w:r w:rsidR="00795D08" w:rsidRPr="0029511A">
        <w:rPr>
          <w:rFonts w:ascii="Calibri" w:hAnsi="Calibri" w:cs="Calibri"/>
          <w:color w:val="000000"/>
          <w:lang w:val="en-GB"/>
        </w:rPr>
        <w:t>-of-</w:t>
      </w:r>
      <w:r w:rsidR="00514B8F" w:rsidRPr="0029511A">
        <w:rPr>
          <w:rFonts w:ascii="Calibri" w:hAnsi="Calibri" w:cs="Calibri"/>
          <w:color w:val="000000"/>
          <w:lang w:val="en-GB"/>
        </w:rPr>
        <w:t>g</w:t>
      </w:r>
      <w:r w:rsidR="00795D08" w:rsidRPr="0029511A">
        <w:rPr>
          <w:rFonts w:ascii="Calibri" w:hAnsi="Calibri" w:cs="Calibri"/>
          <w:color w:val="000000"/>
          <w:lang w:val="en-GB"/>
        </w:rPr>
        <w:t>overnment</w:t>
      </w:r>
      <w:r w:rsidR="001D4E02" w:rsidRPr="0029511A">
        <w:rPr>
          <w:rFonts w:ascii="Calibri" w:hAnsi="Calibri" w:cs="Calibri"/>
          <w:color w:val="000000"/>
          <w:lang w:val="en-GB"/>
        </w:rPr>
        <w:t xml:space="preserve"> partners are suitably structured </w:t>
      </w:r>
      <w:r w:rsidR="00F5135E" w:rsidRPr="0029511A">
        <w:rPr>
          <w:rFonts w:ascii="Calibri" w:hAnsi="Calibri" w:cs="Calibri"/>
          <w:color w:val="000000"/>
          <w:lang w:val="en-GB"/>
        </w:rPr>
        <w:t xml:space="preserve">or resourced </w:t>
      </w:r>
      <w:r w:rsidR="001D4E02" w:rsidRPr="0029511A">
        <w:rPr>
          <w:rFonts w:ascii="Calibri" w:hAnsi="Calibri" w:cs="Calibri"/>
          <w:color w:val="000000"/>
          <w:lang w:val="en-GB"/>
        </w:rPr>
        <w:t xml:space="preserve">to </w:t>
      </w:r>
      <w:r w:rsidR="004A6890" w:rsidRPr="0029511A">
        <w:rPr>
          <w:rFonts w:ascii="Calibri" w:hAnsi="Calibri" w:cs="Calibri"/>
          <w:color w:val="000000"/>
          <w:lang w:val="en-GB"/>
        </w:rPr>
        <w:t xml:space="preserve">undertake </w:t>
      </w:r>
      <w:r w:rsidR="001D4E02" w:rsidRPr="0029511A">
        <w:rPr>
          <w:rFonts w:ascii="Calibri" w:hAnsi="Calibri" w:cs="Calibri"/>
          <w:color w:val="000000"/>
          <w:lang w:val="en-GB"/>
        </w:rPr>
        <w:t>AASP projects</w:t>
      </w:r>
      <w:r w:rsidR="00FC60B1" w:rsidRPr="0029511A">
        <w:rPr>
          <w:rFonts w:ascii="Calibri" w:hAnsi="Calibri" w:cs="Calibri"/>
          <w:color w:val="000000"/>
          <w:lang w:val="en-GB"/>
        </w:rPr>
        <w:t xml:space="preserve"> that include</w:t>
      </w:r>
      <w:r w:rsidR="00953BE8" w:rsidRPr="0029511A">
        <w:rPr>
          <w:rFonts w:ascii="Calibri" w:hAnsi="Calibri" w:cs="Calibri"/>
          <w:color w:val="000000"/>
          <w:lang w:val="en-GB"/>
        </w:rPr>
        <w:t xml:space="preserve"> undertaking</w:t>
      </w:r>
      <w:r w:rsidR="00FA2565" w:rsidRPr="0029511A">
        <w:rPr>
          <w:rFonts w:ascii="Calibri" w:hAnsi="Calibri" w:cs="Calibri"/>
          <w:color w:val="000000"/>
          <w:lang w:val="en-GB"/>
        </w:rPr>
        <w:t xml:space="preserve"> </w:t>
      </w:r>
      <w:r w:rsidR="00F5135E" w:rsidRPr="0029511A">
        <w:rPr>
          <w:rFonts w:ascii="Calibri" w:hAnsi="Calibri" w:cs="Calibri"/>
          <w:color w:val="000000"/>
          <w:lang w:val="en-GB"/>
        </w:rPr>
        <w:t>onerous procurement activities relating to implementation</w:t>
      </w:r>
      <w:r w:rsidR="00D70DDF" w:rsidRPr="0029511A">
        <w:rPr>
          <w:rFonts w:ascii="Calibri" w:hAnsi="Calibri" w:cs="Calibri"/>
          <w:color w:val="000000"/>
          <w:lang w:val="en-GB"/>
        </w:rPr>
        <w:t xml:space="preserve">. </w:t>
      </w:r>
    </w:p>
    <w:p w14:paraId="09AE8BEF" w14:textId="00358D14" w:rsidR="00492DD6" w:rsidRPr="0029511A" w:rsidRDefault="00F2139F" w:rsidP="00D078C9">
      <w:pPr>
        <w:pStyle w:val="ListParagraph"/>
        <w:numPr>
          <w:ilvl w:val="0"/>
          <w:numId w:val="13"/>
        </w:numPr>
        <w:rPr>
          <w:rFonts w:ascii="Calibri" w:hAnsi="Calibri" w:cs="Calibri"/>
        </w:rPr>
      </w:pPr>
      <w:r w:rsidRPr="0029511A">
        <w:rPr>
          <w:rFonts w:ascii="Calibri" w:hAnsi="Calibri" w:cs="Calibri"/>
          <w:color w:val="000000" w:themeColor="text1"/>
        </w:rPr>
        <w:t>Lack of resources within DFAT and s</w:t>
      </w:r>
      <w:r w:rsidR="001D4E02" w:rsidRPr="0029511A">
        <w:rPr>
          <w:rFonts w:ascii="Calibri" w:hAnsi="Calibri" w:cs="Calibri"/>
          <w:color w:val="000000" w:themeColor="text1"/>
        </w:rPr>
        <w:t xml:space="preserve">taff turnover </w:t>
      </w:r>
      <w:r w:rsidRPr="0029511A">
        <w:rPr>
          <w:rFonts w:ascii="Calibri" w:hAnsi="Calibri" w:cs="Calibri"/>
          <w:color w:val="000000" w:themeColor="text1"/>
        </w:rPr>
        <w:t>could</w:t>
      </w:r>
      <w:r w:rsidR="001D4E02" w:rsidRPr="0029511A">
        <w:rPr>
          <w:rFonts w:ascii="Calibri" w:hAnsi="Calibri" w:cs="Calibri"/>
          <w:color w:val="000000" w:themeColor="text1"/>
        </w:rPr>
        <w:t xml:space="preserve"> </w:t>
      </w:r>
      <w:r w:rsidR="00953BE8" w:rsidRPr="0029511A">
        <w:rPr>
          <w:rFonts w:ascii="Calibri" w:hAnsi="Calibri" w:cs="Calibri"/>
          <w:color w:val="000000" w:themeColor="text1"/>
        </w:rPr>
        <w:t xml:space="preserve">have a </w:t>
      </w:r>
      <w:r w:rsidR="001D4E02" w:rsidRPr="0029511A">
        <w:rPr>
          <w:rFonts w:ascii="Calibri" w:hAnsi="Calibri" w:cs="Calibri"/>
          <w:color w:val="000000" w:themeColor="text1"/>
        </w:rPr>
        <w:t xml:space="preserve">negative impact on project progress. </w:t>
      </w:r>
      <w:r w:rsidR="00953BE8" w:rsidRPr="0029511A">
        <w:rPr>
          <w:rFonts w:ascii="Calibri" w:hAnsi="Calibri" w:cs="Calibri"/>
          <w:color w:val="000000" w:themeColor="text1"/>
        </w:rPr>
        <w:t>W</w:t>
      </w:r>
      <w:r w:rsidR="001D4E02" w:rsidRPr="0029511A">
        <w:rPr>
          <w:rFonts w:ascii="Calibri" w:hAnsi="Calibri" w:cs="Calibri"/>
          <w:color w:val="000000" w:themeColor="text1"/>
        </w:rPr>
        <w:t>here practicable</w:t>
      </w:r>
      <w:r w:rsidR="004539F4" w:rsidRPr="0029511A">
        <w:rPr>
          <w:rFonts w:ascii="Calibri" w:hAnsi="Calibri" w:cs="Calibri"/>
          <w:color w:val="000000" w:themeColor="text1"/>
        </w:rPr>
        <w:t>,</w:t>
      </w:r>
      <w:r w:rsidR="001D4E02" w:rsidRPr="0029511A">
        <w:rPr>
          <w:rFonts w:ascii="Calibri" w:hAnsi="Calibri" w:cs="Calibri"/>
          <w:color w:val="000000" w:themeColor="text1"/>
        </w:rPr>
        <w:t xml:space="preserve"> </w:t>
      </w:r>
      <w:r w:rsidR="00953BE8" w:rsidRPr="0029511A">
        <w:rPr>
          <w:rFonts w:ascii="Calibri" w:hAnsi="Calibri" w:cs="Calibri"/>
          <w:color w:val="000000" w:themeColor="text1"/>
        </w:rPr>
        <w:t xml:space="preserve">DFAT must </w:t>
      </w:r>
      <w:r w:rsidR="001D4E02" w:rsidRPr="0029511A">
        <w:rPr>
          <w:rFonts w:ascii="Calibri" w:hAnsi="Calibri" w:cs="Calibri"/>
          <w:color w:val="000000" w:themeColor="text1"/>
        </w:rPr>
        <w:t>ensur</w:t>
      </w:r>
      <w:r w:rsidR="00953BE8" w:rsidRPr="0029511A">
        <w:rPr>
          <w:rFonts w:ascii="Calibri" w:hAnsi="Calibri" w:cs="Calibri"/>
          <w:color w:val="000000" w:themeColor="text1"/>
        </w:rPr>
        <w:t>e</w:t>
      </w:r>
      <w:r w:rsidR="001D4E02" w:rsidRPr="0029511A">
        <w:rPr>
          <w:rFonts w:ascii="Calibri" w:hAnsi="Calibri" w:cs="Calibri"/>
          <w:color w:val="000000" w:themeColor="text1"/>
        </w:rPr>
        <w:t xml:space="preserve"> </w:t>
      </w:r>
      <w:r w:rsidR="00953BE8" w:rsidRPr="0029511A">
        <w:rPr>
          <w:rFonts w:ascii="Calibri" w:hAnsi="Calibri" w:cs="Calibri"/>
          <w:color w:val="000000" w:themeColor="text1"/>
        </w:rPr>
        <w:t>staff continuity</w:t>
      </w:r>
      <w:r w:rsidRPr="0029511A">
        <w:rPr>
          <w:rFonts w:ascii="Calibri" w:hAnsi="Calibri" w:cs="Calibri"/>
          <w:color w:val="000000" w:themeColor="text1"/>
        </w:rPr>
        <w:t xml:space="preserve"> and</w:t>
      </w:r>
      <w:r w:rsidR="00953BE8" w:rsidRPr="0029511A">
        <w:rPr>
          <w:rFonts w:ascii="Calibri" w:hAnsi="Calibri" w:cs="Calibri"/>
          <w:color w:val="000000" w:themeColor="text1"/>
        </w:rPr>
        <w:t xml:space="preserve"> </w:t>
      </w:r>
      <w:r w:rsidR="001D4E02" w:rsidRPr="0029511A">
        <w:rPr>
          <w:rFonts w:ascii="Calibri" w:hAnsi="Calibri" w:cs="Calibri"/>
          <w:color w:val="000000" w:themeColor="text1"/>
        </w:rPr>
        <w:t xml:space="preserve">appropriate handover </w:t>
      </w:r>
      <w:r w:rsidR="00953BE8" w:rsidRPr="0029511A">
        <w:rPr>
          <w:rFonts w:ascii="Calibri" w:hAnsi="Calibri" w:cs="Calibri"/>
          <w:color w:val="000000" w:themeColor="text1"/>
        </w:rPr>
        <w:t>to avoid unnecessary delays in finalising projects</w:t>
      </w:r>
      <w:r w:rsidRPr="0029511A">
        <w:rPr>
          <w:rFonts w:ascii="Calibri" w:hAnsi="Calibri" w:cs="Calibri"/>
          <w:color w:val="000000" w:themeColor="text1"/>
        </w:rPr>
        <w:t xml:space="preserve"> to populate and manage the pipeline</w:t>
      </w:r>
      <w:r w:rsidR="001D4E02" w:rsidRPr="0029511A">
        <w:rPr>
          <w:rFonts w:ascii="Calibri" w:hAnsi="Calibri" w:cs="Calibri"/>
          <w:color w:val="000000" w:themeColor="text1"/>
        </w:rPr>
        <w:t>.</w:t>
      </w:r>
      <w:r w:rsidR="00442269" w:rsidRPr="0029511A">
        <w:rPr>
          <w:rFonts w:ascii="Calibri" w:hAnsi="Calibri" w:cs="Calibri"/>
          <w:color w:val="000000" w:themeColor="text1"/>
        </w:rPr>
        <w:t xml:space="preserve"> </w:t>
      </w:r>
    </w:p>
    <w:p w14:paraId="6EB7591C" w14:textId="313C84F0" w:rsidR="00FA2565" w:rsidRPr="0029511A" w:rsidRDefault="00FA2565" w:rsidP="00D078C9">
      <w:pPr>
        <w:pStyle w:val="ListParagraph"/>
        <w:numPr>
          <w:ilvl w:val="0"/>
          <w:numId w:val="13"/>
        </w:numPr>
        <w:rPr>
          <w:rFonts w:ascii="Calibri" w:hAnsi="Calibri" w:cs="Calibri"/>
          <w:lang w:val="en-GB"/>
        </w:rPr>
      </w:pPr>
      <w:r w:rsidRPr="0029511A">
        <w:rPr>
          <w:rFonts w:ascii="Calibri" w:hAnsi="Calibri" w:cs="Calibri"/>
          <w:lang w:val="en-GB"/>
        </w:rPr>
        <w:t xml:space="preserve">All project overseers must continue to produce completion reports </w:t>
      </w:r>
      <w:r w:rsidR="004539F4" w:rsidRPr="0029511A">
        <w:rPr>
          <w:rFonts w:ascii="Calibri" w:hAnsi="Calibri" w:cs="Calibri"/>
          <w:lang w:val="en-GB"/>
        </w:rPr>
        <w:t xml:space="preserve">in a prompt manner </w:t>
      </w:r>
      <w:r w:rsidRPr="0029511A">
        <w:rPr>
          <w:rFonts w:ascii="Calibri" w:hAnsi="Calibri" w:cs="Calibri"/>
          <w:lang w:val="en-GB"/>
        </w:rPr>
        <w:t xml:space="preserve">after their project has ended. This would ensure DFAT is sufficiently capturing and reporting the project’s achievements, successes and evidence/data on gender, disability, and other social inclusion markers. This evidence/data is critical to ensuring </w:t>
      </w:r>
      <w:r w:rsidR="00640CCD" w:rsidRPr="0029511A">
        <w:rPr>
          <w:rFonts w:ascii="Calibri" w:hAnsi="Calibri" w:cs="Calibri"/>
          <w:lang w:val="en-GB"/>
        </w:rPr>
        <w:t>the</w:t>
      </w:r>
      <w:r w:rsidRPr="0029511A">
        <w:rPr>
          <w:rFonts w:ascii="Calibri" w:hAnsi="Calibri" w:cs="Calibri"/>
          <w:lang w:val="en-GB"/>
        </w:rPr>
        <w:t xml:space="preserve"> program’s achievements can be communicated m</w:t>
      </w:r>
      <w:r w:rsidR="00025245" w:rsidRPr="0029511A">
        <w:rPr>
          <w:rFonts w:ascii="Calibri" w:hAnsi="Calibri" w:cs="Calibri"/>
          <w:lang w:val="en-GB"/>
        </w:rPr>
        <w:t>ore</w:t>
      </w:r>
      <w:r w:rsidRPr="0029511A">
        <w:rPr>
          <w:rFonts w:ascii="Calibri" w:hAnsi="Calibri" w:cs="Calibri"/>
          <w:lang w:val="en-GB"/>
        </w:rPr>
        <w:t xml:space="preserve"> broadly to Ministers, APEC stakeholders, and the Australian public.</w:t>
      </w:r>
      <w:r w:rsidR="00596242" w:rsidRPr="0029511A">
        <w:rPr>
          <w:rFonts w:ascii="Calibri" w:hAnsi="Calibri" w:cs="Calibri"/>
          <w:lang w:val="en-GB"/>
        </w:rPr>
        <w:t xml:space="preserve"> </w:t>
      </w:r>
    </w:p>
    <w:p w14:paraId="1ABEBADF" w14:textId="345B618B" w:rsidR="00492DD6" w:rsidRPr="0029511A" w:rsidRDefault="00492DD6" w:rsidP="001E3791">
      <w:pPr>
        <w:pStyle w:val="Heading2"/>
        <w:numPr>
          <w:ilvl w:val="0"/>
          <w:numId w:val="0"/>
        </w:numPr>
        <w:rPr>
          <w:rFonts w:ascii="Calibri" w:hAnsi="Calibri" w:cs="Calibri"/>
          <w:sz w:val="22"/>
          <w:szCs w:val="22"/>
        </w:rPr>
      </w:pPr>
      <w:bookmarkStart w:id="17" w:name="_Toc190934883"/>
      <w:r w:rsidRPr="0029511A">
        <w:rPr>
          <w:rFonts w:ascii="Calibri" w:hAnsi="Calibri" w:cs="Calibri"/>
          <w:sz w:val="22"/>
          <w:szCs w:val="22"/>
        </w:rPr>
        <w:t>Conclusion</w:t>
      </w:r>
      <w:bookmarkEnd w:id="17"/>
      <w:r w:rsidRPr="0029511A">
        <w:rPr>
          <w:rFonts w:ascii="Calibri" w:hAnsi="Calibri" w:cs="Calibri"/>
          <w:sz w:val="22"/>
          <w:szCs w:val="22"/>
        </w:rPr>
        <w:t xml:space="preserve"> </w:t>
      </w:r>
    </w:p>
    <w:p w14:paraId="7F46F827" w14:textId="74062FA6" w:rsidR="00F10103" w:rsidRDefault="00DE6B5D" w:rsidP="00DE6B5D">
      <w:pPr>
        <w:rPr>
          <w:rFonts w:ascii="Calibri" w:eastAsia="calibri,sans-serif" w:hAnsi="Calibri" w:cs="Calibri"/>
          <w:color w:val="000000"/>
          <w:lang w:val="en-GB"/>
        </w:rPr>
      </w:pPr>
      <w:bookmarkStart w:id="18" w:name="_Hlk181282582"/>
      <w:r w:rsidRPr="0029511A">
        <w:rPr>
          <w:rFonts w:ascii="Calibri" w:eastAsia="calibri,sans-serif" w:hAnsi="Calibri" w:cs="Calibri"/>
          <w:color w:val="000000"/>
          <w:lang w:val="en-GB"/>
        </w:rPr>
        <w:t xml:space="preserve">The overall conclusion of the MTR is that the AASP is making strong progress towards its expected outcomes, and the management and implementation of the projects supported by the AASP have been largely effective and efficient. While the program has delivered on intermediate outcomes to date, it will need to remain proactive in ensuring it maintains a vibrant pipeline of projects across its priorities. </w:t>
      </w:r>
      <w:proofErr w:type="gramStart"/>
      <w:r w:rsidRPr="0029511A">
        <w:rPr>
          <w:rFonts w:ascii="Calibri" w:eastAsia="calibri,sans-serif" w:hAnsi="Calibri" w:cs="Calibri"/>
          <w:color w:val="000000"/>
          <w:lang w:val="en-GB"/>
        </w:rPr>
        <w:t>In particular, there</w:t>
      </w:r>
      <w:proofErr w:type="gramEnd"/>
      <w:r w:rsidRPr="0029511A">
        <w:rPr>
          <w:rFonts w:ascii="Calibri" w:eastAsia="calibri,sans-serif" w:hAnsi="Calibri" w:cs="Calibri"/>
          <w:color w:val="000000"/>
          <w:lang w:val="en-GB"/>
        </w:rPr>
        <w:t xml:space="preserve"> is a pressing need for the AASP to include projects in its pipeline that are dedicated to disability equity and inclusion.</w:t>
      </w:r>
      <w:r w:rsidR="00F10103">
        <w:rPr>
          <w:rFonts w:ascii="Calibri" w:eastAsia="calibri,sans-serif" w:hAnsi="Calibri" w:cs="Calibri"/>
          <w:color w:val="000000"/>
          <w:lang w:val="en-GB"/>
        </w:rPr>
        <w:br w:type="page"/>
      </w:r>
    </w:p>
    <w:p w14:paraId="748CA2CF" w14:textId="64A3E9A3" w:rsidR="00492DD6" w:rsidRPr="0029511A" w:rsidRDefault="00492DD6" w:rsidP="001E3791">
      <w:pPr>
        <w:pStyle w:val="Heading2"/>
        <w:numPr>
          <w:ilvl w:val="0"/>
          <w:numId w:val="0"/>
        </w:numPr>
        <w:rPr>
          <w:rFonts w:ascii="Calibri" w:hAnsi="Calibri" w:cs="Calibri"/>
          <w:sz w:val="22"/>
          <w:szCs w:val="22"/>
        </w:rPr>
      </w:pPr>
      <w:bookmarkStart w:id="19" w:name="_Toc190934884"/>
      <w:r w:rsidRPr="0029511A">
        <w:rPr>
          <w:rFonts w:ascii="Calibri" w:hAnsi="Calibri" w:cs="Calibri"/>
          <w:sz w:val="22"/>
          <w:szCs w:val="22"/>
        </w:rPr>
        <w:lastRenderedPageBreak/>
        <w:t>Recommendations</w:t>
      </w:r>
      <w:bookmarkEnd w:id="19"/>
    </w:p>
    <w:p w14:paraId="6D7D9C75" w14:textId="4AFEF2D4" w:rsidR="009C02D9" w:rsidRPr="0029511A" w:rsidRDefault="00492DD6" w:rsidP="00492DD6">
      <w:pPr>
        <w:rPr>
          <w:rFonts w:ascii="Calibri" w:hAnsi="Calibri" w:cs="Calibri"/>
          <w:lang w:val="en-GB"/>
        </w:rPr>
      </w:pPr>
      <w:r w:rsidRPr="0029511A">
        <w:rPr>
          <w:rFonts w:ascii="Calibri" w:hAnsi="Calibri" w:cs="Calibri"/>
          <w:lang w:val="en-GB"/>
        </w:rPr>
        <w:t>Based on the findings and conclusions of this evaluation, the recommendations for the remaining period of the program are detailed below</w:t>
      </w:r>
      <w:r w:rsidR="00285C3F" w:rsidRPr="0029511A">
        <w:rPr>
          <w:rFonts w:ascii="Calibri" w:hAnsi="Calibri" w:cs="Calibri"/>
          <w:lang w:val="en-GB"/>
        </w:rPr>
        <w:t xml:space="preserve"> (see </w:t>
      </w:r>
      <w:r w:rsidR="00285C3F" w:rsidRPr="0029511A">
        <w:rPr>
          <w:rFonts w:ascii="Calibri" w:hAnsi="Calibri" w:cs="Calibri"/>
          <w:lang w:val="en-GB"/>
        </w:rPr>
        <w:fldChar w:fldCharType="begin"/>
      </w:r>
      <w:r w:rsidR="00285C3F" w:rsidRPr="0029511A">
        <w:rPr>
          <w:rFonts w:ascii="Calibri" w:hAnsi="Calibri" w:cs="Calibri"/>
          <w:lang w:val="en-GB"/>
        </w:rPr>
        <w:instrText xml:space="preserve"> REF _Ref184888750 \h </w:instrText>
      </w:r>
      <w:r w:rsidR="0029511A" w:rsidRPr="0029511A">
        <w:rPr>
          <w:rFonts w:ascii="Calibri" w:hAnsi="Calibri" w:cs="Calibri"/>
          <w:lang w:val="en-GB"/>
        </w:rPr>
        <w:instrText xml:space="preserve"> \* MERGEFORMAT </w:instrText>
      </w:r>
      <w:r w:rsidR="00285C3F" w:rsidRPr="0029511A">
        <w:rPr>
          <w:rFonts w:ascii="Calibri" w:hAnsi="Calibri" w:cs="Calibri"/>
          <w:lang w:val="en-GB"/>
        </w:rPr>
      </w:r>
      <w:r w:rsidR="00285C3F" w:rsidRPr="0029511A">
        <w:rPr>
          <w:rFonts w:ascii="Calibri" w:hAnsi="Calibri" w:cs="Calibri"/>
          <w:lang w:val="en-GB"/>
        </w:rPr>
        <w:fldChar w:fldCharType="separate"/>
      </w:r>
      <w:r w:rsidR="00FD5BA3" w:rsidRPr="0029511A">
        <w:rPr>
          <w:rFonts w:ascii="Calibri" w:hAnsi="Calibri" w:cs="Calibri"/>
          <w:lang w:val="en-GB"/>
        </w:rPr>
        <w:t>Conclusion and Recommendations</w:t>
      </w:r>
      <w:r w:rsidR="00285C3F" w:rsidRPr="0029511A">
        <w:rPr>
          <w:rFonts w:ascii="Calibri" w:hAnsi="Calibri" w:cs="Calibri"/>
          <w:lang w:val="en-GB"/>
        </w:rPr>
        <w:fldChar w:fldCharType="end"/>
      </w:r>
      <w:r w:rsidR="00285C3F" w:rsidRPr="0029511A">
        <w:rPr>
          <w:rFonts w:ascii="Calibri" w:hAnsi="Calibri" w:cs="Calibri"/>
          <w:lang w:val="en-GB"/>
        </w:rPr>
        <w:t xml:space="preserve"> for the rationale behind each recommendation)</w:t>
      </w:r>
      <w:r w:rsidRPr="0029511A">
        <w:rPr>
          <w:rFonts w:ascii="Calibri" w:hAnsi="Calibri" w:cs="Calibri"/>
          <w:lang w:val="en-GB"/>
        </w:rPr>
        <w:t>:</w:t>
      </w:r>
    </w:p>
    <w:p w14:paraId="3D5B238C" w14:textId="77777777" w:rsidR="007D3D66" w:rsidRDefault="007D3D66" w:rsidP="00C4556D">
      <w:pPr>
        <w:spacing w:after="160" w:line="252" w:lineRule="auto"/>
        <w:rPr>
          <w:rFonts w:ascii="Calibri" w:hAnsi="Calibri" w:cs="Calibri"/>
          <w:b/>
          <w:bCs/>
          <w:lang w:val="en-GB"/>
        </w:rPr>
      </w:pPr>
    </w:p>
    <w:p w14:paraId="4A7F72A8" w14:textId="63E84D8E" w:rsidR="00285C3F" w:rsidRPr="0029511A" w:rsidRDefault="00C4556D" w:rsidP="00C4556D">
      <w:pPr>
        <w:spacing w:after="160" w:line="252" w:lineRule="auto"/>
        <w:rPr>
          <w:rFonts w:ascii="Calibri" w:hAnsi="Calibri" w:cs="Calibri"/>
          <w:b/>
          <w:bCs/>
          <w:lang w:val="en-GB"/>
        </w:rPr>
      </w:pPr>
      <w:r w:rsidRPr="0029511A">
        <w:rPr>
          <w:rFonts w:ascii="Calibri" w:hAnsi="Calibri" w:cs="Calibri"/>
          <w:b/>
          <w:bCs/>
          <w:lang w:val="en-GB"/>
        </w:rPr>
        <w:t>Strategic level</w:t>
      </w:r>
    </w:p>
    <w:p w14:paraId="1966D55A" w14:textId="02645D42" w:rsidR="00285C3F" w:rsidRPr="0029511A" w:rsidRDefault="00285C3F" w:rsidP="00D078C9">
      <w:pPr>
        <w:pStyle w:val="ListParagraph"/>
        <w:numPr>
          <w:ilvl w:val="0"/>
          <w:numId w:val="27"/>
        </w:numPr>
        <w:spacing w:after="160" w:line="252" w:lineRule="auto"/>
        <w:rPr>
          <w:rFonts w:ascii="Calibri" w:hAnsi="Calibri" w:cs="Calibri"/>
        </w:rPr>
      </w:pPr>
      <w:r w:rsidRPr="0029511A">
        <w:rPr>
          <w:rFonts w:ascii="Calibri" w:hAnsi="Calibri" w:cs="Calibri"/>
        </w:rPr>
        <w:t>The design for the successor phase of AASP should be commenced in early 2025</w:t>
      </w:r>
    </w:p>
    <w:p w14:paraId="0231E77F" w14:textId="78D83781" w:rsidR="00285C3F" w:rsidRPr="0029511A" w:rsidRDefault="00285C3F" w:rsidP="00D078C9">
      <w:pPr>
        <w:pStyle w:val="ListParagraph"/>
        <w:numPr>
          <w:ilvl w:val="0"/>
          <w:numId w:val="27"/>
        </w:numPr>
        <w:spacing w:after="160" w:line="252" w:lineRule="auto"/>
        <w:rPr>
          <w:rFonts w:ascii="Calibri" w:hAnsi="Calibri" w:cs="Calibri"/>
        </w:rPr>
      </w:pPr>
      <w:r w:rsidRPr="0029511A">
        <w:rPr>
          <w:rFonts w:ascii="Calibri" w:hAnsi="Calibri" w:cs="Calibri"/>
        </w:rPr>
        <w:t>Multi-year funding options need to be considered in the next iteration of the program, within the overall investment timeframe and budget envelope</w:t>
      </w:r>
    </w:p>
    <w:p w14:paraId="2A82FCE7" w14:textId="26F744CF" w:rsidR="00285C3F" w:rsidRPr="0029511A" w:rsidRDefault="00285C3F" w:rsidP="00D078C9">
      <w:pPr>
        <w:pStyle w:val="ListParagraph"/>
        <w:numPr>
          <w:ilvl w:val="0"/>
          <w:numId w:val="27"/>
        </w:numPr>
        <w:spacing w:after="160" w:line="252" w:lineRule="auto"/>
        <w:rPr>
          <w:rFonts w:ascii="Calibri" w:hAnsi="Calibri" w:cs="Calibri"/>
          <w:lang w:val="en-GB"/>
        </w:rPr>
      </w:pPr>
      <w:r w:rsidRPr="0029511A">
        <w:rPr>
          <w:rFonts w:ascii="Calibri" w:hAnsi="Calibri" w:cs="Calibri"/>
        </w:rPr>
        <w:t>In the design of the next phase, thought should be given to how to involve new partners and stakeholders with ‘capacity, expertise and interest’ to avoid reliance on existing whole-of-government partners</w:t>
      </w:r>
    </w:p>
    <w:p w14:paraId="7EBD61E7" w14:textId="5D6E3C3C" w:rsidR="00285C3F" w:rsidRPr="0029511A" w:rsidRDefault="00285C3F" w:rsidP="00D078C9">
      <w:pPr>
        <w:pStyle w:val="ListParagraph"/>
        <w:numPr>
          <w:ilvl w:val="0"/>
          <w:numId w:val="27"/>
        </w:numPr>
        <w:spacing w:after="160" w:line="252" w:lineRule="auto"/>
        <w:rPr>
          <w:rFonts w:ascii="Calibri" w:hAnsi="Calibri" w:cs="Calibri"/>
          <w:lang w:val="en-GB"/>
        </w:rPr>
      </w:pPr>
      <w:r w:rsidRPr="0029511A">
        <w:rPr>
          <w:rFonts w:ascii="Calibri" w:hAnsi="Calibri" w:cs="Calibri"/>
        </w:rPr>
        <w:t>Support the creation of Community of Practices, where practical, for individual projects.</w:t>
      </w:r>
    </w:p>
    <w:p w14:paraId="62E58847" w14:textId="5B627410" w:rsidR="00565E68" w:rsidRPr="0029511A" w:rsidRDefault="00285C3F" w:rsidP="008B52DF">
      <w:pPr>
        <w:spacing w:after="160" w:line="252" w:lineRule="auto"/>
        <w:rPr>
          <w:rFonts w:ascii="Calibri" w:hAnsi="Calibri" w:cs="Calibri"/>
          <w:b/>
          <w:bCs/>
          <w:lang w:val="en-GB"/>
        </w:rPr>
      </w:pPr>
      <w:r w:rsidRPr="0029511A">
        <w:rPr>
          <w:rFonts w:ascii="Calibri" w:hAnsi="Calibri" w:cs="Calibri"/>
          <w:b/>
          <w:bCs/>
          <w:lang w:val="en-GB"/>
        </w:rPr>
        <w:t>Operational Level</w:t>
      </w:r>
    </w:p>
    <w:p w14:paraId="0495F59C" w14:textId="367EB199" w:rsidR="00565E68" w:rsidRPr="0029511A" w:rsidRDefault="00565E68" w:rsidP="00D078C9">
      <w:pPr>
        <w:pStyle w:val="ListParagraph"/>
        <w:numPr>
          <w:ilvl w:val="0"/>
          <w:numId w:val="27"/>
        </w:numPr>
        <w:spacing w:after="160" w:line="252" w:lineRule="auto"/>
        <w:rPr>
          <w:rFonts w:ascii="Calibri" w:hAnsi="Calibri" w:cs="Calibri"/>
        </w:rPr>
      </w:pPr>
      <w:r w:rsidRPr="0029511A">
        <w:rPr>
          <w:rFonts w:ascii="Calibri" w:hAnsi="Calibri" w:cs="Calibri"/>
        </w:rPr>
        <w:t>DFAT to continue support through the AASP of APEC’s Project Management Unit (PMU) and the Policy Support Unit (PSU)</w:t>
      </w:r>
    </w:p>
    <w:p w14:paraId="41F38430" w14:textId="2F605DB6" w:rsidR="00565E68" w:rsidRPr="0029511A" w:rsidRDefault="00565E68" w:rsidP="00D078C9">
      <w:pPr>
        <w:pStyle w:val="ListParagraph"/>
        <w:numPr>
          <w:ilvl w:val="0"/>
          <w:numId w:val="27"/>
        </w:numPr>
        <w:spacing w:after="160" w:line="252" w:lineRule="auto"/>
        <w:rPr>
          <w:rFonts w:ascii="Calibri" w:hAnsi="Calibri" w:cs="Calibri"/>
        </w:rPr>
      </w:pPr>
      <w:r w:rsidRPr="0029511A">
        <w:rPr>
          <w:rFonts w:ascii="Calibri" w:hAnsi="Calibri" w:cs="Calibri"/>
        </w:rPr>
        <w:t>AASP must continue to proactively manage its pipeline, including</w:t>
      </w:r>
    </w:p>
    <w:p w14:paraId="3CBC23B6" w14:textId="52796305" w:rsidR="00565E68" w:rsidRPr="0029511A" w:rsidRDefault="00565E68" w:rsidP="00D078C9">
      <w:pPr>
        <w:pStyle w:val="ListParagraph"/>
        <w:numPr>
          <w:ilvl w:val="1"/>
          <w:numId w:val="27"/>
        </w:numPr>
        <w:spacing w:after="160" w:line="252" w:lineRule="auto"/>
        <w:rPr>
          <w:rFonts w:ascii="Calibri" w:hAnsi="Calibri" w:cs="Calibri"/>
        </w:rPr>
      </w:pPr>
      <w:r w:rsidRPr="0029511A">
        <w:rPr>
          <w:rFonts w:ascii="Calibri" w:hAnsi="Calibri" w:cs="Calibri"/>
        </w:rPr>
        <w:t xml:space="preserve">Designing and implementing projects that promote disability equity and inclusion in trade, </w:t>
      </w:r>
    </w:p>
    <w:p w14:paraId="012E4A3B" w14:textId="70C8CEDB" w:rsidR="00565E68" w:rsidRPr="0029511A" w:rsidRDefault="00565E68" w:rsidP="00D078C9">
      <w:pPr>
        <w:pStyle w:val="ListParagraph"/>
        <w:numPr>
          <w:ilvl w:val="1"/>
          <w:numId w:val="27"/>
        </w:numPr>
        <w:spacing w:after="160" w:line="252" w:lineRule="auto"/>
        <w:rPr>
          <w:rFonts w:ascii="Calibri" w:hAnsi="Calibri" w:cs="Calibri"/>
        </w:rPr>
      </w:pPr>
      <w:r w:rsidRPr="0029511A">
        <w:rPr>
          <w:rFonts w:ascii="Calibri" w:hAnsi="Calibri" w:cs="Calibri"/>
        </w:rPr>
        <w:t>Encouraging project overseers to design innovative approaches to project delivery, and</w:t>
      </w:r>
    </w:p>
    <w:p w14:paraId="0DA033AD" w14:textId="13AD0726" w:rsidR="00565E68" w:rsidRPr="0029511A" w:rsidRDefault="00565E68" w:rsidP="00D078C9">
      <w:pPr>
        <w:pStyle w:val="ListParagraph"/>
        <w:numPr>
          <w:ilvl w:val="1"/>
          <w:numId w:val="27"/>
        </w:numPr>
        <w:spacing w:after="160" w:line="252" w:lineRule="auto"/>
        <w:rPr>
          <w:rFonts w:ascii="Calibri" w:hAnsi="Calibri" w:cs="Calibri"/>
        </w:rPr>
      </w:pPr>
      <w:r w:rsidRPr="0029511A">
        <w:rPr>
          <w:rFonts w:ascii="Calibri" w:hAnsi="Calibri" w:cs="Calibri"/>
        </w:rPr>
        <w:t>Finalising and implementing a coordinated Communication Plan for the AASP.</w:t>
      </w:r>
    </w:p>
    <w:p w14:paraId="5C3D1ECD" w14:textId="2E26351A" w:rsidR="00565E68" w:rsidRPr="0029511A" w:rsidRDefault="00A800D8" w:rsidP="00D078C9">
      <w:pPr>
        <w:pStyle w:val="ListParagraph"/>
        <w:numPr>
          <w:ilvl w:val="0"/>
          <w:numId w:val="27"/>
        </w:numPr>
        <w:spacing w:after="160" w:line="252" w:lineRule="auto"/>
        <w:rPr>
          <w:rFonts w:ascii="Calibri" w:hAnsi="Calibri" w:cs="Calibri"/>
        </w:rPr>
      </w:pPr>
      <w:r w:rsidRPr="0029511A">
        <w:rPr>
          <w:rFonts w:ascii="Calibri" w:hAnsi="Calibri" w:cs="Calibri"/>
        </w:rPr>
        <w:t>Project Overseers must ensure outputs are publicly available, including ensuring that</w:t>
      </w:r>
    </w:p>
    <w:p w14:paraId="7A77AB20" w14:textId="33498989" w:rsidR="00A800D8" w:rsidRPr="0029511A" w:rsidRDefault="00A800D8" w:rsidP="00D078C9">
      <w:pPr>
        <w:pStyle w:val="ListParagraph"/>
        <w:numPr>
          <w:ilvl w:val="1"/>
          <w:numId w:val="27"/>
        </w:numPr>
        <w:spacing w:after="160" w:line="252" w:lineRule="auto"/>
        <w:rPr>
          <w:rFonts w:ascii="Calibri" w:hAnsi="Calibri" w:cs="Calibri"/>
        </w:rPr>
      </w:pPr>
      <w:r w:rsidRPr="0029511A">
        <w:rPr>
          <w:rFonts w:ascii="Calibri" w:hAnsi="Calibri" w:cs="Calibri"/>
        </w:rPr>
        <w:t>All AASP Projects routinely upload outputs onto accessible/online repositories, and</w:t>
      </w:r>
    </w:p>
    <w:p w14:paraId="6DFCF860" w14:textId="591E262B" w:rsidR="00A800D8" w:rsidRPr="0029511A" w:rsidRDefault="00A800D8" w:rsidP="00D078C9">
      <w:pPr>
        <w:pStyle w:val="ListParagraph"/>
        <w:numPr>
          <w:ilvl w:val="1"/>
          <w:numId w:val="27"/>
        </w:numPr>
        <w:spacing w:after="160" w:line="252" w:lineRule="auto"/>
        <w:rPr>
          <w:rFonts w:ascii="Calibri" w:hAnsi="Calibri" w:cs="Calibri"/>
        </w:rPr>
      </w:pPr>
      <w:r w:rsidRPr="0029511A">
        <w:rPr>
          <w:rFonts w:ascii="Calibri" w:hAnsi="Calibri" w:cs="Calibri"/>
        </w:rPr>
        <w:t>All AASP Projects routinely upload outputs onto accessible/online repositories.</w:t>
      </w:r>
    </w:p>
    <w:p w14:paraId="0A8D97E2" w14:textId="65A06CEF" w:rsidR="0010008F" w:rsidRPr="0029511A" w:rsidRDefault="00A800D8" w:rsidP="00D229F4">
      <w:pPr>
        <w:pStyle w:val="ListParagraph"/>
        <w:numPr>
          <w:ilvl w:val="0"/>
          <w:numId w:val="27"/>
        </w:numPr>
        <w:spacing w:after="160" w:line="252" w:lineRule="auto"/>
        <w:rPr>
          <w:rFonts w:ascii="Calibri" w:hAnsi="Calibri" w:cs="Calibri"/>
          <w:lang w:val="en-GB"/>
        </w:rPr>
      </w:pPr>
      <w:r w:rsidRPr="0029511A">
        <w:rPr>
          <w:rFonts w:ascii="Calibri" w:hAnsi="Calibri" w:cs="Calibri"/>
        </w:rPr>
        <w:t>Continue to build a portfolio of Case Studies highlighting successful projects.</w:t>
      </w:r>
      <w:bookmarkEnd w:id="11"/>
      <w:bookmarkEnd w:id="18"/>
      <w:r w:rsidR="00D229F4" w:rsidRPr="0029511A">
        <w:rPr>
          <w:rFonts w:ascii="Calibri" w:hAnsi="Calibri" w:cs="Calibri"/>
          <w:noProof/>
          <w:lang w:val="en-GB"/>
        </w:rPr>
        <w:t xml:space="preserve"> </w:t>
      </w:r>
    </w:p>
    <w:p w14:paraId="2C32ECA2" w14:textId="627846E2" w:rsidR="00F10103" w:rsidRDefault="00F10103" w:rsidP="0010008F">
      <w:pPr>
        <w:rPr>
          <w:rFonts w:ascii="Calibri" w:hAnsi="Calibri" w:cs="Calibri"/>
          <w:lang w:val="en-GB"/>
        </w:rPr>
      </w:pPr>
      <w:r>
        <w:rPr>
          <w:rFonts w:ascii="Calibri" w:hAnsi="Calibri" w:cs="Calibri"/>
          <w:lang w:val="en-GB"/>
        </w:rPr>
        <w:br w:type="page"/>
      </w:r>
    </w:p>
    <w:p w14:paraId="7F8F7BA6" w14:textId="77777777" w:rsidR="009C02D9" w:rsidRPr="0029511A" w:rsidRDefault="00CE3299" w:rsidP="00CE3299">
      <w:pPr>
        <w:pStyle w:val="Heading1"/>
        <w:ind w:left="426" w:hanging="426"/>
        <w:rPr>
          <w:rFonts w:ascii="Calibri" w:hAnsi="Calibri" w:cs="Calibri"/>
          <w:sz w:val="22"/>
          <w:szCs w:val="22"/>
          <w:lang w:val="en-GB"/>
        </w:rPr>
      </w:pPr>
      <w:bookmarkStart w:id="20" w:name="_Toc190934885"/>
      <w:r w:rsidRPr="0029511A">
        <w:rPr>
          <w:rFonts w:ascii="Calibri" w:hAnsi="Calibri" w:cs="Calibri"/>
          <w:sz w:val="22"/>
          <w:szCs w:val="22"/>
          <w:lang w:val="en-GB"/>
        </w:rPr>
        <w:lastRenderedPageBreak/>
        <w:t>INTRODUCTION</w:t>
      </w:r>
      <w:bookmarkEnd w:id="20"/>
      <w:r w:rsidRPr="0029511A">
        <w:rPr>
          <w:rFonts w:ascii="Calibri" w:hAnsi="Calibri" w:cs="Calibri"/>
          <w:sz w:val="22"/>
          <w:szCs w:val="22"/>
          <w:lang w:val="en-GB"/>
        </w:rPr>
        <w:t xml:space="preserve"> </w:t>
      </w:r>
    </w:p>
    <w:p w14:paraId="0D4C7E7C" w14:textId="77777777" w:rsidR="001E62A1" w:rsidRPr="0029511A" w:rsidRDefault="001E62A1" w:rsidP="009C02D9">
      <w:pPr>
        <w:rPr>
          <w:rFonts w:ascii="Calibri" w:hAnsi="Calibri" w:cs="Calibri"/>
          <w:lang w:val="en-GB"/>
        </w:rPr>
      </w:pPr>
    </w:p>
    <w:p w14:paraId="7F91060D" w14:textId="77777777" w:rsidR="001E62A1" w:rsidRPr="0029511A" w:rsidRDefault="001E62A1" w:rsidP="009C02D9">
      <w:pPr>
        <w:rPr>
          <w:rFonts w:ascii="Calibri" w:hAnsi="Calibri" w:cs="Calibri"/>
          <w:lang w:val="en-GB"/>
        </w:rPr>
        <w:sectPr w:rsidR="001E62A1" w:rsidRPr="0029511A" w:rsidSect="00D06192">
          <w:headerReference w:type="default" r:id="rId18"/>
          <w:pgSz w:w="11900" w:h="16840"/>
          <w:pgMar w:top="1418" w:right="1440" w:bottom="1440" w:left="1440" w:header="709" w:footer="709" w:gutter="0"/>
          <w:cols w:space="708"/>
          <w:docGrid w:linePitch="360"/>
        </w:sectPr>
      </w:pPr>
    </w:p>
    <w:p w14:paraId="2263718A" w14:textId="77777777" w:rsidR="001E62A1" w:rsidRPr="0029511A" w:rsidRDefault="001E62A1" w:rsidP="00686033">
      <w:pPr>
        <w:pStyle w:val="Heading2"/>
        <w:rPr>
          <w:rFonts w:ascii="Calibri" w:hAnsi="Calibri" w:cs="Calibri"/>
          <w:sz w:val="22"/>
          <w:szCs w:val="22"/>
        </w:rPr>
      </w:pPr>
      <w:bookmarkStart w:id="21" w:name="_Ref181199306"/>
      <w:bookmarkStart w:id="22" w:name="_Toc190934886"/>
      <w:bookmarkStart w:id="23" w:name="_Toc520104028"/>
      <w:bookmarkStart w:id="24" w:name="_Toc520113647"/>
      <w:bookmarkStart w:id="25" w:name="_Toc520113937"/>
      <w:bookmarkStart w:id="26" w:name="_Toc156506660"/>
      <w:bookmarkEnd w:id="5"/>
      <w:bookmarkEnd w:id="6"/>
      <w:r w:rsidRPr="0029511A">
        <w:rPr>
          <w:rFonts w:ascii="Calibri" w:hAnsi="Calibri" w:cs="Calibri"/>
          <w:sz w:val="22"/>
          <w:szCs w:val="22"/>
        </w:rPr>
        <w:t>Background</w:t>
      </w:r>
      <w:bookmarkEnd w:id="21"/>
      <w:bookmarkEnd w:id="22"/>
    </w:p>
    <w:p w14:paraId="5C077B1F" w14:textId="3154D191" w:rsidR="001E62A1" w:rsidRPr="0029511A" w:rsidRDefault="001E62A1" w:rsidP="001E62A1">
      <w:pPr>
        <w:spacing w:before="199" w:after="199"/>
        <w:rPr>
          <w:rFonts w:ascii="Calibri" w:hAnsi="Calibri" w:cs="Calibri"/>
          <w:lang w:val="en-GB"/>
        </w:rPr>
      </w:pPr>
      <w:r w:rsidRPr="0029511A">
        <w:rPr>
          <w:rFonts w:ascii="Calibri" w:eastAsia="calibri,sans-serif" w:hAnsi="Calibri" w:cs="Calibri"/>
          <w:color w:val="000000"/>
          <w:lang w:val="en-GB"/>
        </w:rPr>
        <w:t xml:space="preserve">Asia-Pacific Economic Cooperation (APEC) is the premier economic forum in the Asia-Pacific region. The goal of APEC is to support sustainable </w:t>
      </w:r>
      <w:r w:rsidR="000D70FC" w:rsidRPr="0029511A">
        <w:rPr>
          <w:rFonts w:ascii="Calibri" w:eastAsia="calibri,sans-serif" w:hAnsi="Calibri" w:cs="Calibri"/>
          <w:color w:val="000000"/>
          <w:lang w:val="en-GB"/>
        </w:rPr>
        <w:t xml:space="preserve">and inclusive </w:t>
      </w:r>
      <w:r w:rsidRPr="0029511A">
        <w:rPr>
          <w:rFonts w:ascii="Calibri" w:eastAsia="calibri,sans-serif" w:hAnsi="Calibri" w:cs="Calibri"/>
          <w:color w:val="000000"/>
          <w:lang w:val="en-GB"/>
        </w:rPr>
        <w:t xml:space="preserve">economic growth and prosperity in the Asia-Pacific region. Economic and technical cooperation is central to the operation of APEC, especially capacity building to strengthen APEC </w:t>
      </w:r>
      <w:r w:rsidR="008A1B9E" w:rsidRPr="0029511A">
        <w:rPr>
          <w:rFonts w:ascii="Calibri" w:eastAsia="calibri,sans-serif" w:hAnsi="Calibri" w:cs="Calibri"/>
          <w:color w:val="000000"/>
          <w:lang w:val="en-GB"/>
        </w:rPr>
        <w:t xml:space="preserve">developing </w:t>
      </w:r>
      <w:r w:rsidRPr="0029511A">
        <w:rPr>
          <w:rFonts w:ascii="Calibri" w:eastAsia="calibri,sans-serif" w:hAnsi="Calibri" w:cs="Calibri"/>
          <w:color w:val="000000"/>
          <w:lang w:val="en-GB"/>
        </w:rPr>
        <w:t xml:space="preserve">members’ ability to deliver APEC outcomes. Australia is an active contributor to economic and technical cooperation within the APEC ecosystem. </w:t>
      </w:r>
      <w:r w:rsidR="003F579D" w:rsidRPr="0029511A">
        <w:rPr>
          <w:rFonts w:ascii="Calibri" w:eastAsia="calibri,sans-serif" w:hAnsi="Calibri" w:cs="Calibri"/>
          <w:color w:val="000000"/>
          <w:lang w:val="en-GB"/>
        </w:rPr>
        <w:t xml:space="preserve">Through </w:t>
      </w:r>
      <w:r w:rsidRPr="0029511A">
        <w:rPr>
          <w:rFonts w:ascii="Calibri" w:eastAsia="calibri,sans-serif" w:hAnsi="Calibri" w:cs="Calibri"/>
          <w:color w:val="000000"/>
          <w:lang w:val="en-GB"/>
        </w:rPr>
        <w:t>Australia’s APEC Support Program (AASP)</w:t>
      </w:r>
      <w:r w:rsidRPr="0029511A">
        <w:rPr>
          <w:rFonts w:ascii="Calibri" w:eastAsia="Calibri Light" w:hAnsi="Calibri" w:cs="Calibri"/>
          <w:color w:val="000000" w:themeColor="text1"/>
          <w:lang w:val="en-GB"/>
        </w:rPr>
        <w:t xml:space="preserve">, Australia seeks to ensure </w:t>
      </w:r>
      <w:r w:rsidRPr="0029511A">
        <w:rPr>
          <w:rFonts w:ascii="Calibri" w:eastAsia="Calibri Light" w:hAnsi="Calibri" w:cs="Calibri"/>
          <w:b/>
          <w:bCs/>
          <w:color w:val="000000" w:themeColor="text1"/>
          <w:lang w:val="en-GB"/>
        </w:rPr>
        <w:t>two key outcomes</w:t>
      </w:r>
      <w:r w:rsidRPr="0029511A">
        <w:rPr>
          <w:rFonts w:ascii="Calibri" w:eastAsia="Calibri Light" w:hAnsi="Calibri" w:cs="Calibri"/>
          <w:color w:val="000000" w:themeColor="text1"/>
          <w:lang w:val="en-GB"/>
        </w:rPr>
        <w:t xml:space="preserve"> by 2040 (in line with APEC’s Putrajaya Vision):</w:t>
      </w:r>
    </w:p>
    <w:p w14:paraId="260B32C0" w14:textId="77777777" w:rsidR="001E62A1" w:rsidRPr="0029511A" w:rsidRDefault="001E62A1" w:rsidP="00D078C9">
      <w:pPr>
        <w:pStyle w:val="ListParagraph"/>
        <w:numPr>
          <w:ilvl w:val="0"/>
          <w:numId w:val="10"/>
        </w:numPr>
        <w:suppressAutoHyphens/>
        <w:spacing w:line="260" w:lineRule="atLeast"/>
        <w:rPr>
          <w:rFonts w:ascii="Calibri" w:hAnsi="Calibri" w:cs="Calibri"/>
          <w:lang w:val="en-GB"/>
        </w:rPr>
      </w:pPr>
      <w:r w:rsidRPr="0029511A">
        <w:rPr>
          <w:rFonts w:ascii="Calibri" w:eastAsia="Calibri Light" w:hAnsi="Calibri" w:cs="Calibri"/>
          <w:color w:val="000000" w:themeColor="text1"/>
          <w:lang w:val="en-GB"/>
        </w:rPr>
        <w:t xml:space="preserve">Regional economic integration and structural reform that is consistent with Australia’s broader trade and investment agenda is strengthened to maximise inclusive growth for APEC developing economies. </w:t>
      </w:r>
    </w:p>
    <w:p w14:paraId="16A6A51A" w14:textId="77777777" w:rsidR="001E62A1" w:rsidRPr="0029511A" w:rsidRDefault="001E62A1" w:rsidP="00D078C9">
      <w:pPr>
        <w:pStyle w:val="ListParagraph"/>
        <w:numPr>
          <w:ilvl w:val="0"/>
          <w:numId w:val="10"/>
        </w:numPr>
        <w:suppressAutoHyphens/>
        <w:spacing w:line="260" w:lineRule="atLeast"/>
        <w:rPr>
          <w:rFonts w:ascii="Calibri" w:hAnsi="Calibri" w:cs="Calibri"/>
          <w:lang w:val="en-GB"/>
        </w:rPr>
      </w:pPr>
      <w:r w:rsidRPr="0029511A">
        <w:rPr>
          <w:rFonts w:ascii="Calibri" w:eastAsia="Calibri Light" w:hAnsi="Calibri" w:cs="Calibri"/>
          <w:color w:val="000000" w:themeColor="text1"/>
          <w:lang w:val="en-GB"/>
        </w:rPr>
        <w:t xml:space="preserve">Australia’s influence within APEC and across the region is enhanced to support open and free rules-based trading systems that bring mutual benefit to participating economies. </w:t>
      </w:r>
    </w:p>
    <w:p w14:paraId="12189683" w14:textId="77777777" w:rsidR="001E62A1" w:rsidRPr="0029511A" w:rsidRDefault="001E62A1" w:rsidP="001E62A1">
      <w:pPr>
        <w:jc w:val="both"/>
        <w:rPr>
          <w:rFonts w:ascii="Calibri" w:hAnsi="Calibri" w:cs="Calibri"/>
          <w:lang w:val="en-GB"/>
        </w:rPr>
      </w:pPr>
      <w:r w:rsidRPr="0029511A">
        <w:rPr>
          <w:rFonts w:ascii="Calibri" w:eastAsia="Calibri Light" w:hAnsi="Calibri" w:cs="Calibri"/>
          <w:color w:val="000000" w:themeColor="text1"/>
          <w:lang w:val="en-GB"/>
        </w:rPr>
        <w:t xml:space="preserve">The </w:t>
      </w:r>
      <w:r w:rsidRPr="0029511A">
        <w:rPr>
          <w:rFonts w:ascii="Calibri" w:eastAsia="Calibri Light" w:hAnsi="Calibri" w:cs="Calibri"/>
          <w:b/>
          <w:bCs/>
          <w:color w:val="000000" w:themeColor="text1"/>
          <w:lang w:val="en-GB"/>
        </w:rPr>
        <w:t>AASP Design Framework notes that the Program has five intermediate outcomes</w:t>
      </w:r>
      <w:r w:rsidRPr="0029511A">
        <w:rPr>
          <w:rFonts w:ascii="Calibri" w:eastAsia="Calibri Light" w:hAnsi="Calibri" w:cs="Calibri"/>
          <w:color w:val="000000" w:themeColor="text1"/>
          <w:lang w:val="en-GB"/>
        </w:rPr>
        <w:t xml:space="preserve">: </w:t>
      </w:r>
    </w:p>
    <w:p w14:paraId="053A80AD" w14:textId="77777777" w:rsidR="00D229F4" w:rsidRPr="0029511A" w:rsidRDefault="00D229F4" w:rsidP="00D078C9">
      <w:pPr>
        <w:pStyle w:val="ListParagraph"/>
        <w:numPr>
          <w:ilvl w:val="0"/>
          <w:numId w:val="11"/>
        </w:numPr>
        <w:suppressAutoHyphens/>
        <w:snapToGrid w:val="0"/>
        <w:spacing w:line="260" w:lineRule="atLeast"/>
        <w:ind w:left="714" w:hanging="357"/>
        <w:rPr>
          <w:rFonts w:ascii="Calibri" w:eastAsia="Calibri Light" w:hAnsi="Calibri" w:cs="Calibri"/>
          <w:color w:val="000000" w:themeColor="text1"/>
          <w:lang w:val="en-GB"/>
        </w:rPr>
        <w:sectPr w:rsidR="00D229F4" w:rsidRPr="0029511A" w:rsidSect="00D229F4">
          <w:type w:val="continuous"/>
          <w:pgSz w:w="11900" w:h="16840"/>
          <w:pgMar w:top="1418" w:right="1440" w:bottom="1440" w:left="1440" w:header="709" w:footer="709" w:gutter="0"/>
          <w:cols w:space="708"/>
          <w:docGrid w:linePitch="360"/>
        </w:sectPr>
      </w:pPr>
      <w:bookmarkStart w:id="27" w:name="_Hlk181279628"/>
    </w:p>
    <w:p w14:paraId="5452DEAE" w14:textId="77777777" w:rsidR="001E62A1" w:rsidRPr="0029511A" w:rsidRDefault="001E62A1" w:rsidP="00D078C9">
      <w:pPr>
        <w:pStyle w:val="ListParagraph"/>
        <w:numPr>
          <w:ilvl w:val="0"/>
          <w:numId w:val="11"/>
        </w:numPr>
        <w:suppressAutoHyphens/>
        <w:snapToGrid w:val="0"/>
        <w:spacing w:line="260" w:lineRule="atLeast"/>
        <w:ind w:left="714" w:hanging="357"/>
        <w:rPr>
          <w:rFonts w:ascii="Calibri" w:eastAsiaTheme="minorEastAsia" w:hAnsi="Calibri" w:cs="Calibri"/>
          <w:color w:val="000000" w:themeColor="text1"/>
          <w:lang w:val="en-GB"/>
        </w:rPr>
      </w:pPr>
      <w:r w:rsidRPr="0029511A">
        <w:rPr>
          <w:rFonts w:ascii="Calibri" w:eastAsia="Calibri Light" w:hAnsi="Calibri" w:cs="Calibri"/>
          <w:color w:val="000000" w:themeColor="text1"/>
          <w:lang w:val="en-GB"/>
        </w:rPr>
        <w:t>APEC developing economies progressing implementation of an open and rules-based multilateral trade and investment environment by 2026</w:t>
      </w:r>
    </w:p>
    <w:p w14:paraId="0A3590CE" w14:textId="77777777" w:rsidR="001E62A1" w:rsidRPr="0029511A" w:rsidRDefault="001E62A1" w:rsidP="00D078C9">
      <w:pPr>
        <w:pStyle w:val="ListParagraph"/>
        <w:numPr>
          <w:ilvl w:val="0"/>
          <w:numId w:val="11"/>
        </w:numPr>
        <w:suppressAutoHyphens/>
        <w:snapToGrid w:val="0"/>
        <w:spacing w:line="260" w:lineRule="atLeast"/>
        <w:ind w:left="714" w:hanging="357"/>
        <w:rPr>
          <w:rFonts w:ascii="Calibri" w:eastAsiaTheme="minorEastAsia" w:hAnsi="Calibri" w:cs="Calibri"/>
          <w:color w:val="000000" w:themeColor="text1"/>
          <w:lang w:val="en-GB"/>
        </w:rPr>
      </w:pPr>
      <w:r w:rsidRPr="0029511A">
        <w:rPr>
          <w:rFonts w:ascii="Calibri" w:eastAsia="Calibri Light" w:hAnsi="Calibri" w:cs="Calibri"/>
          <w:color w:val="000000" w:themeColor="text1"/>
          <w:lang w:val="en-GB"/>
        </w:rPr>
        <w:t>APEC developing economies progressing implementation of measures to promote regional integration and domestic structural reforms by 2026</w:t>
      </w:r>
    </w:p>
    <w:p w14:paraId="4400EF46" w14:textId="77777777" w:rsidR="001E62A1" w:rsidRPr="0029511A" w:rsidRDefault="001E62A1" w:rsidP="00D078C9">
      <w:pPr>
        <w:pStyle w:val="ListParagraph"/>
        <w:numPr>
          <w:ilvl w:val="0"/>
          <w:numId w:val="11"/>
        </w:numPr>
        <w:suppressAutoHyphens/>
        <w:snapToGrid w:val="0"/>
        <w:spacing w:line="260" w:lineRule="atLeast"/>
        <w:ind w:left="714" w:hanging="357"/>
        <w:rPr>
          <w:rFonts w:ascii="Calibri" w:eastAsiaTheme="minorEastAsia" w:hAnsi="Calibri" w:cs="Calibri"/>
          <w:color w:val="000000" w:themeColor="text1"/>
          <w:lang w:val="en-GB"/>
        </w:rPr>
      </w:pPr>
      <w:r w:rsidRPr="0029511A">
        <w:rPr>
          <w:rFonts w:ascii="Calibri" w:eastAsia="Calibri Light" w:hAnsi="Calibri" w:cs="Calibri"/>
          <w:color w:val="000000" w:themeColor="text1"/>
          <w:lang w:val="en-GB"/>
        </w:rPr>
        <w:t xml:space="preserve">APEC developing economies progressing implementation of efforts within APEC to promote international standards, norms and rules on digital trade by 2026 </w:t>
      </w:r>
    </w:p>
    <w:p w14:paraId="72E8325C" w14:textId="77777777" w:rsidR="001E62A1" w:rsidRPr="0029511A" w:rsidRDefault="001E62A1" w:rsidP="00D078C9">
      <w:pPr>
        <w:pStyle w:val="ListParagraph"/>
        <w:numPr>
          <w:ilvl w:val="0"/>
          <w:numId w:val="11"/>
        </w:numPr>
        <w:suppressAutoHyphens/>
        <w:snapToGrid w:val="0"/>
        <w:spacing w:line="260" w:lineRule="atLeast"/>
        <w:ind w:left="714" w:hanging="357"/>
        <w:rPr>
          <w:rFonts w:ascii="Calibri" w:eastAsiaTheme="minorEastAsia" w:hAnsi="Calibri" w:cs="Calibri"/>
          <w:color w:val="000000" w:themeColor="text1"/>
          <w:lang w:val="en-GB"/>
        </w:rPr>
      </w:pPr>
      <w:r w:rsidRPr="0029511A">
        <w:rPr>
          <w:rFonts w:ascii="Calibri" w:eastAsia="Calibri Light" w:hAnsi="Calibri" w:cs="Calibri"/>
          <w:color w:val="000000" w:themeColor="text1"/>
          <w:lang w:val="en-GB"/>
        </w:rPr>
        <w:t>Gender equality, disability and Indigenous inclusion are integrated in AASP plans, projects, M&amp;E, and analysis</w:t>
      </w:r>
    </w:p>
    <w:p w14:paraId="50E0DCC5" w14:textId="77777777" w:rsidR="001E62A1" w:rsidRPr="0029511A" w:rsidRDefault="001E62A1" w:rsidP="00D078C9">
      <w:pPr>
        <w:pStyle w:val="ListParagraph"/>
        <w:numPr>
          <w:ilvl w:val="0"/>
          <w:numId w:val="11"/>
        </w:numPr>
        <w:suppressAutoHyphens/>
        <w:snapToGrid w:val="0"/>
        <w:spacing w:before="120" w:line="260" w:lineRule="atLeast"/>
        <w:ind w:left="714" w:hanging="357"/>
        <w:rPr>
          <w:rFonts w:ascii="Calibri" w:eastAsia="Calibri Light" w:hAnsi="Calibri" w:cs="Calibri"/>
          <w:color w:val="000000" w:themeColor="text1"/>
          <w:lang w:val="en-GB"/>
        </w:rPr>
      </w:pPr>
      <w:r w:rsidRPr="0029511A">
        <w:rPr>
          <w:rFonts w:ascii="Calibri" w:eastAsia="Calibri Light" w:hAnsi="Calibri" w:cs="Calibri"/>
          <w:color w:val="000000" w:themeColor="text1"/>
          <w:lang w:val="en-GB"/>
        </w:rPr>
        <w:t>APEC developing economies reporting the contribution of AASP as valuable</w:t>
      </w:r>
    </w:p>
    <w:bookmarkEnd w:id="27"/>
    <w:p w14:paraId="5D825A3D" w14:textId="5DED0065" w:rsidR="001E62A1" w:rsidRPr="0029511A" w:rsidRDefault="002E7E17" w:rsidP="001E62A1">
      <w:pPr>
        <w:spacing w:before="199" w:after="199"/>
        <w:rPr>
          <w:rFonts w:ascii="Calibri" w:hAnsi="Calibri" w:cs="Calibri"/>
          <w:lang w:val="en-GB"/>
        </w:rPr>
      </w:pPr>
      <w:r w:rsidRPr="0029511A">
        <w:rPr>
          <w:rFonts w:ascii="Calibri" w:eastAsia="Times New Roman" w:hAnsi="Calibri" w:cs="Calibri"/>
          <w:color w:val="000000"/>
          <w:lang w:val="en-GB" w:eastAsia="en-GB"/>
        </w:rPr>
        <w:t>The AASP has an investment value of $18,500,000 for the four-year program (June 2022 to June 2026), and the program provides three types of support to APEC</w:t>
      </w:r>
      <w:r w:rsidR="001E62A1" w:rsidRPr="0029511A">
        <w:rPr>
          <w:rFonts w:ascii="Calibri" w:eastAsia="calibri,sans-serif" w:hAnsi="Calibri" w:cs="Calibri"/>
          <w:color w:val="000000"/>
          <w:lang w:val="en-GB"/>
        </w:rPr>
        <w:t>:</w:t>
      </w:r>
    </w:p>
    <w:p w14:paraId="3436C122" w14:textId="704F0288" w:rsidR="003D3217" w:rsidRPr="0029511A" w:rsidRDefault="003D3217" w:rsidP="003D3217">
      <w:pPr>
        <w:numPr>
          <w:ilvl w:val="0"/>
          <w:numId w:val="2"/>
        </w:numPr>
        <w:spacing w:after="0"/>
        <w:ind w:left="720" w:hanging="360"/>
        <w:rPr>
          <w:rFonts w:ascii="Calibri" w:hAnsi="Calibri" w:cs="Calibri"/>
          <w:lang w:val="en-GB"/>
        </w:rPr>
      </w:pPr>
      <w:r w:rsidRPr="0029511A">
        <w:rPr>
          <w:rFonts w:ascii="Calibri" w:eastAsia="calibri,sans-serif" w:hAnsi="Calibri" w:cs="Calibri"/>
          <w:color w:val="000000"/>
          <w:lang w:val="en-GB"/>
        </w:rPr>
        <w:t>Initiating our own self-funded project work through the APEC system. These projects cover a range of short-term advisory support, capacity building workshops, training, professional development, research and analysis and are</w:t>
      </w:r>
      <w:r w:rsidR="000C7203" w:rsidRPr="0029511A">
        <w:rPr>
          <w:rFonts w:ascii="Calibri" w:eastAsia="calibri,sans-serif" w:hAnsi="Calibri" w:cs="Calibri"/>
          <w:color w:val="000000"/>
          <w:lang w:val="en-GB"/>
        </w:rPr>
        <w:t>,</w:t>
      </w:r>
      <w:r w:rsidRPr="0029511A">
        <w:rPr>
          <w:rFonts w:ascii="Calibri" w:eastAsia="calibri,sans-serif" w:hAnsi="Calibri" w:cs="Calibri"/>
          <w:color w:val="000000"/>
          <w:lang w:val="en-GB"/>
        </w:rPr>
        <w:t xml:space="preserve"> in many cases</w:t>
      </w:r>
      <w:r w:rsidR="000C7203" w:rsidRPr="0029511A">
        <w:rPr>
          <w:rFonts w:ascii="Calibri" w:eastAsia="calibri,sans-serif" w:hAnsi="Calibri" w:cs="Calibri"/>
          <w:color w:val="000000"/>
          <w:lang w:val="en-GB"/>
        </w:rPr>
        <w:t>,</w:t>
      </w:r>
      <w:r w:rsidRPr="0029511A">
        <w:rPr>
          <w:rFonts w:ascii="Calibri" w:eastAsia="calibri,sans-serif" w:hAnsi="Calibri" w:cs="Calibri"/>
          <w:color w:val="000000"/>
          <w:lang w:val="en-GB"/>
        </w:rPr>
        <w:t xml:space="preserve"> implemented in partnership with whole-of-government stakeholders</w:t>
      </w:r>
      <w:r w:rsidR="002E7E17" w:rsidRPr="0029511A">
        <w:rPr>
          <w:rFonts w:ascii="Calibri" w:eastAsia="calibri,sans-serif" w:hAnsi="Calibri" w:cs="Calibri"/>
          <w:color w:val="000000"/>
          <w:lang w:val="en-GB"/>
        </w:rPr>
        <w:t xml:space="preserve"> (</w:t>
      </w:r>
      <w:r w:rsidR="001712CD" w:rsidRPr="0029511A">
        <w:rPr>
          <w:rFonts w:ascii="Calibri" w:eastAsia="calibri,sans-serif" w:hAnsi="Calibri" w:cs="Calibri"/>
          <w:color w:val="000000"/>
          <w:lang w:val="en-GB"/>
        </w:rPr>
        <w:t>67% of the total investment)</w:t>
      </w:r>
      <w:r w:rsidRPr="0029511A">
        <w:rPr>
          <w:rFonts w:ascii="Calibri" w:eastAsia="calibri,sans-serif" w:hAnsi="Calibri" w:cs="Calibri"/>
          <w:color w:val="000000"/>
          <w:lang w:val="en-GB"/>
        </w:rPr>
        <w:t xml:space="preserve">. </w:t>
      </w:r>
    </w:p>
    <w:p w14:paraId="6CCCCCD8" w14:textId="3080E2EB" w:rsidR="001E62A1" w:rsidRPr="0029511A" w:rsidRDefault="001E62A1" w:rsidP="001E62A1">
      <w:pPr>
        <w:numPr>
          <w:ilvl w:val="0"/>
          <w:numId w:val="2"/>
        </w:numPr>
        <w:spacing w:after="0"/>
        <w:ind w:left="720" w:hanging="360"/>
        <w:rPr>
          <w:rFonts w:ascii="Calibri" w:hAnsi="Calibri" w:cs="Calibri"/>
          <w:lang w:val="en-GB"/>
        </w:rPr>
      </w:pPr>
      <w:r w:rsidRPr="0029511A">
        <w:rPr>
          <w:rFonts w:ascii="Calibri" w:eastAsia="calibri,sans-serif" w:hAnsi="Calibri" w:cs="Calibri"/>
          <w:color w:val="000000"/>
          <w:lang w:val="en-GB"/>
        </w:rPr>
        <w:t>Support to ongoing enhancement of the APEC Secretariat, including through secondment of a DFAT officer to the APEC Secretariat to function as the Director of the Project Management Unit, through provision of an effectiveness grant for the Project Management Unit, and through annual funding to the APEC Policy Support Unit to support their analytical work which underpins APEC decision-making</w:t>
      </w:r>
      <w:r w:rsidR="006D2777" w:rsidRPr="0029511A">
        <w:rPr>
          <w:rFonts w:ascii="Calibri" w:eastAsia="calibri,sans-serif" w:hAnsi="Calibri" w:cs="Calibri"/>
          <w:color w:val="000000"/>
          <w:lang w:val="en-GB"/>
        </w:rPr>
        <w:t xml:space="preserve"> and </w:t>
      </w:r>
      <w:r w:rsidR="003D3217" w:rsidRPr="0029511A">
        <w:rPr>
          <w:rFonts w:ascii="Calibri" w:eastAsia="calibri,sans-serif" w:hAnsi="Calibri" w:cs="Calibri"/>
          <w:color w:val="000000"/>
          <w:lang w:val="en-GB"/>
        </w:rPr>
        <w:t>capacity building</w:t>
      </w:r>
      <w:r w:rsidR="006D2777" w:rsidRPr="0029511A">
        <w:rPr>
          <w:rFonts w:ascii="Calibri" w:eastAsia="calibri,sans-serif" w:hAnsi="Calibri" w:cs="Calibri"/>
          <w:color w:val="000000"/>
          <w:lang w:val="en-GB"/>
        </w:rPr>
        <w:t xml:space="preserve"> priorities</w:t>
      </w:r>
      <w:r w:rsidR="001712CD" w:rsidRPr="0029511A">
        <w:rPr>
          <w:rFonts w:ascii="Calibri" w:eastAsia="calibri,sans-serif" w:hAnsi="Calibri" w:cs="Calibri"/>
          <w:color w:val="000000"/>
          <w:lang w:val="en-GB"/>
        </w:rPr>
        <w:t xml:space="preserve"> (24% of the investment)</w:t>
      </w:r>
      <w:r w:rsidR="006523D5" w:rsidRPr="0029511A">
        <w:rPr>
          <w:rFonts w:ascii="Calibri" w:eastAsia="calibri,sans-serif" w:hAnsi="Calibri" w:cs="Calibri"/>
          <w:color w:val="000000"/>
          <w:lang w:val="en-GB"/>
        </w:rPr>
        <w:t>.</w:t>
      </w:r>
      <w:r w:rsidRPr="0029511A">
        <w:rPr>
          <w:rFonts w:ascii="Calibri" w:eastAsia="calibri,sans-serif" w:hAnsi="Calibri" w:cs="Calibri"/>
          <w:color w:val="000000"/>
          <w:lang w:val="en-GB"/>
        </w:rPr>
        <w:t xml:space="preserve"> </w:t>
      </w:r>
    </w:p>
    <w:p w14:paraId="07DB6FE3" w14:textId="74EC2D04" w:rsidR="001E62A1" w:rsidRPr="0029511A" w:rsidRDefault="001E62A1" w:rsidP="001E62A1">
      <w:pPr>
        <w:numPr>
          <w:ilvl w:val="0"/>
          <w:numId w:val="2"/>
        </w:numPr>
        <w:spacing w:after="0"/>
        <w:ind w:left="720" w:hanging="360"/>
        <w:rPr>
          <w:rFonts w:ascii="Calibri" w:hAnsi="Calibri" w:cs="Calibri"/>
          <w:lang w:val="en-GB"/>
        </w:rPr>
      </w:pPr>
      <w:r w:rsidRPr="0029511A">
        <w:rPr>
          <w:rFonts w:ascii="Calibri" w:eastAsia="calibri,sans-serif" w:hAnsi="Calibri" w:cs="Calibri"/>
          <w:color w:val="000000" w:themeColor="text1"/>
          <w:lang w:val="en-GB"/>
        </w:rPr>
        <w:t>Contributions to funds</w:t>
      </w:r>
      <w:r w:rsidR="007B223D" w:rsidRPr="0029511A">
        <w:rPr>
          <w:rFonts w:ascii="Calibri" w:eastAsia="calibri,sans-serif" w:hAnsi="Calibri" w:cs="Calibri"/>
          <w:color w:val="000000" w:themeColor="text1"/>
          <w:lang w:val="en-GB"/>
        </w:rPr>
        <w:t xml:space="preserve"> managed by the APEC Secretariat</w:t>
      </w:r>
      <w:r w:rsidRPr="0029511A">
        <w:rPr>
          <w:rFonts w:ascii="Calibri" w:eastAsia="calibri,sans-serif" w:hAnsi="Calibri" w:cs="Calibri"/>
          <w:color w:val="000000" w:themeColor="text1"/>
          <w:lang w:val="en-GB"/>
        </w:rPr>
        <w:t xml:space="preserve"> that support capacity building. These funds – to which other economies such as the US, Japan, China, Korea and others also contribute – are then competitively allocated to project overseers from across APEC to</w:t>
      </w:r>
      <w:r w:rsidR="00F52569" w:rsidRPr="0029511A">
        <w:rPr>
          <w:rFonts w:ascii="Calibri" w:eastAsia="calibri,sans-serif" w:hAnsi="Calibri" w:cs="Calibri"/>
          <w:color w:val="000000" w:themeColor="text1"/>
          <w:lang w:val="en-GB"/>
        </w:rPr>
        <w:t xml:space="preserve"> undertake</w:t>
      </w:r>
      <w:r w:rsidRPr="0029511A">
        <w:rPr>
          <w:rFonts w:ascii="Calibri" w:eastAsia="calibri,sans-serif" w:hAnsi="Calibri" w:cs="Calibri"/>
          <w:color w:val="000000" w:themeColor="text1"/>
          <w:lang w:val="en-GB"/>
        </w:rPr>
        <w:t xml:space="preserve"> project work within APEC. </w:t>
      </w:r>
      <w:r w:rsidR="00697840" w:rsidRPr="0029511A">
        <w:rPr>
          <w:rFonts w:ascii="Calibri" w:eastAsia="calibri,sans-serif" w:hAnsi="Calibri" w:cs="Calibri"/>
          <w:color w:val="000000" w:themeColor="text1"/>
          <w:lang w:val="en-GB"/>
        </w:rPr>
        <w:t xml:space="preserve">Under the AASP, Australia has contributed to two </w:t>
      </w:r>
      <w:r w:rsidRPr="0029511A">
        <w:rPr>
          <w:rFonts w:ascii="Calibri" w:eastAsia="calibri,sans-serif" w:hAnsi="Calibri" w:cs="Calibri"/>
          <w:color w:val="000000" w:themeColor="text1"/>
          <w:lang w:val="en-GB"/>
        </w:rPr>
        <w:t xml:space="preserve">sub-funds set up under the </w:t>
      </w:r>
      <w:r w:rsidR="00697840" w:rsidRPr="0029511A">
        <w:rPr>
          <w:rFonts w:ascii="Calibri" w:eastAsia="calibri,sans-serif" w:hAnsi="Calibri" w:cs="Calibri"/>
          <w:color w:val="000000" w:themeColor="text1"/>
          <w:lang w:val="en-GB"/>
        </w:rPr>
        <w:t>APEC Support Fund (</w:t>
      </w:r>
      <w:r w:rsidRPr="0029511A">
        <w:rPr>
          <w:rFonts w:ascii="Calibri" w:eastAsia="calibri,sans-serif" w:hAnsi="Calibri" w:cs="Calibri"/>
          <w:color w:val="000000" w:themeColor="text1"/>
          <w:lang w:val="en-GB"/>
        </w:rPr>
        <w:t>ASF</w:t>
      </w:r>
      <w:r w:rsidR="00697840" w:rsidRPr="0029511A">
        <w:rPr>
          <w:rFonts w:ascii="Calibri" w:eastAsia="calibri,sans-serif" w:hAnsi="Calibri" w:cs="Calibri"/>
          <w:color w:val="000000" w:themeColor="text1"/>
          <w:lang w:val="en-GB"/>
        </w:rPr>
        <w:t>)</w:t>
      </w:r>
      <w:r w:rsidRPr="0029511A">
        <w:rPr>
          <w:rFonts w:ascii="Calibri" w:eastAsia="calibri,sans-serif" w:hAnsi="Calibri" w:cs="Calibri"/>
          <w:color w:val="000000" w:themeColor="text1"/>
          <w:lang w:val="en-GB"/>
        </w:rPr>
        <w:t xml:space="preserve"> framework to support specific priorities (the Women and Economy Sub-Fund</w:t>
      </w:r>
      <w:r w:rsidR="00697840" w:rsidRPr="0029511A">
        <w:rPr>
          <w:rFonts w:ascii="Calibri" w:eastAsia="calibri,sans-serif" w:hAnsi="Calibri" w:cs="Calibri"/>
          <w:color w:val="000000" w:themeColor="text1"/>
          <w:lang w:val="en-GB"/>
        </w:rPr>
        <w:t xml:space="preserve"> and the Enhanced APEC Agenda for Structural Reform Sub-Fund</w:t>
      </w:r>
      <w:r w:rsidRPr="0029511A">
        <w:rPr>
          <w:rFonts w:ascii="Calibri" w:eastAsia="calibri,sans-serif" w:hAnsi="Calibri" w:cs="Calibri"/>
          <w:color w:val="000000" w:themeColor="text1"/>
          <w:lang w:val="en-GB"/>
        </w:rPr>
        <w:t>).</w:t>
      </w:r>
      <w:r w:rsidR="009E718B" w:rsidRPr="0029511A">
        <w:rPr>
          <w:rFonts w:ascii="Calibri" w:eastAsia="calibri,sans-serif" w:hAnsi="Calibri" w:cs="Calibri"/>
          <w:color w:val="000000" w:themeColor="text1"/>
          <w:lang w:val="en-GB"/>
        </w:rPr>
        <w:t xml:space="preserve"> These funds have been used by other APEC economies to implement capacity building projects in line with the terms of reference of the respective funds and in line with APEC processes.</w:t>
      </w:r>
      <w:r w:rsidR="00674830" w:rsidRPr="0029511A">
        <w:rPr>
          <w:rFonts w:ascii="Calibri" w:eastAsia="calibri,sans-serif" w:hAnsi="Calibri" w:cs="Calibri"/>
          <w:color w:val="000000" w:themeColor="text1"/>
          <w:lang w:val="en-GB"/>
        </w:rPr>
        <w:t xml:space="preserve"> </w:t>
      </w:r>
    </w:p>
    <w:p w14:paraId="6D31D42F" w14:textId="5617AD96" w:rsidR="001E62A1" w:rsidRPr="0029511A" w:rsidRDefault="001E62A1" w:rsidP="001E62A1">
      <w:pPr>
        <w:rPr>
          <w:rFonts w:ascii="Calibri" w:eastAsia="calibri,sans-serif" w:hAnsi="Calibri" w:cs="Calibri"/>
          <w:color w:val="000000"/>
          <w:lang w:val="en-GB"/>
        </w:rPr>
      </w:pPr>
      <w:r w:rsidRPr="0029511A">
        <w:rPr>
          <w:rFonts w:ascii="Calibri" w:eastAsia="calibri,sans-serif" w:hAnsi="Calibri" w:cs="Calibri"/>
          <w:color w:val="000000" w:themeColor="text1"/>
          <w:lang w:val="en-GB"/>
        </w:rPr>
        <w:lastRenderedPageBreak/>
        <w:t>In supporting initiatives that promote Australia’s long-term priorities within APEC, AASP activities typically take the form of workshops (in the APEC context, a workshop is classified as a capacity building activity for APEC members)</w:t>
      </w:r>
      <w:r w:rsidR="00697840" w:rsidRPr="0029511A">
        <w:rPr>
          <w:rFonts w:ascii="Calibri" w:eastAsia="calibri,sans-serif" w:hAnsi="Calibri" w:cs="Calibri"/>
          <w:color w:val="000000" w:themeColor="text1"/>
          <w:lang w:val="en-GB"/>
        </w:rPr>
        <w:t>, complemented by</w:t>
      </w:r>
      <w:r w:rsidR="003F6F67" w:rsidRPr="0029511A">
        <w:rPr>
          <w:rFonts w:ascii="Calibri" w:eastAsia="calibri,sans-serif" w:hAnsi="Calibri" w:cs="Calibri"/>
          <w:color w:val="000000" w:themeColor="text1"/>
          <w:lang w:val="en-GB"/>
        </w:rPr>
        <w:t xml:space="preserve"> research or summary</w:t>
      </w:r>
      <w:r w:rsidR="00697840" w:rsidRPr="0029511A">
        <w:rPr>
          <w:rFonts w:ascii="Calibri" w:eastAsia="calibri,sans-serif" w:hAnsi="Calibri" w:cs="Calibri"/>
          <w:color w:val="000000" w:themeColor="text1"/>
          <w:lang w:val="en-GB"/>
        </w:rPr>
        <w:t xml:space="preserve"> r</w:t>
      </w:r>
      <w:r w:rsidR="003F6F67" w:rsidRPr="0029511A">
        <w:rPr>
          <w:rFonts w:ascii="Calibri" w:eastAsia="calibri,sans-serif" w:hAnsi="Calibri" w:cs="Calibri"/>
          <w:color w:val="000000" w:themeColor="text1"/>
          <w:lang w:val="en-GB"/>
        </w:rPr>
        <w:t>eports</w:t>
      </w:r>
      <w:r w:rsidRPr="0029511A">
        <w:rPr>
          <w:rFonts w:ascii="Calibri" w:eastAsia="calibri,sans-serif" w:hAnsi="Calibri" w:cs="Calibri"/>
          <w:color w:val="000000" w:themeColor="text1"/>
          <w:lang w:val="en-GB"/>
        </w:rPr>
        <w:t xml:space="preserve">. Capacity building interventions within APEC focus on identifying, sharing and fostering best practice, rather than working to bring about deep institutional or systemic change. Through such interventions, AASP helps build networks among member economies, business, industry and academia, and helps foster constructive collaboration in APEC. </w:t>
      </w:r>
    </w:p>
    <w:p w14:paraId="2BA60B15" w14:textId="77777777" w:rsidR="001E62A1" w:rsidRPr="0029511A" w:rsidRDefault="001E62A1" w:rsidP="00686033">
      <w:pPr>
        <w:pStyle w:val="Heading2"/>
        <w:rPr>
          <w:rFonts w:ascii="Calibri" w:hAnsi="Calibri" w:cs="Calibri"/>
          <w:sz w:val="22"/>
          <w:szCs w:val="22"/>
        </w:rPr>
      </w:pPr>
      <w:bookmarkStart w:id="28" w:name="_Toc190934887"/>
      <w:r w:rsidRPr="0029511A">
        <w:rPr>
          <w:rFonts w:ascii="Calibri" w:hAnsi="Calibri" w:cs="Calibri"/>
          <w:sz w:val="22"/>
          <w:szCs w:val="22"/>
        </w:rPr>
        <w:t>Purpose and Scope</w:t>
      </w:r>
      <w:bookmarkEnd w:id="28"/>
    </w:p>
    <w:p w14:paraId="1C03EFC9" w14:textId="77777777" w:rsidR="001E62A1" w:rsidRPr="0029511A" w:rsidRDefault="001E62A1" w:rsidP="001E62A1">
      <w:pPr>
        <w:rPr>
          <w:rFonts w:ascii="Calibri" w:hAnsi="Calibri" w:cs="Calibri"/>
          <w:lang w:val="en-GB"/>
        </w:rPr>
      </w:pPr>
      <w:r w:rsidRPr="0029511A">
        <w:rPr>
          <w:rFonts w:ascii="Calibri" w:eastAsia="calibri,sans-serif" w:hAnsi="Calibri" w:cs="Calibri"/>
          <w:color w:val="000000"/>
          <w:lang w:val="en-GB"/>
        </w:rPr>
        <w:t xml:space="preserve">In May 2022, a Strategic Design for the AASP was undertaken to provide an overarching framework for Australia’s capacity building through APEC. The ensuing </w:t>
      </w:r>
      <w:r w:rsidRPr="0029511A">
        <w:rPr>
          <w:rFonts w:ascii="Calibri" w:hAnsi="Calibri" w:cs="Calibri"/>
          <w:lang w:val="en-GB"/>
        </w:rPr>
        <w:t xml:space="preserve">Strategic Design Framework </w:t>
      </w:r>
      <w:r w:rsidRPr="0029511A">
        <w:rPr>
          <w:rFonts w:ascii="Calibri" w:eastAsia="calibri,sans-serif" w:hAnsi="Calibri" w:cs="Calibri"/>
          <w:color w:val="000000"/>
          <w:lang w:val="en-GB"/>
        </w:rPr>
        <w:t xml:space="preserve">was for a four-year period (June 2022 until June 2026) and signalled the requirement for a </w:t>
      </w:r>
      <w:r w:rsidRPr="0029511A">
        <w:rPr>
          <w:rFonts w:ascii="Calibri" w:hAnsi="Calibri" w:cs="Calibri"/>
          <w:lang w:val="en-GB"/>
        </w:rPr>
        <w:t xml:space="preserve">Mid-Term Review (MTR) to be conducted in the program’s third year i.e., in Financial Year 2024-2025. </w:t>
      </w:r>
      <w:r w:rsidRPr="0029511A">
        <w:rPr>
          <w:rFonts w:ascii="Calibri" w:eastAsia="Calibri Light" w:hAnsi="Calibri" w:cs="Calibri"/>
          <w:color w:val="000000"/>
          <w:kern w:val="2"/>
          <w:lang w:val="en-GB"/>
          <w14:ligatures w14:val="standardContextual"/>
        </w:rPr>
        <w:t xml:space="preserve">The design also clearly notes that the contributions to the two End of Program Outcomes will be assessed during a Lessons Learned Review of the program, to be held in the program’s third year (i.e. July 2024 onwards). </w:t>
      </w:r>
    </w:p>
    <w:p w14:paraId="5E12AC9D" w14:textId="1E359F7B" w:rsidR="001E62A1" w:rsidRPr="0029511A" w:rsidRDefault="001E62A1" w:rsidP="001E62A1">
      <w:pPr>
        <w:rPr>
          <w:rFonts w:ascii="Calibri" w:eastAsia="Calibri Light" w:hAnsi="Calibri" w:cs="Calibri"/>
          <w:color w:val="000000"/>
          <w:kern w:val="2"/>
          <w:lang w:val="en-GB"/>
          <w14:ligatures w14:val="standardContextual"/>
        </w:rPr>
      </w:pPr>
      <w:r w:rsidRPr="0029511A">
        <w:rPr>
          <w:rFonts w:ascii="Calibri" w:hAnsi="Calibri" w:cs="Calibri"/>
          <w:lang w:val="en-GB"/>
        </w:rPr>
        <w:t>The purpose of the MTR</w:t>
      </w:r>
      <w:r w:rsidR="007D668D" w:rsidRPr="0029511A">
        <w:rPr>
          <w:rFonts w:ascii="Calibri" w:hAnsi="Calibri" w:cs="Calibri"/>
          <w:lang w:val="en-GB"/>
        </w:rPr>
        <w:t>,</w:t>
      </w:r>
      <w:r w:rsidRPr="0029511A">
        <w:rPr>
          <w:rFonts w:ascii="Calibri" w:hAnsi="Calibri" w:cs="Calibri"/>
          <w:lang w:val="en-GB"/>
        </w:rPr>
        <w:t xml:space="preserve"> therefore</w:t>
      </w:r>
      <w:r w:rsidR="007D668D" w:rsidRPr="0029511A">
        <w:rPr>
          <w:rFonts w:ascii="Calibri" w:hAnsi="Calibri" w:cs="Calibri"/>
          <w:lang w:val="en-GB"/>
        </w:rPr>
        <w:t>,</w:t>
      </w:r>
      <w:r w:rsidRPr="0029511A">
        <w:rPr>
          <w:rFonts w:ascii="Calibri" w:hAnsi="Calibri" w:cs="Calibri"/>
          <w:lang w:val="en-GB"/>
        </w:rPr>
        <w:t xml:space="preserve"> is to assess the program’s progress towards the Intermediate and End of Program Outcomes. In so doing, the MTR will also assess performance, inform learning, and propose recommendations to help guide decision making regarding current and future programming for the investment. In addition, the findings from the MTR will provide input to the 2025</w:t>
      </w:r>
      <w:r w:rsidRPr="0029511A">
        <w:rPr>
          <w:rFonts w:ascii="Calibri" w:eastAsia="Calibri Light" w:hAnsi="Calibri" w:cs="Calibri"/>
          <w:color w:val="000000"/>
          <w:kern w:val="2"/>
          <w:lang w:val="en-GB"/>
          <w14:ligatures w14:val="standardContextual"/>
        </w:rPr>
        <w:t xml:space="preserve"> Investment Monitoring Report process (IMR) and the Tier 2 reporting process.</w:t>
      </w:r>
    </w:p>
    <w:p w14:paraId="0D74DE87" w14:textId="044FC30B" w:rsidR="001E62A1" w:rsidRPr="0029511A" w:rsidRDefault="001E62A1" w:rsidP="001E62A1">
      <w:pPr>
        <w:rPr>
          <w:rFonts w:ascii="Calibri" w:eastAsia="Calibri Light" w:hAnsi="Calibri" w:cs="Calibri"/>
          <w:color w:val="000000"/>
          <w:kern w:val="2"/>
          <w:lang w:val="en-GB"/>
          <w14:ligatures w14:val="standardContextual"/>
        </w:rPr>
      </w:pPr>
      <w:r w:rsidRPr="0029511A">
        <w:rPr>
          <w:rFonts w:ascii="Calibri" w:eastAsia="Calibri Light" w:hAnsi="Calibri" w:cs="Calibri"/>
          <w:color w:val="000000"/>
          <w:kern w:val="2"/>
          <w:lang w:val="en-GB"/>
          <w14:ligatures w14:val="standardContextual"/>
        </w:rPr>
        <w:t>The scope of the MTR is of projects delivered by the AASP since July 2022, noting</w:t>
      </w:r>
      <w:r w:rsidR="007D668D" w:rsidRPr="0029511A">
        <w:rPr>
          <w:rFonts w:ascii="Calibri" w:eastAsia="Calibri Light" w:hAnsi="Calibri" w:cs="Calibri"/>
          <w:color w:val="000000"/>
          <w:kern w:val="2"/>
          <w:lang w:val="en-GB"/>
          <w14:ligatures w14:val="standardContextual"/>
        </w:rPr>
        <w:t>,</w:t>
      </w:r>
      <w:r w:rsidRPr="0029511A">
        <w:rPr>
          <w:rFonts w:ascii="Calibri" w:eastAsia="Calibri Light" w:hAnsi="Calibri" w:cs="Calibri"/>
          <w:color w:val="000000"/>
          <w:kern w:val="2"/>
          <w:lang w:val="en-GB"/>
          <w14:ligatures w14:val="standardContextual"/>
        </w:rPr>
        <w:t xml:space="preserve"> however</w:t>
      </w:r>
      <w:r w:rsidR="007D668D" w:rsidRPr="0029511A">
        <w:rPr>
          <w:rFonts w:ascii="Calibri" w:eastAsia="Calibri Light" w:hAnsi="Calibri" w:cs="Calibri"/>
          <w:color w:val="000000"/>
          <w:kern w:val="2"/>
          <w:lang w:val="en-GB"/>
          <w14:ligatures w14:val="standardContextual"/>
        </w:rPr>
        <w:t>,</w:t>
      </w:r>
      <w:r w:rsidRPr="0029511A">
        <w:rPr>
          <w:rFonts w:ascii="Calibri" w:eastAsia="Calibri Light" w:hAnsi="Calibri" w:cs="Calibri"/>
          <w:color w:val="000000"/>
          <w:kern w:val="2"/>
          <w:lang w:val="en-GB"/>
          <w14:ligatures w14:val="standardContextual"/>
        </w:rPr>
        <w:t xml:space="preserve"> that several projects build on initiatives begun prior to July 2022 and therefore, where applicable, the report notes the long-term investment Australia has already made to building capacity within key areas of APEC. </w:t>
      </w:r>
    </w:p>
    <w:p w14:paraId="57898C33" w14:textId="77777777" w:rsidR="001E62A1" w:rsidRPr="0029511A" w:rsidRDefault="001E62A1" w:rsidP="001E62A1">
      <w:pPr>
        <w:rPr>
          <w:rFonts w:ascii="Calibri" w:eastAsia="Calibri Light" w:hAnsi="Calibri" w:cs="Calibri"/>
          <w:color w:val="000000"/>
          <w:kern w:val="2"/>
          <w:lang w:val="en-GB"/>
          <w14:ligatures w14:val="standardContextual"/>
        </w:rPr>
      </w:pPr>
      <w:r w:rsidRPr="0029511A">
        <w:rPr>
          <w:rFonts w:ascii="Calibri" w:eastAsia="Calibri Light" w:hAnsi="Calibri" w:cs="Calibri"/>
          <w:color w:val="000000"/>
          <w:kern w:val="2"/>
          <w:lang w:val="en-GB"/>
          <w14:ligatures w14:val="standardContextual"/>
        </w:rPr>
        <w:t>The MTR focused on the following review questions:</w:t>
      </w:r>
    </w:p>
    <w:p w14:paraId="7EB9EFA9" w14:textId="23AFA429" w:rsidR="001955FE" w:rsidRPr="0029511A" w:rsidRDefault="001E62A1" w:rsidP="001E62A1">
      <w:pPr>
        <w:pStyle w:val="BodyText"/>
        <w:numPr>
          <w:ilvl w:val="0"/>
          <w:numId w:val="4"/>
        </w:numPr>
        <w:spacing w:after="120"/>
        <w:rPr>
          <w:rFonts w:ascii="Calibri" w:hAnsi="Calibri" w:cs="Calibri"/>
          <w:color w:val="auto"/>
        </w:rPr>
      </w:pPr>
      <w:r w:rsidRPr="0029511A">
        <w:rPr>
          <w:rFonts w:ascii="Calibri" w:hAnsi="Calibri" w:cs="Calibri"/>
          <w:color w:val="auto"/>
        </w:rPr>
        <w:t>To what extent is AASP contributing to</w:t>
      </w:r>
      <w:r w:rsidR="001955FE" w:rsidRPr="0029511A">
        <w:rPr>
          <w:rFonts w:ascii="Calibri" w:hAnsi="Calibri" w:cs="Calibri"/>
          <w:color w:val="auto"/>
        </w:rPr>
        <w:t xml:space="preserve"> the program</w:t>
      </w:r>
      <w:r w:rsidR="00E17813" w:rsidRPr="0029511A">
        <w:rPr>
          <w:rFonts w:ascii="Calibri" w:hAnsi="Calibri" w:cs="Calibri"/>
          <w:color w:val="auto"/>
        </w:rPr>
        <w:t>’</w:t>
      </w:r>
      <w:r w:rsidR="001955FE" w:rsidRPr="0029511A">
        <w:rPr>
          <w:rFonts w:ascii="Calibri" w:hAnsi="Calibri" w:cs="Calibri"/>
          <w:color w:val="auto"/>
        </w:rPr>
        <w:t>s two End of Program outcomes:</w:t>
      </w:r>
      <w:r w:rsidRPr="0029511A">
        <w:rPr>
          <w:rFonts w:ascii="Calibri" w:hAnsi="Calibri" w:cs="Calibri"/>
          <w:color w:val="auto"/>
        </w:rPr>
        <w:t xml:space="preserve"> </w:t>
      </w:r>
    </w:p>
    <w:p w14:paraId="52D47258" w14:textId="4AB1822A" w:rsidR="001E62A1" w:rsidRPr="0029511A" w:rsidRDefault="00E17813" w:rsidP="001955FE">
      <w:pPr>
        <w:pStyle w:val="BodyText"/>
        <w:numPr>
          <w:ilvl w:val="1"/>
          <w:numId w:val="4"/>
        </w:numPr>
        <w:spacing w:after="120"/>
        <w:rPr>
          <w:rFonts w:ascii="Calibri" w:hAnsi="Calibri" w:cs="Calibri"/>
          <w:color w:val="auto"/>
        </w:rPr>
      </w:pPr>
      <w:r w:rsidRPr="0029511A">
        <w:rPr>
          <w:rFonts w:ascii="Calibri" w:hAnsi="Calibri" w:cs="Calibri"/>
          <w:color w:val="auto"/>
        </w:rPr>
        <w:t>R</w:t>
      </w:r>
      <w:r w:rsidR="00A44E9C" w:rsidRPr="0029511A">
        <w:rPr>
          <w:rFonts w:ascii="Calibri" w:hAnsi="Calibri" w:cs="Calibri"/>
          <w:color w:val="auto"/>
        </w:rPr>
        <w:t xml:space="preserve">egional economic integration and structural reform that is consistent with </w:t>
      </w:r>
      <w:r w:rsidR="001E62A1" w:rsidRPr="0029511A">
        <w:rPr>
          <w:rFonts w:ascii="Calibri" w:hAnsi="Calibri" w:cs="Calibri"/>
          <w:color w:val="auto"/>
        </w:rPr>
        <w:t>Australia’s trade and investment priorities in the region</w:t>
      </w:r>
      <w:r w:rsidR="00A44E9C" w:rsidRPr="0029511A">
        <w:rPr>
          <w:rFonts w:ascii="Calibri" w:hAnsi="Calibri" w:cs="Calibri"/>
          <w:color w:val="auto"/>
        </w:rPr>
        <w:t xml:space="preserve"> to maximise inclusive growth for APEC developing economies</w:t>
      </w:r>
      <w:r w:rsidR="001E62A1" w:rsidRPr="0029511A">
        <w:rPr>
          <w:rFonts w:ascii="Calibri" w:hAnsi="Calibri" w:cs="Calibri"/>
          <w:color w:val="auto"/>
        </w:rPr>
        <w:t>?</w:t>
      </w:r>
    </w:p>
    <w:p w14:paraId="3B337070" w14:textId="7ABEFE06" w:rsidR="001E62A1" w:rsidRPr="0029511A" w:rsidRDefault="00E17813" w:rsidP="001955FE">
      <w:pPr>
        <w:pStyle w:val="BodyText"/>
        <w:numPr>
          <w:ilvl w:val="1"/>
          <w:numId w:val="4"/>
        </w:numPr>
        <w:spacing w:after="120"/>
        <w:rPr>
          <w:rFonts w:ascii="Calibri" w:hAnsi="Calibri" w:cs="Calibri"/>
          <w:color w:val="auto"/>
        </w:rPr>
      </w:pPr>
      <w:r w:rsidRPr="0029511A">
        <w:rPr>
          <w:rFonts w:ascii="Calibri" w:hAnsi="Calibri" w:cs="Calibri"/>
          <w:color w:val="auto"/>
        </w:rPr>
        <w:t>E</w:t>
      </w:r>
      <w:r w:rsidR="001E62A1" w:rsidRPr="0029511A">
        <w:rPr>
          <w:rFonts w:ascii="Calibri" w:hAnsi="Calibri" w:cs="Calibri"/>
          <w:color w:val="auto"/>
        </w:rPr>
        <w:t>nhancing Australia’s influence</w:t>
      </w:r>
      <w:r w:rsidR="00867FB2" w:rsidRPr="0029511A">
        <w:rPr>
          <w:rFonts w:ascii="Calibri" w:hAnsi="Calibri" w:cs="Calibri"/>
          <w:color w:val="auto"/>
        </w:rPr>
        <w:t xml:space="preserve"> within APEC and</w:t>
      </w:r>
      <w:r w:rsidR="001E62A1" w:rsidRPr="0029511A">
        <w:rPr>
          <w:rFonts w:ascii="Calibri" w:hAnsi="Calibri" w:cs="Calibri"/>
          <w:color w:val="auto"/>
        </w:rPr>
        <w:t xml:space="preserve"> across the region</w:t>
      </w:r>
      <w:r w:rsidR="00867FB2" w:rsidRPr="0029511A">
        <w:rPr>
          <w:rFonts w:ascii="Calibri" w:hAnsi="Calibri" w:cs="Calibri"/>
          <w:color w:val="auto"/>
        </w:rPr>
        <w:t xml:space="preserve"> to support open and free rules-based trading systems that bring mutual benefit to participating economies</w:t>
      </w:r>
      <w:r w:rsidR="001E62A1" w:rsidRPr="0029511A">
        <w:rPr>
          <w:rFonts w:ascii="Calibri" w:hAnsi="Calibri" w:cs="Calibri"/>
          <w:color w:val="auto"/>
        </w:rPr>
        <w:t>?</w:t>
      </w:r>
    </w:p>
    <w:p w14:paraId="5DCAB052" w14:textId="1CF4B7F4" w:rsidR="001E62A1" w:rsidRPr="0029511A" w:rsidRDefault="001E62A1" w:rsidP="001E62A1">
      <w:pPr>
        <w:pStyle w:val="BodyText"/>
        <w:numPr>
          <w:ilvl w:val="0"/>
          <w:numId w:val="4"/>
        </w:numPr>
        <w:spacing w:after="120"/>
        <w:rPr>
          <w:rFonts w:ascii="Calibri" w:hAnsi="Calibri" w:cs="Calibri"/>
          <w:color w:val="auto"/>
        </w:rPr>
      </w:pPr>
      <w:r w:rsidRPr="0029511A">
        <w:rPr>
          <w:rFonts w:ascii="Calibri" w:hAnsi="Calibri" w:cs="Calibri"/>
          <w:color w:val="auto"/>
        </w:rPr>
        <w:t xml:space="preserve">To what extent are the activities of the program contributing to the achievement of the program’s </w:t>
      </w:r>
      <w:r w:rsidR="00F171A6" w:rsidRPr="0029511A">
        <w:rPr>
          <w:rFonts w:ascii="Calibri" w:hAnsi="Calibri" w:cs="Calibri"/>
          <w:color w:val="auto"/>
        </w:rPr>
        <w:t>five Intermediate Outcomes</w:t>
      </w:r>
      <w:r w:rsidRPr="0029511A">
        <w:rPr>
          <w:rFonts w:ascii="Calibri" w:hAnsi="Calibri" w:cs="Calibri"/>
          <w:color w:val="auto"/>
        </w:rPr>
        <w:t>?</w:t>
      </w:r>
    </w:p>
    <w:p w14:paraId="43DB1D85" w14:textId="77777777" w:rsidR="001E62A1" w:rsidRPr="0029511A" w:rsidRDefault="001E62A1" w:rsidP="001E62A1">
      <w:pPr>
        <w:pStyle w:val="BodyText"/>
        <w:numPr>
          <w:ilvl w:val="0"/>
          <w:numId w:val="4"/>
        </w:numPr>
        <w:spacing w:after="120"/>
        <w:rPr>
          <w:rFonts w:ascii="Calibri" w:hAnsi="Calibri" w:cs="Calibri"/>
          <w:color w:val="auto"/>
        </w:rPr>
      </w:pPr>
      <w:r w:rsidRPr="0029511A">
        <w:rPr>
          <w:rFonts w:ascii="Calibri" w:hAnsi="Calibri" w:cs="Calibri"/>
          <w:color w:val="auto"/>
        </w:rPr>
        <w:t>To what extent has AASP supported mechanisms to promote inclusive, sustainable growth across targeted economies?</w:t>
      </w:r>
    </w:p>
    <w:p w14:paraId="48084817" w14:textId="77777777" w:rsidR="001E62A1" w:rsidRPr="0029511A" w:rsidRDefault="001E62A1" w:rsidP="001E62A1">
      <w:pPr>
        <w:pStyle w:val="BodyText"/>
        <w:numPr>
          <w:ilvl w:val="0"/>
          <w:numId w:val="4"/>
        </w:numPr>
        <w:spacing w:after="120"/>
        <w:rPr>
          <w:rFonts w:ascii="Calibri" w:hAnsi="Calibri" w:cs="Calibri"/>
          <w:color w:val="auto"/>
        </w:rPr>
      </w:pPr>
      <w:r w:rsidRPr="0029511A">
        <w:rPr>
          <w:rFonts w:ascii="Calibri" w:hAnsi="Calibri" w:cs="Calibri"/>
          <w:color w:val="auto"/>
        </w:rPr>
        <w:t>How effective is AASP in nurturing sustainable, mutually beneficial partnerships between Australia and APEC developing economies?</w:t>
      </w:r>
    </w:p>
    <w:p w14:paraId="00C26CDB" w14:textId="77777777" w:rsidR="001E62A1" w:rsidRPr="0029511A" w:rsidRDefault="001E62A1" w:rsidP="001E62A1">
      <w:pPr>
        <w:pStyle w:val="BodyText"/>
        <w:numPr>
          <w:ilvl w:val="0"/>
          <w:numId w:val="4"/>
        </w:numPr>
        <w:spacing w:after="120"/>
        <w:rPr>
          <w:rFonts w:ascii="Calibri" w:hAnsi="Calibri" w:cs="Calibri"/>
          <w:color w:val="auto"/>
        </w:rPr>
      </w:pPr>
      <w:r w:rsidRPr="0029511A">
        <w:rPr>
          <w:rFonts w:ascii="Calibri" w:hAnsi="Calibri" w:cs="Calibri"/>
          <w:color w:val="auto"/>
        </w:rPr>
        <w:t>To what extent has AASP promoted gender equality and women’s empowerment across all its activities?</w:t>
      </w:r>
    </w:p>
    <w:p w14:paraId="3DD6C083" w14:textId="77777777" w:rsidR="001E62A1" w:rsidRPr="0029511A" w:rsidRDefault="001E62A1" w:rsidP="001E62A1">
      <w:pPr>
        <w:pStyle w:val="BodyText"/>
        <w:numPr>
          <w:ilvl w:val="0"/>
          <w:numId w:val="4"/>
        </w:numPr>
        <w:spacing w:after="120"/>
        <w:rPr>
          <w:rFonts w:ascii="Calibri" w:eastAsiaTheme="minorEastAsia" w:hAnsi="Calibri" w:cs="Calibri"/>
        </w:rPr>
      </w:pPr>
      <w:r w:rsidRPr="0029511A">
        <w:rPr>
          <w:rFonts w:ascii="Calibri" w:hAnsi="Calibri" w:cs="Calibri"/>
          <w:color w:val="auto"/>
        </w:rPr>
        <w:t>To what extent has AASP promoted disability and social inclusion and Indigenous Peoples' economic empowerment across all its activities?</w:t>
      </w:r>
    </w:p>
    <w:p w14:paraId="72A428D8" w14:textId="77777777" w:rsidR="001E62A1" w:rsidRPr="0029511A" w:rsidRDefault="001E62A1" w:rsidP="001E62A1">
      <w:pPr>
        <w:pStyle w:val="BodyText"/>
        <w:numPr>
          <w:ilvl w:val="0"/>
          <w:numId w:val="4"/>
        </w:numPr>
        <w:spacing w:after="120"/>
        <w:rPr>
          <w:rFonts w:ascii="Calibri" w:eastAsiaTheme="minorEastAsia" w:hAnsi="Calibri" w:cs="Calibri"/>
        </w:rPr>
      </w:pPr>
      <w:r w:rsidRPr="0029511A">
        <w:rPr>
          <w:rFonts w:ascii="Calibri" w:hAnsi="Calibri" w:cs="Calibri"/>
          <w:color w:val="auto"/>
        </w:rPr>
        <w:t>What barriers/challenges may be hindering AASP’s efforts to promote gender equality and social inclusion, and how effectively has the program addressed these challenges?</w:t>
      </w:r>
    </w:p>
    <w:p w14:paraId="1EBFE82C" w14:textId="77777777" w:rsidR="001E62A1" w:rsidRPr="0029511A" w:rsidRDefault="001E62A1" w:rsidP="001E62A1">
      <w:pPr>
        <w:pStyle w:val="BodyText"/>
        <w:numPr>
          <w:ilvl w:val="0"/>
          <w:numId w:val="4"/>
        </w:numPr>
        <w:spacing w:after="120"/>
        <w:rPr>
          <w:rFonts w:ascii="Calibri" w:eastAsiaTheme="minorEastAsia" w:hAnsi="Calibri" w:cs="Calibri"/>
        </w:rPr>
      </w:pPr>
      <w:r w:rsidRPr="0029511A">
        <w:rPr>
          <w:rFonts w:ascii="Calibri" w:hAnsi="Calibri" w:cs="Calibri"/>
          <w:color w:val="auto"/>
        </w:rPr>
        <w:lastRenderedPageBreak/>
        <w:t>How efficient is the program, to what extent is the program promoting effective use of Australian funds within APEC, and to what extent can AASP be considered value for money?</w:t>
      </w:r>
    </w:p>
    <w:p w14:paraId="433AA3A5" w14:textId="77777777" w:rsidR="001E62A1" w:rsidRPr="0029511A" w:rsidRDefault="001E62A1" w:rsidP="00686033">
      <w:pPr>
        <w:pStyle w:val="Heading2"/>
        <w:rPr>
          <w:rFonts w:ascii="Calibri" w:hAnsi="Calibri" w:cs="Calibri"/>
          <w:sz w:val="22"/>
          <w:szCs w:val="22"/>
        </w:rPr>
      </w:pPr>
      <w:bookmarkStart w:id="29" w:name="_Toc156506658"/>
      <w:bookmarkStart w:id="30" w:name="_Toc190934888"/>
      <w:bookmarkEnd w:id="23"/>
      <w:bookmarkEnd w:id="24"/>
      <w:bookmarkEnd w:id="25"/>
      <w:r w:rsidRPr="0029511A">
        <w:rPr>
          <w:rFonts w:ascii="Calibri" w:hAnsi="Calibri" w:cs="Calibri"/>
          <w:sz w:val="22"/>
          <w:szCs w:val="22"/>
        </w:rPr>
        <w:t>Methodology</w:t>
      </w:r>
      <w:bookmarkEnd w:id="29"/>
      <w:bookmarkEnd w:id="30"/>
    </w:p>
    <w:p w14:paraId="3BA4CB9B" w14:textId="701DE917" w:rsidR="001E62A1" w:rsidRPr="0029511A" w:rsidRDefault="001E62A1" w:rsidP="001E62A1">
      <w:pPr>
        <w:rPr>
          <w:rFonts w:ascii="Calibri" w:hAnsi="Calibri" w:cs="Calibri"/>
          <w:color w:val="000000" w:themeColor="text1"/>
          <w:lang w:val="en-GB"/>
        </w:rPr>
      </w:pPr>
      <w:bookmarkStart w:id="31" w:name="_Toc520104030"/>
      <w:bookmarkStart w:id="32" w:name="_Toc520113649"/>
      <w:bookmarkStart w:id="33" w:name="_Toc520113939"/>
      <w:bookmarkStart w:id="34" w:name="_Toc520292691"/>
      <w:r w:rsidRPr="0029511A">
        <w:rPr>
          <w:rFonts w:ascii="Calibri" w:hAnsi="Calibri" w:cs="Calibri"/>
          <w:color w:val="000000" w:themeColor="text1"/>
          <w:lang w:val="en-GB"/>
        </w:rPr>
        <w:t xml:space="preserve">A multi-methods approach was used to gather evidence, including a short survey sent to a sample of activity participants and key interviews with select informants. Key informants included DFAT’s APEC and Latin America Branch, selected APEC officials familiar with AASP projects, project overseers and a small sample of activity participants (see </w:t>
      </w:r>
      <w:r w:rsidRPr="00B975BB">
        <w:rPr>
          <w:rFonts w:ascii="Calibri" w:hAnsi="Calibri" w:cs="Calibri"/>
          <w:color w:val="002060"/>
          <w:lang w:val="en-GB"/>
        </w:rPr>
        <w:t xml:space="preserve">Annex 2 </w:t>
      </w:r>
      <w:r w:rsidRPr="0029511A">
        <w:rPr>
          <w:rFonts w:ascii="Calibri" w:hAnsi="Calibri" w:cs="Calibri"/>
          <w:color w:val="000000" w:themeColor="text1"/>
          <w:lang w:val="en-GB"/>
        </w:rPr>
        <w:t xml:space="preserve">for a full list of key informants). An extensive review of documents was also conducted, which included reviewing IMR findings from 2023 and 2024 and APEC completion reports for projects (see </w:t>
      </w:r>
      <w:r w:rsidRPr="00B975BB">
        <w:rPr>
          <w:rFonts w:ascii="Calibri" w:hAnsi="Calibri" w:cs="Calibri"/>
          <w:color w:val="002060"/>
          <w:lang w:val="en-GB"/>
        </w:rPr>
        <w:t xml:space="preserve">Annex 3 </w:t>
      </w:r>
      <w:r w:rsidRPr="0029511A">
        <w:rPr>
          <w:rFonts w:ascii="Calibri" w:hAnsi="Calibri" w:cs="Calibri"/>
          <w:color w:val="000000" w:themeColor="text1"/>
          <w:lang w:val="en-GB"/>
        </w:rPr>
        <w:t>for a full list of documents reviewed).</w:t>
      </w:r>
    </w:p>
    <w:p w14:paraId="325B3AC1" w14:textId="77777777" w:rsidR="00D229F4" w:rsidRPr="0029511A" w:rsidRDefault="001E62A1" w:rsidP="001E62A1">
      <w:pPr>
        <w:rPr>
          <w:rFonts w:ascii="Calibri" w:hAnsi="Calibri" w:cs="Calibri"/>
          <w:color w:val="000000" w:themeColor="text1"/>
          <w:lang w:val="en-GB"/>
        </w:rPr>
        <w:sectPr w:rsidR="00D229F4" w:rsidRPr="0029511A" w:rsidSect="00D229F4">
          <w:type w:val="continuous"/>
          <w:pgSz w:w="11900" w:h="16840"/>
          <w:pgMar w:top="1418" w:right="1440" w:bottom="1440" w:left="1440" w:header="709" w:footer="709" w:gutter="0"/>
          <w:cols w:space="708"/>
          <w:docGrid w:linePitch="360"/>
        </w:sectPr>
      </w:pPr>
      <w:r w:rsidRPr="0029511A">
        <w:rPr>
          <w:rFonts w:ascii="Calibri" w:hAnsi="Calibri" w:cs="Calibri"/>
          <w:color w:val="000000" w:themeColor="text1"/>
          <w:lang w:val="en-GB"/>
        </w:rPr>
        <w:t xml:space="preserve">A hybrid approach was taken to conducting interviews. Interviews were conducted in person in Canberra </w:t>
      </w:r>
      <w:proofErr w:type="gramStart"/>
      <w:r w:rsidRPr="0029511A">
        <w:rPr>
          <w:rFonts w:ascii="Calibri" w:hAnsi="Calibri" w:cs="Calibri"/>
          <w:color w:val="000000" w:themeColor="text1"/>
          <w:lang w:val="en-GB"/>
        </w:rPr>
        <w:t>and also</w:t>
      </w:r>
      <w:proofErr w:type="gramEnd"/>
      <w:r w:rsidRPr="0029511A">
        <w:rPr>
          <w:rFonts w:ascii="Calibri" w:hAnsi="Calibri" w:cs="Calibri"/>
          <w:color w:val="000000" w:themeColor="text1"/>
          <w:lang w:val="en-GB"/>
        </w:rPr>
        <w:t xml:space="preserve"> at </w:t>
      </w:r>
      <w:r w:rsidRPr="0029511A">
        <w:rPr>
          <w:rFonts w:ascii="Calibri" w:eastAsia="Calibri" w:hAnsi="Calibri" w:cs="Calibri"/>
          <w:lang w:val="en-GB"/>
        </w:rPr>
        <w:t>Senior Officials’ Meeting</w:t>
      </w:r>
      <w:r w:rsidRPr="0029511A">
        <w:rPr>
          <w:rFonts w:ascii="Calibri" w:hAnsi="Calibri" w:cs="Calibri"/>
          <w:color w:val="000000" w:themeColor="text1"/>
          <w:lang w:val="en-GB"/>
        </w:rPr>
        <w:t xml:space="preserve"> (SOM) 3 (the AASP Investment Manager interviewed multiple representatives from economies attending the SOM3 meeting in Lima, Peru). For cost-efficiency purposes, </w:t>
      </w:r>
    </w:p>
    <w:p w14:paraId="3C23CAE8" w14:textId="77777777" w:rsidR="001E62A1" w:rsidRPr="0029511A" w:rsidRDefault="001E62A1" w:rsidP="001E62A1">
      <w:pPr>
        <w:rPr>
          <w:rFonts w:ascii="Calibri" w:hAnsi="Calibri" w:cs="Calibri"/>
          <w:color w:val="000000" w:themeColor="text1"/>
          <w:lang w:val="en-GB"/>
        </w:rPr>
      </w:pPr>
      <w:r w:rsidRPr="0029511A">
        <w:rPr>
          <w:rFonts w:ascii="Calibri" w:hAnsi="Calibri" w:cs="Calibri"/>
          <w:color w:val="000000" w:themeColor="text1"/>
          <w:lang w:val="en-GB"/>
        </w:rPr>
        <w:t>interviews were also done remotely with participants.</w:t>
      </w:r>
    </w:p>
    <w:p w14:paraId="442BF8B4" w14:textId="77777777" w:rsidR="001E62A1" w:rsidRPr="0029511A" w:rsidRDefault="001E62A1" w:rsidP="001E62A1">
      <w:pPr>
        <w:rPr>
          <w:rFonts w:ascii="Calibri" w:hAnsi="Calibri" w:cs="Calibri"/>
          <w:color w:val="000000" w:themeColor="text1"/>
          <w:lang w:val="en-GB"/>
        </w:rPr>
      </w:pPr>
      <w:r w:rsidRPr="0029511A">
        <w:rPr>
          <w:rFonts w:ascii="Calibri" w:hAnsi="Calibri" w:cs="Calibri"/>
          <w:color w:val="000000" w:themeColor="text1"/>
          <w:lang w:val="en-GB"/>
        </w:rPr>
        <w:t xml:space="preserve">Four case studies were also prepared as part of the MTR (see </w:t>
      </w:r>
      <w:r w:rsidRPr="00B975BB">
        <w:rPr>
          <w:rFonts w:ascii="Calibri" w:hAnsi="Calibri" w:cs="Calibri"/>
          <w:color w:val="002060"/>
          <w:lang w:val="en-GB"/>
        </w:rPr>
        <w:t>Annex 4</w:t>
      </w:r>
      <w:r w:rsidRPr="0029511A">
        <w:rPr>
          <w:rFonts w:ascii="Calibri" w:hAnsi="Calibri" w:cs="Calibri"/>
          <w:color w:val="000000" w:themeColor="text1"/>
          <w:lang w:val="en-GB"/>
        </w:rPr>
        <w:t>). Each case study provides a deep dive to illustrate progress and evidence of achievement and identify key lessons learnt from priority themes. The four case studies are as follows:</w:t>
      </w:r>
    </w:p>
    <w:p w14:paraId="65F0E3BC" w14:textId="77777777" w:rsidR="001E62A1" w:rsidRPr="0029511A" w:rsidRDefault="001E62A1" w:rsidP="001E62A1">
      <w:pPr>
        <w:pStyle w:val="ListParagraph"/>
        <w:numPr>
          <w:ilvl w:val="0"/>
          <w:numId w:val="3"/>
        </w:numPr>
        <w:rPr>
          <w:rFonts w:ascii="Calibri" w:hAnsi="Calibri" w:cs="Calibri"/>
          <w:color w:val="000000" w:themeColor="text1"/>
          <w:lang w:val="en-GB"/>
        </w:rPr>
      </w:pPr>
      <w:r w:rsidRPr="0029511A">
        <w:rPr>
          <w:rFonts w:ascii="Calibri" w:eastAsiaTheme="minorEastAsia" w:hAnsi="Calibri" w:cs="Calibri"/>
          <w:color w:val="000000" w:themeColor="text1"/>
          <w:lang w:val="en-GB"/>
        </w:rPr>
        <w:t>Mutual Recognition Agreement Project</w:t>
      </w:r>
    </w:p>
    <w:p w14:paraId="655D9509" w14:textId="77777777" w:rsidR="001E62A1" w:rsidRPr="0029511A" w:rsidRDefault="001E62A1" w:rsidP="001E62A1">
      <w:pPr>
        <w:pStyle w:val="ListParagraph"/>
        <w:numPr>
          <w:ilvl w:val="0"/>
          <w:numId w:val="3"/>
        </w:numPr>
        <w:rPr>
          <w:rFonts w:ascii="Calibri" w:hAnsi="Calibri" w:cs="Calibri"/>
          <w:color w:val="000000" w:themeColor="text1"/>
          <w:lang w:val="en-GB"/>
        </w:rPr>
      </w:pPr>
      <w:r w:rsidRPr="0029511A">
        <w:rPr>
          <w:rFonts w:ascii="Calibri" w:eastAsiaTheme="minorEastAsia" w:hAnsi="Calibri" w:cs="Calibri"/>
          <w:color w:val="000000" w:themeColor="text1"/>
          <w:lang w:val="en-GB"/>
        </w:rPr>
        <w:t>Services that support the clean-up of marine debris Project</w:t>
      </w:r>
    </w:p>
    <w:p w14:paraId="522B7022" w14:textId="77777777" w:rsidR="001E62A1" w:rsidRPr="0029511A" w:rsidRDefault="001E62A1" w:rsidP="001E62A1">
      <w:pPr>
        <w:pStyle w:val="ListParagraph"/>
        <w:numPr>
          <w:ilvl w:val="0"/>
          <w:numId w:val="3"/>
        </w:numPr>
        <w:rPr>
          <w:rFonts w:ascii="Calibri" w:hAnsi="Calibri" w:cs="Calibri"/>
          <w:color w:val="000000" w:themeColor="text1"/>
          <w:lang w:val="en-GB"/>
        </w:rPr>
      </w:pPr>
      <w:r w:rsidRPr="0029511A">
        <w:rPr>
          <w:rFonts w:ascii="Calibri" w:eastAsiaTheme="minorEastAsia" w:hAnsi="Calibri" w:cs="Calibri"/>
          <w:color w:val="000000" w:themeColor="text1"/>
          <w:lang w:val="en-GB"/>
        </w:rPr>
        <w:t>Women in STEM and Research</w:t>
      </w:r>
    </w:p>
    <w:p w14:paraId="3EB4F5F7" w14:textId="367DD110" w:rsidR="001E62A1" w:rsidRPr="0029511A" w:rsidRDefault="001E62A1" w:rsidP="00241560">
      <w:pPr>
        <w:pStyle w:val="ListParagraph"/>
        <w:numPr>
          <w:ilvl w:val="0"/>
          <w:numId w:val="3"/>
        </w:numPr>
        <w:rPr>
          <w:rFonts w:ascii="Calibri" w:hAnsi="Calibri" w:cs="Calibri"/>
          <w:color w:val="000000" w:themeColor="text1"/>
          <w:lang w:val="en-GB"/>
        </w:rPr>
      </w:pPr>
      <w:r w:rsidRPr="0029511A">
        <w:rPr>
          <w:rFonts w:ascii="Calibri" w:eastAsiaTheme="minorEastAsia" w:hAnsi="Calibri" w:cs="Calibri"/>
          <w:color w:val="000000" w:themeColor="text1"/>
          <w:lang w:val="en-GB"/>
        </w:rPr>
        <w:t>Growing Indigenous Business through Trade</w:t>
      </w:r>
    </w:p>
    <w:p w14:paraId="3F4CEBFB" w14:textId="77777777" w:rsidR="001E62A1" w:rsidRPr="0029511A" w:rsidRDefault="001E62A1" w:rsidP="00686033">
      <w:pPr>
        <w:pStyle w:val="Heading2"/>
        <w:rPr>
          <w:rFonts w:ascii="Calibri" w:hAnsi="Calibri" w:cs="Calibri"/>
          <w:sz w:val="22"/>
          <w:szCs w:val="22"/>
        </w:rPr>
      </w:pPr>
      <w:bookmarkStart w:id="35" w:name="_Toc156506659"/>
      <w:bookmarkStart w:id="36" w:name="_Toc190934889"/>
      <w:r w:rsidRPr="0029511A">
        <w:rPr>
          <w:rFonts w:ascii="Calibri" w:hAnsi="Calibri" w:cs="Calibri"/>
          <w:sz w:val="22"/>
          <w:szCs w:val="22"/>
        </w:rPr>
        <w:t>Limitations</w:t>
      </w:r>
      <w:bookmarkStart w:id="37" w:name="_Toc520113650"/>
      <w:bookmarkStart w:id="38" w:name="_Toc520113940"/>
      <w:bookmarkEnd w:id="31"/>
      <w:bookmarkEnd w:id="32"/>
      <w:bookmarkEnd w:id="33"/>
      <w:bookmarkEnd w:id="34"/>
      <w:bookmarkEnd w:id="35"/>
      <w:bookmarkEnd w:id="36"/>
    </w:p>
    <w:bookmarkEnd w:id="37"/>
    <w:bookmarkEnd w:id="38"/>
    <w:p w14:paraId="2FB7CE99" w14:textId="5127618C" w:rsidR="001E62A1" w:rsidRPr="0029511A" w:rsidRDefault="001E62A1" w:rsidP="00180A0E">
      <w:pPr>
        <w:rPr>
          <w:rFonts w:ascii="Calibri" w:hAnsi="Calibri" w:cs="Calibri"/>
          <w:lang w:val="en-GB"/>
        </w:rPr>
      </w:pPr>
      <w:r w:rsidRPr="0029511A">
        <w:rPr>
          <w:rFonts w:ascii="Calibri" w:hAnsi="Calibri" w:cs="Calibri"/>
          <w:color w:val="000000" w:themeColor="text1"/>
          <w:lang w:val="en-GB"/>
        </w:rPr>
        <w:t>Limitations faced during the MTR were primarily related to the busy schedule of key informants, and the need</w:t>
      </w:r>
      <w:r w:rsidR="00993F2A" w:rsidRPr="0029511A">
        <w:rPr>
          <w:rFonts w:ascii="Calibri" w:hAnsi="Calibri" w:cs="Calibri"/>
          <w:color w:val="000000" w:themeColor="text1"/>
          <w:lang w:val="en-GB"/>
        </w:rPr>
        <w:t>,</w:t>
      </w:r>
      <w:r w:rsidRPr="0029511A">
        <w:rPr>
          <w:rFonts w:ascii="Calibri" w:hAnsi="Calibri" w:cs="Calibri"/>
          <w:color w:val="000000" w:themeColor="text1"/>
          <w:lang w:val="en-GB"/>
        </w:rPr>
        <w:t xml:space="preserve"> in some instances</w:t>
      </w:r>
      <w:r w:rsidR="00993F2A" w:rsidRPr="0029511A">
        <w:rPr>
          <w:rFonts w:ascii="Calibri" w:hAnsi="Calibri" w:cs="Calibri"/>
          <w:color w:val="000000" w:themeColor="text1"/>
          <w:lang w:val="en-GB"/>
        </w:rPr>
        <w:t>,</w:t>
      </w:r>
      <w:r w:rsidRPr="0029511A">
        <w:rPr>
          <w:rFonts w:ascii="Calibri" w:hAnsi="Calibri" w:cs="Calibri"/>
          <w:color w:val="000000" w:themeColor="text1"/>
          <w:lang w:val="en-GB"/>
        </w:rPr>
        <w:t xml:space="preserve"> to conduct interviews remotely. The review team mitigated these limitations using multiple approaches to gathering evidence - by drawing on existing completion reports, drawing on the extensive project documentation (including numerous outputs that are publicly available on the APEC website), interviewing participants and project overseers to triangulate project information, and receiving written inputs and feedback from those who we could not reach for interviews. While there were instances when key informants were not available for interviews, this did not happen often, and most interviews were conducted as scheduled. </w:t>
      </w:r>
    </w:p>
    <w:p w14:paraId="2A8140AD" w14:textId="77777777" w:rsidR="001E62A1" w:rsidRPr="0029511A" w:rsidRDefault="001E62A1" w:rsidP="00CE3299">
      <w:pPr>
        <w:rPr>
          <w:rFonts w:ascii="Calibri" w:hAnsi="Calibri" w:cs="Calibri"/>
          <w:lang w:val="en-GB"/>
        </w:rPr>
        <w:sectPr w:rsidR="001E62A1" w:rsidRPr="0029511A" w:rsidSect="00D229F4">
          <w:type w:val="continuous"/>
          <w:pgSz w:w="11900" w:h="16840"/>
          <w:pgMar w:top="1418" w:right="1440" w:bottom="1440" w:left="1440" w:header="709" w:footer="709" w:gutter="0"/>
          <w:cols w:space="708"/>
          <w:docGrid w:linePitch="360"/>
        </w:sectPr>
      </w:pPr>
    </w:p>
    <w:p w14:paraId="48B92792" w14:textId="1A55999A" w:rsidR="00FB2C3C" w:rsidRPr="0029511A" w:rsidRDefault="00BA0B6A" w:rsidP="00881A99">
      <w:pPr>
        <w:pStyle w:val="Heading1"/>
        <w:ind w:left="426" w:hanging="426"/>
        <w:rPr>
          <w:rFonts w:ascii="Calibri" w:hAnsi="Calibri" w:cs="Calibri"/>
          <w:sz w:val="22"/>
          <w:szCs w:val="22"/>
          <w:lang w:val="en-GB"/>
        </w:rPr>
      </w:pPr>
      <w:bookmarkStart w:id="39" w:name="_Toc190934890"/>
      <w:r w:rsidRPr="0029511A">
        <w:rPr>
          <w:rFonts w:ascii="Calibri" w:hAnsi="Calibri" w:cs="Calibri"/>
          <w:sz w:val="22"/>
          <w:szCs w:val="22"/>
          <w:lang w:val="en-GB"/>
        </w:rPr>
        <w:t>FINDINGS</w:t>
      </w:r>
      <w:bookmarkEnd w:id="26"/>
      <w:bookmarkEnd w:id="39"/>
    </w:p>
    <w:p w14:paraId="0C501245" w14:textId="2E0C5BA9" w:rsidR="009B549F" w:rsidRPr="0029511A" w:rsidRDefault="007A2853" w:rsidP="00B26EB8">
      <w:pPr>
        <w:rPr>
          <w:rFonts w:ascii="Calibri" w:hAnsi="Calibri" w:cs="Calibri"/>
          <w:lang w:val="en-GB"/>
        </w:rPr>
      </w:pPr>
      <w:r w:rsidRPr="0029511A">
        <w:rPr>
          <w:rFonts w:ascii="Calibri" w:hAnsi="Calibri" w:cs="Calibri"/>
          <w:lang w:val="en-GB"/>
        </w:rPr>
        <w:t>In this section, t</w:t>
      </w:r>
      <w:r w:rsidR="00822B23" w:rsidRPr="0029511A">
        <w:rPr>
          <w:rFonts w:ascii="Calibri" w:hAnsi="Calibri" w:cs="Calibri"/>
          <w:lang w:val="en-GB"/>
        </w:rPr>
        <w:t xml:space="preserve">he MTR team </w:t>
      </w:r>
      <w:r w:rsidR="00646816" w:rsidRPr="0029511A">
        <w:rPr>
          <w:rFonts w:ascii="Calibri" w:hAnsi="Calibri" w:cs="Calibri"/>
          <w:lang w:val="en-GB"/>
        </w:rPr>
        <w:t xml:space="preserve">presents a discussion of the review findings </w:t>
      </w:r>
      <w:r w:rsidR="00B26EB8" w:rsidRPr="0029511A">
        <w:rPr>
          <w:rFonts w:ascii="Calibri" w:hAnsi="Calibri" w:cs="Calibri"/>
          <w:lang w:val="en-GB"/>
        </w:rPr>
        <w:t>in line with the different categories of DFAT’s Investment Monitoring Report, and in response to the questions the review set out to answer</w:t>
      </w:r>
      <w:r w:rsidRPr="0029511A">
        <w:rPr>
          <w:rFonts w:ascii="Calibri" w:hAnsi="Calibri" w:cs="Calibri"/>
          <w:lang w:val="en-GB"/>
        </w:rPr>
        <w:t>. Priority recommendations</w:t>
      </w:r>
      <w:r w:rsidR="00886F98" w:rsidRPr="0029511A">
        <w:rPr>
          <w:rFonts w:ascii="Calibri" w:hAnsi="Calibri" w:cs="Calibri"/>
          <w:lang w:val="en-GB"/>
        </w:rPr>
        <w:t xml:space="preserve"> are synthesised </w:t>
      </w:r>
      <w:r w:rsidR="00B26EB8" w:rsidRPr="0029511A">
        <w:rPr>
          <w:rFonts w:ascii="Calibri" w:hAnsi="Calibri" w:cs="Calibri"/>
          <w:lang w:val="en-GB"/>
        </w:rPr>
        <w:t xml:space="preserve">from the findings </w:t>
      </w:r>
      <w:r w:rsidR="00886F98" w:rsidRPr="0029511A">
        <w:rPr>
          <w:rFonts w:ascii="Calibri" w:hAnsi="Calibri" w:cs="Calibri"/>
          <w:lang w:val="en-GB"/>
        </w:rPr>
        <w:t>and presented in the Recommendations Section</w:t>
      </w:r>
      <w:r w:rsidR="00627C98" w:rsidRPr="0029511A">
        <w:rPr>
          <w:rFonts w:ascii="Calibri" w:hAnsi="Calibri" w:cs="Calibri"/>
          <w:lang w:val="en-GB"/>
        </w:rPr>
        <w:t xml:space="preserve"> </w:t>
      </w:r>
      <w:r w:rsidR="00CD34C2" w:rsidRPr="0029511A">
        <w:rPr>
          <w:rFonts w:ascii="Calibri" w:hAnsi="Calibri" w:cs="Calibri"/>
          <w:lang w:val="en-GB"/>
        </w:rPr>
        <w:t>(</w:t>
      </w:r>
      <w:r w:rsidR="00CD34C2" w:rsidRPr="0029511A">
        <w:rPr>
          <w:rFonts w:ascii="Calibri" w:hAnsi="Calibri" w:cs="Calibri"/>
          <w:b/>
          <w:bCs/>
          <w:lang w:val="en-GB"/>
        </w:rPr>
        <w:t xml:space="preserve">Section </w:t>
      </w:r>
      <w:r w:rsidR="00913F66" w:rsidRPr="0029511A">
        <w:rPr>
          <w:rFonts w:ascii="Calibri" w:hAnsi="Calibri" w:cs="Calibri"/>
          <w:b/>
          <w:bCs/>
          <w:lang w:val="en-GB"/>
        </w:rPr>
        <w:t>3</w:t>
      </w:r>
      <w:r w:rsidR="00CD34C2" w:rsidRPr="0029511A">
        <w:rPr>
          <w:rFonts w:ascii="Calibri" w:hAnsi="Calibri" w:cs="Calibri"/>
          <w:lang w:val="en-GB"/>
        </w:rPr>
        <w:t>)</w:t>
      </w:r>
      <w:bookmarkStart w:id="40" w:name="_Toc156506661"/>
      <w:r w:rsidR="007E240F" w:rsidRPr="0029511A">
        <w:rPr>
          <w:rFonts w:ascii="Calibri" w:hAnsi="Calibri" w:cs="Calibri"/>
          <w:lang w:val="en-GB"/>
        </w:rPr>
        <w:t>.</w:t>
      </w:r>
    </w:p>
    <w:p w14:paraId="5A5AC878" w14:textId="2A7D7946" w:rsidR="00340594" w:rsidRPr="0029511A" w:rsidRDefault="007E240F" w:rsidP="00686033">
      <w:pPr>
        <w:pStyle w:val="Heading2"/>
        <w:rPr>
          <w:rFonts w:ascii="Calibri" w:hAnsi="Calibri" w:cs="Calibri"/>
          <w:sz w:val="22"/>
          <w:szCs w:val="22"/>
        </w:rPr>
      </w:pPr>
      <w:bookmarkStart w:id="41" w:name="_Toc190934891"/>
      <w:bookmarkEnd w:id="40"/>
      <w:r w:rsidRPr="0029511A">
        <w:rPr>
          <w:rFonts w:ascii="Calibri" w:hAnsi="Calibri" w:cs="Calibri"/>
          <w:sz w:val="22"/>
          <w:szCs w:val="22"/>
        </w:rPr>
        <w:t>Effectiveness</w:t>
      </w:r>
      <w:bookmarkEnd w:id="41"/>
    </w:p>
    <w:p w14:paraId="75B39801" w14:textId="7A23F1D6" w:rsidR="006E48CC" w:rsidRPr="0029511A" w:rsidRDefault="007E240F" w:rsidP="003C7546">
      <w:pPr>
        <w:rPr>
          <w:rFonts w:ascii="Calibri" w:hAnsi="Calibri" w:cs="Calibri"/>
          <w:lang w:val="en-GB"/>
        </w:rPr>
      </w:pPr>
      <w:r w:rsidRPr="0029511A">
        <w:rPr>
          <w:rFonts w:ascii="Calibri" w:hAnsi="Calibri" w:cs="Calibri"/>
          <w:lang w:val="en-GB"/>
        </w:rPr>
        <w:t xml:space="preserve">The effectiveness of the AASP is first assessed against the </w:t>
      </w:r>
      <w:r w:rsidR="00514A86" w:rsidRPr="0029511A">
        <w:rPr>
          <w:rFonts w:ascii="Calibri" w:hAnsi="Calibri" w:cs="Calibri"/>
          <w:lang w:val="en-GB"/>
        </w:rPr>
        <w:t>five</w:t>
      </w:r>
      <w:r w:rsidRPr="0029511A">
        <w:rPr>
          <w:rFonts w:ascii="Calibri" w:hAnsi="Calibri" w:cs="Calibri"/>
          <w:lang w:val="en-GB"/>
        </w:rPr>
        <w:t xml:space="preserve"> </w:t>
      </w:r>
      <w:r w:rsidR="005B0073" w:rsidRPr="0029511A">
        <w:rPr>
          <w:rFonts w:ascii="Calibri" w:hAnsi="Calibri" w:cs="Calibri"/>
          <w:lang w:val="en-GB"/>
        </w:rPr>
        <w:t>I</w:t>
      </w:r>
      <w:r w:rsidRPr="0029511A">
        <w:rPr>
          <w:rFonts w:ascii="Calibri" w:hAnsi="Calibri" w:cs="Calibri"/>
          <w:lang w:val="en-GB"/>
        </w:rPr>
        <w:t xml:space="preserve">ntermediate </w:t>
      </w:r>
      <w:r w:rsidR="005B0073" w:rsidRPr="0029511A">
        <w:rPr>
          <w:rFonts w:ascii="Calibri" w:hAnsi="Calibri" w:cs="Calibri"/>
          <w:lang w:val="en-GB"/>
        </w:rPr>
        <w:t>O</w:t>
      </w:r>
      <w:r w:rsidRPr="0029511A">
        <w:rPr>
          <w:rFonts w:ascii="Calibri" w:hAnsi="Calibri" w:cs="Calibri"/>
          <w:lang w:val="en-GB"/>
        </w:rPr>
        <w:t xml:space="preserve">utcomes, and then against the AASP’s two End of Program </w:t>
      </w:r>
      <w:r w:rsidR="001905DF" w:rsidRPr="0029511A">
        <w:rPr>
          <w:rFonts w:ascii="Calibri" w:hAnsi="Calibri" w:cs="Calibri"/>
          <w:lang w:val="en-GB"/>
        </w:rPr>
        <w:t>O</w:t>
      </w:r>
      <w:r w:rsidRPr="0029511A">
        <w:rPr>
          <w:rFonts w:ascii="Calibri" w:hAnsi="Calibri" w:cs="Calibri"/>
          <w:lang w:val="en-GB"/>
        </w:rPr>
        <w:t>utcomes (</w:t>
      </w:r>
      <w:proofErr w:type="spellStart"/>
      <w:r w:rsidRPr="0029511A">
        <w:rPr>
          <w:rFonts w:ascii="Calibri" w:hAnsi="Calibri" w:cs="Calibri"/>
          <w:lang w:val="en-GB"/>
        </w:rPr>
        <w:t>EoPOs</w:t>
      </w:r>
      <w:proofErr w:type="spellEnd"/>
      <w:r w:rsidRPr="0029511A">
        <w:rPr>
          <w:rFonts w:ascii="Calibri" w:hAnsi="Calibri" w:cs="Calibri"/>
          <w:lang w:val="en-GB"/>
        </w:rPr>
        <w:t>).</w:t>
      </w:r>
    </w:p>
    <w:p w14:paraId="7E1E8872" w14:textId="72FB83F9" w:rsidR="00701637" w:rsidRPr="0029511A" w:rsidRDefault="00701637" w:rsidP="00701637">
      <w:pPr>
        <w:rPr>
          <w:rFonts w:ascii="Calibri" w:hAnsi="Calibri" w:cs="Calibri"/>
          <w:lang w:val="en-GB"/>
        </w:rPr>
      </w:pPr>
      <w:r w:rsidRPr="0029511A">
        <w:rPr>
          <w:rFonts w:ascii="Calibri" w:hAnsi="Calibri" w:cs="Calibri"/>
          <w:b/>
          <w:bCs/>
          <w:color w:val="002060"/>
          <w:lang w:val="en-GB"/>
        </w:rPr>
        <w:t>Key Findings:</w:t>
      </w:r>
      <w:r w:rsidRPr="0029511A">
        <w:rPr>
          <w:rFonts w:ascii="Calibri" w:hAnsi="Calibri" w:cs="Calibri"/>
          <w:color w:val="002060"/>
          <w:lang w:val="en-GB"/>
        </w:rPr>
        <w:t xml:space="preserve"> </w:t>
      </w:r>
    </w:p>
    <w:p w14:paraId="74656BC8" w14:textId="28801E83" w:rsidR="00701637" w:rsidRPr="0029511A" w:rsidRDefault="00701637" w:rsidP="00701637">
      <w:pPr>
        <w:pStyle w:val="FootnoteText"/>
        <w:spacing w:after="0"/>
        <w:rPr>
          <w:rFonts w:ascii="Calibri" w:hAnsi="Calibri" w:cs="Calibri"/>
          <w:b/>
          <w:bCs/>
          <w:color w:val="000000" w:themeColor="text1"/>
          <w:sz w:val="22"/>
          <w:szCs w:val="22"/>
          <w:lang w:val="en-GB"/>
        </w:rPr>
      </w:pPr>
      <w:r w:rsidRPr="0029511A">
        <w:rPr>
          <w:rFonts w:ascii="Calibri" w:hAnsi="Calibri" w:cs="Calibri"/>
          <w:color w:val="000000" w:themeColor="text1"/>
          <w:sz w:val="22"/>
          <w:szCs w:val="22"/>
          <w:lang w:val="en-GB"/>
        </w:rPr>
        <w:t>The AASP has made notable gains under each of its five Intermediate Outcomes (IO) and is making strong progress towards its two End of Program Outcomes (</w:t>
      </w:r>
      <w:proofErr w:type="spellStart"/>
      <w:r w:rsidRPr="0029511A">
        <w:rPr>
          <w:rFonts w:ascii="Calibri" w:hAnsi="Calibri" w:cs="Calibri"/>
          <w:color w:val="000000" w:themeColor="text1"/>
          <w:sz w:val="22"/>
          <w:szCs w:val="22"/>
          <w:lang w:val="en-GB"/>
        </w:rPr>
        <w:t>EoPO</w:t>
      </w:r>
      <w:proofErr w:type="spellEnd"/>
      <w:r w:rsidRPr="0029511A">
        <w:rPr>
          <w:rFonts w:ascii="Calibri" w:hAnsi="Calibri" w:cs="Calibri"/>
          <w:color w:val="000000" w:themeColor="text1"/>
          <w:sz w:val="22"/>
          <w:szCs w:val="22"/>
          <w:lang w:val="en-GB"/>
        </w:rPr>
        <w:t>).</w:t>
      </w:r>
    </w:p>
    <w:p w14:paraId="513C13F5" w14:textId="77777777" w:rsidR="006523D5" w:rsidRPr="0029511A" w:rsidRDefault="006523D5" w:rsidP="00701637">
      <w:pPr>
        <w:pStyle w:val="FootnoteText"/>
        <w:spacing w:after="0"/>
        <w:rPr>
          <w:rFonts w:ascii="Calibri" w:hAnsi="Calibri" w:cs="Calibri"/>
          <w:b/>
          <w:bCs/>
          <w:color w:val="000000" w:themeColor="text1"/>
          <w:sz w:val="22"/>
          <w:szCs w:val="22"/>
          <w:lang w:val="en-GB"/>
        </w:rPr>
      </w:pPr>
    </w:p>
    <w:p w14:paraId="71E4C6EC" w14:textId="3139D6D6" w:rsidR="00701637" w:rsidRPr="0029511A" w:rsidRDefault="00701637" w:rsidP="00701637">
      <w:pPr>
        <w:rPr>
          <w:rFonts w:ascii="Calibri" w:hAnsi="Calibri" w:cs="Calibri"/>
          <w:b/>
          <w:bCs/>
          <w:color w:val="000000" w:themeColor="text1"/>
          <w:lang w:val="en-GB"/>
        </w:rPr>
      </w:pPr>
      <w:r w:rsidRPr="00B975BB">
        <w:rPr>
          <w:rStyle w:val="cf21"/>
          <w:rFonts w:ascii="Calibri" w:hAnsi="Calibri"/>
          <w:color w:val="002060"/>
        </w:rPr>
        <w:lastRenderedPageBreak/>
        <w:t xml:space="preserve">IO 1: APEC developing economies </w:t>
      </w:r>
      <w:r w:rsidRPr="0029511A">
        <w:rPr>
          <w:rStyle w:val="cf21"/>
          <w:rFonts w:ascii="Calibri" w:hAnsi="Calibri"/>
          <w:color w:val="000000" w:themeColor="text1"/>
        </w:rPr>
        <w:t xml:space="preserve">progressing implementation of an open and rules-based trade and investment environment by 2026 </w:t>
      </w:r>
    </w:p>
    <w:p w14:paraId="70B041E5" w14:textId="216E1E5E" w:rsidR="00701637" w:rsidRPr="0029511A" w:rsidRDefault="00701637" w:rsidP="00701637">
      <w:pPr>
        <w:rPr>
          <w:rFonts w:ascii="Calibri" w:hAnsi="Calibri" w:cs="Calibri"/>
          <w:color w:val="000000" w:themeColor="text1"/>
        </w:rPr>
      </w:pPr>
      <w:r w:rsidRPr="0029511A">
        <w:rPr>
          <w:rFonts w:ascii="Calibri" w:hAnsi="Calibri" w:cs="Calibri"/>
          <w:color w:val="000000" w:themeColor="text1"/>
        </w:rPr>
        <w:t xml:space="preserve">The AASP has supported a growing body of work to help progress the implementation of an open, rules-based trade and investment environment, and AASP projects have been effective in raising the importance of international standards to enhance rules-based trade. </w:t>
      </w:r>
    </w:p>
    <w:p w14:paraId="34DCD944" w14:textId="38F4B741" w:rsidR="00701637" w:rsidRPr="0029511A" w:rsidRDefault="00701637" w:rsidP="00701637">
      <w:pPr>
        <w:rPr>
          <w:rFonts w:ascii="Calibri" w:hAnsi="Calibri" w:cs="Calibri"/>
          <w:color w:val="000000" w:themeColor="text1"/>
        </w:rPr>
      </w:pPr>
      <w:r w:rsidRPr="00B975BB">
        <w:rPr>
          <w:rStyle w:val="cf21"/>
          <w:rFonts w:ascii="Calibri" w:hAnsi="Calibri"/>
          <w:color w:val="002060"/>
        </w:rPr>
        <w:t xml:space="preserve">IO 2: APEC developing economies progressing implementation of measures to promote regional integration and domestic </w:t>
      </w:r>
      <w:r w:rsidRPr="0029511A">
        <w:rPr>
          <w:rStyle w:val="cf21"/>
          <w:rFonts w:ascii="Calibri" w:hAnsi="Calibri"/>
          <w:color w:val="000000" w:themeColor="text1"/>
        </w:rPr>
        <w:t>structural reforms by 2026</w:t>
      </w:r>
    </w:p>
    <w:p w14:paraId="1787CEE9" w14:textId="35CF3984" w:rsidR="00701637" w:rsidRPr="0029511A" w:rsidRDefault="00701637" w:rsidP="00701637">
      <w:pPr>
        <w:rPr>
          <w:rFonts w:ascii="Calibri" w:eastAsia="Calibri Light" w:hAnsi="Calibri" w:cs="Calibri"/>
          <w:color w:val="000000" w:themeColor="text1"/>
        </w:rPr>
      </w:pPr>
      <w:r w:rsidRPr="0029511A">
        <w:rPr>
          <w:rFonts w:ascii="Calibri" w:eastAsia="Calibri Light" w:hAnsi="Calibri" w:cs="Calibri"/>
          <w:color w:val="000000" w:themeColor="text1"/>
        </w:rPr>
        <w:t>Australia is widely considered to be leading the work on trade</w:t>
      </w:r>
      <w:r w:rsidR="006523D5" w:rsidRPr="0029511A">
        <w:rPr>
          <w:rFonts w:ascii="Calibri" w:eastAsia="Calibri Light" w:hAnsi="Calibri" w:cs="Calibri"/>
          <w:color w:val="000000" w:themeColor="text1"/>
        </w:rPr>
        <w:t xml:space="preserve"> and structural reform</w:t>
      </w:r>
      <w:r w:rsidRPr="0029511A">
        <w:rPr>
          <w:rFonts w:ascii="Calibri" w:eastAsia="Calibri Light" w:hAnsi="Calibri" w:cs="Calibri"/>
          <w:color w:val="000000" w:themeColor="text1"/>
        </w:rPr>
        <w:t xml:space="preserve"> in the services sector within APEC</w:t>
      </w:r>
      <w:r w:rsidR="006523D5" w:rsidRPr="0029511A">
        <w:rPr>
          <w:rFonts w:ascii="Calibri" w:eastAsia="Calibri Light" w:hAnsi="Calibri" w:cs="Calibri"/>
          <w:color w:val="000000" w:themeColor="text1"/>
        </w:rPr>
        <w:t xml:space="preserve">, </w:t>
      </w:r>
      <w:r w:rsidR="006523D5" w:rsidRPr="0029511A">
        <w:rPr>
          <w:rFonts w:ascii="Calibri" w:eastAsia="Calibri Light" w:hAnsi="Calibri" w:cs="Calibri"/>
          <w:color w:val="000000"/>
        </w:rPr>
        <w:t>supported by a multiyear project funded through the AASP</w:t>
      </w:r>
      <w:r w:rsidRPr="0029511A">
        <w:rPr>
          <w:rFonts w:ascii="Calibri" w:eastAsia="Calibri Light" w:hAnsi="Calibri" w:cs="Calibri"/>
          <w:color w:val="000000" w:themeColor="text1"/>
        </w:rPr>
        <w:t xml:space="preserve">. AASP has also been instrumental in supporting Australia’s leadership on APEC’s work in Mutual Recognition Agreements. By contributing to the </w:t>
      </w:r>
      <w:r w:rsidRPr="0029511A">
        <w:rPr>
          <w:rFonts w:ascii="Calibri" w:eastAsia="Calibri Light" w:hAnsi="Calibri" w:cs="Calibri"/>
          <w:i/>
          <w:iCs/>
          <w:color w:val="000000" w:themeColor="text1"/>
        </w:rPr>
        <w:t>Enhanced APEC Agenda for the Structural Sub-fund</w:t>
      </w:r>
      <w:r w:rsidRPr="0029511A">
        <w:rPr>
          <w:rFonts w:ascii="Calibri" w:eastAsia="Calibri Light" w:hAnsi="Calibri" w:cs="Calibri"/>
          <w:color w:val="000000" w:themeColor="text1"/>
        </w:rPr>
        <w:t>, the AASP supports improving the design and performance of regulatory systems in developing economies.</w:t>
      </w:r>
    </w:p>
    <w:p w14:paraId="501985E1" w14:textId="0FC973AB" w:rsidR="00701637" w:rsidRPr="00B975BB" w:rsidRDefault="006523D5" w:rsidP="00701637">
      <w:pPr>
        <w:spacing w:after="160" w:line="252" w:lineRule="auto"/>
        <w:rPr>
          <w:rStyle w:val="cf21"/>
          <w:rFonts w:ascii="Calibri" w:hAnsi="Calibri"/>
          <w:color w:val="002060"/>
        </w:rPr>
      </w:pPr>
      <w:r w:rsidRPr="00B975BB">
        <w:rPr>
          <w:rStyle w:val="cf21"/>
          <w:rFonts w:ascii="Calibri" w:hAnsi="Calibri"/>
          <w:color w:val="002060"/>
        </w:rPr>
        <w:t>IO</w:t>
      </w:r>
      <w:r w:rsidR="00701637" w:rsidRPr="00B975BB">
        <w:rPr>
          <w:rStyle w:val="cf21"/>
          <w:rFonts w:ascii="Calibri" w:hAnsi="Calibri"/>
          <w:color w:val="002060"/>
        </w:rPr>
        <w:t>3: APEC developing economies progressing implementation of efforts within APEC to promote international standards, norms and rules on digital trade by 2026</w:t>
      </w:r>
    </w:p>
    <w:p w14:paraId="7E31DC48" w14:textId="77777777" w:rsidR="00701637" w:rsidRPr="0029511A" w:rsidRDefault="00701637" w:rsidP="00701637">
      <w:pPr>
        <w:rPr>
          <w:rFonts w:ascii="Calibri" w:hAnsi="Calibri" w:cs="Calibri"/>
          <w:color w:val="000000" w:themeColor="text1"/>
        </w:rPr>
      </w:pPr>
      <w:r w:rsidRPr="0029511A">
        <w:rPr>
          <w:rFonts w:ascii="Calibri" w:hAnsi="Calibri" w:cs="Calibri"/>
          <w:color w:val="000000" w:themeColor="text1"/>
        </w:rPr>
        <w:t xml:space="preserve">A growing number of AASP projects are ensuring that key building blocks of digital trade are being developed to ensure more economies, including developing economies, align with international standards and norms. </w:t>
      </w:r>
    </w:p>
    <w:p w14:paraId="59DCA44D" w14:textId="128E671D" w:rsidR="00701637" w:rsidRPr="00B975BB" w:rsidRDefault="006523D5" w:rsidP="00701637">
      <w:pPr>
        <w:spacing w:after="160" w:line="252" w:lineRule="auto"/>
        <w:rPr>
          <w:rStyle w:val="cf21"/>
          <w:rFonts w:ascii="Calibri" w:hAnsi="Calibri"/>
          <w:color w:val="002060"/>
        </w:rPr>
      </w:pPr>
      <w:r w:rsidRPr="00B975BB">
        <w:rPr>
          <w:rStyle w:val="cf21"/>
          <w:rFonts w:ascii="Calibri" w:hAnsi="Calibri"/>
          <w:color w:val="002060"/>
        </w:rPr>
        <w:t>IO</w:t>
      </w:r>
      <w:r w:rsidR="00701637" w:rsidRPr="00B975BB">
        <w:rPr>
          <w:rStyle w:val="cf21"/>
          <w:rFonts w:ascii="Calibri" w:hAnsi="Calibri"/>
          <w:color w:val="002060"/>
        </w:rPr>
        <w:t xml:space="preserve"> 4: Gender equality and disability equity and inclusion are integrated in AASP plans, projects, M&amp;E, and analysis</w:t>
      </w:r>
    </w:p>
    <w:p w14:paraId="0097F844" w14:textId="6AA5A370" w:rsidR="00701637" w:rsidRPr="0029511A" w:rsidRDefault="00701637" w:rsidP="00701637">
      <w:pPr>
        <w:rPr>
          <w:rFonts w:ascii="Calibri" w:hAnsi="Calibri" w:cs="Calibri"/>
          <w:color w:val="000000" w:themeColor="text1"/>
        </w:rPr>
      </w:pPr>
      <w:r w:rsidRPr="0029511A">
        <w:rPr>
          <w:rFonts w:ascii="Calibri" w:hAnsi="Calibri" w:cs="Calibri"/>
          <w:color w:val="000000" w:themeColor="text1"/>
        </w:rPr>
        <w:t>The AASP demonstrates a strong commitment to gender mainstreaming, both in the design of all projects and in actively pursuing projects that focus on gender equality and women’s economic empowerment. AASP’s work is closely aligned with the work of the Policy Partnership on Women and the Economy</w:t>
      </w:r>
      <w:r w:rsidR="00F719A8" w:rsidRPr="0029511A">
        <w:rPr>
          <w:rFonts w:ascii="Calibri" w:hAnsi="Calibri" w:cs="Calibri"/>
          <w:color w:val="000000" w:themeColor="text1"/>
        </w:rPr>
        <w:t>,</w:t>
      </w:r>
      <w:r w:rsidRPr="0029511A">
        <w:rPr>
          <w:rFonts w:ascii="Calibri" w:hAnsi="Calibri" w:cs="Calibri"/>
          <w:color w:val="000000" w:themeColor="text1"/>
        </w:rPr>
        <w:t xml:space="preserve"> and by providing voluntary contributions to the Women and Economy sub-fund, the AASP supports the integration of gender perspectives across the APEC agenda and helps APEC address barriers to women’s economic participation region</w:t>
      </w:r>
      <w:r w:rsidRPr="0029511A">
        <w:rPr>
          <w:rFonts w:ascii="Calibri" w:hAnsi="Calibri" w:cs="Calibri"/>
          <w:color w:val="000000" w:themeColor="text1"/>
          <w:lang w:val="en-GB"/>
        </w:rPr>
        <w:t>.</w:t>
      </w:r>
    </w:p>
    <w:p w14:paraId="611BF775" w14:textId="77777777" w:rsidR="00701637" w:rsidRPr="0029511A" w:rsidRDefault="00701637" w:rsidP="00701637">
      <w:pPr>
        <w:rPr>
          <w:rFonts w:ascii="Calibri" w:hAnsi="Calibri" w:cs="Calibri"/>
          <w:bCs/>
          <w:color w:val="000000" w:themeColor="text1"/>
        </w:rPr>
      </w:pPr>
      <w:r w:rsidRPr="0029511A">
        <w:rPr>
          <w:rFonts w:ascii="Calibri" w:hAnsi="Calibri" w:cs="Calibri"/>
          <w:color w:val="000000" w:themeColor="text1"/>
        </w:rPr>
        <w:t>Disability inclusion remains a challenge for the AASP, and there has been little change since the 2022 and 2023 analysis which found that disability inclusion is primarily focused on the provision of reasonable physical accommodation options for participants with a disability</w:t>
      </w:r>
      <w:r w:rsidRPr="0029511A">
        <w:rPr>
          <w:rFonts w:ascii="Calibri" w:hAnsi="Calibri" w:cs="Calibri"/>
          <w:b/>
          <w:color w:val="000000" w:themeColor="text1"/>
        </w:rPr>
        <w:t xml:space="preserve">. </w:t>
      </w:r>
      <w:r w:rsidRPr="0029511A">
        <w:rPr>
          <w:rFonts w:ascii="Calibri" w:hAnsi="Calibri" w:cs="Calibri"/>
          <w:bCs/>
          <w:color w:val="000000" w:themeColor="text1"/>
        </w:rPr>
        <w:t>It is therefore critical that the AASP actively considers ways to consult with Disabled Peoples Organisations (DPOs) where applicable and funds one or more specific disability inclusion projects in the current phase.</w:t>
      </w:r>
    </w:p>
    <w:p w14:paraId="08F12A89" w14:textId="77777777" w:rsidR="00701637" w:rsidRPr="0029511A" w:rsidRDefault="00701637" w:rsidP="00701637">
      <w:pPr>
        <w:rPr>
          <w:rFonts w:ascii="Calibri" w:hAnsi="Calibri" w:cs="Calibri"/>
          <w:color w:val="000000" w:themeColor="text1"/>
        </w:rPr>
      </w:pPr>
      <w:r w:rsidRPr="0029511A">
        <w:rPr>
          <w:rFonts w:ascii="Calibri" w:eastAsia="Calibri Light" w:hAnsi="Calibri" w:cs="Calibri"/>
          <w:color w:val="000000" w:themeColor="text1"/>
        </w:rPr>
        <w:t xml:space="preserve">With respect to other social inclusion aspects, the AASP has significantly increased its focus on empowering Indigenous Peoples. The AASP has supported several successful projects </w:t>
      </w:r>
      <w:r w:rsidRPr="0029511A">
        <w:rPr>
          <w:rFonts w:ascii="Calibri" w:hAnsi="Calibri" w:cs="Calibri"/>
          <w:color w:val="000000" w:themeColor="text1"/>
        </w:rPr>
        <w:t xml:space="preserve">where Indigenous entrepreneurs and businesses have identified shared challenges and new areas for collaboration, discussed innovative approaches to grow Indigenous trade, created networks and incorporated Indigenous views into APEC’s work on trade and investment. </w:t>
      </w:r>
    </w:p>
    <w:p w14:paraId="26F97F58" w14:textId="0EE70C0B" w:rsidR="00701637" w:rsidRPr="00B975BB" w:rsidRDefault="00B30C6D" w:rsidP="00701637">
      <w:pPr>
        <w:rPr>
          <w:rFonts w:ascii="Calibri" w:hAnsi="Calibri" w:cs="Calibri"/>
          <w:color w:val="002060"/>
        </w:rPr>
      </w:pPr>
      <w:r w:rsidRPr="00B975BB">
        <w:rPr>
          <w:rStyle w:val="cf21"/>
          <w:rFonts w:ascii="Calibri" w:hAnsi="Calibri"/>
          <w:color w:val="002060"/>
        </w:rPr>
        <w:t>IO</w:t>
      </w:r>
      <w:r w:rsidR="00701637" w:rsidRPr="00B975BB">
        <w:rPr>
          <w:rStyle w:val="cf21"/>
          <w:rFonts w:ascii="Calibri" w:hAnsi="Calibri"/>
          <w:color w:val="002060"/>
        </w:rPr>
        <w:t xml:space="preserve"> 5: </w:t>
      </w:r>
      <w:r w:rsidR="00701637" w:rsidRPr="00B975BB">
        <w:rPr>
          <w:rFonts w:ascii="Calibri" w:eastAsia="Calibri Light" w:hAnsi="Calibri" w:cs="Calibri"/>
          <w:color w:val="002060"/>
        </w:rPr>
        <w:t>APEC developing economies reporting the contribution of AASP as valuable</w:t>
      </w:r>
    </w:p>
    <w:p w14:paraId="4C9727F0" w14:textId="77777777" w:rsidR="00701637" w:rsidRPr="0029511A" w:rsidRDefault="00701637" w:rsidP="00701637">
      <w:pPr>
        <w:rPr>
          <w:rFonts w:ascii="Calibri" w:hAnsi="Calibri" w:cs="Calibri"/>
          <w:color w:val="000000" w:themeColor="text1"/>
        </w:rPr>
      </w:pPr>
      <w:r w:rsidRPr="0029511A">
        <w:rPr>
          <w:rFonts w:ascii="Calibri" w:eastAsia="Calibri Light" w:hAnsi="Calibri" w:cs="Calibri"/>
          <w:color w:val="000000" w:themeColor="text1"/>
        </w:rPr>
        <w:t xml:space="preserve">Participants have consistently rated AASP projects highly, reporting high levels of satisfaction with both the relevance of the topics addressed in the respective projects and the utility of the knowledge shared through these projects. </w:t>
      </w:r>
    </w:p>
    <w:p w14:paraId="5DE3FB47" w14:textId="77777777" w:rsidR="00701637" w:rsidRPr="00B975BB" w:rsidRDefault="00701637" w:rsidP="00701637">
      <w:pPr>
        <w:rPr>
          <w:rFonts w:ascii="Calibri" w:hAnsi="Calibri" w:cs="Calibri"/>
          <w:color w:val="002060"/>
        </w:rPr>
      </w:pPr>
      <w:proofErr w:type="spellStart"/>
      <w:r w:rsidRPr="00B975BB">
        <w:rPr>
          <w:rStyle w:val="cf21"/>
          <w:rFonts w:ascii="Calibri" w:hAnsi="Calibri"/>
          <w:color w:val="002060"/>
        </w:rPr>
        <w:t>EoPO</w:t>
      </w:r>
      <w:proofErr w:type="spellEnd"/>
      <w:r w:rsidRPr="00B975BB">
        <w:rPr>
          <w:rStyle w:val="cf21"/>
          <w:rFonts w:ascii="Calibri" w:hAnsi="Calibri"/>
          <w:color w:val="002060"/>
        </w:rPr>
        <w:t xml:space="preserve"> 1: </w:t>
      </w:r>
      <w:r w:rsidRPr="00B975BB">
        <w:rPr>
          <w:rFonts w:ascii="Calibri" w:eastAsia="Calibri Light" w:hAnsi="Calibri" w:cs="Calibri"/>
          <w:color w:val="002060"/>
        </w:rPr>
        <w:t>Regional economic integration and structural reform that is consistent with Australia’s broader trade and investment agenda is strengthened to maximise inclusive growth for APEC developing economies</w:t>
      </w:r>
      <w:r w:rsidRPr="00B975BB">
        <w:rPr>
          <w:rStyle w:val="cf21"/>
          <w:rFonts w:ascii="Calibri" w:hAnsi="Calibri"/>
          <w:color w:val="002060"/>
        </w:rPr>
        <w:t>.</w:t>
      </w:r>
    </w:p>
    <w:p w14:paraId="0E2BAB83" w14:textId="77777777" w:rsidR="00701637" w:rsidRPr="0029511A" w:rsidRDefault="00701637" w:rsidP="00701637">
      <w:pPr>
        <w:rPr>
          <w:rStyle w:val="cf21"/>
          <w:rFonts w:ascii="Calibri" w:hAnsi="Calibri"/>
          <w:color w:val="000000" w:themeColor="text1"/>
        </w:rPr>
      </w:pPr>
      <w:r w:rsidRPr="0029511A">
        <w:rPr>
          <w:rStyle w:val="cf21"/>
          <w:rFonts w:ascii="Calibri" w:hAnsi="Calibri"/>
          <w:color w:val="000000" w:themeColor="text1"/>
        </w:rPr>
        <w:t xml:space="preserve">The AASP is making strong progress towards </w:t>
      </w:r>
      <w:proofErr w:type="spellStart"/>
      <w:r w:rsidRPr="0029511A">
        <w:rPr>
          <w:rStyle w:val="cf21"/>
          <w:rFonts w:ascii="Calibri" w:hAnsi="Calibri"/>
          <w:color w:val="000000" w:themeColor="text1"/>
        </w:rPr>
        <w:t>EoPO</w:t>
      </w:r>
      <w:proofErr w:type="spellEnd"/>
      <w:r w:rsidRPr="0029511A">
        <w:rPr>
          <w:rStyle w:val="cf21"/>
          <w:rFonts w:ascii="Calibri" w:hAnsi="Calibri"/>
          <w:color w:val="000000" w:themeColor="text1"/>
        </w:rPr>
        <w:t xml:space="preserve"> 1. By promoting Australia’s priorities within APEC, the AASP is also helping developing economies realise their own ambitions with respect to inclusive </w:t>
      </w:r>
      <w:r w:rsidRPr="0029511A">
        <w:rPr>
          <w:rStyle w:val="cf21"/>
          <w:rFonts w:ascii="Calibri" w:hAnsi="Calibri"/>
          <w:color w:val="000000" w:themeColor="text1"/>
        </w:rPr>
        <w:lastRenderedPageBreak/>
        <w:t xml:space="preserve">growth. The AASP has helped to strengthen regional economic integration and has also promoted structural reform to maximise inclusive growth for APEC developing economies. </w:t>
      </w:r>
    </w:p>
    <w:p w14:paraId="3C5F7677" w14:textId="77777777" w:rsidR="00701637" w:rsidRPr="00B975BB" w:rsidRDefault="00701637" w:rsidP="00701637">
      <w:pPr>
        <w:rPr>
          <w:rFonts w:ascii="Calibri" w:hAnsi="Calibri" w:cs="Calibri"/>
          <w:color w:val="002060"/>
        </w:rPr>
      </w:pPr>
      <w:proofErr w:type="spellStart"/>
      <w:r w:rsidRPr="00B975BB">
        <w:rPr>
          <w:rStyle w:val="cf21"/>
          <w:rFonts w:ascii="Calibri" w:hAnsi="Calibri"/>
          <w:color w:val="002060"/>
        </w:rPr>
        <w:t>EoPO</w:t>
      </w:r>
      <w:proofErr w:type="spellEnd"/>
      <w:r w:rsidRPr="00B975BB">
        <w:rPr>
          <w:rStyle w:val="cf21"/>
          <w:rFonts w:ascii="Calibri" w:hAnsi="Calibri"/>
          <w:color w:val="002060"/>
        </w:rPr>
        <w:t xml:space="preserve"> 2: Australia’s influence within APEC and across the region is enhanced to support open and free rules-based trading systems that bring mutual benefit to participating economies.</w:t>
      </w:r>
    </w:p>
    <w:p w14:paraId="35507DB6" w14:textId="77777777" w:rsidR="00701637" w:rsidRPr="0029511A" w:rsidRDefault="00701637" w:rsidP="00701637">
      <w:pPr>
        <w:rPr>
          <w:rFonts w:ascii="Calibri" w:hAnsi="Calibri" w:cs="Calibri"/>
          <w:color w:val="000000" w:themeColor="text1"/>
        </w:rPr>
      </w:pPr>
      <w:r w:rsidRPr="0029511A">
        <w:rPr>
          <w:rFonts w:ascii="Calibri" w:hAnsi="Calibri" w:cs="Calibri"/>
          <w:color w:val="000000" w:themeColor="text1"/>
        </w:rPr>
        <w:t>Australian leadership and capacity-building offerings in APEC are regarded as best practice by key informants, with self-funded projects delivered by the AASP enhancing Australia's reputation as a robust capacity-building and technical cooperation partner within the APEC region. Australia is seen as leading APEC’s work on several key policy priorities.</w:t>
      </w:r>
    </w:p>
    <w:p w14:paraId="0E58E02C" w14:textId="20ABFFA4" w:rsidR="007E240F" w:rsidRPr="00B975BB" w:rsidRDefault="007E240F" w:rsidP="007E240F">
      <w:pPr>
        <w:spacing w:after="160" w:line="252" w:lineRule="auto"/>
        <w:rPr>
          <w:rFonts w:ascii="Calibri" w:eastAsia="Calibri Light" w:hAnsi="Calibri" w:cs="Calibri"/>
          <w:color w:val="002060"/>
          <w:lang w:val="en-GB"/>
        </w:rPr>
      </w:pPr>
      <w:r w:rsidRPr="00B975BB">
        <w:rPr>
          <w:rStyle w:val="cf21"/>
          <w:rFonts w:ascii="Calibri" w:hAnsi="Calibri"/>
          <w:b/>
          <w:bCs/>
          <w:color w:val="002060"/>
        </w:rPr>
        <w:t xml:space="preserve">Intermediate Outcome 1: </w:t>
      </w:r>
      <w:r w:rsidRPr="00B975BB">
        <w:rPr>
          <w:rFonts w:ascii="Calibri" w:eastAsia="Calibri Light" w:hAnsi="Calibri" w:cs="Calibri"/>
          <w:color w:val="002060"/>
          <w:lang w:val="en-GB"/>
        </w:rPr>
        <w:t>APEC developing economies progressing implementation of an open and rules-based trade and investment environment by 2026</w:t>
      </w:r>
    </w:p>
    <w:p w14:paraId="51956694" w14:textId="7BD6A554" w:rsidR="007E240F" w:rsidRPr="0029511A" w:rsidRDefault="007E240F" w:rsidP="007E240F">
      <w:pPr>
        <w:rPr>
          <w:rFonts w:ascii="Calibri" w:hAnsi="Calibri" w:cs="Calibri"/>
          <w:lang w:val="en-GB"/>
        </w:rPr>
      </w:pPr>
      <w:r w:rsidRPr="0029511A">
        <w:rPr>
          <w:rFonts w:ascii="Calibri" w:hAnsi="Calibri" w:cs="Calibri"/>
          <w:lang w:val="en-GB"/>
        </w:rPr>
        <w:t>AASP has supported a body of work to better define the necessary key components of an open and rules-based trade and investment</w:t>
      </w:r>
      <w:r w:rsidR="00E9583B" w:rsidRPr="0029511A">
        <w:rPr>
          <w:rFonts w:ascii="Calibri" w:hAnsi="Calibri" w:cs="Calibri"/>
          <w:lang w:val="en-GB"/>
        </w:rPr>
        <w:t xml:space="preserve"> environment</w:t>
      </w:r>
      <w:r w:rsidRPr="0029511A">
        <w:rPr>
          <w:rFonts w:ascii="Calibri" w:hAnsi="Calibri" w:cs="Calibri"/>
          <w:lang w:val="en-GB"/>
        </w:rPr>
        <w:t xml:space="preserve">. The </w:t>
      </w:r>
      <w:r w:rsidRPr="0029511A">
        <w:rPr>
          <w:rFonts w:ascii="Calibri" w:hAnsi="Calibri" w:cs="Calibri"/>
          <w:i/>
          <w:iCs/>
          <w:lang w:val="en-GB"/>
        </w:rPr>
        <w:t xml:space="preserve">APEC Services that Support the </w:t>
      </w:r>
      <w:r w:rsidR="00064C7A" w:rsidRPr="0029511A">
        <w:rPr>
          <w:rFonts w:ascii="Calibri" w:hAnsi="Calibri" w:cs="Calibri"/>
          <w:i/>
          <w:iCs/>
          <w:lang w:val="en-GB"/>
        </w:rPr>
        <w:t>M</w:t>
      </w:r>
      <w:r w:rsidRPr="0029511A">
        <w:rPr>
          <w:rFonts w:ascii="Calibri" w:hAnsi="Calibri" w:cs="Calibri"/>
          <w:i/>
          <w:iCs/>
          <w:lang w:val="en-GB"/>
        </w:rPr>
        <w:t xml:space="preserve">ovement of </w:t>
      </w:r>
      <w:r w:rsidR="00064C7A" w:rsidRPr="0029511A">
        <w:rPr>
          <w:rFonts w:ascii="Calibri" w:hAnsi="Calibri" w:cs="Calibri"/>
          <w:i/>
          <w:iCs/>
          <w:lang w:val="en-GB"/>
        </w:rPr>
        <w:t>E</w:t>
      </w:r>
      <w:r w:rsidRPr="0029511A">
        <w:rPr>
          <w:rFonts w:ascii="Calibri" w:hAnsi="Calibri" w:cs="Calibri"/>
          <w:i/>
          <w:iCs/>
          <w:lang w:val="en-GB"/>
        </w:rPr>
        <w:t xml:space="preserve">ssential </w:t>
      </w:r>
      <w:r w:rsidR="00064C7A" w:rsidRPr="0029511A">
        <w:rPr>
          <w:rFonts w:ascii="Calibri" w:hAnsi="Calibri" w:cs="Calibri"/>
          <w:i/>
          <w:iCs/>
          <w:lang w:val="en-GB"/>
        </w:rPr>
        <w:t>G</w:t>
      </w:r>
      <w:r w:rsidRPr="0029511A">
        <w:rPr>
          <w:rFonts w:ascii="Calibri" w:hAnsi="Calibri" w:cs="Calibri"/>
          <w:i/>
          <w:iCs/>
          <w:lang w:val="en-GB"/>
        </w:rPr>
        <w:t>oods</w:t>
      </w:r>
      <w:r w:rsidRPr="0029511A">
        <w:rPr>
          <w:rFonts w:ascii="Calibri" w:hAnsi="Calibri" w:cs="Calibri"/>
          <w:lang w:val="en-GB"/>
        </w:rPr>
        <w:t xml:space="preserve"> project, for instance, led to the development of an APEC-wide agreement on the definition of logistics-related services to facilitate further targeted discussion on logistics-related services and </w:t>
      </w:r>
      <w:r w:rsidRPr="0029511A">
        <w:rPr>
          <w:rFonts w:ascii="Calibri" w:hAnsi="Calibri" w:cs="Calibri"/>
          <w:b/>
          <w:bCs/>
          <w:lang w:val="en-GB"/>
        </w:rPr>
        <w:t>allow for APEC economies to have a better understanding of the impact of logistics-related services on the movement of essential goods</w:t>
      </w:r>
      <w:r w:rsidRPr="0029511A">
        <w:rPr>
          <w:rFonts w:ascii="Calibri" w:hAnsi="Calibri" w:cs="Calibri"/>
          <w:lang w:val="en-GB"/>
        </w:rPr>
        <w:t xml:space="preserve">. These aspects were incorporated into Non-binding Guidelines on Services to Support the Movement of Essential Goods in Periods of </w:t>
      </w:r>
      <w:r w:rsidR="00C95D93" w:rsidRPr="0029511A">
        <w:rPr>
          <w:rFonts w:ascii="Calibri" w:hAnsi="Calibri" w:cs="Calibri"/>
          <w:lang w:val="en-GB"/>
        </w:rPr>
        <w:t>Crisis and</w:t>
      </w:r>
      <w:r w:rsidRPr="0029511A">
        <w:rPr>
          <w:rFonts w:ascii="Calibri" w:hAnsi="Calibri" w:cs="Calibri"/>
          <w:lang w:val="en-GB"/>
        </w:rPr>
        <w:t xml:space="preserve"> incorporated into work being led globally by</w:t>
      </w:r>
      <w:r w:rsidR="005367C8" w:rsidRPr="0029511A">
        <w:rPr>
          <w:rFonts w:ascii="Calibri" w:hAnsi="Calibri" w:cs="Calibri"/>
          <w:lang w:val="en-GB"/>
        </w:rPr>
        <w:t xml:space="preserve"> the </w:t>
      </w:r>
      <w:r w:rsidR="00442269" w:rsidRPr="0029511A">
        <w:rPr>
          <w:rFonts w:ascii="Calibri" w:eastAsia="Calibri" w:hAnsi="Calibri" w:cs="Calibri"/>
          <w:lang w:val="en-GB"/>
        </w:rPr>
        <w:t>Organisation for Economic Co-operation and Development</w:t>
      </w:r>
      <w:r w:rsidR="00442269" w:rsidRPr="0029511A">
        <w:rPr>
          <w:rFonts w:ascii="Calibri" w:hAnsi="Calibri" w:cs="Calibri"/>
          <w:lang w:val="en-GB"/>
        </w:rPr>
        <w:t xml:space="preserve"> (OECD) </w:t>
      </w:r>
      <w:r w:rsidRPr="0029511A">
        <w:rPr>
          <w:rFonts w:ascii="Calibri" w:hAnsi="Calibri" w:cs="Calibri"/>
          <w:lang w:val="en-GB"/>
        </w:rPr>
        <w:t>and the</w:t>
      </w:r>
      <w:r w:rsidR="005367C8" w:rsidRPr="0029511A">
        <w:rPr>
          <w:rFonts w:ascii="Calibri" w:hAnsi="Calibri" w:cs="Calibri"/>
          <w:lang w:val="en-GB"/>
        </w:rPr>
        <w:t xml:space="preserve"> World Trade Organisation</w:t>
      </w:r>
      <w:r w:rsidRPr="0029511A">
        <w:rPr>
          <w:rFonts w:ascii="Calibri" w:hAnsi="Calibri" w:cs="Calibri"/>
          <w:lang w:val="en-GB"/>
        </w:rPr>
        <w:t xml:space="preserve"> </w:t>
      </w:r>
      <w:r w:rsidR="005367C8" w:rsidRPr="0029511A">
        <w:rPr>
          <w:rFonts w:ascii="Calibri" w:hAnsi="Calibri" w:cs="Calibri"/>
          <w:lang w:val="en-GB"/>
        </w:rPr>
        <w:t>(</w:t>
      </w:r>
      <w:r w:rsidRPr="0029511A">
        <w:rPr>
          <w:rFonts w:ascii="Calibri" w:hAnsi="Calibri" w:cs="Calibri"/>
          <w:lang w:val="en-GB"/>
        </w:rPr>
        <w:t>WTO</w:t>
      </w:r>
      <w:r w:rsidR="005367C8" w:rsidRPr="0029511A">
        <w:rPr>
          <w:rFonts w:ascii="Calibri" w:hAnsi="Calibri" w:cs="Calibri"/>
          <w:lang w:val="en-GB"/>
        </w:rPr>
        <w:t>)</w:t>
      </w:r>
      <w:r w:rsidRPr="0029511A">
        <w:rPr>
          <w:rFonts w:ascii="Calibri" w:hAnsi="Calibri" w:cs="Calibri"/>
          <w:lang w:val="en-GB"/>
        </w:rPr>
        <w:t xml:space="preserve"> on this issue.</w:t>
      </w:r>
      <w:r w:rsidR="00BE54AE" w:rsidRPr="0029511A">
        <w:rPr>
          <w:rFonts w:ascii="Calibri" w:hAnsi="Calibri" w:cs="Calibri"/>
          <w:lang w:val="en-GB"/>
        </w:rPr>
        <w:t xml:space="preserve"> The outcomes of this project also illustrate </w:t>
      </w:r>
      <w:r w:rsidRPr="0029511A">
        <w:rPr>
          <w:rFonts w:ascii="Calibri" w:hAnsi="Calibri" w:cs="Calibri"/>
          <w:lang w:val="en-GB"/>
        </w:rPr>
        <w:t xml:space="preserve">how projects supported by </w:t>
      </w:r>
      <w:r w:rsidR="00BE54AE" w:rsidRPr="0029511A">
        <w:rPr>
          <w:rFonts w:ascii="Calibri" w:hAnsi="Calibri" w:cs="Calibri"/>
          <w:lang w:val="en-GB"/>
        </w:rPr>
        <w:t xml:space="preserve">the </w:t>
      </w:r>
      <w:r w:rsidRPr="0029511A">
        <w:rPr>
          <w:rFonts w:ascii="Calibri" w:hAnsi="Calibri" w:cs="Calibri"/>
          <w:lang w:val="en-GB"/>
        </w:rPr>
        <w:t>AASP have secured high levels of support across the policy landscape</w:t>
      </w:r>
      <w:r w:rsidR="00BE54AE" w:rsidRPr="0029511A">
        <w:rPr>
          <w:rFonts w:ascii="Calibri" w:hAnsi="Calibri" w:cs="Calibri"/>
          <w:lang w:val="en-GB"/>
        </w:rPr>
        <w:t>, in this case</w:t>
      </w:r>
      <w:r w:rsidR="005B0073" w:rsidRPr="0029511A">
        <w:rPr>
          <w:rFonts w:ascii="Calibri" w:hAnsi="Calibri" w:cs="Calibri"/>
          <w:lang w:val="en-GB"/>
        </w:rPr>
        <w:t>,</w:t>
      </w:r>
      <w:r w:rsidR="00BE54AE" w:rsidRPr="0029511A">
        <w:rPr>
          <w:rFonts w:ascii="Calibri" w:hAnsi="Calibri" w:cs="Calibri"/>
          <w:lang w:val="en-GB"/>
        </w:rPr>
        <w:t xml:space="preserve"> both OECD and WTO taking aspects of the project forward</w:t>
      </w:r>
      <w:r w:rsidRPr="0029511A">
        <w:rPr>
          <w:rFonts w:ascii="Calibri" w:hAnsi="Calibri" w:cs="Calibri"/>
          <w:lang w:val="en-GB"/>
        </w:rPr>
        <w:t>.</w:t>
      </w:r>
    </w:p>
    <w:p w14:paraId="1FFB530B" w14:textId="2A1FE9B4" w:rsidR="007E240F" w:rsidRPr="0029511A" w:rsidRDefault="007E240F" w:rsidP="007E240F">
      <w:pPr>
        <w:rPr>
          <w:rFonts w:ascii="Calibri" w:hAnsi="Calibri" w:cs="Calibri"/>
          <w:lang w:val="en-GB"/>
        </w:rPr>
      </w:pPr>
      <w:r w:rsidRPr="0029511A">
        <w:rPr>
          <w:rFonts w:ascii="Calibri" w:hAnsi="Calibri" w:cs="Calibri"/>
          <w:lang w:val="en-GB"/>
        </w:rPr>
        <w:t xml:space="preserve">Through </w:t>
      </w:r>
      <w:r w:rsidR="005B0073" w:rsidRPr="0029511A">
        <w:rPr>
          <w:rFonts w:ascii="Calibri" w:hAnsi="Calibri" w:cs="Calibri"/>
          <w:lang w:val="en-GB"/>
        </w:rPr>
        <w:t xml:space="preserve">the </w:t>
      </w:r>
      <w:r w:rsidRPr="0029511A">
        <w:rPr>
          <w:rFonts w:ascii="Calibri" w:hAnsi="Calibri" w:cs="Calibri"/>
          <w:i/>
          <w:iCs/>
          <w:lang w:val="en-GB"/>
        </w:rPr>
        <w:t xml:space="preserve">APEC Investment Handbook </w:t>
      </w:r>
      <w:r w:rsidR="00C95D93" w:rsidRPr="0029511A">
        <w:rPr>
          <w:rFonts w:ascii="Calibri" w:hAnsi="Calibri" w:cs="Calibri"/>
          <w:lang w:val="en-GB"/>
        </w:rPr>
        <w:t xml:space="preserve">project </w:t>
      </w:r>
      <w:r w:rsidRPr="0029511A">
        <w:rPr>
          <w:rFonts w:ascii="Calibri" w:hAnsi="Calibri" w:cs="Calibri"/>
          <w:lang w:val="en-GB"/>
        </w:rPr>
        <w:t>(first in Viet</w:t>
      </w:r>
      <w:r w:rsidR="00B408FC" w:rsidRPr="0029511A">
        <w:rPr>
          <w:rFonts w:ascii="Calibri" w:hAnsi="Calibri" w:cs="Calibri"/>
          <w:lang w:val="en-GB"/>
        </w:rPr>
        <w:t xml:space="preserve"> </w:t>
      </w:r>
      <w:r w:rsidR="00D06C79" w:rsidRPr="0029511A">
        <w:rPr>
          <w:rFonts w:ascii="Calibri" w:hAnsi="Calibri" w:cs="Calibri"/>
          <w:lang w:val="en-GB"/>
        </w:rPr>
        <w:t>N</w:t>
      </w:r>
      <w:r w:rsidRPr="0029511A">
        <w:rPr>
          <w:rFonts w:ascii="Calibri" w:hAnsi="Calibri" w:cs="Calibri"/>
          <w:lang w:val="en-GB"/>
        </w:rPr>
        <w:t xml:space="preserve">am, and then PNG), the AASP has been supporting economies </w:t>
      </w:r>
      <w:r w:rsidR="005B0073" w:rsidRPr="0029511A">
        <w:rPr>
          <w:rFonts w:ascii="Calibri" w:hAnsi="Calibri" w:cs="Calibri"/>
          <w:b/>
          <w:bCs/>
          <w:lang w:val="en-GB"/>
        </w:rPr>
        <w:t>in clarifying</w:t>
      </w:r>
      <w:r w:rsidRPr="0029511A">
        <w:rPr>
          <w:rFonts w:ascii="Calibri" w:hAnsi="Calibri" w:cs="Calibri"/>
          <w:b/>
          <w:bCs/>
          <w:lang w:val="en-GB"/>
        </w:rPr>
        <w:t xml:space="preserve"> their obligations towards foreign investors and investor-state dispute resolution</w:t>
      </w:r>
      <w:r w:rsidRPr="0029511A">
        <w:rPr>
          <w:rFonts w:ascii="Calibri" w:hAnsi="Calibri" w:cs="Calibri"/>
          <w:lang w:val="en-GB"/>
        </w:rPr>
        <w:t xml:space="preserve"> (a system through which </w:t>
      </w:r>
      <w:r w:rsidR="00514B8F" w:rsidRPr="0029511A">
        <w:rPr>
          <w:rFonts w:ascii="Calibri" w:hAnsi="Calibri" w:cs="Calibri"/>
          <w:lang w:val="en-GB"/>
        </w:rPr>
        <w:t xml:space="preserve">economies </w:t>
      </w:r>
      <w:r w:rsidRPr="0029511A">
        <w:rPr>
          <w:rFonts w:ascii="Calibri" w:hAnsi="Calibri" w:cs="Calibri"/>
          <w:lang w:val="en-GB"/>
        </w:rPr>
        <w:t>can be sued by foreign investors for certain state actions affecting foreign direct investment). Whil</w:t>
      </w:r>
      <w:r w:rsidR="00FD66EA" w:rsidRPr="0029511A">
        <w:rPr>
          <w:rFonts w:ascii="Calibri" w:hAnsi="Calibri" w:cs="Calibri"/>
          <w:lang w:val="en-GB"/>
        </w:rPr>
        <w:t>e</w:t>
      </w:r>
      <w:r w:rsidRPr="0029511A">
        <w:rPr>
          <w:rFonts w:ascii="Calibri" w:hAnsi="Calibri" w:cs="Calibri"/>
          <w:lang w:val="en-GB"/>
        </w:rPr>
        <w:t xml:space="preserve"> the project has been recognised by economies for its value in helping to clarify trade negotiations, the fact that the handbook has been tailored to specific countries and then translated into local languages has enhanced its utility.</w:t>
      </w:r>
    </w:p>
    <w:p w14:paraId="146EC466" w14:textId="6FF4AB3C" w:rsidR="00332E92" w:rsidRPr="0029511A" w:rsidRDefault="00332E92" w:rsidP="007E240F">
      <w:pPr>
        <w:rPr>
          <w:rFonts w:ascii="Calibri" w:hAnsi="Calibri" w:cs="Calibri"/>
          <w:lang w:val="en-GB"/>
        </w:rPr>
      </w:pPr>
    </w:p>
    <w:p w14:paraId="7896A7AF" w14:textId="31EEDEDB" w:rsidR="00216587" w:rsidRPr="0029511A" w:rsidRDefault="00A92BDE" w:rsidP="007E240F">
      <w:pPr>
        <w:rPr>
          <w:rFonts w:ascii="Calibri" w:hAnsi="Calibri" w:cs="Calibri"/>
          <w:lang w:val="en-GB"/>
        </w:rPr>
      </w:pPr>
      <w:r w:rsidRPr="00DF0DFF">
        <w:rPr>
          <w:rFonts w:ascii="Calibri" w:hAnsi="Calibri" w:cs="Calibri"/>
          <w:b/>
          <w:bCs/>
          <w:i/>
          <w:iCs/>
          <w:lang w:val="en-GB"/>
        </w:rPr>
        <w:t>Feedback from Papua New Guinea (PNG):</w:t>
      </w:r>
      <w:r w:rsidRPr="0029511A">
        <w:rPr>
          <w:rFonts w:ascii="Calibri" w:hAnsi="Calibri" w:cs="Calibri"/>
          <w:lang w:val="en-GB"/>
        </w:rPr>
        <w:t xml:space="preserve"> </w:t>
      </w:r>
      <w:r w:rsidRPr="0029511A">
        <w:rPr>
          <w:rFonts w:ascii="Calibri" w:hAnsi="Calibri" w:cs="Calibri"/>
          <w:i/>
          <w:iCs/>
          <w:lang w:val="en-GB"/>
        </w:rPr>
        <w:t xml:space="preserve">PNG representative found Australia's workshop on Investment Handbook for PNG, which was also issued in </w:t>
      </w:r>
      <w:proofErr w:type="spellStart"/>
      <w:r w:rsidRPr="0029511A">
        <w:rPr>
          <w:rFonts w:ascii="Calibri" w:hAnsi="Calibri" w:cs="Calibri"/>
          <w:i/>
          <w:iCs/>
          <w:lang w:val="en-GB"/>
        </w:rPr>
        <w:t>TokPisin</w:t>
      </w:r>
      <w:proofErr w:type="spellEnd"/>
      <w:r w:rsidRPr="0029511A">
        <w:rPr>
          <w:rFonts w:ascii="Calibri" w:hAnsi="Calibri" w:cs="Calibri"/>
          <w:i/>
          <w:iCs/>
          <w:lang w:val="en-GB"/>
        </w:rPr>
        <w:t>, has been immensely helpful in improving PNG's understanding of investment principles and how to go about it in a simplified way. PNG appreciates this assistance.</w:t>
      </w:r>
    </w:p>
    <w:p w14:paraId="48F654C0" w14:textId="77777777" w:rsidR="00216587" w:rsidRPr="0029511A" w:rsidRDefault="00216587" w:rsidP="007E240F">
      <w:pPr>
        <w:rPr>
          <w:rFonts w:ascii="Calibri" w:hAnsi="Calibri" w:cs="Calibri"/>
          <w:lang w:val="en-GB"/>
        </w:rPr>
      </w:pPr>
    </w:p>
    <w:p w14:paraId="2A0EC6A0" w14:textId="6D8CFB69" w:rsidR="007E240F" w:rsidRPr="0029511A" w:rsidRDefault="007E240F" w:rsidP="007E240F">
      <w:pPr>
        <w:rPr>
          <w:rFonts w:ascii="Calibri" w:hAnsi="Calibri" w:cs="Calibri"/>
          <w:lang w:val="en-GB"/>
        </w:rPr>
      </w:pPr>
      <w:r w:rsidRPr="0029511A">
        <w:rPr>
          <w:rFonts w:ascii="Calibri" w:hAnsi="Calibri" w:cs="Calibri"/>
          <w:lang w:val="en-GB"/>
        </w:rPr>
        <w:t xml:space="preserve">The </w:t>
      </w:r>
      <w:r w:rsidRPr="0029511A">
        <w:rPr>
          <w:rFonts w:ascii="Calibri" w:hAnsi="Calibri" w:cs="Calibri"/>
          <w:i/>
          <w:iCs/>
          <w:lang w:val="en-GB"/>
        </w:rPr>
        <w:t>APEC Trade Policy Dialogue - Understanding of what can be considered an environmental good</w:t>
      </w:r>
      <w:r w:rsidRPr="0029511A">
        <w:rPr>
          <w:rFonts w:ascii="Calibri" w:hAnsi="Calibri" w:cs="Calibri"/>
          <w:lang w:val="en-GB"/>
        </w:rPr>
        <w:t xml:space="preserve"> project is another example of AASP </w:t>
      </w:r>
      <w:r w:rsidRPr="0029511A">
        <w:rPr>
          <w:rFonts w:ascii="Calibri" w:hAnsi="Calibri" w:cs="Calibri"/>
          <w:b/>
          <w:bCs/>
          <w:lang w:val="en-GB"/>
        </w:rPr>
        <w:t>influencing policy by facilitating the development of a common APEC understanding of what constitutes an environmental good</w:t>
      </w:r>
      <w:r w:rsidR="003A42C3" w:rsidRPr="0029511A">
        <w:rPr>
          <w:rFonts w:ascii="Calibri" w:hAnsi="Calibri" w:cs="Calibri"/>
          <w:lang w:val="en-GB"/>
        </w:rPr>
        <w:t xml:space="preserve"> and</w:t>
      </w:r>
      <w:r w:rsidR="00E409DD" w:rsidRPr="0029511A">
        <w:rPr>
          <w:rFonts w:ascii="Calibri" w:hAnsi="Calibri" w:cs="Calibri"/>
          <w:lang w:val="en-GB"/>
        </w:rPr>
        <w:t>,</w:t>
      </w:r>
      <w:r w:rsidR="003A42C3" w:rsidRPr="0029511A">
        <w:rPr>
          <w:rFonts w:ascii="Calibri" w:hAnsi="Calibri" w:cs="Calibri"/>
          <w:lang w:val="en-GB"/>
        </w:rPr>
        <w:t xml:space="preserve"> therefore</w:t>
      </w:r>
      <w:r w:rsidR="00FA27A7" w:rsidRPr="0029511A">
        <w:rPr>
          <w:rFonts w:ascii="Calibri" w:hAnsi="Calibri" w:cs="Calibri"/>
          <w:lang w:val="en-GB"/>
        </w:rPr>
        <w:t>,</w:t>
      </w:r>
      <w:r w:rsidR="003A42C3" w:rsidRPr="0029511A">
        <w:rPr>
          <w:rFonts w:ascii="Calibri" w:hAnsi="Calibri" w:cs="Calibri"/>
          <w:lang w:val="en-GB"/>
        </w:rPr>
        <w:t xml:space="preserve"> supporting an open and rules-based trade and investment environment. T</w:t>
      </w:r>
      <w:r w:rsidRPr="0029511A">
        <w:rPr>
          <w:rFonts w:ascii="Calibri" w:hAnsi="Calibri" w:cs="Calibri"/>
          <w:lang w:val="en-GB"/>
        </w:rPr>
        <w:t xml:space="preserve">he terms and definitions were incorporated into a voluntary, non-binding reference list of new and emerging environmental goods in line with APEC ministerial instruction. The project also helps respond to the heightened environmental challenges all APEC economies face, including climate change, which necessitate </w:t>
      </w:r>
      <w:r w:rsidR="00733315" w:rsidRPr="0029511A">
        <w:rPr>
          <w:rFonts w:ascii="Calibri" w:hAnsi="Calibri" w:cs="Calibri"/>
          <w:lang w:val="en-GB"/>
        </w:rPr>
        <w:t xml:space="preserve">collective </w:t>
      </w:r>
      <w:r w:rsidRPr="0029511A">
        <w:rPr>
          <w:rFonts w:ascii="Calibri" w:hAnsi="Calibri" w:cs="Calibri"/>
          <w:lang w:val="en-GB"/>
        </w:rPr>
        <w:t xml:space="preserve">APEC action to promote trade in products that help to mitigate and address these challenges. </w:t>
      </w:r>
    </w:p>
    <w:p w14:paraId="5A4BFE9F" w14:textId="5E5E821D" w:rsidR="004F7BA9" w:rsidRPr="0029511A" w:rsidRDefault="004F7BA9" w:rsidP="007E240F">
      <w:pPr>
        <w:rPr>
          <w:rFonts w:ascii="Calibri" w:hAnsi="Calibri" w:cs="Calibri"/>
          <w:lang w:val="en-GB"/>
        </w:rPr>
      </w:pPr>
    </w:p>
    <w:p w14:paraId="749A68D4" w14:textId="12311830" w:rsidR="00D229F4" w:rsidRPr="0029511A" w:rsidRDefault="005F3C1D" w:rsidP="006E48CC">
      <w:pPr>
        <w:rPr>
          <w:rFonts w:ascii="Calibri" w:hAnsi="Calibri" w:cs="Calibri"/>
          <w:lang w:val="en-GB"/>
        </w:rPr>
      </w:pPr>
      <w:r w:rsidRPr="00DF0DFF">
        <w:rPr>
          <w:rFonts w:ascii="Calibri" w:hAnsi="Calibri" w:cs="Calibri"/>
          <w:b/>
          <w:bCs/>
          <w:i/>
          <w:iCs/>
        </w:rPr>
        <w:t>Feedback from Indonesia:</w:t>
      </w:r>
      <w:r w:rsidRPr="0029511A">
        <w:rPr>
          <w:rFonts w:ascii="Calibri" w:hAnsi="Calibri" w:cs="Calibri"/>
          <w:b/>
          <w:bCs/>
        </w:rPr>
        <w:t xml:space="preserve"> </w:t>
      </w:r>
      <w:r w:rsidRPr="0029511A">
        <w:rPr>
          <w:rFonts w:ascii="Calibri" w:hAnsi="Calibri" w:cs="Calibri"/>
          <w:i/>
          <w:iCs/>
        </w:rPr>
        <w:t xml:space="preserve">Indonesia really appreciates Australia's work to define an environmental good… It generated sufficient interest in Indonesia to use the learnings to start domestic discussions. Using insights from the workshop, Indonesia further engaged with the domestic stakeholders and has </w:t>
      </w:r>
      <w:r w:rsidRPr="0029511A">
        <w:rPr>
          <w:rFonts w:ascii="Calibri" w:hAnsi="Calibri" w:cs="Calibri"/>
          <w:i/>
          <w:iCs/>
        </w:rPr>
        <w:lastRenderedPageBreak/>
        <w:t>since then developed their own reference list of environmental goods.</w:t>
      </w:r>
      <w:r w:rsidRPr="0029511A">
        <w:rPr>
          <w:rFonts w:ascii="Calibri" w:hAnsi="Calibri" w:cs="Calibri"/>
        </w:rPr>
        <w:t xml:space="preserve"> </w:t>
      </w:r>
      <w:hyperlink r:id="rId19" w:history="1">
        <w:r w:rsidRPr="0029511A">
          <w:rPr>
            <w:rStyle w:val="Hyperlink"/>
            <w:rFonts w:ascii="Calibri" w:hAnsi="Calibri" w:cs="Calibri"/>
          </w:rPr>
          <w:t>https://www.apec.org/publications/2023/07/re port-on-the-environmental-goods-trade-</w:t>
        </w:r>
        <w:proofErr w:type="spellStart"/>
        <w:r w:rsidRPr="0029511A">
          <w:rPr>
            <w:rStyle w:val="Hyperlink"/>
            <w:rFonts w:ascii="Calibri" w:hAnsi="Calibri" w:cs="Calibri"/>
          </w:rPr>
          <w:t>policydialogue</w:t>
        </w:r>
        <w:proofErr w:type="spellEnd"/>
      </w:hyperlink>
    </w:p>
    <w:p w14:paraId="7A08C6DC" w14:textId="77777777" w:rsidR="00E934C8" w:rsidRDefault="00E934C8" w:rsidP="006E48CC">
      <w:pPr>
        <w:rPr>
          <w:rFonts w:ascii="Calibri" w:hAnsi="Calibri" w:cs="Calibri"/>
          <w:lang w:val="en-GB"/>
        </w:rPr>
      </w:pPr>
    </w:p>
    <w:p w14:paraId="3B584BE6" w14:textId="41EE9CF9" w:rsidR="006E48CC" w:rsidRPr="00671D44" w:rsidRDefault="00656F2B" w:rsidP="006E48CC">
      <w:pPr>
        <w:rPr>
          <w:rFonts w:ascii="Calibri" w:hAnsi="Calibri" w:cs="Calibri"/>
          <w:b/>
          <w:bCs/>
          <w:lang w:val="en-GB"/>
        </w:rPr>
      </w:pPr>
      <w:r w:rsidRPr="0029511A">
        <w:rPr>
          <w:rFonts w:ascii="Calibri" w:hAnsi="Calibri" w:cs="Calibri"/>
          <w:lang w:val="en-GB"/>
        </w:rPr>
        <w:t xml:space="preserve">Led by Standards Australia, </w:t>
      </w:r>
      <w:r w:rsidR="00064050" w:rsidRPr="0029511A">
        <w:rPr>
          <w:rFonts w:ascii="Calibri" w:hAnsi="Calibri" w:cs="Calibri"/>
          <w:lang w:val="en-GB"/>
        </w:rPr>
        <w:t xml:space="preserve">some </w:t>
      </w:r>
      <w:r w:rsidR="007E240F" w:rsidRPr="0029511A">
        <w:rPr>
          <w:rFonts w:ascii="Calibri" w:hAnsi="Calibri" w:cs="Calibri"/>
          <w:lang w:val="en-GB"/>
        </w:rPr>
        <w:t xml:space="preserve">AASP projects have also been effective in </w:t>
      </w:r>
      <w:r w:rsidR="007E240F" w:rsidRPr="0029511A">
        <w:rPr>
          <w:rFonts w:ascii="Calibri" w:hAnsi="Calibri" w:cs="Calibri"/>
          <w:b/>
          <w:bCs/>
          <w:lang w:val="en-GB"/>
        </w:rPr>
        <w:t xml:space="preserve">raising awareness of the importance of international standards </w:t>
      </w:r>
      <w:r w:rsidR="007E240F" w:rsidRPr="0029511A">
        <w:rPr>
          <w:rFonts w:ascii="Calibri" w:hAnsi="Calibri" w:cs="Calibri"/>
          <w:lang w:val="en-GB"/>
        </w:rPr>
        <w:t>within APEC to enhance open and rules-based trade.</w:t>
      </w:r>
      <w:r w:rsidR="00442269" w:rsidRPr="0029511A">
        <w:rPr>
          <w:rFonts w:ascii="Calibri" w:hAnsi="Calibri" w:cs="Calibri"/>
          <w:lang w:val="en-GB"/>
        </w:rPr>
        <w:t xml:space="preserve"> </w:t>
      </w:r>
      <w:r w:rsidR="007E240F" w:rsidRPr="0029511A">
        <w:rPr>
          <w:rFonts w:ascii="Calibri" w:hAnsi="Calibri" w:cs="Calibri"/>
          <w:lang w:val="en-GB"/>
        </w:rPr>
        <w:t xml:space="preserve">Standards provide internationally agreed-upon frameworks that promote consistency and compatibility. Through raising awareness of the importance of </w:t>
      </w:r>
      <w:r w:rsidR="007E240F" w:rsidRPr="0029511A">
        <w:rPr>
          <w:rFonts w:ascii="Calibri" w:hAnsi="Calibri" w:cs="Calibri"/>
          <w:b/>
          <w:bCs/>
          <w:lang w:val="en-GB"/>
        </w:rPr>
        <w:t>circular economy standards for more sustainable trade</w:t>
      </w:r>
      <w:r w:rsidR="005B0073" w:rsidRPr="0029511A">
        <w:rPr>
          <w:rFonts w:ascii="Calibri" w:hAnsi="Calibri" w:cs="Calibri"/>
          <w:b/>
          <w:bCs/>
          <w:lang w:val="en-GB"/>
        </w:rPr>
        <w:t>,</w:t>
      </w:r>
      <w:r w:rsidR="007E240F" w:rsidRPr="0029511A">
        <w:rPr>
          <w:rFonts w:ascii="Calibri" w:hAnsi="Calibri" w:cs="Calibri"/>
          <w:lang w:val="en-GB"/>
        </w:rPr>
        <w:t xml:space="preserve"> AASP enhance</w:t>
      </w:r>
      <w:r w:rsidR="00E77EEE" w:rsidRPr="0029511A">
        <w:rPr>
          <w:rFonts w:ascii="Calibri" w:hAnsi="Calibri" w:cs="Calibri"/>
          <w:lang w:val="en-GB"/>
        </w:rPr>
        <w:t>s</w:t>
      </w:r>
      <w:r w:rsidR="007E240F" w:rsidRPr="0029511A">
        <w:rPr>
          <w:rFonts w:ascii="Calibri" w:hAnsi="Calibri" w:cs="Calibri"/>
          <w:lang w:val="en-GB"/>
        </w:rPr>
        <w:t xml:space="preserve"> knowledge of good practice among circular standards bodies, regulatory agencies, businesses and others within APEC. In response to the</w:t>
      </w:r>
      <w:r w:rsidR="007E240F" w:rsidRPr="0029511A">
        <w:rPr>
          <w:rFonts w:ascii="Calibri" w:eastAsia="PMingLiU" w:hAnsi="Calibri" w:cs="Calibri"/>
          <w:bCs/>
          <w:iCs/>
          <w:lang w:val="en-GB"/>
        </w:rPr>
        <w:t xml:space="preserve"> </w:t>
      </w:r>
      <w:hyperlink r:id="rId20" w:history="1">
        <w:r w:rsidR="007E240F" w:rsidRPr="0029511A">
          <w:rPr>
            <w:rStyle w:val="Hyperlink"/>
            <w:rFonts w:ascii="Calibri" w:eastAsia="PMingLiU" w:hAnsi="Calibri" w:cs="Calibri"/>
            <w:bCs/>
            <w:iCs/>
            <w:lang w:val="en-GB"/>
          </w:rPr>
          <w:t>Chair's Statement of the 28th APEC Small and Medium Enterprises Ministerial Meeting</w:t>
        </w:r>
      </w:hyperlink>
      <w:r w:rsidR="001365AD" w:rsidRPr="0029511A">
        <w:rPr>
          <w:rStyle w:val="Hyperlink"/>
          <w:rFonts w:ascii="Calibri" w:eastAsia="PMingLiU" w:hAnsi="Calibri" w:cs="Calibri"/>
          <w:bCs/>
          <w:iCs/>
          <w:lang w:val="en-GB"/>
        </w:rPr>
        <w:t>,</w:t>
      </w:r>
      <w:r w:rsidR="007E240F" w:rsidRPr="0029511A">
        <w:rPr>
          <w:rFonts w:ascii="Calibri" w:eastAsia="PMingLiU" w:hAnsi="Calibri" w:cs="Calibri"/>
          <w:bCs/>
          <w:iCs/>
          <w:lang w:val="en-GB"/>
        </w:rPr>
        <w:t xml:space="preserve"> </w:t>
      </w:r>
      <w:r w:rsidR="007E240F" w:rsidRPr="0029511A">
        <w:rPr>
          <w:rFonts w:ascii="Calibri" w:hAnsi="Calibri" w:cs="Calibri"/>
          <w:lang w:val="en-GB"/>
        </w:rPr>
        <w:t xml:space="preserve">the project also demonstrated how the adoption of circular economy measures can support value creation of </w:t>
      </w:r>
      <w:r w:rsidR="0015272F" w:rsidRPr="0029511A">
        <w:rPr>
          <w:rFonts w:ascii="Calibri" w:eastAsia="Calibri" w:hAnsi="Calibri" w:cs="Calibri"/>
          <w:lang w:val="en-GB"/>
        </w:rPr>
        <w:t>Micro, Small and Medium Enterprises’</w:t>
      </w:r>
      <w:r w:rsidR="0015272F" w:rsidRPr="0029511A">
        <w:rPr>
          <w:rFonts w:ascii="Calibri" w:hAnsi="Calibri" w:cs="Calibri"/>
          <w:lang w:val="en-GB"/>
        </w:rPr>
        <w:t xml:space="preserve"> (</w:t>
      </w:r>
      <w:r w:rsidR="007E240F" w:rsidRPr="0029511A">
        <w:rPr>
          <w:rFonts w:ascii="Calibri" w:hAnsi="Calibri" w:cs="Calibri"/>
          <w:lang w:val="en-GB"/>
        </w:rPr>
        <w:t>MSMEs</w:t>
      </w:r>
      <w:r w:rsidR="0015272F" w:rsidRPr="0029511A">
        <w:rPr>
          <w:rFonts w:ascii="Calibri" w:hAnsi="Calibri" w:cs="Calibri"/>
          <w:lang w:val="en-GB"/>
        </w:rPr>
        <w:t>)</w:t>
      </w:r>
      <w:r w:rsidR="007E240F" w:rsidRPr="0029511A">
        <w:rPr>
          <w:rFonts w:ascii="Calibri" w:hAnsi="Calibri" w:cs="Calibri"/>
          <w:lang w:val="en-GB"/>
        </w:rPr>
        <w:t xml:space="preserve"> products and services.</w:t>
      </w:r>
    </w:p>
    <w:p w14:paraId="4BB89377" w14:textId="2D1F449D" w:rsidR="009944D5" w:rsidRPr="0029511A" w:rsidRDefault="009944D5" w:rsidP="006E48CC">
      <w:pPr>
        <w:rPr>
          <w:rStyle w:val="cf21"/>
          <w:rFonts w:ascii="Calibri" w:hAnsi="Calibri"/>
        </w:rPr>
      </w:pPr>
    </w:p>
    <w:p w14:paraId="549C73E0" w14:textId="21CCA526" w:rsidR="006E48CC" w:rsidRPr="00B975BB" w:rsidRDefault="007E240F" w:rsidP="007E240F">
      <w:pPr>
        <w:spacing w:after="160" w:line="252" w:lineRule="auto"/>
        <w:rPr>
          <w:rStyle w:val="cf21"/>
          <w:rFonts w:ascii="Calibri" w:hAnsi="Calibri"/>
          <w:color w:val="002060"/>
        </w:rPr>
      </w:pPr>
      <w:r w:rsidRPr="00B975BB">
        <w:rPr>
          <w:rStyle w:val="cf21"/>
          <w:rFonts w:ascii="Calibri" w:hAnsi="Calibri"/>
          <w:b/>
          <w:bCs/>
          <w:color w:val="002060"/>
        </w:rPr>
        <w:t xml:space="preserve">Intermediate Outcome 2: </w:t>
      </w:r>
      <w:r w:rsidRPr="00B975BB">
        <w:rPr>
          <w:rStyle w:val="cf21"/>
          <w:rFonts w:ascii="Calibri" w:hAnsi="Calibri"/>
          <w:color w:val="002060"/>
        </w:rPr>
        <w:t>APEC developing economies progressing implementation of measures to promote regional integration and domestic structural reforms by 2026</w:t>
      </w:r>
      <w:r w:rsidR="006E48CC" w:rsidRPr="00B975BB">
        <w:rPr>
          <w:rStyle w:val="cf21"/>
          <w:rFonts w:ascii="Calibri" w:hAnsi="Calibri"/>
          <w:color w:val="002060"/>
        </w:rPr>
        <w:t>.</w:t>
      </w:r>
    </w:p>
    <w:p w14:paraId="5995B477" w14:textId="1AD6D012" w:rsidR="007E240F" w:rsidRPr="0029511A" w:rsidRDefault="007E240F" w:rsidP="007E240F">
      <w:pPr>
        <w:spacing w:after="160" w:line="252" w:lineRule="auto"/>
        <w:rPr>
          <w:rFonts w:ascii="Calibri" w:hAnsi="Calibri" w:cs="Calibri"/>
          <w:lang w:val="en-GB"/>
        </w:rPr>
      </w:pPr>
      <w:r w:rsidRPr="0029511A">
        <w:rPr>
          <w:rFonts w:ascii="Calibri" w:eastAsia="Calibri Light" w:hAnsi="Calibri" w:cs="Calibri"/>
          <w:b/>
          <w:bCs/>
          <w:color w:val="000000"/>
          <w:lang w:val="en-GB"/>
        </w:rPr>
        <w:t xml:space="preserve">Australia is widely considered </w:t>
      </w:r>
      <w:r w:rsidR="00E77EEE" w:rsidRPr="0029511A">
        <w:rPr>
          <w:rFonts w:ascii="Calibri" w:eastAsia="Calibri Light" w:hAnsi="Calibri" w:cs="Calibri"/>
          <w:b/>
          <w:bCs/>
          <w:color w:val="000000"/>
          <w:lang w:val="en-GB"/>
        </w:rPr>
        <w:t>to be</w:t>
      </w:r>
      <w:r w:rsidRPr="0029511A">
        <w:rPr>
          <w:rFonts w:ascii="Calibri" w:eastAsia="Calibri Light" w:hAnsi="Calibri" w:cs="Calibri"/>
          <w:b/>
          <w:bCs/>
          <w:color w:val="000000"/>
          <w:lang w:val="en-GB"/>
        </w:rPr>
        <w:t xml:space="preserve"> leading the work on trade</w:t>
      </w:r>
      <w:r w:rsidR="005B7B9E" w:rsidRPr="0029511A">
        <w:rPr>
          <w:rFonts w:ascii="Calibri" w:eastAsia="Calibri Light" w:hAnsi="Calibri" w:cs="Calibri"/>
          <w:b/>
          <w:bCs/>
          <w:color w:val="000000"/>
          <w:lang w:val="en-GB"/>
        </w:rPr>
        <w:t xml:space="preserve"> and structural reforms</w:t>
      </w:r>
      <w:r w:rsidRPr="0029511A">
        <w:rPr>
          <w:rFonts w:ascii="Calibri" w:eastAsia="Calibri Light" w:hAnsi="Calibri" w:cs="Calibri"/>
          <w:b/>
          <w:bCs/>
          <w:color w:val="000000"/>
          <w:lang w:val="en-GB"/>
        </w:rPr>
        <w:t xml:space="preserve"> </w:t>
      </w:r>
      <w:r w:rsidR="00CE6C29" w:rsidRPr="0029511A">
        <w:rPr>
          <w:rFonts w:ascii="Calibri" w:eastAsia="Calibri Light" w:hAnsi="Calibri" w:cs="Calibri"/>
          <w:b/>
          <w:bCs/>
          <w:color w:val="000000"/>
          <w:lang w:val="en-GB"/>
        </w:rPr>
        <w:t>in the</w:t>
      </w:r>
      <w:r w:rsidRPr="0029511A">
        <w:rPr>
          <w:rFonts w:ascii="Calibri" w:eastAsia="Calibri Light" w:hAnsi="Calibri" w:cs="Calibri"/>
          <w:b/>
          <w:bCs/>
          <w:color w:val="000000"/>
          <w:lang w:val="en-GB"/>
        </w:rPr>
        <w:t xml:space="preserve"> services sector within APEC</w:t>
      </w:r>
      <w:r w:rsidRPr="0029511A">
        <w:rPr>
          <w:rFonts w:ascii="Calibri" w:eastAsia="Calibri Light" w:hAnsi="Calibri" w:cs="Calibri"/>
          <w:color w:val="000000"/>
          <w:lang w:val="en-GB"/>
        </w:rPr>
        <w:t>.</w:t>
      </w:r>
      <w:r w:rsidRPr="0029511A">
        <w:rPr>
          <w:rFonts w:ascii="Calibri" w:hAnsi="Calibri" w:cs="Calibri"/>
          <w:lang w:val="en-GB"/>
        </w:rPr>
        <w:t xml:space="preserve"> AASP’s </w:t>
      </w:r>
      <w:r w:rsidR="00E77EEE" w:rsidRPr="0029511A">
        <w:rPr>
          <w:rFonts w:ascii="Calibri" w:hAnsi="Calibri" w:cs="Calibri"/>
          <w:lang w:val="en-GB"/>
        </w:rPr>
        <w:t>long-</w:t>
      </w:r>
      <w:r w:rsidRPr="0029511A">
        <w:rPr>
          <w:rFonts w:ascii="Calibri" w:hAnsi="Calibri" w:cs="Calibri"/>
          <w:lang w:val="en-GB"/>
        </w:rPr>
        <w:t xml:space="preserve">term support to </w:t>
      </w:r>
      <w:r w:rsidR="00CE6C29" w:rsidRPr="0029511A">
        <w:rPr>
          <w:rFonts w:ascii="Calibri" w:hAnsi="Calibri" w:cs="Calibri"/>
          <w:lang w:val="en-GB"/>
        </w:rPr>
        <w:t xml:space="preserve">promote </w:t>
      </w:r>
      <w:r w:rsidRPr="0029511A">
        <w:rPr>
          <w:rFonts w:ascii="Calibri" w:hAnsi="Calibri" w:cs="Calibri"/>
          <w:lang w:val="en-GB"/>
        </w:rPr>
        <w:t>services and structural reform, of which a key feature has been to prioritise activities to make services regulation and policy reform in favour of openness a central focus of APEC’s structural reform agenda (</w:t>
      </w:r>
      <w:hyperlink r:id="rId21" w:history="1">
        <w:r w:rsidRPr="0029511A">
          <w:rPr>
            <w:rStyle w:val="Hyperlink"/>
            <w:rFonts w:ascii="Calibri" w:hAnsi="Calibri" w:cs="Calibri"/>
            <w:lang w:val="en-GB"/>
          </w:rPr>
          <w:t>https://apecservicessr.com/</w:t>
        </w:r>
      </w:hyperlink>
      <w:r w:rsidRPr="0029511A">
        <w:rPr>
          <w:rFonts w:ascii="Calibri" w:hAnsi="Calibri" w:cs="Calibri"/>
          <w:lang w:val="en-GB"/>
        </w:rPr>
        <w:t>), has ensured that Australia’s leadership has been noted by the APEC hosts of both APEC 2022 and APEC</w:t>
      </w:r>
      <w:r w:rsidR="001365AD" w:rsidRPr="0029511A">
        <w:rPr>
          <w:rFonts w:ascii="Calibri" w:hAnsi="Calibri" w:cs="Calibri"/>
          <w:lang w:val="en-GB"/>
        </w:rPr>
        <w:t xml:space="preserve"> </w:t>
      </w:r>
      <w:r w:rsidRPr="0029511A">
        <w:rPr>
          <w:rFonts w:ascii="Calibri" w:hAnsi="Calibri" w:cs="Calibri"/>
          <w:lang w:val="en-GB"/>
        </w:rPr>
        <w:t xml:space="preserve">2023, as well as private sector participants from across the region, including the Pacific Services Coalition members. Australia’s work was also reflected in the 2022 APEC Ministerial Meeting Statement, an endorsement </w:t>
      </w:r>
      <w:r w:rsidR="00E77EEE" w:rsidRPr="0029511A">
        <w:rPr>
          <w:rFonts w:ascii="Calibri" w:hAnsi="Calibri" w:cs="Calibri"/>
          <w:lang w:val="en-GB"/>
        </w:rPr>
        <w:t>that</w:t>
      </w:r>
      <w:r w:rsidRPr="0029511A">
        <w:rPr>
          <w:rFonts w:ascii="Calibri" w:hAnsi="Calibri" w:cs="Calibri"/>
          <w:lang w:val="en-GB"/>
        </w:rPr>
        <w:t xml:space="preserve"> forms the basis for the work supported by the AASP. </w:t>
      </w:r>
      <w:r w:rsidR="001365AD" w:rsidRPr="0029511A">
        <w:rPr>
          <w:rFonts w:ascii="Calibri" w:hAnsi="Calibri" w:cs="Calibri"/>
          <w:lang w:val="en-GB"/>
        </w:rPr>
        <w:t xml:space="preserve">During the </w:t>
      </w:r>
      <w:r w:rsidRPr="0029511A">
        <w:rPr>
          <w:rFonts w:ascii="Calibri" w:hAnsi="Calibri" w:cs="Calibri"/>
          <w:lang w:val="en-GB"/>
        </w:rPr>
        <w:t>SOM</w:t>
      </w:r>
      <w:r w:rsidR="001365AD" w:rsidRPr="0029511A">
        <w:rPr>
          <w:rFonts w:ascii="Calibri" w:hAnsi="Calibri" w:cs="Calibri"/>
          <w:lang w:val="en-GB"/>
        </w:rPr>
        <w:t xml:space="preserve"> 3 meetings held in Lima, Peru</w:t>
      </w:r>
      <w:r w:rsidR="00E77EEE" w:rsidRPr="0029511A">
        <w:rPr>
          <w:rFonts w:ascii="Calibri" w:hAnsi="Calibri" w:cs="Calibri"/>
          <w:lang w:val="en-GB"/>
        </w:rPr>
        <w:t>,</w:t>
      </w:r>
      <w:r w:rsidR="001365AD" w:rsidRPr="0029511A">
        <w:rPr>
          <w:rFonts w:ascii="Calibri" w:hAnsi="Calibri" w:cs="Calibri"/>
          <w:lang w:val="en-GB"/>
        </w:rPr>
        <w:t xml:space="preserve"> in 2024</w:t>
      </w:r>
      <w:r w:rsidRPr="0029511A">
        <w:rPr>
          <w:rFonts w:ascii="Calibri" w:hAnsi="Calibri" w:cs="Calibri"/>
          <w:lang w:val="en-GB"/>
        </w:rPr>
        <w:t>, the OECD representative noted</w:t>
      </w:r>
      <w:r w:rsidR="00E77EEE" w:rsidRPr="0029511A">
        <w:rPr>
          <w:rFonts w:ascii="Calibri" w:hAnsi="Calibri" w:cs="Calibri"/>
          <w:lang w:val="en-GB"/>
        </w:rPr>
        <w:t>,</w:t>
      </w:r>
      <w:r w:rsidRPr="0029511A">
        <w:rPr>
          <w:rFonts w:ascii="Calibri" w:hAnsi="Calibri" w:cs="Calibri"/>
          <w:lang w:val="en-GB"/>
        </w:rPr>
        <w:t xml:space="preserve"> ‘Australian leadership and capacity</w:t>
      </w:r>
      <w:r w:rsidR="00064C7A" w:rsidRPr="0029511A">
        <w:rPr>
          <w:rFonts w:ascii="Calibri" w:hAnsi="Calibri" w:cs="Calibri"/>
          <w:lang w:val="en-GB"/>
        </w:rPr>
        <w:t xml:space="preserve"> </w:t>
      </w:r>
      <w:r w:rsidRPr="0029511A">
        <w:rPr>
          <w:rFonts w:ascii="Calibri" w:hAnsi="Calibri" w:cs="Calibri"/>
          <w:lang w:val="en-GB"/>
        </w:rPr>
        <w:t>building offerings in APEC are considered best practice’. Through a series of capacity building events, policy briefs (</w:t>
      </w:r>
      <w:hyperlink r:id="rId22" w:history="1">
        <w:r w:rsidRPr="0029511A">
          <w:rPr>
            <w:rStyle w:val="Hyperlink"/>
            <w:rFonts w:ascii="Calibri" w:hAnsi="Calibri" w:cs="Calibri"/>
            <w:lang w:val="en-GB"/>
          </w:rPr>
          <w:t>https://apecservicessr.com/research/policy-briefs/</w:t>
        </w:r>
      </w:hyperlink>
      <w:r w:rsidRPr="0029511A">
        <w:rPr>
          <w:rFonts w:ascii="Calibri" w:hAnsi="Calibri" w:cs="Calibri"/>
          <w:lang w:val="en-GB"/>
        </w:rPr>
        <w:t>), and policy dialogues</w:t>
      </w:r>
      <w:r w:rsidR="00E77EEE" w:rsidRPr="0029511A">
        <w:rPr>
          <w:rFonts w:ascii="Calibri" w:hAnsi="Calibri" w:cs="Calibri"/>
          <w:lang w:val="en-GB"/>
        </w:rPr>
        <w:t>,</w:t>
      </w:r>
      <w:r w:rsidRPr="0029511A">
        <w:rPr>
          <w:rFonts w:ascii="Calibri" w:hAnsi="Calibri" w:cs="Calibri"/>
          <w:lang w:val="en-GB"/>
        </w:rPr>
        <w:t xml:space="preserve"> the multi-phase </w:t>
      </w:r>
      <w:r w:rsidRPr="0029511A">
        <w:rPr>
          <w:rFonts w:ascii="Calibri" w:hAnsi="Calibri" w:cs="Calibri"/>
          <w:i/>
          <w:iCs/>
          <w:lang w:val="en-GB"/>
        </w:rPr>
        <w:t xml:space="preserve">APEC Services and Structural Reform </w:t>
      </w:r>
      <w:r w:rsidR="00880D5B" w:rsidRPr="0029511A">
        <w:rPr>
          <w:rFonts w:ascii="Calibri" w:hAnsi="Calibri" w:cs="Calibri"/>
          <w:lang w:val="en-GB"/>
        </w:rPr>
        <w:t xml:space="preserve">project </w:t>
      </w:r>
      <w:r w:rsidRPr="0029511A">
        <w:rPr>
          <w:rFonts w:ascii="Calibri" w:hAnsi="Calibri" w:cs="Calibri"/>
          <w:lang w:val="en-GB"/>
        </w:rPr>
        <w:t>has been pivotal in supporting activities that have helped to intensify regional trading partners’ focus on vital regulatory and structural reform aspects of the APEC Services Competitiveness Roadmap and related work of the Digital Economy Roadmap.</w:t>
      </w:r>
      <w:r w:rsidR="00E16E29" w:rsidRPr="0029511A">
        <w:rPr>
          <w:rFonts w:ascii="Calibri" w:hAnsi="Calibri" w:cs="Calibri"/>
          <w:lang w:val="en-GB"/>
        </w:rPr>
        <w:t xml:space="preserve"> This project is a good example of a successful multi-year investment.</w:t>
      </w:r>
    </w:p>
    <w:p w14:paraId="08F641CC" w14:textId="77777777" w:rsidR="00D229F4" w:rsidRPr="0029511A" w:rsidRDefault="00CE0735" w:rsidP="007E240F">
      <w:pPr>
        <w:spacing w:after="160" w:line="252" w:lineRule="auto"/>
        <w:rPr>
          <w:rFonts w:ascii="Calibri" w:hAnsi="Calibri" w:cs="Calibri"/>
          <w:lang w:val="en-GB"/>
        </w:rPr>
        <w:sectPr w:rsidR="00D229F4" w:rsidRPr="0029511A" w:rsidSect="00D229F4">
          <w:type w:val="continuous"/>
          <w:pgSz w:w="11900" w:h="16840"/>
          <w:pgMar w:top="1418" w:right="1440" w:bottom="1440" w:left="1440" w:header="709" w:footer="709" w:gutter="0"/>
          <w:cols w:space="708"/>
          <w:docGrid w:linePitch="360"/>
        </w:sectPr>
      </w:pPr>
      <w:r w:rsidRPr="0029511A">
        <w:rPr>
          <w:rFonts w:ascii="Calibri" w:hAnsi="Calibri" w:cs="Calibri"/>
          <w:lang w:val="en-GB"/>
        </w:rPr>
        <w:t xml:space="preserve">The AASP also provides invaluable support through contributing to </w:t>
      </w:r>
      <w:r w:rsidRPr="0029511A">
        <w:rPr>
          <w:rFonts w:ascii="Calibri" w:hAnsi="Calibri" w:cs="Calibri"/>
          <w:bCs/>
          <w:lang w:val="en-GB"/>
        </w:rPr>
        <w:t>the</w:t>
      </w:r>
      <w:r w:rsidRPr="0029511A">
        <w:rPr>
          <w:rFonts w:ascii="Calibri" w:hAnsi="Calibri" w:cs="Calibri"/>
          <w:b/>
          <w:lang w:val="en-GB"/>
        </w:rPr>
        <w:t xml:space="preserve"> </w:t>
      </w:r>
      <w:hyperlink r:id="rId23" w:anchor=":~:text=There%20are%20four%20main%20sources,Funds)%20and%20self%2Dfunding." w:history="1">
        <w:r w:rsidRPr="0029511A">
          <w:rPr>
            <w:rStyle w:val="Hyperlink"/>
            <w:rFonts w:ascii="Calibri" w:hAnsi="Calibri" w:cs="Calibri"/>
            <w:b/>
            <w:bCs/>
            <w:lang w:val="en-GB"/>
          </w:rPr>
          <w:t>Enhanced APEC Agenda for Structural Reform (EAASR) Sub-Fund</w:t>
        </w:r>
      </w:hyperlink>
      <w:r w:rsidRPr="0029511A">
        <w:rPr>
          <w:rFonts w:ascii="Calibri" w:hAnsi="Calibri" w:cs="Calibri"/>
          <w:lang w:val="en-GB"/>
        </w:rPr>
        <w:t xml:space="preserve">.  Established in 2021 with Australian funding, the Sub-Fund supports the implementation of EAASR-aligned structural reforms. Financed by the Sub-Fund, PNG’s </w:t>
      </w:r>
    </w:p>
    <w:p w14:paraId="60ADB613" w14:textId="31483781" w:rsidR="00CE0735" w:rsidRPr="0029511A" w:rsidRDefault="00CE0735" w:rsidP="007E240F">
      <w:pPr>
        <w:spacing w:after="160" w:line="252" w:lineRule="auto"/>
        <w:rPr>
          <w:rFonts w:ascii="Calibri" w:hAnsi="Calibri" w:cs="Calibri"/>
          <w:lang w:val="en-GB"/>
        </w:rPr>
      </w:pPr>
      <w:r w:rsidRPr="0029511A">
        <w:rPr>
          <w:rFonts w:ascii="Calibri" w:hAnsi="Calibri" w:cs="Calibri"/>
          <w:lang w:val="en-GB"/>
        </w:rPr>
        <w:t xml:space="preserve">project on </w:t>
      </w:r>
      <w:hyperlink r:id="rId24" w:history="1">
        <w:r w:rsidRPr="0029511A">
          <w:rPr>
            <w:rStyle w:val="Hyperlink"/>
            <w:rFonts w:ascii="Calibri" w:hAnsi="Calibri" w:cs="Calibri"/>
            <w:b/>
            <w:bCs/>
          </w:rPr>
          <w:t>I</w:t>
        </w:r>
        <w:proofErr w:type="spellStart"/>
        <w:r w:rsidRPr="0029511A">
          <w:rPr>
            <w:rStyle w:val="Hyperlink"/>
            <w:rFonts w:ascii="Calibri" w:hAnsi="Calibri" w:cs="Calibri"/>
            <w:b/>
            <w:bCs/>
            <w:lang w:val="en-GB"/>
          </w:rPr>
          <w:t>nfrastructure</w:t>
        </w:r>
        <w:proofErr w:type="spellEnd"/>
        <w:r w:rsidRPr="0029511A">
          <w:rPr>
            <w:rStyle w:val="Hyperlink"/>
            <w:rFonts w:ascii="Calibri" w:hAnsi="Calibri" w:cs="Calibri"/>
            <w:b/>
            <w:bCs/>
            <w:lang w:val="en-GB"/>
          </w:rPr>
          <w:t xml:space="preserve"> regulation and competition from structural reform experiences in APEC</w:t>
        </w:r>
        <w:r w:rsidRPr="0029511A">
          <w:rPr>
            <w:rStyle w:val="Hyperlink"/>
            <w:rFonts w:ascii="Calibri" w:hAnsi="Calibri" w:cs="Calibri"/>
            <w:lang w:val="en-GB"/>
          </w:rPr>
          <w:t> </w:t>
        </w:r>
      </w:hyperlink>
      <w:r w:rsidRPr="0029511A">
        <w:rPr>
          <w:rFonts w:ascii="Calibri" w:hAnsi="Calibri" w:cs="Calibri"/>
          <w:lang w:val="en-GB"/>
        </w:rPr>
        <w:t xml:space="preserve"> examined challenges of current practices and ways of improving design and performance of regulatory systems. PNG’s project is a good example of funding capacity-building for reforms that benefit developing APEC economies and improve regulatory environments in Australia’s trading partners in the region.</w:t>
      </w:r>
    </w:p>
    <w:p w14:paraId="6B15F737" w14:textId="77777777" w:rsidR="0093789C" w:rsidRDefault="007E240F" w:rsidP="007E240F">
      <w:pPr>
        <w:spacing w:after="160" w:line="252" w:lineRule="auto"/>
        <w:rPr>
          <w:rFonts w:ascii="Calibri" w:hAnsi="Calibri" w:cs="Calibri"/>
          <w:lang w:val="en-GB"/>
        </w:rPr>
      </w:pPr>
      <w:r w:rsidRPr="0029511A">
        <w:rPr>
          <w:rFonts w:ascii="Calibri" w:hAnsi="Calibri" w:cs="Calibri"/>
          <w:lang w:val="en-GB"/>
        </w:rPr>
        <w:t>A</w:t>
      </w:r>
      <w:r w:rsidR="00E16D9A" w:rsidRPr="0029511A">
        <w:rPr>
          <w:rFonts w:ascii="Calibri" w:hAnsi="Calibri" w:cs="Calibri"/>
          <w:lang w:val="en-GB"/>
        </w:rPr>
        <w:t>A</w:t>
      </w:r>
      <w:r w:rsidRPr="0029511A">
        <w:rPr>
          <w:rFonts w:ascii="Calibri" w:hAnsi="Calibri" w:cs="Calibri"/>
          <w:lang w:val="en-GB"/>
        </w:rPr>
        <w:t xml:space="preserve">SP’s </w:t>
      </w:r>
      <w:r w:rsidRPr="0029511A">
        <w:rPr>
          <w:rFonts w:ascii="Calibri" w:hAnsi="Calibri" w:cs="Calibri"/>
          <w:i/>
          <w:iCs/>
          <w:lang w:val="en-GB"/>
        </w:rPr>
        <w:t xml:space="preserve">APEC </w:t>
      </w:r>
      <w:r w:rsidR="00064C7A" w:rsidRPr="0029511A">
        <w:rPr>
          <w:rFonts w:ascii="Calibri" w:hAnsi="Calibri" w:cs="Calibri"/>
          <w:i/>
          <w:iCs/>
          <w:lang w:val="en-GB"/>
        </w:rPr>
        <w:t>P</w:t>
      </w:r>
      <w:r w:rsidRPr="0029511A">
        <w:rPr>
          <w:rFonts w:ascii="Calibri" w:hAnsi="Calibri" w:cs="Calibri"/>
          <w:i/>
          <w:iCs/>
          <w:lang w:val="en-GB"/>
        </w:rPr>
        <w:t xml:space="preserve">rofessional </w:t>
      </w:r>
      <w:r w:rsidR="00064C7A" w:rsidRPr="0029511A">
        <w:rPr>
          <w:rFonts w:ascii="Calibri" w:hAnsi="Calibri" w:cs="Calibri"/>
          <w:i/>
          <w:iCs/>
          <w:lang w:val="en-GB"/>
        </w:rPr>
        <w:t>S</w:t>
      </w:r>
      <w:r w:rsidRPr="0029511A">
        <w:rPr>
          <w:rFonts w:ascii="Calibri" w:hAnsi="Calibri" w:cs="Calibri"/>
          <w:i/>
          <w:iCs/>
          <w:lang w:val="en-GB"/>
        </w:rPr>
        <w:t xml:space="preserve">ervices and </w:t>
      </w:r>
      <w:r w:rsidR="00064C7A" w:rsidRPr="0029511A">
        <w:rPr>
          <w:rFonts w:ascii="Calibri" w:hAnsi="Calibri" w:cs="Calibri"/>
          <w:i/>
          <w:iCs/>
          <w:lang w:val="en-GB"/>
        </w:rPr>
        <w:t>M</w:t>
      </w:r>
      <w:r w:rsidRPr="0029511A">
        <w:rPr>
          <w:rFonts w:ascii="Calibri" w:hAnsi="Calibri" w:cs="Calibri"/>
          <w:i/>
          <w:iCs/>
          <w:lang w:val="en-GB"/>
        </w:rPr>
        <w:t xml:space="preserve">utual </w:t>
      </w:r>
      <w:r w:rsidR="00064C7A" w:rsidRPr="0029511A">
        <w:rPr>
          <w:rFonts w:ascii="Calibri" w:hAnsi="Calibri" w:cs="Calibri"/>
          <w:i/>
          <w:iCs/>
          <w:lang w:val="en-GB"/>
        </w:rPr>
        <w:t>R</w:t>
      </w:r>
      <w:r w:rsidRPr="0029511A">
        <w:rPr>
          <w:rFonts w:ascii="Calibri" w:hAnsi="Calibri" w:cs="Calibri"/>
          <w:i/>
          <w:iCs/>
          <w:lang w:val="en-GB"/>
        </w:rPr>
        <w:t xml:space="preserve">ecognition Agreement </w:t>
      </w:r>
      <w:r w:rsidR="00880D5B" w:rsidRPr="0029511A">
        <w:rPr>
          <w:rFonts w:ascii="Calibri" w:hAnsi="Calibri" w:cs="Calibri"/>
          <w:lang w:val="en-GB"/>
        </w:rPr>
        <w:t xml:space="preserve">project </w:t>
      </w:r>
      <w:r w:rsidR="00E16E29" w:rsidRPr="0029511A">
        <w:rPr>
          <w:rFonts w:ascii="Calibri" w:hAnsi="Calibri" w:cs="Calibri"/>
          <w:lang w:val="en-GB"/>
        </w:rPr>
        <w:t xml:space="preserve">is an example of </w:t>
      </w:r>
      <w:r w:rsidRPr="0029511A">
        <w:rPr>
          <w:rFonts w:ascii="Calibri" w:hAnsi="Calibri" w:cs="Calibri"/>
          <w:b/>
          <w:bCs/>
          <w:lang w:val="en-GB"/>
        </w:rPr>
        <w:t>Australia’s leadership on APEC’s work on Mutual Recognition Agreements (MRAs)</w:t>
      </w:r>
      <w:r w:rsidR="001D5AA2" w:rsidRPr="0029511A">
        <w:rPr>
          <w:rFonts w:ascii="Calibri" w:hAnsi="Calibri" w:cs="Calibri"/>
          <w:b/>
          <w:bCs/>
          <w:lang w:val="en-GB"/>
        </w:rPr>
        <w:t xml:space="preserve">. </w:t>
      </w:r>
      <w:r w:rsidR="001D5AA2" w:rsidRPr="0029511A">
        <w:rPr>
          <w:rFonts w:ascii="Calibri" w:hAnsi="Calibri" w:cs="Calibri"/>
          <w:lang w:val="en-GB"/>
        </w:rPr>
        <w:t>The project enhances professional mobility across APEC economies, with a focus on developing economies, thereby promoting regional integration</w:t>
      </w:r>
      <w:r w:rsidRPr="0029511A">
        <w:rPr>
          <w:rFonts w:ascii="Calibri" w:hAnsi="Calibri" w:cs="Calibri"/>
          <w:lang w:val="en-GB"/>
        </w:rPr>
        <w:t>. By increasing knowledge and promoting the utilisation of MRAs</w:t>
      </w:r>
      <w:r w:rsidR="001D5AA2" w:rsidRPr="0029511A">
        <w:rPr>
          <w:rFonts w:ascii="Calibri" w:hAnsi="Calibri" w:cs="Calibri"/>
          <w:lang w:val="en-GB"/>
        </w:rPr>
        <w:t xml:space="preserve"> in developing economies</w:t>
      </w:r>
      <w:r w:rsidRPr="0029511A">
        <w:rPr>
          <w:rFonts w:ascii="Calibri" w:hAnsi="Calibri" w:cs="Calibri"/>
          <w:lang w:val="en-GB"/>
        </w:rPr>
        <w:t xml:space="preserve">, the multi-year </w:t>
      </w:r>
      <w:r w:rsidRPr="0029511A">
        <w:rPr>
          <w:rFonts w:ascii="Calibri" w:hAnsi="Calibri" w:cs="Calibri"/>
          <w:i/>
          <w:iCs/>
          <w:lang w:val="en-GB"/>
        </w:rPr>
        <w:t>APEC Professional Services and Mutual Recognition Agreement</w:t>
      </w:r>
      <w:r w:rsidRPr="0029511A">
        <w:rPr>
          <w:rFonts w:ascii="Calibri" w:hAnsi="Calibri" w:cs="Calibri"/>
          <w:lang w:val="en-GB"/>
        </w:rPr>
        <w:t xml:space="preserve"> project </w:t>
      </w:r>
      <w:r w:rsidR="00656F2B" w:rsidRPr="0029511A">
        <w:rPr>
          <w:rFonts w:ascii="Calibri" w:hAnsi="Calibri" w:cs="Calibri"/>
          <w:lang w:val="en-GB"/>
        </w:rPr>
        <w:t xml:space="preserve">established </w:t>
      </w:r>
      <w:r w:rsidRPr="0029511A">
        <w:rPr>
          <w:rFonts w:ascii="Calibri" w:hAnsi="Calibri" w:cs="Calibri"/>
          <w:lang w:val="en-GB"/>
        </w:rPr>
        <w:t xml:space="preserve">and built on the APEC Professional Services and Mutual Recognition </w:t>
      </w:r>
      <w:r w:rsidRPr="0029511A">
        <w:rPr>
          <w:rFonts w:ascii="Calibri" w:hAnsi="Calibri" w:cs="Calibri"/>
          <w:lang w:val="en-GB"/>
        </w:rPr>
        <w:lastRenderedPageBreak/>
        <w:t xml:space="preserve">Community of Practice (CoP) to enhance and support MRA practice for trade in professional services across APEC economies; </w:t>
      </w:r>
      <w:r w:rsidR="00656F2B" w:rsidRPr="0029511A">
        <w:rPr>
          <w:rFonts w:ascii="Calibri" w:hAnsi="Calibri" w:cs="Calibri"/>
          <w:lang w:val="en-GB"/>
        </w:rPr>
        <w:t xml:space="preserve">maintained </w:t>
      </w:r>
      <w:r w:rsidRPr="0029511A">
        <w:rPr>
          <w:rFonts w:ascii="Calibri" w:hAnsi="Calibri" w:cs="Calibri"/>
          <w:lang w:val="en-GB"/>
        </w:rPr>
        <w:t>and updated the APEC Inventory of Mutual Recognition Agreements for Professional Qualifications and Licensure website launched in August 2021 (</w:t>
      </w:r>
      <w:hyperlink r:id="rId25" w:history="1">
        <w:r w:rsidRPr="0029511A">
          <w:rPr>
            <w:rStyle w:val="Hyperlink"/>
            <w:rFonts w:ascii="Calibri" w:hAnsi="Calibri" w:cs="Calibri"/>
            <w:lang w:val="en-GB"/>
          </w:rPr>
          <w:t>https://aasc.knack.com/mra-inventory</w:t>
        </w:r>
      </w:hyperlink>
      <w:r w:rsidRPr="0029511A">
        <w:rPr>
          <w:rFonts w:ascii="Calibri" w:hAnsi="Calibri" w:cs="Calibri"/>
          <w:lang w:val="en-GB"/>
        </w:rPr>
        <w:t xml:space="preserve"> ); conducted online training on APEC Mutual Recognition and digital credentialing, building on work completed during 2020-21 to develop the APEC Mutual Recognition Online Workshops on Digital Credentialing of Professional and Skilled Services Providers; and developed a number of policy options on MRAs</w:t>
      </w:r>
      <w:r w:rsidRPr="0029511A">
        <w:rPr>
          <w:rStyle w:val="FootnoteReference"/>
          <w:rFonts w:ascii="Calibri" w:hAnsi="Calibri" w:cs="Calibri"/>
          <w:lang w:val="en-GB"/>
        </w:rPr>
        <w:footnoteReference w:id="3"/>
      </w:r>
      <w:r w:rsidRPr="0029511A">
        <w:rPr>
          <w:rFonts w:ascii="Calibri" w:hAnsi="Calibri" w:cs="Calibri"/>
          <w:lang w:val="en-GB"/>
        </w:rPr>
        <w:t>.</w:t>
      </w:r>
    </w:p>
    <w:p w14:paraId="63CA4E17" w14:textId="77777777" w:rsidR="009D335D" w:rsidRPr="00CD6789" w:rsidRDefault="009D335D" w:rsidP="009D335D">
      <w:pPr>
        <w:rPr>
          <w:rFonts w:asciiTheme="minorHAnsi" w:hAnsiTheme="minorHAnsi" w:cstheme="minorHAnsi"/>
          <w:b/>
          <w:bCs/>
          <w:i/>
          <w:iCs/>
        </w:rPr>
      </w:pPr>
      <w:r w:rsidRPr="00CD6789">
        <w:rPr>
          <w:rFonts w:asciiTheme="minorHAnsi" w:hAnsiTheme="minorHAnsi" w:cstheme="minorHAnsi"/>
          <w:b/>
          <w:bCs/>
          <w:i/>
          <w:iCs/>
        </w:rPr>
        <w:t xml:space="preserve">Malaysian feedback on MRA project: </w:t>
      </w:r>
    </w:p>
    <w:p w14:paraId="6322ACE8" w14:textId="77777777" w:rsidR="009D335D" w:rsidRPr="00CD6789" w:rsidRDefault="009D335D" w:rsidP="009D335D">
      <w:pPr>
        <w:pStyle w:val="ListParagraph"/>
        <w:numPr>
          <w:ilvl w:val="0"/>
          <w:numId w:val="24"/>
        </w:numPr>
        <w:ind w:left="426"/>
        <w:rPr>
          <w:rFonts w:asciiTheme="minorHAnsi" w:hAnsiTheme="minorHAnsi" w:cstheme="minorHAnsi"/>
          <w:i/>
          <w:iCs/>
        </w:rPr>
      </w:pPr>
      <w:r w:rsidRPr="00CD6789">
        <w:rPr>
          <w:rFonts w:asciiTheme="minorHAnsi" w:hAnsiTheme="minorHAnsi" w:cstheme="minorHAnsi"/>
          <w:i/>
          <w:iCs/>
        </w:rPr>
        <w:t>The online capacity building programs have been extended to our Professional Services Productivity Nexus, allowing them to voluntarily participate, gain exposure, and engage in discussions on global issues</w:t>
      </w:r>
    </w:p>
    <w:p w14:paraId="44503758" w14:textId="77777777" w:rsidR="009D335D" w:rsidRPr="00CD6789" w:rsidRDefault="009D335D" w:rsidP="009D335D">
      <w:pPr>
        <w:pStyle w:val="ListParagraph"/>
        <w:numPr>
          <w:ilvl w:val="0"/>
          <w:numId w:val="24"/>
        </w:numPr>
        <w:ind w:left="426"/>
        <w:rPr>
          <w:rFonts w:asciiTheme="minorHAnsi" w:hAnsiTheme="minorHAnsi" w:cstheme="minorHAnsi"/>
          <w:i/>
          <w:iCs/>
        </w:rPr>
      </w:pPr>
      <w:r w:rsidRPr="00CD6789">
        <w:rPr>
          <w:rFonts w:asciiTheme="minorHAnsi" w:hAnsiTheme="minorHAnsi" w:cstheme="minorHAnsi"/>
          <w:i/>
          <w:iCs/>
        </w:rPr>
        <w:t>Tools have been instrumental in supporting the implementation of trade agreements, in line with APEC's objectives for regional economic integration. Malaysia uses the toolkit as a reference when reviewing existing FTAs, finding it particularly valuable for service negotiators with limited expertise in professional services. Additionally, the MRA repository provides Malaysia with insights into MRAs completed by other economies that are of particular interest to us.</w:t>
      </w:r>
    </w:p>
    <w:p w14:paraId="5467F67F" w14:textId="77777777" w:rsidR="009D335D" w:rsidRPr="005952E8" w:rsidRDefault="009D335D" w:rsidP="009D335D">
      <w:pPr>
        <w:pStyle w:val="ListParagraph"/>
        <w:numPr>
          <w:ilvl w:val="0"/>
          <w:numId w:val="24"/>
        </w:numPr>
        <w:ind w:left="426"/>
        <w:rPr>
          <w:rFonts w:asciiTheme="minorHAnsi" w:hAnsiTheme="minorHAnsi" w:cstheme="minorHAnsi"/>
        </w:rPr>
      </w:pPr>
      <w:r w:rsidRPr="005952E8">
        <w:rPr>
          <w:rFonts w:asciiTheme="minorHAnsi" w:hAnsiTheme="minorHAnsi" w:cstheme="minorHAnsi"/>
        </w:rPr>
        <w:t>Malaysia has initiated a study to develop a roadmap for professional bodies including setting guidelines for SMEs to venture their services abroad.</w:t>
      </w:r>
    </w:p>
    <w:p w14:paraId="2CA01F93" w14:textId="11BE364F" w:rsidR="007E240F" w:rsidRPr="0029511A" w:rsidRDefault="007E240F" w:rsidP="007E240F">
      <w:pPr>
        <w:spacing w:after="160" w:line="252" w:lineRule="auto"/>
        <w:rPr>
          <w:rFonts w:ascii="Calibri" w:hAnsi="Calibri" w:cs="Calibri"/>
          <w:lang w:val="en-GB"/>
        </w:rPr>
      </w:pPr>
      <w:r w:rsidRPr="0029511A">
        <w:rPr>
          <w:rFonts w:ascii="Calibri" w:hAnsi="Calibri" w:cs="Calibri"/>
          <w:lang w:val="en-GB"/>
        </w:rPr>
        <w:t>Australia</w:t>
      </w:r>
      <w:r w:rsidR="00B408FC" w:rsidRPr="0029511A">
        <w:rPr>
          <w:rFonts w:ascii="Calibri" w:hAnsi="Calibri" w:cs="Calibri"/>
          <w:lang w:val="en-GB"/>
        </w:rPr>
        <w:t>, led by</w:t>
      </w:r>
      <w:r w:rsidR="00792EE4" w:rsidRPr="0029511A">
        <w:rPr>
          <w:rFonts w:ascii="Calibri" w:hAnsi="Calibri" w:cs="Calibri"/>
          <w:lang w:val="en-GB"/>
        </w:rPr>
        <w:t xml:space="preserve"> the Department of Agriculture, Forestry and Fisheries</w:t>
      </w:r>
      <w:r w:rsidR="00B408FC" w:rsidRPr="0029511A">
        <w:rPr>
          <w:rFonts w:ascii="Calibri" w:hAnsi="Calibri" w:cs="Calibri"/>
          <w:lang w:val="en-GB"/>
        </w:rPr>
        <w:t xml:space="preserve"> </w:t>
      </w:r>
      <w:r w:rsidR="00635B47" w:rsidRPr="0029511A">
        <w:rPr>
          <w:rFonts w:ascii="Calibri" w:hAnsi="Calibri" w:cs="Calibri"/>
          <w:lang w:val="en-GB"/>
        </w:rPr>
        <w:t>(</w:t>
      </w:r>
      <w:r w:rsidR="00B408FC" w:rsidRPr="0029511A">
        <w:rPr>
          <w:rFonts w:ascii="Calibri" w:hAnsi="Calibri" w:cs="Calibri"/>
          <w:lang w:val="en-GB"/>
        </w:rPr>
        <w:t>DAFF</w:t>
      </w:r>
      <w:r w:rsidR="00635B47" w:rsidRPr="0029511A">
        <w:rPr>
          <w:rFonts w:ascii="Calibri" w:hAnsi="Calibri" w:cs="Calibri"/>
          <w:lang w:val="en-GB"/>
        </w:rPr>
        <w:t>)</w:t>
      </w:r>
      <w:r w:rsidR="00B408FC" w:rsidRPr="0029511A">
        <w:rPr>
          <w:rFonts w:ascii="Calibri" w:hAnsi="Calibri" w:cs="Calibri"/>
          <w:lang w:val="en-GB"/>
        </w:rPr>
        <w:t xml:space="preserve">, </w:t>
      </w:r>
      <w:r w:rsidRPr="0029511A">
        <w:rPr>
          <w:rFonts w:ascii="Calibri" w:hAnsi="Calibri" w:cs="Calibri"/>
          <w:lang w:val="en-GB"/>
        </w:rPr>
        <w:t xml:space="preserve">has been leading and hosting the annual Quarantine Regulators Meeting (QRM) to help APEC economies (with a strong focus on </w:t>
      </w:r>
      <w:r w:rsidR="00E77EEE" w:rsidRPr="0029511A">
        <w:rPr>
          <w:rFonts w:ascii="Calibri" w:hAnsi="Calibri" w:cs="Calibri"/>
          <w:lang w:val="en-GB"/>
        </w:rPr>
        <w:t>ODA-</w:t>
      </w:r>
      <w:r w:rsidRPr="0029511A">
        <w:rPr>
          <w:rFonts w:ascii="Calibri" w:hAnsi="Calibri" w:cs="Calibri"/>
          <w:lang w:val="en-GB"/>
        </w:rPr>
        <w:t xml:space="preserve">eligible economies) to </w:t>
      </w:r>
      <w:r w:rsidRPr="0029511A">
        <w:rPr>
          <w:rFonts w:ascii="Calibri" w:hAnsi="Calibri" w:cs="Calibri"/>
          <w:b/>
          <w:bCs/>
          <w:lang w:val="en-GB"/>
        </w:rPr>
        <w:t>review biosecurity practices and developments in their agencies since 2008</w:t>
      </w:r>
      <w:r w:rsidRPr="0029511A">
        <w:rPr>
          <w:rFonts w:ascii="Calibri" w:hAnsi="Calibri" w:cs="Calibri"/>
          <w:lang w:val="en-GB"/>
        </w:rPr>
        <w:t>. More than 70 delegates attended the QRM in May 2024 in Viet</w:t>
      </w:r>
      <w:r w:rsidR="00221D69" w:rsidRPr="0029511A">
        <w:rPr>
          <w:rFonts w:ascii="Calibri" w:hAnsi="Calibri" w:cs="Calibri"/>
          <w:lang w:val="en-GB"/>
        </w:rPr>
        <w:t xml:space="preserve"> N</w:t>
      </w:r>
      <w:r w:rsidRPr="0029511A">
        <w:rPr>
          <w:rFonts w:ascii="Calibri" w:hAnsi="Calibri" w:cs="Calibri"/>
          <w:lang w:val="en-GB"/>
        </w:rPr>
        <w:t>am (</w:t>
      </w:r>
      <w:hyperlink r:id="rId26" w:history="1">
        <w:r w:rsidRPr="0029511A">
          <w:rPr>
            <w:rStyle w:val="Hyperlink"/>
            <w:rFonts w:ascii="Calibri" w:hAnsi="Calibri" w:cs="Calibri"/>
            <w:lang w:val="en-GB"/>
          </w:rPr>
          <w:t>https://www.agriculture.gov.au/about/news/global-biosecurity-collaboration</w:t>
        </w:r>
      </w:hyperlink>
      <w:r w:rsidRPr="0029511A">
        <w:rPr>
          <w:rFonts w:ascii="Calibri" w:hAnsi="Calibri" w:cs="Calibri"/>
          <w:lang w:val="en-GB"/>
        </w:rPr>
        <w:t xml:space="preserve"> ), including representatives from the World Bank and </w:t>
      </w:r>
      <w:r w:rsidR="00D654D6" w:rsidRPr="0029511A">
        <w:rPr>
          <w:rFonts w:ascii="Calibri" w:hAnsi="Calibri" w:cs="Calibri"/>
          <w:lang w:val="en-GB"/>
        </w:rPr>
        <w:t xml:space="preserve">the </w:t>
      </w:r>
      <w:r w:rsidRPr="0029511A">
        <w:rPr>
          <w:rFonts w:ascii="Calibri" w:hAnsi="Calibri" w:cs="Calibri"/>
          <w:lang w:val="en-GB"/>
        </w:rPr>
        <w:t>World Trade Organisation</w:t>
      </w:r>
      <w:r w:rsidR="00A42C64" w:rsidRPr="0029511A">
        <w:rPr>
          <w:rFonts w:ascii="Calibri" w:hAnsi="Calibri" w:cs="Calibri"/>
          <w:lang w:val="en-GB"/>
        </w:rPr>
        <w:t>’</w:t>
      </w:r>
      <w:r w:rsidRPr="0029511A">
        <w:rPr>
          <w:rFonts w:ascii="Calibri" w:hAnsi="Calibri" w:cs="Calibri"/>
          <w:lang w:val="en-GB"/>
        </w:rPr>
        <w:t>s Standards and Trade Development Facility. The project</w:t>
      </w:r>
      <w:r w:rsidR="00620BA6" w:rsidRPr="0029511A">
        <w:rPr>
          <w:rFonts w:ascii="Calibri" w:hAnsi="Calibri" w:cs="Calibri"/>
          <w:lang w:val="en-GB"/>
        </w:rPr>
        <w:t xml:space="preserve"> promotes a regional approach to biosecurity risk management and enhances regional integration on </w:t>
      </w:r>
      <w:r w:rsidRPr="0029511A">
        <w:rPr>
          <w:rFonts w:ascii="Calibri" w:hAnsi="Calibri" w:cs="Calibri"/>
          <w:lang w:val="en-GB"/>
        </w:rPr>
        <w:t>biosecurity interests</w:t>
      </w:r>
      <w:r w:rsidR="00745472" w:rsidRPr="0029511A">
        <w:rPr>
          <w:rFonts w:ascii="Calibri" w:hAnsi="Calibri" w:cs="Calibri"/>
          <w:lang w:val="en-GB"/>
        </w:rPr>
        <w:t xml:space="preserve">. The project has contributed to </w:t>
      </w:r>
      <w:proofErr w:type="gramStart"/>
      <w:r w:rsidR="00745472" w:rsidRPr="0029511A">
        <w:rPr>
          <w:rFonts w:ascii="Calibri" w:hAnsi="Calibri" w:cs="Calibri"/>
          <w:lang w:val="en-GB"/>
        </w:rPr>
        <w:t>a number of</w:t>
      </w:r>
      <w:proofErr w:type="gramEnd"/>
      <w:r w:rsidR="00745472" w:rsidRPr="0029511A">
        <w:rPr>
          <w:rFonts w:ascii="Calibri" w:hAnsi="Calibri" w:cs="Calibri"/>
          <w:lang w:val="en-GB"/>
        </w:rPr>
        <w:t xml:space="preserve"> recent bilateral engagements and requests for support from economies such as Singapore and Viet</w:t>
      </w:r>
      <w:r w:rsidR="00221D69" w:rsidRPr="0029511A">
        <w:rPr>
          <w:rFonts w:ascii="Calibri" w:hAnsi="Calibri" w:cs="Calibri"/>
          <w:lang w:val="en-GB"/>
        </w:rPr>
        <w:t xml:space="preserve"> N</w:t>
      </w:r>
      <w:r w:rsidR="00745472" w:rsidRPr="0029511A">
        <w:rPr>
          <w:rFonts w:ascii="Calibri" w:hAnsi="Calibri" w:cs="Calibri"/>
          <w:lang w:val="en-GB"/>
        </w:rPr>
        <w:t>am</w:t>
      </w:r>
      <w:r w:rsidR="00221D69" w:rsidRPr="0029511A">
        <w:rPr>
          <w:rFonts w:ascii="Calibri" w:hAnsi="Calibri" w:cs="Calibri"/>
          <w:lang w:val="en-GB"/>
        </w:rPr>
        <w:t>,</w:t>
      </w:r>
      <w:r w:rsidR="00620BA6" w:rsidRPr="0029511A">
        <w:rPr>
          <w:rFonts w:ascii="Calibri" w:hAnsi="Calibri" w:cs="Calibri"/>
          <w:lang w:val="en-GB"/>
        </w:rPr>
        <w:t xml:space="preserve"> for assistance in strengthening their respective biosecurity processes</w:t>
      </w:r>
      <w:r w:rsidR="00766438" w:rsidRPr="0029511A">
        <w:rPr>
          <w:rFonts w:ascii="Calibri" w:hAnsi="Calibri" w:cs="Calibri"/>
          <w:lang w:val="en-GB"/>
        </w:rPr>
        <w:t xml:space="preserve"> domestically</w:t>
      </w:r>
      <w:r w:rsidR="00620BA6" w:rsidRPr="0029511A">
        <w:rPr>
          <w:rFonts w:ascii="Calibri" w:hAnsi="Calibri" w:cs="Calibri"/>
          <w:lang w:val="en-GB"/>
        </w:rPr>
        <w:t xml:space="preserve">. </w:t>
      </w:r>
      <w:r w:rsidR="00221D69" w:rsidRPr="0029511A">
        <w:rPr>
          <w:rFonts w:ascii="Calibri" w:hAnsi="Calibri" w:cs="Calibri"/>
          <w:lang w:val="en-GB"/>
        </w:rPr>
        <w:t xml:space="preserve"> </w:t>
      </w:r>
      <w:r w:rsidRPr="0029511A">
        <w:rPr>
          <w:rFonts w:ascii="Calibri" w:hAnsi="Calibri" w:cs="Calibri"/>
          <w:lang w:val="en-GB"/>
        </w:rPr>
        <w:t>In addition</w:t>
      </w:r>
      <w:r w:rsidR="00064050" w:rsidRPr="0029511A">
        <w:rPr>
          <w:rFonts w:ascii="Calibri" w:hAnsi="Calibri" w:cs="Calibri"/>
          <w:lang w:val="en-GB"/>
        </w:rPr>
        <w:t>,</w:t>
      </w:r>
      <w:r w:rsidRPr="0029511A">
        <w:rPr>
          <w:rFonts w:ascii="Calibri" w:hAnsi="Calibri" w:cs="Calibri"/>
          <w:lang w:val="en-GB"/>
        </w:rPr>
        <w:t xml:space="preserve"> (noting there is no other global forum) hosting the QRM contributes to harmonising international requirements and helps strengthen biosecurity systems between trading partners</w:t>
      </w:r>
      <w:r w:rsidR="00766438" w:rsidRPr="0029511A">
        <w:rPr>
          <w:rFonts w:ascii="Calibri" w:hAnsi="Calibri" w:cs="Calibri"/>
          <w:lang w:val="en-GB"/>
        </w:rPr>
        <w:t xml:space="preserve"> within APEC</w:t>
      </w:r>
      <w:r w:rsidRPr="0029511A">
        <w:rPr>
          <w:rFonts w:ascii="Calibri" w:hAnsi="Calibri" w:cs="Calibri"/>
          <w:lang w:val="en-GB"/>
        </w:rPr>
        <w:t>. Effective biosecurity management</w:t>
      </w:r>
      <w:r w:rsidR="00766438" w:rsidRPr="0029511A">
        <w:rPr>
          <w:rFonts w:ascii="Calibri" w:hAnsi="Calibri" w:cs="Calibri"/>
          <w:lang w:val="en-GB"/>
        </w:rPr>
        <w:t xml:space="preserve"> is critical to </w:t>
      </w:r>
      <w:r w:rsidRPr="0029511A">
        <w:rPr>
          <w:rFonts w:ascii="Calibri" w:hAnsi="Calibri" w:cs="Calibri"/>
          <w:lang w:val="en-GB"/>
        </w:rPr>
        <w:t>safeguarding domestic and regional agricultural industries and maintaining resilient pest and disease-free trade networks within APEC.</w:t>
      </w:r>
    </w:p>
    <w:p w14:paraId="3C1DAA20" w14:textId="77777777" w:rsidR="00D229F4" w:rsidRDefault="007E240F" w:rsidP="007E240F">
      <w:pPr>
        <w:spacing w:after="160" w:line="252" w:lineRule="auto"/>
        <w:rPr>
          <w:rFonts w:ascii="Calibri" w:hAnsi="Calibri" w:cs="Calibri"/>
          <w:lang w:val="en-GB"/>
        </w:rPr>
      </w:pPr>
      <w:r w:rsidRPr="0029511A">
        <w:rPr>
          <w:rFonts w:ascii="Calibri" w:hAnsi="Calibri" w:cs="Calibri"/>
          <w:lang w:val="en-GB"/>
        </w:rPr>
        <w:t>Australia</w:t>
      </w:r>
      <w:r w:rsidR="00B408FC" w:rsidRPr="0029511A">
        <w:rPr>
          <w:rFonts w:ascii="Calibri" w:hAnsi="Calibri" w:cs="Calibri"/>
          <w:lang w:val="en-GB"/>
        </w:rPr>
        <w:t>, led by DAFF,</w:t>
      </w:r>
      <w:r w:rsidRPr="0029511A">
        <w:rPr>
          <w:rFonts w:ascii="Calibri" w:hAnsi="Calibri" w:cs="Calibri"/>
          <w:lang w:val="en-GB"/>
        </w:rPr>
        <w:t xml:space="preserve"> is leading the APEC Project</w:t>
      </w:r>
      <w:r w:rsidR="006A6A2A" w:rsidRPr="0029511A">
        <w:rPr>
          <w:rFonts w:ascii="Calibri" w:hAnsi="Calibri" w:cs="Calibri"/>
          <w:lang w:val="en-GB"/>
        </w:rPr>
        <w:t xml:space="preserve"> on </w:t>
      </w:r>
      <w:r w:rsidRPr="0029511A">
        <w:rPr>
          <w:rFonts w:ascii="Calibri" w:hAnsi="Calibri" w:cs="Calibri"/>
          <w:i/>
          <w:iCs/>
          <w:lang w:val="en-GB"/>
        </w:rPr>
        <w:t>Facilitating the Implementation of the APEC Food Safety Risk Communication Framework and its Associated Guidelines (the Framework) by APEC Economies</w:t>
      </w:r>
      <w:r w:rsidRPr="0029511A">
        <w:rPr>
          <w:rFonts w:ascii="Calibri" w:hAnsi="Calibri" w:cs="Calibri"/>
          <w:lang w:val="en-GB"/>
        </w:rPr>
        <w:t>. The Framework illustrates international best practices in effective food safety risk communication (</w:t>
      </w:r>
      <w:hyperlink r:id="rId27" w:history="1">
        <w:r w:rsidRPr="0029511A">
          <w:rPr>
            <w:rStyle w:val="Hyperlink"/>
            <w:rFonts w:ascii="Calibri" w:hAnsi="Calibri" w:cs="Calibri"/>
            <w:lang w:val="en-GB"/>
          </w:rPr>
          <w:t>https://www.apec.org/publications/2022/02/apec-food-safety-risk-communication-framework-and-associated-guidelines</w:t>
        </w:r>
      </w:hyperlink>
      <w:r w:rsidRPr="0029511A">
        <w:rPr>
          <w:rFonts w:ascii="Calibri" w:hAnsi="Calibri" w:cs="Calibri"/>
          <w:lang w:val="en-GB"/>
        </w:rPr>
        <w:t xml:space="preserve"> ) and </w:t>
      </w:r>
    </w:p>
    <w:p w14:paraId="15E80A2B" w14:textId="4623A53B" w:rsidR="007E240F" w:rsidRDefault="007E240F" w:rsidP="007E240F">
      <w:pPr>
        <w:spacing w:after="160" w:line="252" w:lineRule="auto"/>
        <w:rPr>
          <w:rFonts w:ascii="Calibri" w:hAnsi="Calibri" w:cs="Calibri"/>
          <w:lang w:val="en-GB"/>
        </w:rPr>
      </w:pPr>
      <w:r w:rsidRPr="0029511A">
        <w:rPr>
          <w:rFonts w:ascii="Calibri" w:hAnsi="Calibri" w:cs="Calibri"/>
          <w:lang w:val="en-GB"/>
        </w:rPr>
        <w:t xml:space="preserve">provides practical guidance on food safety communication to food safety regulatory authorities during food safety incidents or emergency situations, as well as in everyday food safety communications. The project is helping developing economies increase their ability to implement </w:t>
      </w:r>
      <w:r w:rsidRPr="0029511A">
        <w:rPr>
          <w:rFonts w:ascii="Calibri" w:hAnsi="Calibri" w:cs="Calibri"/>
          <w:lang w:val="en-GB"/>
        </w:rPr>
        <w:lastRenderedPageBreak/>
        <w:t>the framework, ensuring that the use of the framework is evidence</w:t>
      </w:r>
      <w:r w:rsidR="00087522" w:rsidRPr="0029511A">
        <w:rPr>
          <w:rFonts w:ascii="Calibri" w:hAnsi="Calibri" w:cs="Calibri"/>
          <w:lang w:val="en-GB"/>
        </w:rPr>
        <w:t>-</w:t>
      </w:r>
      <w:r w:rsidRPr="0029511A">
        <w:rPr>
          <w:rFonts w:ascii="Calibri" w:hAnsi="Calibri" w:cs="Calibri"/>
          <w:lang w:val="en-GB"/>
        </w:rPr>
        <w:t xml:space="preserve">based and is tailored to identified barriers within their respective food systems. </w:t>
      </w:r>
      <w:r w:rsidR="00766438" w:rsidRPr="0029511A">
        <w:rPr>
          <w:rFonts w:ascii="Calibri" w:hAnsi="Calibri" w:cs="Calibri"/>
          <w:lang w:val="en-GB"/>
        </w:rPr>
        <w:t>T</w:t>
      </w:r>
      <w:r w:rsidRPr="0029511A">
        <w:rPr>
          <w:rFonts w:ascii="Calibri" w:hAnsi="Calibri" w:cs="Calibri"/>
          <w:lang w:val="en-GB"/>
        </w:rPr>
        <w:t xml:space="preserve">he project </w:t>
      </w:r>
      <w:r w:rsidR="00087522" w:rsidRPr="0029511A">
        <w:rPr>
          <w:rFonts w:ascii="Calibri" w:hAnsi="Calibri" w:cs="Calibri"/>
          <w:lang w:val="en-GB"/>
        </w:rPr>
        <w:t>aims to</w:t>
      </w:r>
      <w:r w:rsidRPr="0029511A">
        <w:rPr>
          <w:rFonts w:ascii="Calibri" w:hAnsi="Calibri" w:cs="Calibri"/>
          <w:lang w:val="en-GB"/>
        </w:rPr>
        <w:t xml:space="preserve"> develop </w:t>
      </w:r>
      <w:r w:rsidR="006D61EC" w:rsidRPr="0029511A">
        <w:rPr>
          <w:rFonts w:ascii="Calibri" w:hAnsi="Calibri" w:cs="Calibri"/>
          <w:lang w:val="en-GB"/>
        </w:rPr>
        <w:t>non-binding</w:t>
      </w:r>
      <w:r w:rsidRPr="0029511A">
        <w:rPr>
          <w:rFonts w:ascii="Calibri" w:hAnsi="Calibri" w:cs="Calibri"/>
          <w:lang w:val="en-GB"/>
        </w:rPr>
        <w:t xml:space="preserve"> guidelines for a voluntary monitoring and review mechanism to enhance food safety communication across APEC</w:t>
      </w:r>
      <w:r w:rsidR="000C32AC" w:rsidRPr="0029511A">
        <w:rPr>
          <w:rFonts w:ascii="Calibri" w:hAnsi="Calibri" w:cs="Calibri"/>
          <w:lang w:val="en-GB"/>
        </w:rPr>
        <w:t xml:space="preserve"> and to strengthen the Framework being used consistently across the region</w:t>
      </w:r>
      <w:r w:rsidRPr="0029511A">
        <w:rPr>
          <w:rFonts w:ascii="Calibri" w:hAnsi="Calibri" w:cs="Calibri"/>
          <w:lang w:val="en-GB"/>
        </w:rPr>
        <w:t>.</w:t>
      </w:r>
    </w:p>
    <w:p w14:paraId="4EFC3EFA" w14:textId="77777777" w:rsidR="005952E8" w:rsidRPr="00CD6789" w:rsidRDefault="005952E8" w:rsidP="005952E8">
      <w:pPr>
        <w:rPr>
          <w:rFonts w:asciiTheme="minorHAnsi" w:hAnsiTheme="minorHAnsi" w:cstheme="minorHAnsi"/>
          <w:b/>
          <w:bCs/>
          <w:i/>
          <w:iCs/>
        </w:rPr>
      </w:pPr>
      <w:r w:rsidRPr="00CD6789">
        <w:rPr>
          <w:rFonts w:asciiTheme="minorHAnsi" w:hAnsiTheme="minorHAnsi" w:cstheme="minorHAnsi"/>
          <w:b/>
          <w:bCs/>
          <w:i/>
          <w:iCs/>
        </w:rPr>
        <w:t xml:space="preserve">Feedback from PNG: </w:t>
      </w:r>
    </w:p>
    <w:p w14:paraId="3E08DD07" w14:textId="1BDCA5B8" w:rsidR="005952E8" w:rsidRPr="005952E8" w:rsidRDefault="005952E8" w:rsidP="005952E8">
      <w:pPr>
        <w:rPr>
          <w:rFonts w:ascii="Calibri" w:hAnsi="Calibri" w:cs="Calibri"/>
          <w:i/>
          <w:iCs/>
          <w:lang w:val="en-GB"/>
        </w:rPr>
      </w:pPr>
      <w:r w:rsidRPr="005952E8">
        <w:rPr>
          <w:rFonts w:ascii="Calibri" w:hAnsi="Calibri" w:cs="Calibri"/>
          <w:i/>
          <w:iCs/>
          <w:lang w:val="en-GB"/>
        </w:rPr>
        <w:t>PNG finds Australian workshop in Food Safety Risk Management led by Standards Australia very useful and informative. PNG are using the workshop learnings to inform our national food standards regulation communication strategy which is currently being drafted. PNG wishes to learn and apply the best practice approaches and principles raised in food risk management workshop in their domestic efforts.</w:t>
      </w:r>
    </w:p>
    <w:p w14:paraId="01DADD34" w14:textId="605DAD1C" w:rsidR="007E240F" w:rsidRPr="0029511A" w:rsidRDefault="00745472" w:rsidP="007E240F">
      <w:pPr>
        <w:spacing w:after="160" w:line="252" w:lineRule="auto"/>
        <w:rPr>
          <w:rFonts w:ascii="Calibri" w:hAnsi="Calibri" w:cs="Calibri"/>
          <w:lang w:val="en-GB"/>
        </w:rPr>
      </w:pPr>
      <w:r w:rsidRPr="0029511A">
        <w:rPr>
          <w:rFonts w:ascii="Calibri" w:hAnsi="Calibri" w:cs="Calibri"/>
          <w:lang w:val="en-GB"/>
        </w:rPr>
        <w:t xml:space="preserve">The AASPs </w:t>
      </w:r>
      <w:r w:rsidRPr="0029511A">
        <w:rPr>
          <w:rFonts w:ascii="Calibri" w:hAnsi="Calibri" w:cs="Calibri"/>
          <w:i/>
          <w:iCs/>
          <w:lang w:val="en-GB"/>
        </w:rPr>
        <w:t xml:space="preserve">APEC Group on Services Project – Services that Clean-up Marine Debris </w:t>
      </w:r>
      <w:r w:rsidRPr="0029511A">
        <w:rPr>
          <w:rFonts w:ascii="Calibri" w:hAnsi="Calibri" w:cs="Calibri"/>
          <w:lang w:val="en-GB"/>
        </w:rPr>
        <w:t>developed the</w:t>
      </w:r>
      <w:r w:rsidR="007E240F" w:rsidRPr="0029511A">
        <w:rPr>
          <w:rFonts w:ascii="Calibri" w:hAnsi="Calibri" w:cs="Calibri"/>
          <w:lang w:val="en-GB"/>
        </w:rPr>
        <w:t xml:space="preserve"> brief </w:t>
      </w:r>
      <w:r w:rsidR="00783335" w:rsidRPr="0029511A">
        <w:rPr>
          <w:rFonts w:ascii="Calibri" w:hAnsi="Calibri" w:cs="Calibri"/>
          <w:lang w:val="en-GB"/>
        </w:rPr>
        <w:t>that</w:t>
      </w:r>
      <w:r w:rsidRPr="0029511A">
        <w:rPr>
          <w:rFonts w:ascii="Calibri" w:hAnsi="Calibri" w:cs="Calibri"/>
          <w:lang w:val="en-GB"/>
        </w:rPr>
        <w:t xml:space="preserve"> underpin</w:t>
      </w:r>
      <w:r w:rsidR="00660122" w:rsidRPr="0029511A">
        <w:rPr>
          <w:rFonts w:ascii="Calibri" w:hAnsi="Calibri" w:cs="Calibri"/>
          <w:lang w:val="en-GB"/>
        </w:rPr>
        <w:t>s</w:t>
      </w:r>
      <w:r w:rsidR="007E240F" w:rsidRPr="0029511A">
        <w:rPr>
          <w:rFonts w:ascii="Calibri" w:hAnsi="Calibri" w:cs="Calibri"/>
          <w:lang w:val="en-GB"/>
        </w:rPr>
        <w:t xml:space="preserve"> APEC’s Non-Binding Guidelines on Services that Support the Clean-up of Marine Debris</w:t>
      </w:r>
      <w:r w:rsidR="007E240F" w:rsidRPr="0029511A">
        <w:rPr>
          <w:rStyle w:val="FootnoteReference"/>
          <w:rFonts w:ascii="Calibri" w:hAnsi="Calibri" w:cs="Calibri"/>
          <w:lang w:val="en-GB"/>
        </w:rPr>
        <w:footnoteReference w:id="4"/>
      </w:r>
      <w:r w:rsidR="007E240F" w:rsidRPr="0029511A">
        <w:rPr>
          <w:rFonts w:ascii="Calibri" w:hAnsi="Calibri" w:cs="Calibri"/>
          <w:lang w:val="en-GB"/>
        </w:rPr>
        <w:t xml:space="preserve"> (and</w:t>
      </w:r>
      <w:r w:rsidRPr="0029511A">
        <w:rPr>
          <w:rFonts w:ascii="Calibri" w:hAnsi="Calibri" w:cs="Calibri"/>
          <w:lang w:val="en-GB"/>
        </w:rPr>
        <w:t xml:space="preserve"> which was</w:t>
      </w:r>
      <w:r w:rsidR="007E240F" w:rsidRPr="0029511A">
        <w:rPr>
          <w:rFonts w:ascii="Calibri" w:hAnsi="Calibri" w:cs="Calibri"/>
          <w:lang w:val="en-GB"/>
        </w:rPr>
        <w:t xml:space="preserve"> incorporated in the 2023 APEC Trade Ministers’ Meeting Chair’s Statement</w:t>
      </w:r>
      <w:r w:rsidR="007E240F" w:rsidRPr="0029511A">
        <w:rPr>
          <w:rStyle w:val="FootnoteReference"/>
          <w:rFonts w:ascii="Calibri" w:hAnsi="Calibri" w:cs="Calibri"/>
          <w:lang w:val="en-GB"/>
        </w:rPr>
        <w:footnoteReference w:id="5"/>
      </w:r>
      <w:r w:rsidR="007E240F" w:rsidRPr="0029511A">
        <w:rPr>
          <w:rFonts w:ascii="Calibri" w:hAnsi="Calibri" w:cs="Calibri"/>
          <w:lang w:val="en-GB"/>
        </w:rPr>
        <w:t>)</w:t>
      </w:r>
      <w:r w:rsidRPr="0029511A">
        <w:rPr>
          <w:rFonts w:ascii="Calibri" w:hAnsi="Calibri" w:cs="Calibri"/>
          <w:lang w:val="en-GB"/>
        </w:rPr>
        <w:t>. The brief and the subsequent guidelines have</w:t>
      </w:r>
      <w:r w:rsidR="007E240F" w:rsidRPr="0029511A">
        <w:rPr>
          <w:rFonts w:ascii="Calibri" w:hAnsi="Calibri" w:cs="Calibri"/>
          <w:lang w:val="en-GB"/>
        </w:rPr>
        <w:t xml:space="preserve"> helped shape APEC’s current deliberations on how to advance APEC’s work on </w:t>
      </w:r>
      <w:r w:rsidR="007E240F" w:rsidRPr="0029511A">
        <w:rPr>
          <w:rFonts w:ascii="Calibri" w:hAnsi="Calibri" w:cs="Calibri"/>
          <w:b/>
          <w:bCs/>
          <w:lang w:val="en-GB"/>
        </w:rPr>
        <w:t>addressing the impacts and costs of marine debris</w:t>
      </w:r>
      <w:r w:rsidR="006D1ABE" w:rsidRPr="0029511A">
        <w:rPr>
          <w:rFonts w:ascii="Calibri" w:hAnsi="Calibri" w:cs="Calibri"/>
          <w:b/>
          <w:bCs/>
          <w:lang w:val="en-GB"/>
        </w:rPr>
        <w:t xml:space="preserve"> through economies working together in the region to develop a market for marine debris clean-up services</w:t>
      </w:r>
      <w:r w:rsidR="007E240F" w:rsidRPr="0029511A">
        <w:rPr>
          <w:rFonts w:ascii="Calibri" w:hAnsi="Calibri" w:cs="Calibri"/>
          <w:lang w:val="en-GB"/>
        </w:rPr>
        <w:t xml:space="preserve">. </w:t>
      </w:r>
      <w:r w:rsidRPr="0029511A">
        <w:rPr>
          <w:rFonts w:ascii="Calibri" w:hAnsi="Calibri" w:cs="Calibri"/>
          <w:lang w:val="en-GB"/>
        </w:rPr>
        <w:t>The project</w:t>
      </w:r>
      <w:r w:rsidR="007E240F" w:rsidRPr="0029511A">
        <w:rPr>
          <w:rFonts w:ascii="Calibri" w:hAnsi="Calibri" w:cs="Calibri"/>
          <w:lang w:val="en-GB"/>
        </w:rPr>
        <w:t xml:space="preserve"> </w:t>
      </w:r>
      <w:r w:rsidRPr="0029511A">
        <w:rPr>
          <w:rFonts w:ascii="Calibri" w:hAnsi="Calibri" w:cs="Calibri"/>
          <w:lang w:val="en-GB"/>
        </w:rPr>
        <w:t xml:space="preserve">raised the profile of </w:t>
      </w:r>
      <w:r w:rsidR="007E240F" w:rsidRPr="0029511A">
        <w:rPr>
          <w:rFonts w:ascii="Calibri" w:hAnsi="Calibri" w:cs="Calibri"/>
          <w:lang w:val="en-GB"/>
        </w:rPr>
        <w:t>environmental and environmentally related services</w:t>
      </w:r>
      <w:r w:rsidRPr="0029511A">
        <w:rPr>
          <w:rFonts w:ascii="Calibri" w:hAnsi="Calibri" w:cs="Calibri"/>
          <w:lang w:val="en-GB"/>
        </w:rPr>
        <w:t xml:space="preserve"> with</w:t>
      </w:r>
      <w:r w:rsidR="000242D5" w:rsidRPr="0029511A">
        <w:rPr>
          <w:rFonts w:ascii="Calibri" w:hAnsi="Calibri" w:cs="Calibri"/>
          <w:lang w:val="en-GB"/>
        </w:rPr>
        <w:t>in</w:t>
      </w:r>
      <w:r w:rsidRPr="0029511A">
        <w:rPr>
          <w:rFonts w:ascii="Calibri" w:hAnsi="Calibri" w:cs="Calibri"/>
          <w:lang w:val="en-GB"/>
        </w:rPr>
        <w:t xml:space="preserve"> APEC</w:t>
      </w:r>
      <w:r w:rsidR="007E240F" w:rsidRPr="0029511A">
        <w:rPr>
          <w:rFonts w:ascii="Calibri" w:hAnsi="Calibri" w:cs="Calibri"/>
          <w:lang w:val="en-GB"/>
        </w:rPr>
        <w:t xml:space="preserve"> and </w:t>
      </w:r>
      <w:r w:rsidRPr="0029511A">
        <w:rPr>
          <w:rFonts w:ascii="Calibri" w:hAnsi="Calibri" w:cs="Calibri"/>
          <w:lang w:val="en-GB"/>
        </w:rPr>
        <w:t xml:space="preserve">has </w:t>
      </w:r>
      <w:r w:rsidR="007E240F" w:rsidRPr="0029511A">
        <w:rPr>
          <w:rFonts w:ascii="Calibri" w:hAnsi="Calibri" w:cs="Calibri"/>
          <w:lang w:val="en-GB"/>
        </w:rPr>
        <w:t xml:space="preserve">raised awareness </w:t>
      </w:r>
      <w:r w:rsidR="00E77EEE" w:rsidRPr="0029511A">
        <w:rPr>
          <w:rFonts w:ascii="Calibri" w:hAnsi="Calibri" w:cs="Calibri"/>
          <w:lang w:val="en-GB"/>
        </w:rPr>
        <w:t xml:space="preserve">of </w:t>
      </w:r>
      <w:r w:rsidR="007E240F" w:rsidRPr="0029511A">
        <w:rPr>
          <w:rFonts w:ascii="Calibri" w:hAnsi="Calibri" w:cs="Calibri"/>
          <w:lang w:val="en-GB"/>
        </w:rPr>
        <w:t>the role these services play in cleaning up ocean pollution. This project has been a significant contribution from the 2022 Group on Services (GOS) to both Thailand’s host year priorities and to the implementation of the 2019 APEC Roadmap on Marine Debris for an open and rules-based multilateral trade and investment environment by 2026 (</w:t>
      </w:r>
      <w:hyperlink r:id="rId28" w:history="1">
        <w:r w:rsidR="007E240F" w:rsidRPr="0029511A">
          <w:rPr>
            <w:rStyle w:val="Hyperlink"/>
            <w:rFonts w:ascii="Calibri" w:hAnsi="Calibri" w:cs="Calibri"/>
            <w:lang w:val="en-GB"/>
          </w:rPr>
          <w:t>https://www.apec.org/press/news-releases/2023/apec-steps-up-environmental-services-efforts-and-marine-debris-clean-up</w:t>
        </w:r>
      </w:hyperlink>
      <w:r w:rsidR="007E240F" w:rsidRPr="0029511A">
        <w:rPr>
          <w:rFonts w:ascii="Calibri" w:hAnsi="Calibri" w:cs="Calibri"/>
          <w:lang w:val="en-GB"/>
        </w:rPr>
        <w:t>).</w:t>
      </w:r>
    </w:p>
    <w:p w14:paraId="1920AF03" w14:textId="77777777" w:rsidR="00F03A82" w:rsidRPr="00E934C8" w:rsidRDefault="00F03A82" w:rsidP="007E240F">
      <w:pPr>
        <w:spacing w:after="160" w:line="252" w:lineRule="auto"/>
        <w:rPr>
          <w:rStyle w:val="cf21"/>
          <w:rFonts w:ascii="Calibri" w:hAnsi="Calibri"/>
          <w:b/>
          <w:bCs/>
        </w:rPr>
      </w:pPr>
    </w:p>
    <w:p w14:paraId="4464D59A" w14:textId="5FA35C81" w:rsidR="007E240F" w:rsidRPr="00CD6789" w:rsidRDefault="007E240F" w:rsidP="3AEAF0E0">
      <w:pPr>
        <w:spacing w:after="160" w:line="252" w:lineRule="auto"/>
        <w:rPr>
          <w:rStyle w:val="cf21"/>
          <w:rFonts w:ascii="Calibri" w:hAnsi="Calibri"/>
          <w:color w:val="002060"/>
          <w:lang w:val="en-AU"/>
        </w:rPr>
      </w:pPr>
      <w:r w:rsidRPr="00CD6789">
        <w:rPr>
          <w:rStyle w:val="cf21"/>
          <w:rFonts w:ascii="Calibri" w:hAnsi="Calibri"/>
          <w:b/>
          <w:bCs/>
          <w:color w:val="002060"/>
          <w:lang w:val="en-AU"/>
        </w:rPr>
        <w:t xml:space="preserve">Intermediate Outcome 3: </w:t>
      </w:r>
      <w:r w:rsidRPr="00CD6789">
        <w:rPr>
          <w:rStyle w:val="cf21"/>
          <w:rFonts w:ascii="Calibri" w:hAnsi="Calibri"/>
          <w:color w:val="002060"/>
          <w:lang w:val="en-AU"/>
        </w:rPr>
        <w:t>APEC developing economies progressing implementation of efforts within APEC to promote international standards, norms and rules on digital trade by 2026</w:t>
      </w:r>
    </w:p>
    <w:p w14:paraId="2C9A0E28" w14:textId="08C626CE" w:rsidR="00EC57CD" w:rsidRPr="0029511A" w:rsidRDefault="007E240F" w:rsidP="007E240F">
      <w:pPr>
        <w:spacing w:after="160" w:line="252" w:lineRule="auto"/>
        <w:rPr>
          <w:rFonts w:ascii="Calibri" w:hAnsi="Calibri" w:cs="Calibri"/>
          <w:lang w:val="en-GB"/>
        </w:rPr>
      </w:pPr>
      <w:r w:rsidRPr="0029511A">
        <w:rPr>
          <w:rFonts w:ascii="Calibri" w:hAnsi="Calibri" w:cs="Calibri"/>
        </w:rPr>
        <w:t>A growing number</w:t>
      </w:r>
      <w:r w:rsidRPr="0029511A">
        <w:rPr>
          <w:rFonts w:ascii="Calibri" w:hAnsi="Calibri" w:cs="Calibri"/>
          <w:lang w:val="en-GB"/>
        </w:rPr>
        <w:t xml:space="preserve"> of </w:t>
      </w:r>
      <w:r w:rsidRPr="0029511A">
        <w:rPr>
          <w:rFonts w:ascii="Calibri" w:hAnsi="Calibri" w:cs="Calibri"/>
          <w:b/>
          <w:bCs/>
          <w:lang w:val="en-GB"/>
        </w:rPr>
        <w:t>AASP projects are ensuring that key building blocks of digital trade are being developed to ensure more economies</w:t>
      </w:r>
      <w:r w:rsidR="00A877E8" w:rsidRPr="0029511A">
        <w:rPr>
          <w:rFonts w:ascii="Calibri" w:hAnsi="Calibri" w:cs="Calibri"/>
          <w:b/>
          <w:bCs/>
          <w:lang w:val="en-GB"/>
        </w:rPr>
        <w:t>, including developing economies,</w:t>
      </w:r>
      <w:r w:rsidRPr="0029511A">
        <w:rPr>
          <w:rFonts w:ascii="Calibri" w:hAnsi="Calibri" w:cs="Calibri"/>
          <w:b/>
          <w:bCs/>
          <w:lang w:val="en-GB"/>
        </w:rPr>
        <w:t xml:space="preserve"> align with international standards and norms</w:t>
      </w:r>
      <w:r w:rsidR="000242D5" w:rsidRPr="0029511A">
        <w:rPr>
          <w:rFonts w:ascii="Calibri" w:hAnsi="Calibri" w:cs="Calibri"/>
          <w:lang w:val="en-GB"/>
        </w:rPr>
        <w:t>.</w:t>
      </w:r>
      <w:r w:rsidR="00EC57CD" w:rsidRPr="0029511A">
        <w:rPr>
          <w:rFonts w:ascii="Calibri" w:hAnsi="Calibri" w:cs="Calibri"/>
          <w:lang w:val="en-GB"/>
        </w:rPr>
        <w:t xml:space="preserve"> </w:t>
      </w:r>
      <w:r w:rsidR="008847EF" w:rsidRPr="0029511A">
        <w:rPr>
          <w:rFonts w:ascii="Calibri" w:hAnsi="Calibri" w:cs="Calibri"/>
          <w:lang w:eastAsia="en-AU"/>
        </w:rPr>
        <w:t>Australia hosted a forum to bring together AI experts, industry, standards and conformance officers and policy makers to enable dialogue on how international standards can support good governance of AI and promote operationalising AI solutions in the APEC region. The AASP has increased awareness on how international standards can be used and implemented to practically help businesses and government in the APEC region to safely adopt AI at scale.</w:t>
      </w:r>
    </w:p>
    <w:p w14:paraId="1FD4B5CB" w14:textId="3752CFFC" w:rsidR="00EC57CD" w:rsidRPr="0029511A" w:rsidRDefault="00EC57CD" w:rsidP="00BB0C70">
      <w:pPr>
        <w:spacing w:after="0" w:line="252" w:lineRule="auto"/>
        <w:rPr>
          <w:rFonts w:ascii="Calibri" w:hAnsi="Calibri" w:cs="Calibri"/>
          <w:lang w:val="en-GB"/>
        </w:rPr>
      </w:pPr>
      <w:r w:rsidRPr="0029511A">
        <w:rPr>
          <w:rFonts w:ascii="Calibri" w:hAnsi="Calibri" w:cs="Calibri"/>
          <w:lang w:val="en-GB"/>
        </w:rPr>
        <w:t xml:space="preserve">The AASP’s </w:t>
      </w:r>
      <w:r w:rsidRPr="0029511A">
        <w:rPr>
          <w:rFonts w:ascii="Calibri" w:hAnsi="Calibri" w:cs="Calibri"/>
          <w:i/>
          <w:iCs/>
          <w:lang w:val="en-GB"/>
        </w:rPr>
        <w:t>APEC Project on Fostering Greater Small and Medium Enterprises' Participation in Global Value Chains</w:t>
      </w:r>
      <w:r w:rsidRPr="0029511A">
        <w:rPr>
          <w:rFonts w:ascii="Calibri" w:hAnsi="Calibri" w:cs="Calibri"/>
          <w:lang w:val="en-GB"/>
        </w:rPr>
        <w:t xml:space="preserve"> has built awareness within MSMEs about emerging technologies and encouraged them to adopt emerging digital technologies to improve their operational efficiency, to facilitate better engagement with</w:t>
      </w:r>
      <w:r w:rsidR="005952E8">
        <w:rPr>
          <w:rFonts w:ascii="Calibri" w:hAnsi="Calibri" w:cs="Calibri"/>
          <w:lang w:val="en-GB"/>
        </w:rPr>
        <w:t xml:space="preserve"> </w:t>
      </w:r>
      <w:r w:rsidRPr="0029511A">
        <w:rPr>
          <w:rFonts w:ascii="Calibri" w:hAnsi="Calibri" w:cs="Calibri"/>
          <w:lang w:val="en-GB"/>
        </w:rPr>
        <w:t xml:space="preserve">customers, and to enhance their overall competitiveness when doing business globally. Utilising peer-to-peer learning, the project allowed participants to identify common challenges and share potential solutions. The learnings from this experience were further reinforced </w:t>
      </w:r>
      <w:r w:rsidRPr="0029511A">
        <w:rPr>
          <w:rFonts w:ascii="Calibri" w:hAnsi="Calibri" w:cs="Calibri"/>
          <w:lang w:val="en-GB"/>
        </w:rPr>
        <w:lastRenderedPageBreak/>
        <w:t>through an online document repository and site visits to ports and warehouses to allow MSMEs to witness key elements in the supply chain and logistics.</w:t>
      </w:r>
    </w:p>
    <w:p w14:paraId="6A1F2AA6" w14:textId="0E16A482" w:rsidR="00EC57CD" w:rsidRPr="0029511A" w:rsidRDefault="00EC57CD" w:rsidP="00BB0C70">
      <w:pPr>
        <w:spacing w:after="0" w:line="252" w:lineRule="auto"/>
        <w:rPr>
          <w:rFonts w:ascii="Calibri" w:hAnsi="Calibri" w:cs="Calibri"/>
          <w:lang w:val="en-GB"/>
        </w:rPr>
      </w:pPr>
    </w:p>
    <w:p w14:paraId="6B635A40" w14:textId="1F6F4595" w:rsidR="007E240F" w:rsidRPr="0029511A" w:rsidRDefault="00EC57CD" w:rsidP="007E240F">
      <w:pPr>
        <w:spacing w:after="160" w:line="252" w:lineRule="auto"/>
        <w:rPr>
          <w:rFonts w:ascii="Calibri" w:hAnsi="Calibri" w:cs="Calibri"/>
          <w:lang w:val="en-GB"/>
        </w:rPr>
      </w:pPr>
      <w:r w:rsidRPr="0029511A">
        <w:rPr>
          <w:rFonts w:ascii="Calibri" w:hAnsi="Calibri" w:cs="Calibri"/>
          <w:lang w:val="en-GB"/>
        </w:rPr>
        <w:t xml:space="preserve">The </w:t>
      </w:r>
      <w:r w:rsidR="007E240F" w:rsidRPr="0029511A">
        <w:rPr>
          <w:rFonts w:ascii="Calibri" w:hAnsi="Calibri" w:cs="Calibri"/>
          <w:lang w:val="en-GB"/>
        </w:rPr>
        <w:t xml:space="preserve">AASP’s work to support </w:t>
      </w:r>
      <w:r w:rsidR="007E240F" w:rsidRPr="0029511A">
        <w:rPr>
          <w:rFonts w:ascii="Calibri" w:hAnsi="Calibri" w:cs="Calibri"/>
          <w:i/>
          <w:iCs/>
          <w:lang w:val="en-GB"/>
        </w:rPr>
        <w:t>A Path to Paperless Trade</w:t>
      </w:r>
      <w:r w:rsidR="007E240F" w:rsidRPr="0029511A">
        <w:rPr>
          <w:rFonts w:ascii="Calibri" w:hAnsi="Calibri" w:cs="Calibri"/>
          <w:lang w:val="en-GB"/>
        </w:rPr>
        <w:t xml:space="preserve"> represents a substantial economic opportunity for the APEC region. Differences in the legal recognition of electronic documents among APEC </w:t>
      </w:r>
      <w:proofErr w:type="spellStart"/>
      <w:r w:rsidR="007E240F" w:rsidRPr="0029511A">
        <w:rPr>
          <w:rFonts w:ascii="Calibri" w:hAnsi="Calibri" w:cs="Calibri"/>
          <w:lang w:val="en-GB"/>
        </w:rPr>
        <w:t>ec</w:t>
      </w:r>
      <w:proofErr w:type="spellEnd"/>
      <w:r w:rsidR="007E240F" w:rsidRPr="0029511A">
        <w:rPr>
          <w:rFonts w:ascii="Calibri" w:hAnsi="Calibri" w:cs="Calibri"/>
        </w:rPr>
        <w:t>ono</w:t>
      </w:r>
      <w:proofErr w:type="spellStart"/>
      <w:r w:rsidR="007E240F" w:rsidRPr="0029511A">
        <w:rPr>
          <w:rFonts w:ascii="Calibri" w:hAnsi="Calibri" w:cs="Calibri"/>
          <w:lang w:val="en-GB"/>
        </w:rPr>
        <w:t>mies</w:t>
      </w:r>
      <w:proofErr w:type="spellEnd"/>
      <w:r w:rsidR="007E240F" w:rsidRPr="0029511A">
        <w:rPr>
          <w:rFonts w:ascii="Calibri" w:hAnsi="Calibri" w:cs="Calibri"/>
          <w:lang w:val="en-GB"/>
        </w:rPr>
        <w:t xml:space="preserve"> are among the biggest barriers to wider use of electronic trade documentation. By identifying the legal gaps between existing domestic regulations among APEC economies and the requisite legal foundation to adopt or maintain a legal framework that allows for electronic trade documentation</w:t>
      </w:r>
      <w:r w:rsidR="00B408FC" w:rsidRPr="0029511A">
        <w:rPr>
          <w:rFonts w:ascii="Calibri" w:hAnsi="Calibri" w:cs="Calibri"/>
          <w:lang w:val="en-GB"/>
        </w:rPr>
        <w:t>,</w:t>
      </w:r>
      <w:r w:rsidR="007E240F" w:rsidRPr="0029511A">
        <w:rPr>
          <w:rFonts w:ascii="Calibri" w:hAnsi="Calibri" w:cs="Calibri"/>
          <w:lang w:val="en-GB"/>
        </w:rPr>
        <w:t xml:space="preserve"> the project is facilitating the necessary steps for greater cooperation in APEC in moving towards paperless trade. </w:t>
      </w:r>
    </w:p>
    <w:p w14:paraId="5EEFD878" w14:textId="34CB5C57" w:rsidR="007E240F" w:rsidRPr="0029511A" w:rsidRDefault="007E240F" w:rsidP="007E240F">
      <w:pPr>
        <w:spacing w:after="160" w:line="252" w:lineRule="auto"/>
        <w:rPr>
          <w:rFonts w:ascii="Calibri" w:hAnsi="Calibri" w:cs="Calibri"/>
          <w:lang w:val="en-GB"/>
        </w:rPr>
      </w:pPr>
      <w:r w:rsidRPr="0029511A">
        <w:rPr>
          <w:rFonts w:ascii="Calibri" w:hAnsi="Calibri" w:cs="Calibri"/>
          <w:lang w:val="en-GB"/>
        </w:rPr>
        <w:t xml:space="preserve">Invoicing plays an important role as one of the major processes in domestic and cross-border trade. AASP’s </w:t>
      </w:r>
      <w:r w:rsidRPr="0029511A">
        <w:rPr>
          <w:rFonts w:ascii="Calibri" w:hAnsi="Calibri" w:cs="Calibri"/>
          <w:i/>
          <w:iCs/>
          <w:lang w:val="en-GB"/>
        </w:rPr>
        <w:t>Implementing the Principles for the Interoperability of Electronic Invoicing Systems in the APEC Region</w:t>
      </w:r>
      <w:r w:rsidRPr="0029511A">
        <w:rPr>
          <w:rFonts w:ascii="Calibri" w:hAnsi="Calibri" w:cs="Calibri"/>
          <w:lang w:val="en-GB"/>
        </w:rPr>
        <w:t xml:space="preserve"> project has </w:t>
      </w:r>
      <w:bookmarkStart w:id="42" w:name="OLE_LINK1"/>
      <w:r w:rsidRPr="0029511A">
        <w:rPr>
          <w:rFonts w:ascii="Calibri" w:hAnsi="Calibri" w:cs="Calibri"/>
          <w:lang w:val="en-GB"/>
        </w:rPr>
        <w:t xml:space="preserve">helped ensure a better understanding of the differences in the approaches of APEC economies </w:t>
      </w:r>
      <w:r w:rsidR="00B03B9D" w:rsidRPr="0029511A">
        <w:rPr>
          <w:rFonts w:ascii="Calibri" w:hAnsi="Calibri" w:cs="Calibri"/>
          <w:lang w:val="en-GB"/>
        </w:rPr>
        <w:t xml:space="preserve">with regards </w:t>
      </w:r>
      <w:r w:rsidRPr="0029511A">
        <w:rPr>
          <w:rFonts w:ascii="Calibri" w:hAnsi="Calibri" w:cs="Calibri"/>
          <w:lang w:val="en-GB"/>
        </w:rPr>
        <w:t>to e-invoicing, the barriers to cross-border interoperability</w:t>
      </w:r>
      <w:bookmarkEnd w:id="42"/>
      <w:r w:rsidR="00BC4748" w:rsidRPr="0029511A">
        <w:rPr>
          <w:rFonts w:ascii="Calibri" w:hAnsi="Calibri" w:cs="Calibri"/>
          <w:lang w:val="en-GB"/>
        </w:rPr>
        <w:t>,</w:t>
      </w:r>
      <w:r w:rsidRPr="0029511A">
        <w:rPr>
          <w:rFonts w:ascii="Calibri" w:hAnsi="Calibri" w:cs="Calibri"/>
          <w:lang w:val="en-GB"/>
        </w:rPr>
        <w:t xml:space="preserve"> and </w:t>
      </w:r>
      <w:r w:rsidR="00BC4748" w:rsidRPr="0029511A">
        <w:rPr>
          <w:rFonts w:ascii="Calibri" w:hAnsi="Calibri" w:cs="Calibri"/>
          <w:lang w:val="en-GB"/>
        </w:rPr>
        <w:t>what is required to implement</w:t>
      </w:r>
      <w:r w:rsidRPr="0029511A">
        <w:rPr>
          <w:rFonts w:ascii="Calibri" w:hAnsi="Calibri" w:cs="Calibri"/>
          <w:lang w:val="en-GB"/>
        </w:rPr>
        <w:t xml:space="preserve"> APEC principles</w:t>
      </w:r>
      <w:r w:rsidR="00BC4748" w:rsidRPr="0029511A">
        <w:rPr>
          <w:rFonts w:ascii="Calibri" w:hAnsi="Calibri" w:cs="Calibri"/>
          <w:lang w:val="en-GB"/>
        </w:rPr>
        <w:t xml:space="preserve"> on this issue</w:t>
      </w:r>
      <w:r w:rsidRPr="0029511A">
        <w:rPr>
          <w:rFonts w:ascii="Calibri" w:hAnsi="Calibri" w:cs="Calibri"/>
          <w:lang w:val="en-GB"/>
        </w:rPr>
        <w:t>. In line with Australia’s development priorities</w:t>
      </w:r>
      <w:r w:rsidR="00E77EEE" w:rsidRPr="0029511A">
        <w:rPr>
          <w:rFonts w:ascii="Calibri" w:hAnsi="Calibri" w:cs="Calibri"/>
          <w:lang w:val="en-GB"/>
        </w:rPr>
        <w:t>,</w:t>
      </w:r>
      <w:r w:rsidRPr="0029511A">
        <w:rPr>
          <w:rFonts w:ascii="Calibri" w:hAnsi="Calibri" w:cs="Calibri"/>
          <w:lang w:val="en-GB"/>
        </w:rPr>
        <w:t xml:space="preserve"> the project specifically </w:t>
      </w:r>
      <w:r w:rsidR="00783335" w:rsidRPr="0029511A">
        <w:rPr>
          <w:rFonts w:ascii="Calibri" w:hAnsi="Calibri" w:cs="Calibri"/>
          <w:lang w:val="en-GB"/>
        </w:rPr>
        <w:t>focused</w:t>
      </w:r>
      <w:r w:rsidRPr="0029511A">
        <w:rPr>
          <w:rFonts w:ascii="Calibri" w:hAnsi="Calibri" w:cs="Calibri"/>
          <w:lang w:val="en-GB"/>
        </w:rPr>
        <w:t xml:space="preserve"> on </w:t>
      </w:r>
      <w:r w:rsidR="004C495D" w:rsidRPr="0029511A">
        <w:rPr>
          <w:rFonts w:ascii="Calibri" w:hAnsi="Calibri" w:cs="Calibri"/>
          <w:lang w:val="en-GB"/>
        </w:rPr>
        <w:t>raising awareness of the</w:t>
      </w:r>
      <w:r w:rsidRPr="0029511A">
        <w:rPr>
          <w:rFonts w:ascii="Calibri" w:hAnsi="Calibri" w:cs="Calibri"/>
          <w:lang w:val="en-GB"/>
        </w:rPr>
        <w:t xml:space="preserve"> benefits of e-invoicing to </w:t>
      </w:r>
      <w:r w:rsidR="00F11BFD" w:rsidRPr="0029511A">
        <w:rPr>
          <w:rFonts w:ascii="Calibri" w:eastAsia="Calibri" w:hAnsi="Calibri" w:cs="Calibri"/>
          <w:lang w:val="en-GB"/>
        </w:rPr>
        <w:t>s</w:t>
      </w:r>
      <w:r w:rsidR="00BB341F" w:rsidRPr="0029511A">
        <w:rPr>
          <w:rFonts w:ascii="Calibri" w:eastAsia="Calibri" w:hAnsi="Calibri" w:cs="Calibri"/>
          <w:lang w:val="en-GB"/>
        </w:rPr>
        <w:t>mall and medium</w:t>
      </w:r>
      <w:r w:rsidR="008C3450" w:rsidRPr="0029511A">
        <w:rPr>
          <w:rFonts w:ascii="Calibri" w:eastAsia="Calibri" w:hAnsi="Calibri" w:cs="Calibri"/>
          <w:lang w:val="en-GB"/>
        </w:rPr>
        <w:t>-</w:t>
      </w:r>
      <w:r w:rsidR="00F11BFD" w:rsidRPr="0029511A">
        <w:rPr>
          <w:rFonts w:ascii="Calibri" w:eastAsia="Calibri" w:hAnsi="Calibri" w:cs="Calibri"/>
          <w:lang w:val="en-GB"/>
        </w:rPr>
        <w:t>sized</w:t>
      </w:r>
      <w:r w:rsidR="00BB341F" w:rsidRPr="0029511A">
        <w:rPr>
          <w:rFonts w:ascii="Calibri" w:eastAsia="Calibri" w:hAnsi="Calibri" w:cs="Calibri"/>
          <w:lang w:val="en-GB"/>
        </w:rPr>
        <w:t xml:space="preserve"> enterprises</w:t>
      </w:r>
      <w:r w:rsidR="00BB341F" w:rsidRPr="0029511A">
        <w:rPr>
          <w:rFonts w:ascii="Calibri" w:hAnsi="Calibri" w:cs="Calibri"/>
          <w:lang w:val="en-GB"/>
        </w:rPr>
        <w:t xml:space="preserve"> (</w:t>
      </w:r>
      <w:r w:rsidRPr="0029511A">
        <w:rPr>
          <w:rFonts w:ascii="Calibri" w:hAnsi="Calibri" w:cs="Calibri"/>
          <w:lang w:val="en-GB"/>
        </w:rPr>
        <w:t>SMEs</w:t>
      </w:r>
      <w:r w:rsidR="00BB341F" w:rsidRPr="0029511A">
        <w:rPr>
          <w:rFonts w:ascii="Calibri" w:hAnsi="Calibri" w:cs="Calibri"/>
          <w:lang w:val="en-GB"/>
        </w:rPr>
        <w:t>)</w:t>
      </w:r>
      <w:r w:rsidRPr="0029511A">
        <w:rPr>
          <w:rFonts w:ascii="Calibri" w:hAnsi="Calibri" w:cs="Calibri"/>
          <w:lang w:val="en-GB"/>
        </w:rPr>
        <w:t xml:space="preserve"> and other marginalised businesses.</w:t>
      </w:r>
    </w:p>
    <w:p w14:paraId="79A27105" w14:textId="757C8D8C" w:rsidR="003B601D" w:rsidRPr="00E934C8" w:rsidRDefault="003B601D" w:rsidP="007E240F">
      <w:pPr>
        <w:spacing w:after="160" w:line="252" w:lineRule="auto"/>
        <w:rPr>
          <w:rStyle w:val="cf21"/>
          <w:rFonts w:ascii="Calibri" w:hAnsi="Calibri"/>
          <w:b/>
          <w:bCs/>
        </w:rPr>
      </w:pPr>
    </w:p>
    <w:p w14:paraId="18768F69" w14:textId="34184DB4" w:rsidR="007E240F" w:rsidRPr="00CD6789" w:rsidRDefault="007E240F" w:rsidP="007E240F">
      <w:pPr>
        <w:spacing w:after="160" w:line="252" w:lineRule="auto"/>
        <w:rPr>
          <w:rStyle w:val="cf21"/>
          <w:rFonts w:ascii="Calibri" w:hAnsi="Calibri"/>
          <w:color w:val="002060"/>
        </w:rPr>
      </w:pPr>
      <w:r w:rsidRPr="00CD6789">
        <w:rPr>
          <w:rStyle w:val="cf21"/>
          <w:rFonts w:ascii="Calibri" w:hAnsi="Calibri"/>
          <w:b/>
          <w:bCs/>
          <w:color w:val="002060"/>
        </w:rPr>
        <w:t xml:space="preserve">Intermediate Outcome 4: </w:t>
      </w:r>
      <w:r w:rsidRPr="00CD6789">
        <w:rPr>
          <w:rStyle w:val="cf21"/>
          <w:rFonts w:ascii="Calibri" w:hAnsi="Calibri"/>
          <w:color w:val="002060"/>
        </w:rPr>
        <w:t xml:space="preserve">Gender equality and disability </w:t>
      </w:r>
      <w:r w:rsidR="00D87ACB" w:rsidRPr="00CD6789">
        <w:rPr>
          <w:rStyle w:val="cf21"/>
          <w:rFonts w:ascii="Calibri" w:hAnsi="Calibri"/>
          <w:color w:val="002060"/>
        </w:rPr>
        <w:t xml:space="preserve">equity and </w:t>
      </w:r>
      <w:r w:rsidRPr="00CD6789">
        <w:rPr>
          <w:rStyle w:val="cf21"/>
          <w:rFonts w:ascii="Calibri" w:hAnsi="Calibri"/>
          <w:color w:val="002060"/>
        </w:rPr>
        <w:t>inclusion are integrated in AASP plans, projects, M&amp;E, and analysis</w:t>
      </w:r>
    </w:p>
    <w:p w14:paraId="176878BA" w14:textId="51FB7E06" w:rsidR="007E240F" w:rsidRPr="00CD6789" w:rsidRDefault="007E240F" w:rsidP="007E240F">
      <w:pPr>
        <w:pStyle w:val="Subheading"/>
        <w:rPr>
          <w:rStyle w:val="cf21"/>
          <w:rFonts w:ascii="Calibri" w:hAnsi="Calibri"/>
          <w:b/>
          <w:bCs/>
          <w:color w:val="002060"/>
        </w:rPr>
      </w:pPr>
      <w:r w:rsidRPr="00CD6789">
        <w:rPr>
          <w:rStyle w:val="cf21"/>
          <w:rFonts w:ascii="Calibri" w:hAnsi="Calibri"/>
          <w:b/>
          <w:bCs/>
          <w:color w:val="002060"/>
        </w:rPr>
        <w:t>Gender Equality</w:t>
      </w:r>
    </w:p>
    <w:p w14:paraId="1DEC3949" w14:textId="2996A346" w:rsidR="007E240F" w:rsidRPr="0029511A" w:rsidRDefault="007E240F" w:rsidP="007E240F">
      <w:pPr>
        <w:spacing w:after="160" w:line="252" w:lineRule="auto"/>
        <w:rPr>
          <w:rFonts w:ascii="Calibri" w:hAnsi="Calibri" w:cs="Calibri"/>
          <w:lang w:val="en-GB"/>
        </w:rPr>
      </w:pPr>
      <w:r w:rsidRPr="0029511A">
        <w:rPr>
          <w:rFonts w:ascii="Calibri" w:hAnsi="Calibri" w:cs="Calibri"/>
          <w:lang w:val="en-GB"/>
        </w:rPr>
        <w:t xml:space="preserve">The AASP’s </w:t>
      </w:r>
      <w:r w:rsidRPr="0029511A">
        <w:rPr>
          <w:rFonts w:ascii="Calibri" w:hAnsi="Calibri" w:cs="Calibri"/>
          <w:i/>
          <w:iCs/>
          <w:lang w:val="en-GB"/>
        </w:rPr>
        <w:t>GEDSI Analysis</w:t>
      </w:r>
      <w:r w:rsidRPr="0029511A">
        <w:rPr>
          <w:rFonts w:ascii="Calibri" w:hAnsi="Calibri" w:cs="Calibri"/>
          <w:lang w:val="en-GB"/>
        </w:rPr>
        <w:t xml:space="preserve"> (September 2023) found that </w:t>
      </w:r>
    </w:p>
    <w:p w14:paraId="0A5E6477" w14:textId="6A21D9DC" w:rsidR="007E240F" w:rsidRPr="0021585E" w:rsidRDefault="00260BB9" w:rsidP="007E240F">
      <w:pPr>
        <w:spacing w:after="160" w:line="252" w:lineRule="auto"/>
        <w:ind w:left="360"/>
        <w:rPr>
          <w:rFonts w:ascii="Calibri" w:hAnsi="Calibri" w:cs="Calibri"/>
          <w:i/>
          <w:iCs/>
          <w:lang w:val="en-GB"/>
        </w:rPr>
      </w:pPr>
      <w:r w:rsidRPr="0021585E">
        <w:rPr>
          <w:rFonts w:ascii="Calibri" w:hAnsi="Calibri" w:cs="Calibri"/>
          <w:i/>
          <w:iCs/>
          <w:lang w:val="en-GB"/>
        </w:rPr>
        <w:t>There</w:t>
      </w:r>
      <w:r w:rsidR="007E240F" w:rsidRPr="0021585E">
        <w:rPr>
          <w:rFonts w:ascii="Calibri" w:hAnsi="Calibri" w:cs="Calibri"/>
          <w:i/>
          <w:iCs/>
          <w:lang w:val="en-GB"/>
        </w:rPr>
        <w:t xml:space="preserve"> is a </w:t>
      </w:r>
      <w:r w:rsidR="007E240F" w:rsidRPr="0021585E">
        <w:rPr>
          <w:rFonts w:ascii="Calibri" w:hAnsi="Calibri" w:cs="Calibri"/>
          <w:b/>
          <w:bCs/>
          <w:i/>
          <w:iCs/>
          <w:lang w:val="en-GB"/>
        </w:rPr>
        <w:t>clear commitment to gender mainstreaming</w:t>
      </w:r>
      <w:r w:rsidR="007E240F" w:rsidRPr="0021585E">
        <w:rPr>
          <w:rFonts w:ascii="Calibri" w:hAnsi="Calibri" w:cs="Calibri"/>
          <w:i/>
          <w:iCs/>
          <w:lang w:val="en-GB"/>
        </w:rPr>
        <w:t xml:space="preserve"> evidenced within APEC’s project application processes, as well as related monitoring, evaluation and data collection processes</w:t>
      </w:r>
      <w:r w:rsidR="00E77EEE" w:rsidRPr="0021585E">
        <w:rPr>
          <w:rFonts w:ascii="Calibri" w:hAnsi="Calibri" w:cs="Calibri"/>
          <w:i/>
          <w:iCs/>
          <w:lang w:val="en-GB"/>
        </w:rPr>
        <w:t>,</w:t>
      </w:r>
      <w:r w:rsidR="007E240F" w:rsidRPr="0021585E">
        <w:rPr>
          <w:rFonts w:ascii="Calibri" w:hAnsi="Calibri" w:cs="Calibri"/>
          <w:i/>
          <w:iCs/>
          <w:lang w:val="en-GB"/>
        </w:rPr>
        <w:t xml:space="preserve"> including through the Women and the Economy Dashboard and the work of the Policy Partnership on Women and the Economy (PPWE). These policies and practices force consideration of gender equality issues and/or the participation of women throughout APEC projects, regardless of whether they have a deliberate focus or target gender.</w:t>
      </w:r>
    </w:p>
    <w:p w14:paraId="77E897CE" w14:textId="77777777" w:rsidR="0036398B" w:rsidRDefault="0036398B" w:rsidP="007E240F">
      <w:pPr>
        <w:spacing w:after="160" w:line="252" w:lineRule="auto"/>
        <w:ind w:left="360"/>
        <w:rPr>
          <w:rFonts w:ascii="Calibri" w:hAnsi="Calibri" w:cs="Calibri"/>
          <w:lang w:val="en-GB"/>
        </w:rPr>
      </w:pPr>
    </w:p>
    <w:p w14:paraId="28D452F6" w14:textId="77777777" w:rsidR="0036398B" w:rsidRPr="007F09A7" w:rsidRDefault="0036398B" w:rsidP="0036398B">
      <w:pPr>
        <w:rPr>
          <w:rFonts w:asciiTheme="minorHAnsi" w:hAnsiTheme="minorHAnsi" w:cstheme="minorHAnsi"/>
          <w:b/>
          <w:bCs/>
          <w:i/>
          <w:iCs/>
        </w:rPr>
      </w:pPr>
      <w:r w:rsidRPr="007F09A7">
        <w:rPr>
          <w:rFonts w:asciiTheme="minorHAnsi" w:hAnsiTheme="minorHAnsi" w:cstheme="minorHAnsi"/>
          <w:b/>
          <w:bCs/>
          <w:i/>
          <w:iCs/>
        </w:rPr>
        <w:t>Feedback from Mexico:</w:t>
      </w:r>
    </w:p>
    <w:p w14:paraId="747F7A03" w14:textId="77777777" w:rsidR="0036398B" w:rsidRPr="007F09A7" w:rsidRDefault="0036398B" w:rsidP="0036398B">
      <w:pPr>
        <w:rPr>
          <w:rFonts w:asciiTheme="minorHAnsi" w:hAnsiTheme="minorHAnsi" w:cstheme="minorHAnsi"/>
          <w:i/>
          <w:iCs/>
        </w:rPr>
      </w:pPr>
      <w:r w:rsidRPr="007F09A7">
        <w:rPr>
          <w:rFonts w:asciiTheme="minorHAnsi" w:hAnsiTheme="minorHAnsi" w:cstheme="minorHAnsi"/>
          <w:i/>
          <w:iCs/>
        </w:rPr>
        <w:t>Australia is leading good work on gender quality discussions and broad work on improving gender, disability, elderly, child protection outcomes.</w:t>
      </w:r>
    </w:p>
    <w:p w14:paraId="5978AC57" w14:textId="77777777" w:rsidR="0036398B" w:rsidRPr="007F09A7" w:rsidRDefault="0036398B" w:rsidP="0036398B">
      <w:pPr>
        <w:rPr>
          <w:rFonts w:asciiTheme="minorHAnsi" w:hAnsiTheme="minorHAnsi" w:cstheme="minorHAnsi"/>
          <w:i/>
          <w:iCs/>
        </w:rPr>
      </w:pPr>
      <w:r w:rsidRPr="007F09A7">
        <w:rPr>
          <w:rFonts w:asciiTheme="minorHAnsi" w:hAnsiTheme="minorHAnsi" w:cstheme="minorHAnsi"/>
          <w:i/>
          <w:iCs/>
        </w:rPr>
        <w:t>The workshop discussions and conversations need to go beyond just government officials. Policies and approaches will need to be developed to integrate women into economies more practically. We should be inviting speakers from ministries of labour, or from economic Ministries to discuss how they can take this agenda forward pragmatically. We need a more holistic approach to integrate women in the economy with respect to the care agenda.</w:t>
      </w:r>
    </w:p>
    <w:p w14:paraId="72FF00C7" w14:textId="70E4984E" w:rsidR="00CA12DE" w:rsidRPr="0029511A" w:rsidRDefault="007E240F" w:rsidP="007E240F">
      <w:pPr>
        <w:rPr>
          <w:rFonts w:ascii="Calibri" w:hAnsi="Calibri" w:cs="Calibri"/>
          <w:lang w:val="en-GB"/>
        </w:rPr>
      </w:pPr>
      <w:r w:rsidRPr="0029511A">
        <w:rPr>
          <w:rFonts w:ascii="Calibri" w:hAnsi="Calibri" w:cs="Calibri"/>
          <w:b/>
          <w:bCs/>
          <w:lang w:val="en-GB"/>
        </w:rPr>
        <w:t>AASP’s approach to gender</w:t>
      </w:r>
      <w:r w:rsidR="00D87ACB" w:rsidRPr="0029511A">
        <w:rPr>
          <w:rFonts w:ascii="Calibri" w:hAnsi="Calibri" w:cs="Calibri"/>
          <w:b/>
          <w:bCs/>
          <w:lang w:val="en-GB"/>
        </w:rPr>
        <w:t xml:space="preserve"> equality</w:t>
      </w:r>
      <w:r w:rsidRPr="0029511A">
        <w:rPr>
          <w:rFonts w:ascii="Calibri" w:hAnsi="Calibri" w:cs="Calibri"/>
          <w:b/>
          <w:bCs/>
          <w:lang w:val="en-GB"/>
        </w:rPr>
        <w:t xml:space="preserve"> and women’s economic empowerment is underpinned by policy guidance and international policy and practice on gender mainstreaming</w:t>
      </w:r>
      <w:r w:rsidRPr="0029511A">
        <w:rPr>
          <w:rFonts w:ascii="Calibri" w:hAnsi="Calibri" w:cs="Calibri"/>
          <w:lang w:val="en-GB"/>
        </w:rPr>
        <w:t xml:space="preserve"> and is guided by the influence that Australia (</w:t>
      </w:r>
      <w:r w:rsidR="00FA70C8" w:rsidRPr="0029511A">
        <w:rPr>
          <w:rFonts w:ascii="Calibri" w:hAnsi="Calibri" w:cs="Calibri"/>
          <w:lang w:val="en-GB"/>
        </w:rPr>
        <w:t xml:space="preserve">led by the Department of </w:t>
      </w:r>
      <w:r w:rsidR="00E77EEE" w:rsidRPr="0029511A">
        <w:rPr>
          <w:rFonts w:ascii="Calibri" w:hAnsi="Calibri" w:cs="Calibri"/>
          <w:lang w:val="en-GB"/>
        </w:rPr>
        <w:t xml:space="preserve">the </w:t>
      </w:r>
      <w:r w:rsidR="00FA70C8" w:rsidRPr="0029511A">
        <w:rPr>
          <w:rFonts w:ascii="Calibri" w:hAnsi="Calibri" w:cs="Calibri"/>
          <w:lang w:val="en-GB"/>
        </w:rPr>
        <w:t>Prime Minister and Cabinet</w:t>
      </w:r>
      <w:r w:rsidRPr="0029511A">
        <w:rPr>
          <w:rFonts w:ascii="Calibri" w:hAnsi="Calibri" w:cs="Calibri"/>
          <w:lang w:val="en-GB"/>
        </w:rPr>
        <w:t>) currently has as chair of the PPWE (</w:t>
      </w:r>
      <w:r w:rsidR="00FA70C8" w:rsidRPr="0029511A">
        <w:rPr>
          <w:rFonts w:ascii="Calibri" w:hAnsi="Calibri" w:cs="Calibri"/>
          <w:lang w:val="en-GB"/>
        </w:rPr>
        <w:t xml:space="preserve">for the period </w:t>
      </w:r>
      <w:r w:rsidRPr="0029511A">
        <w:rPr>
          <w:rFonts w:ascii="Calibri" w:hAnsi="Calibri" w:cs="Calibri"/>
          <w:lang w:val="en-GB"/>
        </w:rPr>
        <w:t>2023 to 2024). The PPWE seeks to advance the economic integration of women in the APEC region and coordinate gender activities across APEC working groups.</w:t>
      </w:r>
      <w:r w:rsidR="00FA70C8" w:rsidRPr="0029511A">
        <w:rPr>
          <w:rFonts w:ascii="Calibri" w:hAnsi="Calibri" w:cs="Calibri"/>
          <w:lang w:val="en-GB"/>
        </w:rPr>
        <w:t xml:space="preserve"> </w:t>
      </w:r>
      <w:r w:rsidR="00CA12DE" w:rsidRPr="0029511A">
        <w:rPr>
          <w:rFonts w:ascii="Calibri" w:hAnsi="Calibri" w:cs="Calibri"/>
          <w:lang w:val="en-GB"/>
        </w:rPr>
        <w:t xml:space="preserve">In addition, by providing voluntary contributions to the Women and Economy sub-fund, the </w:t>
      </w:r>
      <w:r w:rsidR="00CA12DE" w:rsidRPr="0029511A">
        <w:rPr>
          <w:rFonts w:ascii="Calibri" w:hAnsi="Calibri" w:cs="Calibri"/>
          <w:lang w:val="en-GB"/>
        </w:rPr>
        <w:lastRenderedPageBreak/>
        <w:t>AASP supports the integration of gender perspectives across the APEC agenda and helps APEC address barriers to women’s economic participation region.</w:t>
      </w:r>
    </w:p>
    <w:p w14:paraId="6AF2F95C" w14:textId="64AAE77F" w:rsidR="007E240F" w:rsidRPr="0029511A" w:rsidRDefault="00FA70C8" w:rsidP="007E240F">
      <w:pPr>
        <w:rPr>
          <w:rFonts w:ascii="Calibri" w:hAnsi="Calibri" w:cs="Calibri"/>
          <w:lang w:val="en-GB"/>
        </w:rPr>
      </w:pPr>
      <w:r w:rsidRPr="0029511A">
        <w:rPr>
          <w:rFonts w:ascii="Calibri" w:hAnsi="Calibri" w:cs="Calibri"/>
          <w:lang w:val="en-GB"/>
        </w:rPr>
        <w:t>The AASP demonstrates a strong commitment to gender</w:t>
      </w:r>
      <w:r w:rsidR="00D87ACB" w:rsidRPr="0029511A">
        <w:rPr>
          <w:rFonts w:ascii="Calibri" w:hAnsi="Calibri" w:cs="Calibri"/>
          <w:lang w:val="en-GB"/>
        </w:rPr>
        <w:t xml:space="preserve"> equality and gender</w:t>
      </w:r>
      <w:r w:rsidRPr="0029511A">
        <w:rPr>
          <w:rFonts w:ascii="Calibri" w:hAnsi="Calibri" w:cs="Calibri"/>
          <w:lang w:val="en-GB"/>
        </w:rPr>
        <w:t xml:space="preserve"> mainstreaming, both in the design of all projects and in actively pursuing projects that focus on gender equality and/or women’s economic empowerment. On average</w:t>
      </w:r>
      <w:r w:rsidR="00E77EEE" w:rsidRPr="0029511A">
        <w:rPr>
          <w:rFonts w:ascii="Calibri" w:hAnsi="Calibri" w:cs="Calibri"/>
          <w:lang w:val="en-GB"/>
        </w:rPr>
        <w:t>,</w:t>
      </w:r>
      <w:r w:rsidRPr="0029511A">
        <w:rPr>
          <w:rFonts w:ascii="Calibri" w:hAnsi="Calibri" w:cs="Calibri"/>
          <w:lang w:val="en-GB"/>
        </w:rPr>
        <w:t xml:space="preserve"> more women than men participate in projects (57% of all participants were women), and more women than men present at events (54% of all speakers were women).</w:t>
      </w:r>
      <w:r w:rsidR="007E240F" w:rsidRPr="0029511A">
        <w:rPr>
          <w:rFonts w:ascii="Calibri" w:hAnsi="Calibri" w:cs="Calibri"/>
          <w:lang w:val="en-GB"/>
        </w:rPr>
        <w:t xml:space="preserve"> </w:t>
      </w:r>
    </w:p>
    <w:p w14:paraId="0AAA476B" w14:textId="29584EFA" w:rsidR="007E240F" w:rsidRPr="0029511A" w:rsidRDefault="007E240F" w:rsidP="007E240F">
      <w:pPr>
        <w:rPr>
          <w:rStyle w:val="cf21"/>
          <w:rFonts w:ascii="Calibri" w:hAnsi="Calibri"/>
        </w:rPr>
      </w:pPr>
      <w:r w:rsidRPr="0029511A">
        <w:rPr>
          <w:rFonts w:ascii="Calibri" w:hAnsi="Calibri" w:cs="Calibri"/>
          <w:lang w:val="en-GB"/>
        </w:rPr>
        <w:t xml:space="preserve">Projects such as the </w:t>
      </w:r>
      <w:r w:rsidRPr="0029511A">
        <w:rPr>
          <w:rFonts w:ascii="Calibri" w:hAnsi="Calibri" w:cs="Calibri"/>
          <w:i/>
          <w:iCs/>
          <w:lang w:val="en-GB"/>
        </w:rPr>
        <w:t xml:space="preserve">APEC Care Compact </w:t>
      </w:r>
      <w:r w:rsidRPr="0029511A">
        <w:rPr>
          <w:rFonts w:ascii="Calibri" w:hAnsi="Calibri" w:cs="Calibri"/>
          <w:lang w:val="en-GB"/>
        </w:rPr>
        <w:t xml:space="preserve">and </w:t>
      </w:r>
      <w:r w:rsidRPr="0029511A">
        <w:rPr>
          <w:rFonts w:ascii="Calibri" w:hAnsi="Calibri" w:cs="Calibri"/>
          <w:i/>
          <w:iCs/>
          <w:lang w:val="en-GB"/>
        </w:rPr>
        <w:t xml:space="preserve">Developing an APEC Gender Budgeting Toolkit </w:t>
      </w:r>
      <w:r w:rsidRPr="0029511A">
        <w:rPr>
          <w:rFonts w:ascii="Calibri" w:hAnsi="Calibri" w:cs="Calibri"/>
          <w:lang w:val="en-GB"/>
        </w:rPr>
        <w:t>are important avenues for the pursuit of Australia’s PPWE priority areas.</w:t>
      </w:r>
      <w:r w:rsidRPr="0029511A">
        <w:rPr>
          <w:rStyle w:val="cf21"/>
          <w:rFonts w:ascii="Calibri" w:hAnsi="Calibri"/>
        </w:rPr>
        <w:t xml:space="preserve"> </w:t>
      </w:r>
      <w:r w:rsidRPr="0029511A">
        <w:rPr>
          <w:rFonts w:ascii="Calibri" w:hAnsi="Calibri" w:cs="Calibri"/>
          <w:i/>
          <w:iCs/>
          <w:lang w:val="en-GB"/>
        </w:rPr>
        <w:t>The Non-binding APEC Care Compact</w:t>
      </w:r>
      <w:r w:rsidRPr="0029511A">
        <w:rPr>
          <w:rStyle w:val="cf21"/>
          <w:rFonts w:ascii="Calibri" w:hAnsi="Calibri"/>
        </w:rPr>
        <w:t xml:space="preserve"> </w:t>
      </w:r>
      <w:r w:rsidR="00426A16" w:rsidRPr="0029511A">
        <w:rPr>
          <w:rFonts w:ascii="Calibri" w:hAnsi="Calibri" w:cs="Calibri"/>
        </w:rPr>
        <w:t xml:space="preserve">project </w:t>
      </w:r>
      <w:r w:rsidR="00641A71" w:rsidRPr="0029511A">
        <w:rPr>
          <w:rFonts w:ascii="Calibri" w:hAnsi="Calibri" w:cs="Calibri"/>
          <w:lang w:val="en-GB"/>
        </w:rPr>
        <w:t>developed</w:t>
      </w:r>
      <w:r w:rsidRPr="0029511A">
        <w:rPr>
          <w:rFonts w:ascii="Calibri" w:hAnsi="Calibri" w:cs="Calibri"/>
          <w:lang w:val="en-GB"/>
        </w:rPr>
        <w:t xml:space="preserve"> a set of principles to guide APEC economies to better invest in their domestic care economy,</w:t>
      </w:r>
      <w:r w:rsidRPr="0029511A">
        <w:rPr>
          <w:rFonts w:ascii="Calibri" w:eastAsia="Times New Roman" w:hAnsi="Calibri" w:cs="Calibri"/>
          <w:bCs/>
          <w:lang w:val="en-GB"/>
        </w:rPr>
        <w:t xml:space="preserve"> improve work conditions and standards for care workers (</w:t>
      </w:r>
      <w:r w:rsidRPr="0029511A">
        <w:rPr>
          <w:rFonts w:ascii="Calibri" w:hAnsi="Calibri" w:cs="Calibri"/>
          <w:lang w:val="en-GB"/>
        </w:rPr>
        <w:t>who are often women) and encourage greater valuation and re-balancing of unpaid caring workload</w:t>
      </w:r>
      <w:r w:rsidR="00E77EEE" w:rsidRPr="0029511A">
        <w:rPr>
          <w:rFonts w:ascii="Calibri" w:hAnsi="Calibri" w:cs="Calibri"/>
          <w:lang w:val="en-GB"/>
        </w:rPr>
        <w:t>,</w:t>
      </w:r>
      <w:r w:rsidRPr="0029511A">
        <w:rPr>
          <w:rFonts w:ascii="Calibri" w:hAnsi="Calibri" w:cs="Calibri"/>
          <w:lang w:val="en-GB"/>
        </w:rPr>
        <w:t xml:space="preserve"> which women disproportionally undertake. By developing a sustainable and productive care economy, women are more likely to have the ability and choice to increase their workforce participation to their preferred level. </w:t>
      </w:r>
    </w:p>
    <w:p w14:paraId="418279A3" w14:textId="2F36A6BC" w:rsidR="007E240F" w:rsidRPr="007F09A7" w:rsidRDefault="007E240F" w:rsidP="007E240F">
      <w:pPr>
        <w:rPr>
          <w:rFonts w:ascii="Calibri" w:hAnsi="Calibri" w:cs="Calibri"/>
          <w:i/>
          <w:iCs/>
          <w:lang w:val="en-GB"/>
        </w:rPr>
      </w:pPr>
      <w:r w:rsidRPr="0029511A">
        <w:rPr>
          <w:rFonts w:ascii="Calibri" w:hAnsi="Calibri" w:cs="Calibri"/>
          <w:lang w:val="en-GB"/>
        </w:rPr>
        <w:t>Gender budgeting is an important analytical tool for governments to assess inequalities embedded in policies and the allocation of resources</w:t>
      </w:r>
      <w:r w:rsidR="000B5A01" w:rsidRPr="0029511A">
        <w:rPr>
          <w:rFonts w:ascii="Calibri" w:hAnsi="Calibri" w:cs="Calibri"/>
          <w:lang w:val="en-GB"/>
        </w:rPr>
        <w:t>,</w:t>
      </w:r>
      <w:r w:rsidRPr="0029511A">
        <w:rPr>
          <w:rFonts w:ascii="Calibri" w:hAnsi="Calibri" w:cs="Calibri"/>
          <w:lang w:val="en-GB"/>
        </w:rPr>
        <w:t xml:space="preserve"> advance outcomes on gender equality and women’s economic empowerment</w:t>
      </w:r>
      <w:r w:rsidR="00D86A57" w:rsidRPr="0029511A">
        <w:rPr>
          <w:rFonts w:ascii="Calibri" w:hAnsi="Calibri" w:cs="Calibri"/>
          <w:lang w:val="en-GB"/>
        </w:rPr>
        <w:t>,</w:t>
      </w:r>
      <w:r w:rsidRPr="0029511A">
        <w:rPr>
          <w:rFonts w:ascii="Calibri" w:hAnsi="Calibri" w:cs="Calibri"/>
          <w:lang w:val="en-GB"/>
        </w:rPr>
        <w:t xml:space="preserve"> and shift economic policies to lead to greater economic growth. </w:t>
      </w:r>
      <w:r w:rsidR="00C20493" w:rsidRPr="0029511A">
        <w:rPr>
          <w:rFonts w:ascii="Calibri" w:hAnsi="Calibri" w:cs="Calibri"/>
          <w:lang w:val="en-GB"/>
        </w:rPr>
        <w:t>The AASP has supported</w:t>
      </w:r>
      <w:r w:rsidRPr="0029511A">
        <w:rPr>
          <w:rFonts w:ascii="Calibri" w:hAnsi="Calibri" w:cs="Calibri"/>
          <w:lang w:val="en-GB"/>
        </w:rPr>
        <w:t xml:space="preserve"> </w:t>
      </w:r>
      <w:r w:rsidR="00C20493" w:rsidRPr="0029511A">
        <w:rPr>
          <w:rFonts w:ascii="Calibri" w:hAnsi="Calibri" w:cs="Calibri"/>
          <w:lang w:val="en-GB"/>
        </w:rPr>
        <w:t>capacity building</w:t>
      </w:r>
      <w:r w:rsidRPr="0029511A">
        <w:rPr>
          <w:rFonts w:ascii="Calibri" w:hAnsi="Calibri" w:cs="Calibri"/>
          <w:lang w:val="en-GB"/>
        </w:rPr>
        <w:t xml:space="preserve"> and </w:t>
      </w:r>
      <w:r w:rsidR="004D3D8E" w:rsidRPr="0029511A">
        <w:rPr>
          <w:rFonts w:ascii="Calibri" w:hAnsi="Calibri" w:cs="Calibri"/>
          <w:lang w:val="en-GB"/>
        </w:rPr>
        <w:t xml:space="preserve">a </w:t>
      </w:r>
      <w:r w:rsidR="00786E7D" w:rsidRPr="0029511A">
        <w:rPr>
          <w:rFonts w:ascii="Calibri" w:hAnsi="Calibri" w:cs="Calibri"/>
          <w:lang w:val="en-GB"/>
        </w:rPr>
        <w:t xml:space="preserve">Gender Budgeting </w:t>
      </w:r>
      <w:r w:rsidR="005D1CB7" w:rsidRPr="0029511A">
        <w:rPr>
          <w:rFonts w:ascii="Calibri" w:hAnsi="Calibri" w:cs="Calibri"/>
          <w:lang w:val="en-GB"/>
        </w:rPr>
        <w:t>T</w:t>
      </w:r>
      <w:r w:rsidRPr="0029511A">
        <w:rPr>
          <w:rFonts w:ascii="Calibri" w:hAnsi="Calibri" w:cs="Calibri"/>
          <w:lang w:val="en-GB"/>
        </w:rPr>
        <w:t>oolkit for APEC economies</w:t>
      </w:r>
      <w:r w:rsidR="00A14071" w:rsidRPr="0029511A">
        <w:rPr>
          <w:rFonts w:ascii="Calibri" w:hAnsi="Calibri" w:cs="Calibri"/>
          <w:lang w:val="en-GB"/>
        </w:rPr>
        <w:t xml:space="preserve"> to help </w:t>
      </w:r>
      <w:r w:rsidRPr="0029511A">
        <w:rPr>
          <w:rFonts w:ascii="Calibri" w:hAnsi="Calibri" w:cs="Calibri"/>
          <w:lang w:val="en-GB"/>
        </w:rPr>
        <w:t xml:space="preserve">government and public officials, civil society organisations, and academics understand the distributional impact of economic decisions in a way that supports equitable economic growth. </w:t>
      </w:r>
      <w:r w:rsidRPr="007F09A7">
        <w:rPr>
          <w:rFonts w:ascii="Calibri" w:hAnsi="Calibri" w:cs="Calibri"/>
          <w:i/>
          <w:iCs/>
          <w:lang w:val="en-GB"/>
        </w:rPr>
        <w:t xml:space="preserve">As the </w:t>
      </w:r>
      <w:r w:rsidR="00223B38" w:rsidRPr="007F09A7">
        <w:rPr>
          <w:rFonts w:ascii="Calibri" w:hAnsi="Calibri" w:cs="Calibri"/>
          <w:i/>
          <w:iCs/>
          <w:lang w:val="en-GB"/>
        </w:rPr>
        <w:t xml:space="preserve">Chinese </w:t>
      </w:r>
      <w:r w:rsidRPr="007F09A7">
        <w:rPr>
          <w:rFonts w:ascii="Calibri" w:hAnsi="Calibri" w:cs="Calibri"/>
          <w:i/>
          <w:iCs/>
          <w:lang w:val="en-GB"/>
        </w:rPr>
        <w:t>Taipei representative noted:</w:t>
      </w:r>
    </w:p>
    <w:p w14:paraId="533602F5" w14:textId="7C127FF9" w:rsidR="00D229F4" w:rsidRPr="0029511A" w:rsidRDefault="007E240F" w:rsidP="3AEAF0E0">
      <w:pPr>
        <w:ind w:left="720"/>
        <w:rPr>
          <w:rStyle w:val="cf21"/>
          <w:rFonts w:ascii="Calibri" w:hAnsi="Calibri"/>
          <w:i/>
          <w:iCs/>
          <w:lang w:val="en-AU"/>
        </w:rPr>
        <w:sectPr w:rsidR="00D229F4" w:rsidRPr="0029511A" w:rsidSect="00D229F4">
          <w:type w:val="continuous"/>
          <w:pgSz w:w="11900" w:h="16840"/>
          <w:pgMar w:top="1418" w:right="1440" w:bottom="1440" w:left="1440" w:header="709" w:footer="709" w:gutter="0"/>
          <w:cols w:space="708"/>
          <w:docGrid w:linePitch="360"/>
        </w:sectPr>
      </w:pPr>
      <w:r w:rsidRPr="0029511A">
        <w:rPr>
          <w:rStyle w:val="cf21"/>
          <w:rFonts w:ascii="Calibri" w:hAnsi="Calibri"/>
          <w:i/>
          <w:iCs/>
          <w:lang w:val="en-AU"/>
        </w:rPr>
        <w:t xml:space="preserve">The workshop provided us useful experiences and methods from other economies. The workshop </w:t>
      </w:r>
      <w:r w:rsidR="006D61EC" w:rsidRPr="0029511A">
        <w:rPr>
          <w:rStyle w:val="cf21"/>
          <w:rFonts w:ascii="Calibri" w:hAnsi="Calibri"/>
          <w:i/>
          <w:iCs/>
          <w:lang w:val="en-AU"/>
        </w:rPr>
        <w:t>highlights</w:t>
      </w:r>
      <w:r w:rsidRPr="0029511A">
        <w:rPr>
          <w:rStyle w:val="cf21"/>
          <w:rFonts w:ascii="Calibri" w:hAnsi="Calibri"/>
          <w:i/>
          <w:iCs/>
          <w:lang w:val="en-AU"/>
        </w:rPr>
        <w:t xml:space="preserve"> the enabling environment for establishing Gender Budgeting, such as developing guidance materials and </w:t>
      </w:r>
    </w:p>
    <w:p w14:paraId="074ED4C4" w14:textId="6CC470A9" w:rsidR="007E240F" w:rsidRPr="0029511A" w:rsidRDefault="007E240F" w:rsidP="3AEAF0E0">
      <w:pPr>
        <w:ind w:left="720"/>
        <w:rPr>
          <w:rStyle w:val="cf21"/>
          <w:rFonts w:ascii="Calibri" w:hAnsi="Calibri"/>
          <w:i/>
          <w:iCs/>
          <w:lang w:val="en-AU"/>
        </w:rPr>
      </w:pPr>
      <w:r w:rsidRPr="0029511A">
        <w:rPr>
          <w:rStyle w:val="cf21"/>
          <w:rFonts w:ascii="Calibri" w:hAnsi="Calibri"/>
          <w:i/>
          <w:iCs/>
          <w:lang w:val="en-AU"/>
        </w:rPr>
        <w:t xml:space="preserve">training to upskill government staff and build relevant knowledge and technical expertise across government. These ideas are all practical for us. The most impressive part in the workshop was the application of Gender data to </w:t>
      </w:r>
      <w:r w:rsidR="00A14071" w:rsidRPr="0029511A">
        <w:rPr>
          <w:rStyle w:val="cf21"/>
          <w:rFonts w:ascii="Calibri" w:hAnsi="Calibri"/>
          <w:i/>
          <w:iCs/>
          <w:lang w:val="en-AU"/>
        </w:rPr>
        <w:t>identify</w:t>
      </w:r>
      <w:r w:rsidRPr="0029511A">
        <w:rPr>
          <w:rStyle w:val="cf21"/>
          <w:rFonts w:ascii="Calibri" w:hAnsi="Calibri"/>
          <w:i/>
          <w:iCs/>
          <w:lang w:val="en-AU"/>
        </w:rPr>
        <w:t xml:space="preserve"> gender issues which should be addressed. Australia has great expertise in Gender Mainstreaming approaches such as gender data and gender budgeting</w:t>
      </w:r>
      <w:r w:rsidR="00FA3BC3" w:rsidRPr="0029511A">
        <w:rPr>
          <w:rStyle w:val="cf21"/>
          <w:rFonts w:ascii="Calibri" w:hAnsi="Calibri"/>
          <w:i/>
          <w:iCs/>
          <w:lang w:val="en-AU"/>
        </w:rPr>
        <w:t>, and</w:t>
      </w:r>
      <w:r w:rsidRPr="0029511A">
        <w:rPr>
          <w:rStyle w:val="cf21"/>
          <w:rFonts w:ascii="Calibri" w:hAnsi="Calibri"/>
          <w:i/>
          <w:iCs/>
          <w:lang w:val="en-AU"/>
        </w:rPr>
        <w:t xml:space="preserve"> which </w:t>
      </w:r>
      <w:r w:rsidR="00FA3BC3" w:rsidRPr="0029511A">
        <w:rPr>
          <w:rStyle w:val="cf21"/>
          <w:rFonts w:ascii="Calibri" w:hAnsi="Calibri"/>
          <w:i/>
          <w:iCs/>
          <w:lang w:val="en-AU"/>
        </w:rPr>
        <w:t>illustrate</w:t>
      </w:r>
      <w:r w:rsidRPr="0029511A">
        <w:rPr>
          <w:rStyle w:val="cf21"/>
          <w:rFonts w:ascii="Calibri" w:hAnsi="Calibri"/>
          <w:i/>
          <w:iCs/>
          <w:lang w:val="en-AU"/>
        </w:rPr>
        <w:t xml:space="preserve"> good models for economies to learn</w:t>
      </w:r>
      <w:r w:rsidR="00FA3BC3" w:rsidRPr="0029511A">
        <w:rPr>
          <w:rStyle w:val="cf21"/>
          <w:rFonts w:ascii="Calibri" w:hAnsi="Calibri"/>
          <w:i/>
          <w:iCs/>
          <w:lang w:val="en-AU"/>
        </w:rPr>
        <w:t xml:space="preserve"> from</w:t>
      </w:r>
      <w:r w:rsidR="00A80DB4" w:rsidRPr="0029511A">
        <w:rPr>
          <w:rStyle w:val="cf21"/>
          <w:rFonts w:ascii="Calibri" w:hAnsi="Calibri"/>
          <w:i/>
          <w:iCs/>
          <w:lang w:val="en-AU"/>
        </w:rPr>
        <w:t>.</w:t>
      </w:r>
      <w:r w:rsidR="00B408FC" w:rsidRPr="0029511A">
        <w:rPr>
          <w:rStyle w:val="cf21"/>
          <w:rFonts w:ascii="Calibri" w:hAnsi="Calibri"/>
          <w:i/>
          <w:iCs/>
          <w:lang w:val="en-AU"/>
        </w:rPr>
        <w:t xml:space="preserve"> – </w:t>
      </w:r>
      <w:r w:rsidR="00FA3BC3" w:rsidRPr="0029511A">
        <w:rPr>
          <w:rStyle w:val="cf21"/>
          <w:rFonts w:ascii="Calibri" w:hAnsi="Calibri"/>
          <w:i/>
          <w:iCs/>
          <w:lang w:val="en-AU"/>
        </w:rPr>
        <w:t>(Chinese Taipei represent</w:t>
      </w:r>
      <w:r w:rsidR="005B3D08" w:rsidRPr="0029511A">
        <w:rPr>
          <w:rStyle w:val="cf21"/>
          <w:rFonts w:ascii="Calibri" w:hAnsi="Calibri"/>
          <w:i/>
          <w:iCs/>
          <w:lang w:val="en-AU"/>
        </w:rPr>
        <w:t>at</w:t>
      </w:r>
      <w:r w:rsidR="00FA3BC3" w:rsidRPr="0029511A">
        <w:rPr>
          <w:rStyle w:val="cf21"/>
          <w:rFonts w:ascii="Calibri" w:hAnsi="Calibri"/>
          <w:i/>
          <w:iCs/>
          <w:lang w:val="en-AU"/>
        </w:rPr>
        <w:t>ive, SOM 3, 2024)</w:t>
      </w:r>
      <w:r w:rsidRPr="0029511A">
        <w:rPr>
          <w:rStyle w:val="cf21"/>
          <w:rFonts w:ascii="Calibri" w:hAnsi="Calibri"/>
          <w:i/>
          <w:iCs/>
          <w:lang w:val="en-AU"/>
        </w:rPr>
        <w:t xml:space="preserve"> </w:t>
      </w:r>
    </w:p>
    <w:p w14:paraId="4F81CEFD" w14:textId="77777777" w:rsidR="00E934C8" w:rsidRDefault="00E934C8" w:rsidP="007E240F">
      <w:pPr>
        <w:rPr>
          <w:rFonts w:ascii="Calibri" w:hAnsi="Calibri" w:cs="Calibri"/>
          <w:b/>
          <w:bCs/>
          <w:lang w:val="en-GB"/>
        </w:rPr>
      </w:pPr>
    </w:p>
    <w:p w14:paraId="52FFA8D5" w14:textId="54DD7942" w:rsidR="007E240F" w:rsidRPr="0029511A" w:rsidRDefault="007E240F" w:rsidP="007E240F">
      <w:pPr>
        <w:rPr>
          <w:rStyle w:val="cf21"/>
          <w:rFonts w:ascii="Calibri" w:hAnsi="Calibri"/>
        </w:rPr>
      </w:pPr>
      <w:r w:rsidRPr="0029511A">
        <w:rPr>
          <w:rFonts w:ascii="Calibri" w:hAnsi="Calibri" w:cs="Calibri"/>
          <w:b/>
          <w:bCs/>
          <w:lang w:val="en-GB"/>
        </w:rPr>
        <w:t xml:space="preserve">AASP has maintained its gender mainstreaming </w:t>
      </w:r>
      <w:r w:rsidR="00A80DB4" w:rsidRPr="0029511A">
        <w:rPr>
          <w:rFonts w:ascii="Calibri" w:hAnsi="Calibri" w:cs="Calibri"/>
          <w:b/>
          <w:bCs/>
          <w:lang w:val="en-GB"/>
        </w:rPr>
        <w:t>momentum and</w:t>
      </w:r>
      <w:r w:rsidRPr="0029511A">
        <w:rPr>
          <w:rFonts w:ascii="Calibri" w:hAnsi="Calibri" w:cs="Calibri"/>
          <w:b/>
          <w:bCs/>
          <w:lang w:val="en-GB"/>
        </w:rPr>
        <w:t xml:space="preserve"> has rapidly expanded its portfolio of projects advocating for gender equality within APEC</w:t>
      </w:r>
      <w:r w:rsidRPr="0029511A">
        <w:rPr>
          <w:rFonts w:ascii="Calibri" w:hAnsi="Calibri" w:cs="Calibri"/>
          <w:lang w:val="en-GB"/>
        </w:rPr>
        <w:t>.</w:t>
      </w:r>
      <w:r w:rsidR="00442269" w:rsidRPr="0029511A">
        <w:rPr>
          <w:rFonts w:ascii="Calibri" w:hAnsi="Calibri" w:cs="Calibri"/>
          <w:lang w:val="en-GB"/>
        </w:rPr>
        <w:t xml:space="preserve"> </w:t>
      </w:r>
      <w:r w:rsidRPr="0029511A">
        <w:rPr>
          <w:rFonts w:ascii="Calibri" w:hAnsi="Calibri" w:cs="Calibri"/>
          <w:lang w:val="en-GB"/>
        </w:rPr>
        <w:t xml:space="preserve">The </w:t>
      </w:r>
      <w:r w:rsidRPr="0029511A">
        <w:rPr>
          <w:rFonts w:ascii="Calibri" w:hAnsi="Calibri" w:cs="Calibri"/>
          <w:i/>
          <w:iCs/>
          <w:lang w:val="en-GB"/>
        </w:rPr>
        <w:t xml:space="preserve">APEC-Australia Women in Research Fellowship </w:t>
      </w:r>
      <w:r w:rsidR="003202B8" w:rsidRPr="0029511A">
        <w:rPr>
          <w:rFonts w:ascii="Calibri" w:hAnsi="Calibri" w:cs="Calibri"/>
          <w:lang w:val="en-GB"/>
        </w:rPr>
        <w:t xml:space="preserve">project </w:t>
      </w:r>
      <w:r w:rsidRPr="0029511A">
        <w:rPr>
          <w:rFonts w:ascii="Calibri" w:hAnsi="Calibri" w:cs="Calibri"/>
          <w:lang w:val="en-GB"/>
        </w:rPr>
        <w:t xml:space="preserve">has supported 40 women researchers from </w:t>
      </w:r>
      <w:r w:rsidR="00223B38" w:rsidRPr="0029511A">
        <w:rPr>
          <w:rFonts w:ascii="Calibri" w:hAnsi="Calibri" w:cs="Calibri"/>
          <w:lang w:val="en-GB"/>
        </w:rPr>
        <w:t xml:space="preserve">multiple APEC developing </w:t>
      </w:r>
      <w:r w:rsidRPr="0029511A">
        <w:rPr>
          <w:rFonts w:ascii="Calibri" w:hAnsi="Calibri" w:cs="Calibri"/>
          <w:lang w:val="en-GB"/>
        </w:rPr>
        <w:t>economies (such as Malaysia, Viet</w:t>
      </w:r>
      <w:r w:rsidR="00221D69" w:rsidRPr="0029511A">
        <w:rPr>
          <w:rFonts w:ascii="Calibri" w:hAnsi="Calibri" w:cs="Calibri"/>
          <w:lang w:val="en-GB"/>
        </w:rPr>
        <w:t xml:space="preserve"> N</w:t>
      </w:r>
      <w:r w:rsidRPr="0029511A">
        <w:rPr>
          <w:rFonts w:ascii="Calibri" w:hAnsi="Calibri" w:cs="Calibri"/>
          <w:lang w:val="en-GB"/>
        </w:rPr>
        <w:t xml:space="preserve">am, Indonesia, Mexico, </w:t>
      </w:r>
      <w:r w:rsidR="00B408FC" w:rsidRPr="0029511A">
        <w:rPr>
          <w:rFonts w:ascii="Calibri" w:hAnsi="Calibri" w:cs="Calibri"/>
          <w:lang w:val="en-GB"/>
        </w:rPr>
        <w:t xml:space="preserve">the </w:t>
      </w:r>
      <w:r w:rsidRPr="0029511A">
        <w:rPr>
          <w:rFonts w:ascii="Calibri" w:hAnsi="Calibri" w:cs="Calibri"/>
          <w:lang w:val="en-GB"/>
        </w:rPr>
        <w:t xml:space="preserve">Philippines, Thailand and China) </w:t>
      </w:r>
      <w:r w:rsidR="00E77EEE" w:rsidRPr="0029511A">
        <w:rPr>
          <w:rFonts w:ascii="Calibri" w:hAnsi="Calibri" w:cs="Calibri"/>
          <w:lang w:val="en-GB"/>
        </w:rPr>
        <w:t xml:space="preserve">to </w:t>
      </w:r>
      <w:r w:rsidRPr="0029511A">
        <w:rPr>
          <w:rFonts w:ascii="Calibri" w:hAnsi="Calibri" w:cs="Calibri"/>
          <w:lang w:val="en-GB"/>
        </w:rPr>
        <w:t xml:space="preserve">build their careers </w:t>
      </w:r>
      <w:r w:rsidR="005B3D08" w:rsidRPr="0029511A">
        <w:rPr>
          <w:rFonts w:ascii="Calibri" w:hAnsi="Calibri" w:cs="Calibri"/>
          <w:lang w:val="en-GB"/>
        </w:rPr>
        <w:t xml:space="preserve">further </w:t>
      </w:r>
      <w:r w:rsidRPr="0029511A">
        <w:rPr>
          <w:rFonts w:ascii="Calibri" w:hAnsi="Calibri" w:cs="Calibri"/>
          <w:lang w:val="en-GB"/>
        </w:rPr>
        <w:t xml:space="preserve">in Science, Technology, Engineering and Mathematics (STEM)-related research in partnership with Australian universities. The project aligns with Australia’s objective of building the capabilities of women researchers in STEM by fostering research collaborations, providing access to state-of-the-art facilities, and establishing linkages between research institutions in Australia and other APEC economies. </w:t>
      </w:r>
      <w:r w:rsidR="00223B38" w:rsidRPr="0029511A">
        <w:rPr>
          <w:rFonts w:ascii="Calibri" w:hAnsi="Calibri" w:cs="Calibri"/>
          <w:lang w:val="en-GB"/>
        </w:rPr>
        <w:t>The</w:t>
      </w:r>
      <w:r w:rsidRPr="0029511A">
        <w:rPr>
          <w:rFonts w:ascii="Calibri" w:hAnsi="Calibri" w:cs="Calibri"/>
          <w:lang w:val="en-GB"/>
        </w:rPr>
        <w:t xml:space="preserve"> project aligns with the </w:t>
      </w:r>
      <w:r w:rsidRPr="0029511A">
        <w:rPr>
          <w:rFonts w:ascii="Calibri" w:hAnsi="Calibri" w:cs="Calibri"/>
          <w:i/>
          <w:iCs/>
          <w:lang w:val="en-GB"/>
        </w:rPr>
        <w:t>APEC Education Strategy</w:t>
      </w:r>
      <w:r w:rsidRPr="0029511A">
        <w:rPr>
          <w:rFonts w:ascii="Calibri" w:hAnsi="Calibri" w:cs="Calibri"/>
          <w:lang w:val="en-GB"/>
        </w:rPr>
        <w:t xml:space="preserve"> </w:t>
      </w:r>
      <w:r w:rsidR="00965830" w:rsidRPr="0029511A">
        <w:rPr>
          <w:rFonts w:ascii="Calibri" w:hAnsi="Calibri" w:cs="Calibri"/>
          <w:lang w:val="en-GB"/>
        </w:rPr>
        <w:t>(</w:t>
      </w:r>
      <w:hyperlink r:id="rId29" w:history="1">
        <w:r w:rsidR="00965830" w:rsidRPr="0029511A">
          <w:rPr>
            <w:rStyle w:val="Hyperlink"/>
            <w:rFonts w:ascii="Calibri" w:hAnsi="Calibri" w:cs="Calibri"/>
            <w:lang w:val="en-GB"/>
          </w:rPr>
          <w:t>https://www.apec.org/docs/default-source/satellite/EDNET/Resources/APEC-Education-Strategy.pdf</w:t>
        </w:r>
      </w:hyperlink>
      <w:r w:rsidR="00965830" w:rsidRPr="0029511A">
        <w:rPr>
          <w:rFonts w:ascii="Calibri" w:hAnsi="Calibri" w:cs="Calibri"/>
          <w:lang w:val="en-GB"/>
        </w:rPr>
        <w:t xml:space="preserve"> )</w:t>
      </w:r>
      <w:r w:rsidRPr="0029511A">
        <w:rPr>
          <w:rFonts w:ascii="Calibri" w:hAnsi="Calibri" w:cs="Calibri"/>
          <w:lang w:val="en-GB"/>
        </w:rPr>
        <w:t xml:space="preserve">and, more broadly with the </w:t>
      </w:r>
      <w:r w:rsidRPr="0029511A">
        <w:rPr>
          <w:rFonts w:ascii="Calibri" w:hAnsi="Calibri" w:cs="Calibri"/>
          <w:i/>
          <w:iCs/>
          <w:lang w:val="en-GB"/>
        </w:rPr>
        <w:t>Australian Strategy for International Education 2021-2030</w:t>
      </w:r>
      <w:r w:rsidR="00223B38" w:rsidRPr="0029511A">
        <w:rPr>
          <w:rFonts w:ascii="Calibri" w:hAnsi="Calibri" w:cs="Calibri"/>
          <w:i/>
          <w:iCs/>
          <w:lang w:val="en-GB"/>
        </w:rPr>
        <w:t xml:space="preserve"> </w:t>
      </w:r>
      <w:r w:rsidR="00A472E7" w:rsidRPr="0029511A">
        <w:rPr>
          <w:rFonts w:ascii="Calibri" w:hAnsi="Calibri" w:cs="Calibri"/>
          <w:i/>
          <w:iCs/>
          <w:lang w:val="en-GB"/>
        </w:rPr>
        <w:t>(</w:t>
      </w:r>
      <w:hyperlink r:id="rId30" w:history="1">
        <w:r w:rsidR="00AF22D0" w:rsidRPr="0029511A">
          <w:rPr>
            <w:rStyle w:val="Hyperlink"/>
            <w:rFonts w:ascii="Calibri" w:hAnsi="Calibri" w:cs="Calibri"/>
            <w:i/>
            <w:iCs/>
            <w:lang w:val="en-GB"/>
          </w:rPr>
          <w:t>https://www.education.gov.au/australian-strategy-international-education-2021-2030</w:t>
        </w:r>
      </w:hyperlink>
      <w:r w:rsidR="00AF22D0" w:rsidRPr="0029511A">
        <w:rPr>
          <w:rFonts w:ascii="Calibri" w:hAnsi="Calibri" w:cs="Calibri"/>
          <w:i/>
          <w:iCs/>
          <w:lang w:val="en-GB"/>
        </w:rPr>
        <w:t xml:space="preserve"> </w:t>
      </w:r>
      <w:r w:rsidR="00A472E7" w:rsidRPr="0029511A">
        <w:rPr>
          <w:rFonts w:ascii="Calibri" w:hAnsi="Calibri" w:cs="Calibri"/>
          <w:i/>
          <w:iCs/>
          <w:lang w:val="en-GB"/>
        </w:rPr>
        <w:t>)</w:t>
      </w:r>
      <w:r w:rsidRPr="0029511A">
        <w:rPr>
          <w:rFonts w:ascii="Calibri" w:hAnsi="Calibri" w:cs="Calibri"/>
          <w:lang w:val="en-GB"/>
        </w:rPr>
        <w:t xml:space="preserve">, notably in developing high-quality international research partnerships with APEC economies and promoting Australia as an attractive international research </w:t>
      </w:r>
      <w:r w:rsidR="001151A2" w:rsidRPr="0029511A">
        <w:rPr>
          <w:rFonts w:ascii="Calibri" w:hAnsi="Calibri" w:cs="Calibri"/>
          <w:lang w:val="en-GB"/>
        </w:rPr>
        <w:t>collaborator and partner</w:t>
      </w:r>
      <w:r w:rsidRPr="0029511A">
        <w:rPr>
          <w:rFonts w:ascii="Calibri" w:hAnsi="Calibri" w:cs="Calibri"/>
          <w:lang w:val="en-GB"/>
        </w:rPr>
        <w:t xml:space="preserve">. Feedback from the fellows highlights the significant impact </w:t>
      </w:r>
      <w:r w:rsidR="002B00D7" w:rsidRPr="0029511A">
        <w:rPr>
          <w:rFonts w:ascii="Calibri" w:hAnsi="Calibri" w:cs="Calibri"/>
          <w:lang w:val="en-GB"/>
        </w:rPr>
        <w:t>the project has had</w:t>
      </w:r>
      <w:r w:rsidRPr="0029511A">
        <w:rPr>
          <w:rFonts w:ascii="Calibri" w:hAnsi="Calibri" w:cs="Calibri"/>
          <w:lang w:val="en-GB"/>
        </w:rPr>
        <w:t xml:space="preserve"> on advancing the careers of </w:t>
      </w:r>
      <w:r w:rsidR="00E5631C" w:rsidRPr="0029511A">
        <w:rPr>
          <w:rFonts w:ascii="Calibri" w:hAnsi="Calibri" w:cs="Calibri"/>
          <w:lang w:val="en-GB"/>
        </w:rPr>
        <w:t>women</w:t>
      </w:r>
      <w:r w:rsidRPr="0029511A">
        <w:rPr>
          <w:rFonts w:ascii="Calibri" w:hAnsi="Calibri" w:cs="Calibri"/>
          <w:lang w:val="en-GB"/>
        </w:rPr>
        <w:t xml:space="preserve"> researchers by providing financial support, professional development, and exposure to new research </w:t>
      </w:r>
      <w:r w:rsidRPr="0029511A">
        <w:rPr>
          <w:rFonts w:ascii="Calibri" w:hAnsi="Calibri" w:cs="Calibri"/>
          <w:lang w:val="en-GB"/>
        </w:rPr>
        <w:lastRenderedPageBreak/>
        <w:t>environments. Many participants noted that the fellowship helped alleviate the financial burden of research and childcare, enabling them to focus on their academic goals</w:t>
      </w:r>
      <w:r w:rsidRPr="0029511A">
        <w:rPr>
          <w:rStyle w:val="FootnoteReference"/>
          <w:rFonts w:ascii="Calibri" w:hAnsi="Calibri" w:cs="Calibri"/>
          <w:lang w:val="en-GB"/>
        </w:rPr>
        <w:footnoteReference w:id="6"/>
      </w:r>
      <w:r w:rsidRPr="0029511A">
        <w:rPr>
          <w:rStyle w:val="cf21"/>
          <w:rFonts w:ascii="Calibri" w:hAnsi="Calibri"/>
        </w:rPr>
        <w:t>.</w:t>
      </w:r>
    </w:p>
    <w:p w14:paraId="5DE0D36F" w14:textId="77777777" w:rsidR="005B6FBA" w:rsidRDefault="007E240F" w:rsidP="20404855">
      <w:pPr>
        <w:rPr>
          <w:rFonts w:ascii="Calibri" w:eastAsia="PMingLiU" w:hAnsi="Calibri" w:cs="Calibri"/>
          <w:lang w:val="en-GB"/>
        </w:rPr>
      </w:pPr>
      <w:r w:rsidRPr="0029511A">
        <w:rPr>
          <w:rFonts w:ascii="Calibri" w:hAnsi="Calibri" w:cs="Calibri"/>
          <w:lang w:val="en-GB"/>
        </w:rPr>
        <w:t xml:space="preserve">The </w:t>
      </w:r>
      <w:r w:rsidRPr="0029511A">
        <w:rPr>
          <w:rFonts w:ascii="Calibri" w:hAnsi="Calibri" w:cs="Calibri"/>
          <w:i/>
          <w:iCs/>
          <w:lang w:val="en-GB"/>
        </w:rPr>
        <w:t>La Serena Roadmap for Women and Inclusive Growth</w:t>
      </w:r>
      <w:r w:rsidRPr="0029511A">
        <w:rPr>
          <w:rFonts w:ascii="Calibri" w:hAnsi="Calibri" w:cs="Calibri"/>
          <w:lang w:val="en-GB"/>
        </w:rPr>
        <w:t xml:space="preserve"> lays out several </w:t>
      </w:r>
      <w:r w:rsidR="00D853CD" w:rsidRPr="0029511A">
        <w:rPr>
          <w:rFonts w:ascii="Calibri" w:hAnsi="Calibri" w:cs="Calibri"/>
          <w:lang w:val="en-GB"/>
        </w:rPr>
        <w:t>key action</w:t>
      </w:r>
      <w:r w:rsidRPr="0029511A">
        <w:rPr>
          <w:rFonts w:ascii="Calibri" w:hAnsi="Calibri" w:cs="Calibri"/>
          <w:lang w:val="en-GB"/>
        </w:rPr>
        <w:t xml:space="preserve"> areas </w:t>
      </w:r>
      <w:r w:rsidR="00D853CD" w:rsidRPr="0029511A">
        <w:rPr>
          <w:rFonts w:ascii="Calibri" w:hAnsi="Calibri" w:cs="Calibri"/>
          <w:lang w:val="en-GB"/>
        </w:rPr>
        <w:t xml:space="preserve">to </w:t>
      </w:r>
      <w:r w:rsidR="00841894" w:rsidRPr="0029511A">
        <w:rPr>
          <w:rFonts w:ascii="Calibri" w:hAnsi="Calibri" w:cs="Calibri"/>
          <w:lang w:val="en-GB"/>
        </w:rPr>
        <w:t>advance ‘</w:t>
      </w:r>
      <w:r w:rsidRPr="0029511A">
        <w:rPr>
          <w:rFonts w:ascii="Calibri" w:hAnsi="Calibri" w:cs="Calibri"/>
          <w:lang w:val="en-GB"/>
        </w:rPr>
        <w:t xml:space="preserve">women’s economic empowerment through access to capital and </w:t>
      </w:r>
      <w:proofErr w:type="gramStart"/>
      <w:r w:rsidRPr="0029511A">
        <w:rPr>
          <w:rFonts w:ascii="Calibri" w:hAnsi="Calibri" w:cs="Calibri"/>
          <w:lang w:val="en-GB"/>
        </w:rPr>
        <w:t>markets’</w:t>
      </w:r>
      <w:proofErr w:type="gramEnd"/>
      <w:r w:rsidRPr="0029511A">
        <w:rPr>
          <w:rFonts w:ascii="Calibri" w:hAnsi="Calibri" w:cs="Calibri"/>
          <w:lang w:val="en-GB"/>
        </w:rPr>
        <w:t xml:space="preserve">. Building on previous work supported by Australia, the </w:t>
      </w:r>
      <w:r w:rsidRPr="0029511A">
        <w:rPr>
          <w:rFonts w:ascii="Calibri" w:hAnsi="Calibri" w:cs="Calibri"/>
          <w:b/>
          <w:bCs/>
          <w:lang w:val="en-GB"/>
        </w:rPr>
        <w:t xml:space="preserve">AASP continues to invest in initiatives that ensure trade promotion organisations can assist </w:t>
      </w:r>
      <w:r w:rsidR="00E77EEE" w:rsidRPr="0029511A">
        <w:rPr>
          <w:rFonts w:ascii="Calibri" w:hAnsi="Calibri" w:cs="Calibri"/>
          <w:b/>
          <w:bCs/>
          <w:lang w:val="en-GB"/>
        </w:rPr>
        <w:t>women-</w:t>
      </w:r>
      <w:r w:rsidRPr="0029511A">
        <w:rPr>
          <w:rFonts w:ascii="Calibri" w:hAnsi="Calibri" w:cs="Calibri"/>
          <w:b/>
          <w:bCs/>
          <w:lang w:val="en-GB"/>
        </w:rPr>
        <w:t>led business</w:t>
      </w:r>
      <w:r w:rsidR="00A91222" w:rsidRPr="0029511A">
        <w:rPr>
          <w:rFonts w:ascii="Calibri" w:hAnsi="Calibri" w:cs="Calibri"/>
          <w:b/>
          <w:bCs/>
          <w:lang w:val="en-GB"/>
        </w:rPr>
        <w:t>es</w:t>
      </w:r>
      <w:r w:rsidRPr="0029511A">
        <w:rPr>
          <w:rFonts w:ascii="Calibri" w:hAnsi="Calibri" w:cs="Calibri"/>
          <w:b/>
          <w:bCs/>
          <w:lang w:val="en-GB"/>
        </w:rPr>
        <w:t xml:space="preserve"> grow globally, especially women-led </w:t>
      </w:r>
      <w:r w:rsidR="009667CC" w:rsidRPr="0029511A">
        <w:rPr>
          <w:rFonts w:ascii="Calibri" w:hAnsi="Calibri" w:cs="Calibri"/>
          <w:b/>
          <w:bCs/>
          <w:lang w:val="en-GB"/>
        </w:rPr>
        <w:t>Micro</w:t>
      </w:r>
      <w:r w:rsidR="0009538B" w:rsidRPr="0029511A">
        <w:rPr>
          <w:rFonts w:ascii="Calibri" w:hAnsi="Calibri" w:cs="Calibri"/>
          <w:b/>
          <w:bCs/>
          <w:lang w:val="en-GB"/>
        </w:rPr>
        <w:t>, Small and Medium Enterprises (</w:t>
      </w:r>
      <w:r w:rsidRPr="0029511A">
        <w:rPr>
          <w:rFonts w:ascii="Calibri" w:hAnsi="Calibri" w:cs="Calibri"/>
          <w:b/>
          <w:bCs/>
          <w:lang w:val="en-GB"/>
        </w:rPr>
        <w:t>MSM</w:t>
      </w:r>
      <w:r w:rsidR="00303BD3" w:rsidRPr="0029511A">
        <w:rPr>
          <w:rFonts w:ascii="Calibri" w:hAnsi="Calibri" w:cs="Calibri"/>
          <w:b/>
          <w:bCs/>
          <w:lang w:val="en-GB"/>
        </w:rPr>
        <w:t>E</w:t>
      </w:r>
      <w:r w:rsidR="0009538B" w:rsidRPr="0029511A">
        <w:rPr>
          <w:rFonts w:ascii="Calibri" w:hAnsi="Calibri" w:cs="Calibri"/>
          <w:b/>
          <w:bCs/>
          <w:lang w:val="en-GB"/>
        </w:rPr>
        <w:t>s)</w:t>
      </w:r>
      <w:r w:rsidRPr="0029511A">
        <w:rPr>
          <w:rFonts w:ascii="Calibri" w:hAnsi="Calibri" w:cs="Calibri"/>
          <w:lang w:val="en-GB"/>
        </w:rPr>
        <w:t>.</w:t>
      </w:r>
      <w:r w:rsidR="00442269" w:rsidRPr="0029511A">
        <w:rPr>
          <w:rFonts w:ascii="Calibri" w:hAnsi="Calibri" w:cs="Calibri"/>
          <w:lang w:val="en-GB"/>
        </w:rPr>
        <w:t xml:space="preserve"> </w:t>
      </w:r>
      <w:r w:rsidRPr="0029511A">
        <w:rPr>
          <w:rStyle w:val="cf21"/>
          <w:rFonts w:ascii="Calibri" w:hAnsi="Calibri"/>
        </w:rPr>
        <w:t xml:space="preserve">The </w:t>
      </w:r>
      <w:r w:rsidRPr="0029511A">
        <w:rPr>
          <w:rFonts w:ascii="Calibri" w:hAnsi="Calibri" w:cs="Calibri"/>
          <w:i/>
          <w:iCs/>
          <w:lang w:val="en-GB"/>
        </w:rPr>
        <w:t>APEC Women’s Business Activator</w:t>
      </w:r>
      <w:r w:rsidRPr="0029511A">
        <w:rPr>
          <w:rFonts w:ascii="Calibri" w:hAnsi="Calibri" w:cs="Calibri"/>
          <w:lang w:val="en-GB"/>
        </w:rPr>
        <w:t xml:space="preserve"> </w:t>
      </w:r>
      <w:r w:rsidR="00177618" w:rsidRPr="0029511A">
        <w:rPr>
          <w:rFonts w:ascii="Calibri" w:hAnsi="Calibri" w:cs="Calibri"/>
          <w:lang w:val="en-GB"/>
        </w:rPr>
        <w:t>pilot</w:t>
      </w:r>
      <w:r w:rsidRPr="0029511A">
        <w:rPr>
          <w:rFonts w:ascii="Calibri" w:hAnsi="Calibri" w:cs="Calibri"/>
          <w:lang w:val="en-GB"/>
        </w:rPr>
        <w:t xml:space="preserve"> project, for instance, has helped women-led businesses grow globally by strengthening the capacity of private sector participants from women-led SMEs to build business competencies and help navigate barriers to both local and global markets</w:t>
      </w:r>
      <w:r w:rsidRPr="0029511A">
        <w:rPr>
          <w:rStyle w:val="FootnoteReference"/>
          <w:rFonts w:ascii="Calibri" w:hAnsi="Calibri" w:cs="Calibri"/>
          <w:lang w:val="en-GB"/>
        </w:rPr>
        <w:footnoteReference w:id="7"/>
      </w:r>
      <w:r w:rsidRPr="0029511A">
        <w:rPr>
          <w:rFonts w:ascii="Calibri" w:hAnsi="Calibri" w:cs="Calibri"/>
          <w:lang w:val="en-GB"/>
        </w:rPr>
        <w:t xml:space="preserve">. The </w:t>
      </w:r>
      <w:r w:rsidRPr="0029511A">
        <w:rPr>
          <w:rFonts w:ascii="Calibri" w:hAnsi="Calibri" w:cs="Calibri"/>
          <w:i/>
          <w:iCs/>
          <w:lang w:val="en-GB"/>
        </w:rPr>
        <w:t xml:space="preserve">Enhancing </w:t>
      </w:r>
      <w:r w:rsidR="00064C7A" w:rsidRPr="0029511A">
        <w:rPr>
          <w:rFonts w:ascii="Calibri" w:hAnsi="Calibri" w:cs="Calibri"/>
          <w:i/>
          <w:iCs/>
          <w:lang w:val="en-GB"/>
        </w:rPr>
        <w:t>W</w:t>
      </w:r>
      <w:r w:rsidRPr="0029511A">
        <w:rPr>
          <w:rFonts w:ascii="Calibri" w:hAnsi="Calibri" w:cs="Calibri"/>
          <w:i/>
          <w:iCs/>
          <w:lang w:val="en-GB"/>
        </w:rPr>
        <w:t xml:space="preserve">omen’s </w:t>
      </w:r>
      <w:r w:rsidR="00064C7A" w:rsidRPr="0029511A">
        <w:rPr>
          <w:rFonts w:ascii="Calibri" w:hAnsi="Calibri" w:cs="Calibri"/>
          <w:i/>
          <w:iCs/>
          <w:lang w:val="en-GB"/>
        </w:rPr>
        <w:t>E</w:t>
      </w:r>
      <w:r w:rsidRPr="0029511A">
        <w:rPr>
          <w:rFonts w:ascii="Calibri" w:hAnsi="Calibri" w:cs="Calibri"/>
          <w:i/>
          <w:iCs/>
          <w:lang w:val="en-GB"/>
        </w:rPr>
        <w:t xml:space="preserve">conomic </w:t>
      </w:r>
      <w:r w:rsidR="00064C7A" w:rsidRPr="0029511A">
        <w:rPr>
          <w:rFonts w:ascii="Calibri" w:hAnsi="Calibri" w:cs="Calibri"/>
          <w:i/>
          <w:iCs/>
          <w:lang w:val="en-GB"/>
        </w:rPr>
        <w:t>E</w:t>
      </w:r>
      <w:r w:rsidRPr="0029511A">
        <w:rPr>
          <w:rFonts w:ascii="Calibri" w:hAnsi="Calibri" w:cs="Calibri"/>
          <w:i/>
          <w:iCs/>
          <w:lang w:val="en-GB"/>
        </w:rPr>
        <w:t xml:space="preserve">mpowerment in APEC </w:t>
      </w:r>
      <w:r w:rsidR="00064C7A" w:rsidRPr="0029511A">
        <w:rPr>
          <w:rFonts w:ascii="Calibri" w:hAnsi="Calibri" w:cs="Calibri"/>
          <w:i/>
          <w:iCs/>
          <w:lang w:val="en-GB"/>
        </w:rPr>
        <w:t>T</w:t>
      </w:r>
      <w:r w:rsidRPr="0029511A">
        <w:rPr>
          <w:rFonts w:ascii="Calibri" w:hAnsi="Calibri" w:cs="Calibri"/>
          <w:i/>
          <w:iCs/>
          <w:lang w:val="en-GB"/>
        </w:rPr>
        <w:t xml:space="preserve">hrough </w:t>
      </w:r>
      <w:r w:rsidR="00064C7A" w:rsidRPr="0029511A">
        <w:rPr>
          <w:rFonts w:ascii="Calibri" w:hAnsi="Calibri" w:cs="Calibri"/>
          <w:i/>
          <w:iCs/>
          <w:lang w:val="en-GB"/>
        </w:rPr>
        <w:t>G</w:t>
      </w:r>
      <w:r w:rsidRPr="0029511A">
        <w:rPr>
          <w:rFonts w:ascii="Calibri" w:hAnsi="Calibri" w:cs="Calibri"/>
          <w:i/>
          <w:iCs/>
          <w:lang w:val="en-GB"/>
        </w:rPr>
        <w:t xml:space="preserve">reater </w:t>
      </w:r>
      <w:r w:rsidR="00064C7A" w:rsidRPr="0029511A">
        <w:rPr>
          <w:rFonts w:ascii="Calibri" w:hAnsi="Calibri" w:cs="Calibri"/>
          <w:i/>
          <w:iCs/>
          <w:lang w:val="en-GB"/>
        </w:rPr>
        <w:t>P</w:t>
      </w:r>
      <w:r w:rsidRPr="0029511A">
        <w:rPr>
          <w:rFonts w:ascii="Calibri" w:hAnsi="Calibri" w:cs="Calibri"/>
          <w:i/>
          <w:iCs/>
          <w:lang w:val="en-GB"/>
        </w:rPr>
        <w:t xml:space="preserve">articipation in </w:t>
      </w:r>
      <w:r w:rsidR="00064C7A" w:rsidRPr="0029511A">
        <w:rPr>
          <w:rFonts w:ascii="Calibri" w:hAnsi="Calibri" w:cs="Calibri"/>
          <w:i/>
          <w:iCs/>
          <w:lang w:val="en-GB"/>
        </w:rPr>
        <w:t>H</w:t>
      </w:r>
      <w:r w:rsidRPr="0029511A">
        <w:rPr>
          <w:rFonts w:ascii="Calibri" w:hAnsi="Calibri" w:cs="Calibri"/>
          <w:i/>
          <w:iCs/>
          <w:lang w:val="en-GB"/>
        </w:rPr>
        <w:t xml:space="preserve">igh-skill </w:t>
      </w:r>
      <w:r w:rsidR="00064C7A" w:rsidRPr="0029511A">
        <w:rPr>
          <w:rFonts w:ascii="Calibri" w:hAnsi="Calibri" w:cs="Calibri"/>
          <w:i/>
          <w:iCs/>
          <w:lang w:val="en-GB"/>
        </w:rPr>
        <w:t>D</w:t>
      </w:r>
      <w:r w:rsidRPr="0029511A">
        <w:rPr>
          <w:rFonts w:ascii="Calibri" w:hAnsi="Calibri" w:cs="Calibri"/>
          <w:i/>
          <w:iCs/>
          <w:lang w:val="en-GB"/>
        </w:rPr>
        <w:t>igiti</w:t>
      </w:r>
      <w:r w:rsidR="00064C7A" w:rsidRPr="0029511A">
        <w:rPr>
          <w:rFonts w:ascii="Calibri" w:hAnsi="Calibri" w:cs="Calibri"/>
          <w:i/>
          <w:iCs/>
          <w:lang w:val="en-GB"/>
        </w:rPr>
        <w:t>s</w:t>
      </w:r>
      <w:r w:rsidRPr="0029511A">
        <w:rPr>
          <w:rFonts w:ascii="Calibri" w:hAnsi="Calibri" w:cs="Calibri"/>
          <w:i/>
          <w:iCs/>
          <w:lang w:val="en-GB"/>
        </w:rPr>
        <w:t xml:space="preserve">ed </w:t>
      </w:r>
      <w:r w:rsidR="00064C7A" w:rsidRPr="0029511A">
        <w:rPr>
          <w:rFonts w:ascii="Calibri" w:hAnsi="Calibri" w:cs="Calibri"/>
          <w:i/>
          <w:iCs/>
          <w:lang w:val="en-GB"/>
        </w:rPr>
        <w:t>S</w:t>
      </w:r>
      <w:r w:rsidRPr="0029511A">
        <w:rPr>
          <w:rFonts w:ascii="Calibri" w:hAnsi="Calibri" w:cs="Calibri"/>
          <w:i/>
          <w:iCs/>
          <w:lang w:val="en-GB"/>
        </w:rPr>
        <w:t xml:space="preserve">ervice </w:t>
      </w:r>
      <w:r w:rsidR="00064C7A" w:rsidRPr="0029511A">
        <w:rPr>
          <w:rFonts w:ascii="Calibri" w:hAnsi="Calibri" w:cs="Calibri"/>
          <w:i/>
          <w:iCs/>
          <w:lang w:val="en-GB"/>
        </w:rPr>
        <w:t>S</w:t>
      </w:r>
      <w:r w:rsidRPr="0029511A">
        <w:rPr>
          <w:rFonts w:ascii="Calibri" w:hAnsi="Calibri" w:cs="Calibri"/>
          <w:i/>
          <w:iCs/>
          <w:lang w:val="en-GB"/>
        </w:rPr>
        <w:t>ectors</w:t>
      </w:r>
      <w:r w:rsidRPr="0029511A">
        <w:rPr>
          <w:rFonts w:ascii="Calibri" w:eastAsia="PMingLiU" w:hAnsi="Calibri" w:cs="Calibri"/>
          <w:lang w:val="en-GB"/>
        </w:rPr>
        <w:t xml:space="preserve"> project is raising awareness and understanding </w:t>
      </w:r>
      <w:r w:rsidR="00A91222" w:rsidRPr="0029511A">
        <w:rPr>
          <w:rFonts w:ascii="Calibri" w:eastAsia="PMingLiU" w:hAnsi="Calibri" w:cs="Calibri"/>
          <w:lang w:val="en-GB"/>
        </w:rPr>
        <w:t xml:space="preserve">of </w:t>
      </w:r>
      <w:r w:rsidRPr="0029511A">
        <w:rPr>
          <w:rFonts w:ascii="Calibri" w:eastAsia="PMingLiU" w:hAnsi="Calibri" w:cs="Calibri"/>
          <w:lang w:val="en-GB"/>
        </w:rPr>
        <w:t xml:space="preserve">how better policies can lift women’s participation in selected service activities and how greater participation by women in higher-skilled </w:t>
      </w:r>
      <w:r w:rsidR="001151A2" w:rsidRPr="0029511A">
        <w:rPr>
          <w:rFonts w:ascii="Calibri" w:eastAsia="PMingLiU" w:hAnsi="Calibri" w:cs="Calibri"/>
          <w:lang w:val="en-GB"/>
        </w:rPr>
        <w:t>digitally - delivered</w:t>
      </w:r>
      <w:r w:rsidRPr="0029511A">
        <w:rPr>
          <w:rFonts w:ascii="Calibri" w:eastAsia="PMingLiU" w:hAnsi="Calibri" w:cs="Calibri"/>
          <w:lang w:val="en-GB"/>
        </w:rPr>
        <w:t xml:space="preserve"> services can advance their economic empowerment. Through </w:t>
      </w:r>
      <w:r w:rsidR="007C3EE7" w:rsidRPr="0029511A">
        <w:rPr>
          <w:rFonts w:ascii="Calibri" w:eastAsia="PMingLiU" w:hAnsi="Calibri" w:cs="Calibri"/>
          <w:lang w:val="en-GB"/>
        </w:rPr>
        <w:t xml:space="preserve">the </w:t>
      </w:r>
      <w:r w:rsidRPr="0029511A">
        <w:rPr>
          <w:rFonts w:ascii="Calibri" w:eastAsia="PMingLiU" w:hAnsi="Calibri" w:cs="Calibri"/>
          <w:lang w:val="en-GB"/>
        </w:rPr>
        <w:t xml:space="preserve">development of a set of policy briefs, underpinned by evidence from case studies, </w:t>
      </w:r>
      <w:r w:rsidR="007C3EE7" w:rsidRPr="0029511A">
        <w:rPr>
          <w:rFonts w:ascii="Calibri" w:eastAsia="PMingLiU" w:hAnsi="Calibri" w:cs="Calibri"/>
          <w:lang w:val="en-GB"/>
        </w:rPr>
        <w:t>these projects will</w:t>
      </w:r>
      <w:r w:rsidRPr="0029511A">
        <w:rPr>
          <w:rFonts w:ascii="Calibri" w:eastAsia="PMingLiU" w:hAnsi="Calibri" w:cs="Calibri"/>
          <w:lang w:val="en-GB"/>
        </w:rPr>
        <w:t xml:space="preserve"> guide services trade policy makers in APEC in ways to increase the participation of women in select high-skilled, </w:t>
      </w:r>
      <w:r w:rsidR="00BC39D2" w:rsidRPr="0029511A">
        <w:rPr>
          <w:rFonts w:ascii="Calibri" w:eastAsia="PMingLiU" w:hAnsi="Calibri" w:cs="Calibri"/>
          <w:lang w:val="en-GB"/>
        </w:rPr>
        <w:t>digitally enabled</w:t>
      </w:r>
      <w:r w:rsidRPr="0029511A">
        <w:rPr>
          <w:rFonts w:ascii="Calibri" w:eastAsia="PMingLiU" w:hAnsi="Calibri" w:cs="Calibri"/>
          <w:lang w:val="en-GB"/>
        </w:rPr>
        <w:t xml:space="preserve"> services sectors. The </w:t>
      </w:r>
      <w:r w:rsidRPr="0029511A">
        <w:rPr>
          <w:rFonts w:ascii="Calibri" w:eastAsia="PMingLiU" w:hAnsi="Calibri" w:cs="Calibri"/>
          <w:i/>
          <w:iCs/>
          <w:lang w:val="en-GB"/>
        </w:rPr>
        <w:t>Gender</w:t>
      </w:r>
      <w:r w:rsidR="005B6FBA">
        <w:rPr>
          <w:rFonts w:ascii="Calibri" w:eastAsia="PMingLiU" w:hAnsi="Calibri" w:cs="Calibri"/>
          <w:i/>
          <w:iCs/>
          <w:lang w:val="en-GB"/>
        </w:rPr>
        <w:t xml:space="preserve"> </w:t>
      </w:r>
      <w:r w:rsidRPr="0029511A">
        <w:rPr>
          <w:rFonts w:ascii="Calibri" w:eastAsia="PMingLiU" w:hAnsi="Calibri" w:cs="Calibri"/>
          <w:i/>
          <w:iCs/>
          <w:lang w:val="en-GB"/>
        </w:rPr>
        <w:t xml:space="preserve">Equity in Sport </w:t>
      </w:r>
      <w:r w:rsidRPr="0029511A">
        <w:rPr>
          <w:rFonts w:ascii="Calibri" w:eastAsia="PMingLiU" w:hAnsi="Calibri" w:cs="Calibri"/>
          <w:lang w:val="en-GB"/>
        </w:rPr>
        <w:t xml:space="preserve">project </w:t>
      </w:r>
      <w:r w:rsidR="00223B38" w:rsidRPr="0029511A">
        <w:rPr>
          <w:rFonts w:ascii="Calibri" w:eastAsia="PMingLiU" w:hAnsi="Calibri" w:cs="Calibri"/>
          <w:lang w:val="en-GB"/>
        </w:rPr>
        <w:t xml:space="preserve">explored </w:t>
      </w:r>
      <w:r w:rsidRPr="0029511A">
        <w:rPr>
          <w:rFonts w:ascii="Calibri" w:eastAsia="PMingLiU" w:hAnsi="Calibri" w:cs="Calibri"/>
          <w:lang w:val="en-GB"/>
        </w:rPr>
        <w:t>the issues of equity in pay and investment in women’s sports, leadership equity in sports administration, and the connection between participation and education and economic outcomes for women and girls</w:t>
      </w:r>
      <w:r w:rsidR="00223B38" w:rsidRPr="0029511A">
        <w:rPr>
          <w:rFonts w:ascii="Calibri" w:eastAsia="PMingLiU" w:hAnsi="Calibri" w:cs="Calibri"/>
          <w:lang w:val="en-GB"/>
        </w:rPr>
        <w:t>.</w:t>
      </w:r>
      <w:r w:rsidRPr="0029511A">
        <w:rPr>
          <w:rFonts w:ascii="Calibri" w:eastAsia="PMingLiU" w:hAnsi="Calibri" w:cs="Calibri"/>
          <w:lang w:val="en-GB"/>
        </w:rPr>
        <w:t xml:space="preserve"> </w:t>
      </w:r>
      <w:r w:rsidR="00A84E6F" w:rsidRPr="0029511A">
        <w:rPr>
          <w:rFonts w:ascii="Calibri" w:eastAsia="PMingLiU" w:hAnsi="Calibri" w:cs="Calibri"/>
          <w:lang w:val="en-GB"/>
        </w:rPr>
        <w:t>T</w:t>
      </w:r>
      <w:r w:rsidR="005920F5" w:rsidRPr="0029511A">
        <w:rPr>
          <w:rFonts w:ascii="Calibri" w:eastAsia="PMingLiU" w:hAnsi="Calibri" w:cs="Calibri"/>
          <w:lang w:val="en-GB"/>
        </w:rPr>
        <w:t xml:space="preserve">he </w:t>
      </w:r>
      <w:r w:rsidR="005920F5" w:rsidRPr="0029511A">
        <w:rPr>
          <w:rFonts w:ascii="Calibri" w:eastAsia="PMingLiU" w:hAnsi="Calibri" w:cs="Calibri"/>
          <w:i/>
          <w:iCs/>
          <w:lang w:val="en-GB"/>
        </w:rPr>
        <w:t xml:space="preserve">Gender Equity in Sport </w:t>
      </w:r>
      <w:r w:rsidR="005920F5" w:rsidRPr="0029511A">
        <w:rPr>
          <w:rFonts w:ascii="Calibri" w:eastAsia="PMingLiU" w:hAnsi="Calibri" w:cs="Calibri"/>
          <w:lang w:val="en-GB"/>
        </w:rPr>
        <w:t>project</w:t>
      </w:r>
      <w:r w:rsidRPr="0029511A">
        <w:rPr>
          <w:rFonts w:ascii="Calibri" w:eastAsia="PMingLiU" w:hAnsi="Calibri" w:cs="Calibri"/>
          <w:lang w:val="en-GB"/>
        </w:rPr>
        <w:t xml:space="preserve"> </w:t>
      </w:r>
      <w:r w:rsidR="00223B38" w:rsidRPr="0029511A">
        <w:rPr>
          <w:rFonts w:ascii="Calibri" w:eastAsia="PMingLiU" w:hAnsi="Calibri" w:cs="Calibri"/>
          <w:lang w:val="en-GB"/>
        </w:rPr>
        <w:t xml:space="preserve">sought </w:t>
      </w:r>
      <w:r w:rsidRPr="0029511A">
        <w:rPr>
          <w:rFonts w:ascii="Calibri" w:eastAsia="PMingLiU" w:hAnsi="Calibri" w:cs="Calibri"/>
          <w:lang w:val="en-GB"/>
        </w:rPr>
        <w:t>to foster collaboration among APEC economies to dismantle outdated stereotypes, enhance the visibility and growth of women’s sports, and advocate for fairer treatment and recognition for women. By demonstrating how equitable</w:t>
      </w:r>
    </w:p>
    <w:p w14:paraId="60F233AB" w14:textId="28411545" w:rsidR="007E240F" w:rsidRDefault="007E240F" w:rsidP="20404855">
      <w:pPr>
        <w:rPr>
          <w:rFonts w:ascii="Calibri" w:eastAsia="PMingLiU" w:hAnsi="Calibri" w:cs="Calibri"/>
          <w:lang w:val="en-GB"/>
        </w:rPr>
      </w:pPr>
      <w:r w:rsidRPr="0029511A">
        <w:rPr>
          <w:rFonts w:ascii="Calibri" w:eastAsia="PMingLiU" w:hAnsi="Calibri" w:cs="Calibri"/>
          <w:lang w:val="en-GB"/>
        </w:rPr>
        <w:t xml:space="preserve">practices in sports can drive broader economic empowerment, the event </w:t>
      </w:r>
      <w:r w:rsidR="00223B38" w:rsidRPr="0029511A">
        <w:rPr>
          <w:rFonts w:ascii="Calibri" w:eastAsia="PMingLiU" w:hAnsi="Calibri" w:cs="Calibri"/>
          <w:lang w:val="en-GB"/>
        </w:rPr>
        <w:t xml:space="preserve">supported </w:t>
      </w:r>
      <w:r w:rsidRPr="0029511A">
        <w:rPr>
          <w:rFonts w:ascii="Calibri" w:eastAsia="PMingLiU" w:hAnsi="Calibri" w:cs="Calibri"/>
          <w:lang w:val="en-GB"/>
        </w:rPr>
        <w:t>APEC’s mission for inclusive growth and gender equality across the APEC region.</w:t>
      </w:r>
    </w:p>
    <w:p w14:paraId="25FF5310" w14:textId="77777777" w:rsidR="005B6FBA" w:rsidRDefault="005B6FBA" w:rsidP="20404855">
      <w:pPr>
        <w:rPr>
          <w:rFonts w:ascii="Calibri" w:eastAsia="PMingLiU" w:hAnsi="Calibri" w:cs="Calibri"/>
          <w:lang w:val="en-GB"/>
        </w:rPr>
      </w:pPr>
    </w:p>
    <w:p w14:paraId="548C932D" w14:textId="77777777" w:rsidR="005B6FBA" w:rsidRPr="00C63618" w:rsidRDefault="005B6FBA" w:rsidP="005B6FBA">
      <w:pPr>
        <w:rPr>
          <w:rFonts w:asciiTheme="minorHAnsi" w:hAnsiTheme="minorHAnsi" w:cstheme="minorHAnsi"/>
          <w:b/>
          <w:bCs/>
          <w:i/>
          <w:iCs/>
        </w:rPr>
      </w:pPr>
      <w:r w:rsidRPr="00C63618">
        <w:rPr>
          <w:rFonts w:asciiTheme="minorHAnsi" w:hAnsiTheme="minorHAnsi" w:cstheme="minorHAnsi"/>
          <w:b/>
          <w:bCs/>
          <w:i/>
          <w:iCs/>
        </w:rPr>
        <w:t xml:space="preserve">Feedback from the Philippines: </w:t>
      </w:r>
    </w:p>
    <w:p w14:paraId="2FF6F719" w14:textId="77777777" w:rsidR="005B6FBA" w:rsidRPr="00C63618" w:rsidRDefault="005B6FBA" w:rsidP="005B6FBA">
      <w:pPr>
        <w:rPr>
          <w:rFonts w:asciiTheme="minorHAnsi" w:hAnsiTheme="minorHAnsi" w:cstheme="minorHAnsi"/>
          <w:i/>
          <w:iCs/>
        </w:rPr>
      </w:pPr>
      <w:r w:rsidRPr="00C63618">
        <w:rPr>
          <w:rFonts w:asciiTheme="minorHAnsi" w:hAnsiTheme="minorHAnsi" w:cstheme="minorHAnsi"/>
          <w:i/>
          <w:iCs/>
        </w:rPr>
        <w:t>The Philippines PPWE representative found the workshop hosted by Australia on Gender Equity in Sport in 2024 very informative. It presented a unique or fresh perspective on the concept of sports diplomacy and how sports can be instrumental in promoting socio-economic objectives e.g. generate economic activity, break stereotypes, inspire others to achieve, monetary rewards and improve women’s economic empowerment, voice and profile.</w:t>
      </w:r>
    </w:p>
    <w:p w14:paraId="704585D6" w14:textId="77777777" w:rsidR="005B6FBA" w:rsidRDefault="005B6FBA" w:rsidP="20404855">
      <w:pPr>
        <w:rPr>
          <w:rFonts w:ascii="Calibri" w:eastAsia="PMingLiU" w:hAnsi="Calibri" w:cs="Calibri"/>
          <w:lang w:val="en-GB"/>
        </w:rPr>
      </w:pPr>
    </w:p>
    <w:p w14:paraId="46B521C7" w14:textId="56A4269A" w:rsidR="007E240F" w:rsidRPr="00CD6789" w:rsidRDefault="007E240F" w:rsidP="007E240F">
      <w:pPr>
        <w:pStyle w:val="Subheading"/>
        <w:rPr>
          <w:rStyle w:val="cf21"/>
          <w:rFonts w:ascii="Calibri" w:hAnsi="Calibri"/>
          <w:color w:val="002060"/>
        </w:rPr>
      </w:pPr>
      <w:r w:rsidRPr="00CD6789">
        <w:rPr>
          <w:rStyle w:val="cf21"/>
          <w:rFonts w:ascii="Calibri" w:hAnsi="Calibri"/>
          <w:color w:val="002060"/>
        </w:rPr>
        <w:t>Disability Inclusion</w:t>
      </w:r>
    </w:p>
    <w:p w14:paraId="2DDDB665" w14:textId="66FD2F2D" w:rsidR="007E240F" w:rsidRPr="0029511A" w:rsidRDefault="007E240F" w:rsidP="007E240F">
      <w:pPr>
        <w:spacing w:after="160" w:line="252" w:lineRule="auto"/>
        <w:rPr>
          <w:rFonts w:ascii="Calibri" w:eastAsia="PMingLiU" w:hAnsi="Calibri" w:cs="Calibri"/>
          <w:bCs/>
          <w:lang w:val="en-GB"/>
        </w:rPr>
      </w:pPr>
      <w:r w:rsidRPr="0029511A">
        <w:rPr>
          <w:rFonts w:ascii="Calibri" w:eastAsia="PMingLiU" w:hAnsi="Calibri" w:cs="Calibri"/>
          <w:bCs/>
          <w:lang w:val="en-GB"/>
        </w:rPr>
        <w:t xml:space="preserve">The AASP’s </w:t>
      </w:r>
      <w:r w:rsidRPr="0029511A">
        <w:rPr>
          <w:rFonts w:ascii="Calibri" w:eastAsia="PMingLiU" w:hAnsi="Calibri" w:cs="Calibri"/>
          <w:bCs/>
          <w:i/>
          <w:iCs/>
          <w:lang w:val="en-GB"/>
        </w:rPr>
        <w:t>GEDSI Analysis</w:t>
      </w:r>
      <w:r w:rsidRPr="0029511A">
        <w:rPr>
          <w:rFonts w:ascii="Calibri" w:eastAsia="PMingLiU" w:hAnsi="Calibri" w:cs="Calibri"/>
          <w:bCs/>
          <w:lang w:val="en-GB"/>
        </w:rPr>
        <w:t xml:space="preserve"> found that the AASP </w:t>
      </w:r>
      <w:r w:rsidR="00CB06CE" w:rsidRPr="0029511A">
        <w:rPr>
          <w:rFonts w:ascii="Calibri" w:eastAsia="PMingLiU" w:hAnsi="Calibri" w:cs="Calibri"/>
          <w:bCs/>
          <w:lang w:val="en-GB"/>
        </w:rPr>
        <w:t xml:space="preserve">had </w:t>
      </w:r>
      <w:r w:rsidR="00BC39D2" w:rsidRPr="0029511A">
        <w:rPr>
          <w:rFonts w:ascii="Calibri" w:eastAsia="PMingLiU" w:hAnsi="Calibri" w:cs="Calibri"/>
          <w:bCs/>
          <w:lang w:val="en-GB"/>
        </w:rPr>
        <w:t xml:space="preserve">a </w:t>
      </w:r>
      <w:r w:rsidR="00CB06CE" w:rsidRPr="0029511A">
        <w:rPr>
          <w:rFonts w:ascii="Calibri" w:eastAsia="PMingLiU" w:hAnsi="Calibri" w:cs="Calibri"/>
          <w:bCs/>
          <w:lang w:val="en-GB"/>
        </w:rPr>
        <w:t>lesser focus on addressing social inclusion.</w:t>
      </w:r>
      <w:r w:rsidRPr="0029511A">
        <w:rPr>
          <w:rFonts w:ascii="Calibri" w:eastAsia="PMingLiU" w:hAnsi="Calibri" w:cs="Calibri"/>
          <w:bCs/>
          <w:lang w:val="en-GB"/>
        </w:rPr>
        <w:t xml:space="preserve"> </w:t>
      </w:r>
    </w:p>
    <w:p w14:paraId="2DAB1822" w14:textId="55ED166E" w:rsidR="007E240F" w:rsidRPr="0029511A" w:rsidRDefault="00CB06CE" w:rsidP="007E240F">
      <w:pPr>
        <w:spacing w:after="160" w:line="252" w:lineRule="auto"/>
        <w:ind w:left="360"/>
        <w:rPr>
          <w:rStyle w:val="cf21"/>
          <w:rFonts w:ascii="Calibri" w:hAnsi="Calibri"/>
        </w:rPr>
      </w:pPr>
      <w:r w:rsidRPr="0029511A">
        <w:rPr>
          <w:rStyle w:val="Emphasis"/>
          <w:rFonts w:ascii="Calibri" w:hAnsi="Calibri" w:cs="Calibri"/>
          <w:b/>
          <w:lang w:val="en-GB"/>
        </w:rPr>
        <w:t xml:space="preserve">Broader </w:t>
      </w:r>
      <w:r w:rsidR="007E240F" w:rsidRPr="0029511A">
        <w:rPr>
          <w:rStyle w:val="Emphasis"/>
          <w:rFonts w:ascii="Calibri" w:hAnsi="Calibri" w:cs="Calibri"/>
          <w:b/>
          <w:lang w:val="en-GB"/>
        </w:rPr>
        <w:t xml:space="preserve">social inclusion challenges – inclusion of </w:t>
      </w:r>
      <w:r w:rsidR="00E6228D" w:rsidRPr="0029511A">
        <w:rPr>
          <w:rStyle w:val="Emphasis"/>
          <w:rFonts w:ascii="Calibri" w:hAnsi="Calibri" w:cs="Calibri"/>
          <w:b/>
          <w:lang w:val="en-GB"/>
        </w:rPr>
        <w:t>Indigenous</w:t>
      </w:r>
      <w:r w:rsidR="007E240F" w:rsidRPr="0029511A">
        <w:rPr>
          <w:rStyle w:val="Emphasis"/>
          <w:rFonts w:ascii="Calibri" w:hAnsi="Calibri" w:cs="Calibri"/>
          <w:b/>
          <w:lang w:val="en-GB"/>
        </w:rPr>
        <w:t xml:space="preserve"> </w:t>
      </w:r>
      <w:r w:rsidR="00C81037" w:rsidRPr="0029511A">
        <w:rPr>
          <w:rStyle w:val="Emphasis"/>
          <w:rFonts w:ascii="Calibri" w:hAnsi="Calibri" w:cs="Calibri"/>
          <w:b/>
          <w:lang w:val="en-GB"/>
        </w:rPr>
        <w:t>P</w:t>
      </w:r>
      <w:r w:rsidR="007E240F" w:rsidRPr="0029511A">
        <w:rPr>
          <w:rStyle w:val="Emphasis"/>
          <w:rFonts w:ascii="Calibri" w:hAnsi="Calibri" w:cs="Calibri"/>
          <w:b/>
          <w:lang w:val="en-GB"/>
        </w:rPr>
        <w:t>eoples receives some attention, and disability inclusion receives almost none.</w:t>
      </w:r>
      <w:r w:rsidRPr="0029511A">
        <w:rPr>
          <w:rStyle w:val="Emphasis"/>
          <w:rFonts w:ascii="Calibri" w:hAnsi="Calibri" w:cs="Calibri"/>
          <w:b/>
          <w:lang w:val="en-GB"/>
        </w:rPr>
        <w:t xml:space="preserve"> </w:t>
      </w:r>
      <w:proofErr w:type="gramStart"/>
      <w:r w:rsidR="007E240F" w:rsidRPr="0029511A">
        <w:rPr>
          <w:rFonts w:ascii="Calibri" w:hAnsi="Calibri" w:cs="Calibri"/>
          <w:lang w:val="en-GB"/>
        </w:rPr>
        <w:t>It is clear that these</w:t>
      </w:r>
      <w:proofErr w:type="gramEnd"/>
      <w:r w:rsidR="007E240F" w:rsidRPr="0029511A">
        <w:rPr>
          <w:rFonts w:ascii="Calibri" w:hAnsi="Calibri" w:cs="Calibri"/>
          <w:lang w:val="en-GB"/>
        </w:rPr>
        <w:t xml:space="preserve"> categories of social inclusion are a focus of the inclusive and sustainable economic growth agenda, including through reference in key policy statements, there has been comparatively little attempt to date to mainstream these at a project level.</w:t>
      </w:r>
    </w:p>
    <w:p w14:paraId="17C9A938" w14:textId="0D6079DC" w:rsidR="007E240F" w:rsidRPr="0029511A" w:rsidRDefault="00CC0BE5" w:rsidP="007E240F">
      <w:pPr>
        <w:spacing w:after="160" w:line="252" w:lineRule="auto"/>
        <w:rPr>
          <w:rFonts w:ascii="Calibri" w:eastAsia="Calibri Light" w:hAnsi="Calibri" w:cs="Calibri"/>
          <w:bCs/>
          <w:color w:val="000000"/>
          <w:lang w:val="en-GB"/>
        </w:rPr>
      </w:pPr>
      <w:r w:rsidRPr="0029511A">
        <w:rPr>
          <w:rFonts w:ascii="Calibri" w:eastAsia="Calibri Light" w:hAnsi="Calibri" w:cs="Calibri"/>
          <w:color w:val="000000"/>
          <w:lang w:val="en-GB"/>
        </w:rPr>
        <w:lastRenderedPageBreak/>
        <w:t>The</w:t>
      </w:r>
      <w:r w:rsidR="007E240F" w:rsidRPr="0029511A">
        <w:rPr>
          <w:rFonts w:ascii="Calibri" w:eastAsia="Calibri Light" w:hAnsi="Calibri" w:cs="Calibri"/>
          <w:color w:val="000000"/>
          <w:lang w:val="en-GB"/>
        </w:rPr>
        <w:t xml:space="preserve"> AASP’s approach to date </w:t>
      </w:r>
      <w:r w:rsidR="007E240F" w:rsidRPr="0029511A">
        <w:rPr>
          <w:rFonts w:ascii="Calibri" w:hAnsi="Calibri" w:cs="Calibri"/>
          <w:lang w:val="en-GB"/>
        </w:rPr>
        <w:t xml:space="preserve">to disability inclusion is </w:t>
      </w:r>
      <w:r w:rsidR="007E240F" w:rsidRPr="0029511A">
        <w:rPr>
          <w:rFonts w:ascii="Calibri" w:hAnsi="Calibri" w:cs="Calibri"/>
          <w:b/>
          <w:lang w:val="en-GB"/>
        </w:rPr>
        <w:t xml:space="preserve">primarily focused </w:t>
      </w:r>
      <w:r w:rsidR="00CB1B4A" w:rsidRPr="0029511A">
        <w:rPr>
          <w:rFonts w:ascii="Calibri" w:hAnsi="Calibri" w:cs="Calibri"/>
          <w:b/>
          <w:lang w:val="en-GB"/>
        </w:rPr>
        <w:t xml:space="preserve">on </w:t>
      </w:r>
      <w:r w:rsidR="007E240F" w:rsidRPr="0029511A">
        <w:rPr>
          <w:rFonts w:ascii="Calibri" w:hAnsi="Calibri" w:cs="Calibri"/>
          <w:b/>
          <w:lang w:val="en-GB"/>
        </w:rPr>
        <w:t>the provision of reasonable accommodation options for participants with a disability.</w:t>
      </w:r>
      <w:r w:rsidR="00442269" w:rsidRPr="0029511A">
        <w:rPr>
          <w:rFonts w:ascii="Calibri" w:hAnsi="Calibri" w:cs="Calibri"/>
          <w:b/>
          <w:lang w:val="en-GB"/>
        </w:rPr>
        <w:t xml:space="preserve"> </w:t>
      </w:r>
      <w:r w:rsidR="005C429A" w:rsidRPr="0029511A">
        <w:rPr>
          <w:rFonts w:ascii="Calibri" w:hAnsi="Calibri" w:cs="Calibri"/>
          <w:bCs/>
          <w:lang w:val="en-GB"/>
        </w:rPr>
        <w:t xml:space="preserve">It is therefore critical that the AASP implements the relevant recommendations from the </w:t>
      </w:r>
      <w:r w:rsidR="005C429A" w:rsidRPr="0029511A">
        <w:rPr>
          <w:rFonts w:ascii="Calibri" w:hAnsi="Calibri" w:cs="Calibri"/>
          <w:bCs/>
          <w:i/>
          <w:iCs/>
          <w:lang w:val="en-GB"/>
        </w:rPr>
        <w:t>GEDSI Analysis</w:t>
      </w:r>
      <w:r w:rsidR="005C429A" w:rsidRPr="0029511A">
        <w:rPr>
          <w:rFonts w:ascii="Calibri" w:hAnsi="Calibri" w:cs="Calibri"/>
          <w:bCs/>
          <w:lang w:val="en-GB"/>
        </w:rPr>
        <w:t>, including that the AASP ‘mainstreams disability perspectives into broader project spaces’ and actively consider</w:t>
      </w:r>
      <w:r w:rsidR="00A91222" w:rsidRPr="0029511A">
        <w:rPr>
          <w:rFonts w:ascii="Calibri" w:hAnsi="Calibri" w:cs="Calibri"/>
          <w:bCs/>
          <w:lang w:val="en-GB"/>
        </w:rPr>
        <w:t>s</w:t>
      </w:r>
      <w:r w:rsidR="005C429A" w:rsidRPr="0029511A">
        <w:rPr>
          <w:rFonts w:ascii="Calibri" w:hAnsi="Calibri" w:cs="Calibri"/>
          <w:bCs/>
          <w:lang w:val="en-GB"/>
        </w:rPr>
        <w:t xml:space="preserve"> ways to consult with Disabled Peoples Organisations (DPO</w:t>
      </w:r>
      <w:r w:rsidR="00D1550D" w:rsidRPr="0029511A">
        <w:rPr>
          <w:rFonts w:ascii="Calibri" w:hAnsi="Calibri" w:cs="Calibri"/>
          <w:bCs/>
          <w:lang w:val="en-GB"/>
        </w:rPr>
        <w:t>s</w:t>
      </w:r>
      <w:r w:rsidR="005C429A" w:rsidRPr="0029511A">
        <w:rPr>
          <w:rFonts w:ascii="Calibri" w:hAnsi="Calibri" w:cs="Calibri"/>
          <w:bCs/>
          <w:lang w:val="en-GB"/>
        </w:rPr>
        <w:t>) where applicable</w:t>
      </w:r>
      <w:r w:rsidRPr="0029511A">
        <w:rPr>
          <w:rFonts w:ascii="Calibri" w:hAnsi="Calibri" w:cs="Calibri"/>
          <w:bCs/>
          <w:lang w:val="en-GB"/>
        </w:rPr>
        <w:t>. In addition,</w:t>
      </w:r>
      <w:r w:rsidR="005C429A" w:rsidRPr="0029511A">
        <w:rPr>
          <w:rFonts w:ascii="Calibri" w:hAnsi="Calibri" w:cs="Calibri"/>
          <w:bCs/>
          <w:lang w:val="en-GB"/>
        </w:rPr>
        <w:t xml:space="preserve"> the AASP should fund one or more specific disability inclusion projects in the current phase</w:t>
      </w:r>
      <w:r w:rsidR="007E240F" w:rsidRPr="0029511A">
        <w:rPr>
          <w:rFonts w:ascii="Calibri" w:hAnsi="Calibri" w:cs="Calibri"/>
          <w:bCs/>
          <w:lang w:val="en-GB"/>
        </w:rPr>
        <w:t>.</w:t>
      </w:r>
    </w:p>
    <w:p w14:paraId="4513533C" w14:textId="1A76F3AC" w:rsidR="00B408FC" w:rsidRPr="00CD6789" w:rsidRDefault="00B408FC" w:rsidP="002D0F5F">
      <w:pPr>
        <w:pStyle w:val="Subheading"/>
        <w:rPr>
          <w:rStyle w:val="cf21"/>
          <w:rFonts w:ascii="Calibri" w:hAnsi="Calibri"/>
          <w:color w:val="002060"/>
        </w:rPr>
      </w:pPr>
      <w:r w:rsidRPr="00CD6789">
        <w:rPr>
          <w:rStyle w:val="cf21"/>
          <w:rFonts w:ascii="Calibri" w:hAnsi="Calibri"/>
          <w:color w:val="002060"/>
        </w:rPr>
        <w:t>Indigenous economic inclusion</w:t>
      </w:r>
    </w:p>
    <w:p w14:paraId="2E6D8D28" w14:textId="64E90E24" w:rsidR="007E240F" w:rsidRDefault="007E240F" w:rsidP="007E240F">
      <w:pPr>
        <w:spacing w:after="160" w:line="252" w:lineRule="auto"/>
        <w:rPr>
          <w:rFonts w:ascii="Calibri" w:hAnsi="Calibri" w:cs="Calibri"/>
          <w:lang w:val="en-GB"/>
        </w:rPr>
      </w:pPr>
      <w:r w:rsidRPr="0029511A">
        <w:rPr>
          <w:rFonts w:ascii="Calibri" w:eastAsia="Calibri Light" w:hAnsi="Calibri" w:cs="Calibri"/>
          <w:b/>
          <w:bCs/>
          <w:color w:val="000000"/>
          <w:lang w:val="en-GB"/>
        </w:rPr>
        <w:t xml:space="preserve">With respect to </w:t>
      </w:r>
      <w:r w:rsidR="003B565B" w:rsidRPr="0029511A">
        <w:rPr>
          <w:rFonts w:ascii="Calibri" w:eastAsia="Calibri Light" w:hAnsi="Calibri" w:cs="Calibri"/>
          <w:b/>
          <w:bCs/>
          <w:color w:val="000000"/>
          <w:lang w:val="en-GB"/>
        </w:rPr>
        <w:t xml:space="preserve">other </w:t>
      </w:r>
      <w:r w:rsidRPr="0029511A">
        <w:rPr>
          <w:rFonts w:ascii="Calibri" w:eastAsia="Calibri Light" w:hAnsi="Calibri" w:cs="Calibri"/>
          <w:b/>
          <w:bCs/>
          <w:color w:val="000000"/>
          <w:lang w:val="en-GB"/>
        </w:rPr>
        <w:t>Social Inclusion</w:t>
      </w:r>
      <w:r w:rsidR="003B565B" w:rsidRPr="0029511A">
        <w:rPr>
          <w:rFonts w:ascii="Calibri" w:eastAsia="Calibri Light" w:hAnsi="Calibri" w:cs="Calibri"/>
          <w:b/>
          <w:bCs/>
          <w:color w:val="000000"/>
          <w:lang w:val="en-GB"/>
        </w:rPr>
        <w:t xml:space="preserve"> aspects</w:t>
      </w:r>
      <w:r w:rsidRPr="0029511A">
        <w:rPr>
          <w:rFonts w:ascii="Calibri" w:eastAsia="Calibri Light" w:hAnsi="Calibri" w:cs="Calibri"/>
          <w:b/>
          <w:bCs/>
          <w:color w:val="000000"/>
          <w:lang w:val="en-GB"/>
        </w:rPr>
        <w:t xml:space="preserve">, the AASP has significantly increased its focus on </w:t>
      </w:r>
      <w:r w:rsidR="00E6228D" w:rsidRPr="0029511A">
        <w:rPr>
          <w:rFonts w:ascii="Calibri" w:eastAsia="Calibri Light" w:hAnsi="Calibri" w:cs="Calibri"/>
          <w:b/>
          <w:bCs/>
          <w:color w:val="000000"/>
          <w:lang w:val="en-GB"/>
        </w:rPr>
        <w:t>Indigenous</w:t>
      </w:r>
      <w:r w:rsidR="003B565B" w:rsidRPr="0029511A">
        <w:rPr>
          <w:rFonts w:ascii="Calibri" w:eastAsia="Calibri Light" w:hAnsi="Calibri" w:cs="Calibri"/>
          <w:b/>
          <w:bCs/>
          <w:color w:val="000000"/>
          <w:lang w:val="en-GB"/>
        </w:rPr>
        <w:t xml:space="preserve"> Peoples</w:t>
      </w:r>
      <w:r w:rsidRPr="0029511A">
        <w:rPr>
          <w:rFonts w:ascii="Calibri" w:eastAsia="Calibri Light" w:hAnsi="Calibri" w:cs="Calibri"/>
          <w:b/>
          <w:bCs/>
          <w:color w:val="000000"/>
          <w:lang w:val="en-GB"/>
        </w:rPr>
        <w:t xml:space="preserve"> inclusion, </w:t>
      </w:r>
      <w:r w:rsidRPr="0029511A">
        <w:rPr>
          <w:rFonts w:ascii="Calibri" w:eastAsia="Calibri Light" w:hAnsi="Calibri" w:cs="Calibri"/>
          <w:color w:val="000000"/>
          <w:lang w:val="en-GB"/>
        </w:rPr>
        <w:t xml:space="preserve">including ‘leveraging learnings from other economies’ as recommended in the </w:t>
      </w:r>
      <w:r w:rsidRPr="0029511A">
        <w:rPr>
          <w:rFonts w:ascii="Calibri" w:eastAsia="Calibri Light" w:hAnsi="Calibri" w:cs="Calibri"/>
          <w:i/>
          <w:iCs/>
          <w:color w:val="000000"/>
          <w:lang w:val="en-GB"/>
        </w:rPr>
        <w:t>GEDSI Analysis</w:t>
      </w:r>
      <w:r w:rsidRPr="0029511A">
        <w:rPr>
          <w:rFonts w:ascii="Calibri" w:hAnsi="Calibri" w:cs="Calibri"/>
          <w:lang w:val="en-GB"/>
        </w:rPr>
        <w:t xml:space="preserve">. In partnership with the World Economic Forum (WEF), the AASP has hosted a recent </w:t>
      </w:r>
      <w:r w:rsidR="00E6228D" w:rsidRPr="0029511A">
        <w:rPr>
          <w:rFonts w:ascii="Calibri" w:hAnsi="Calibri" w:cs="Calibri"/>
          <w:i/>
          <w:iCs/>
          <w:lang w:val="en-GB"/>
        </w:rPr>
        <w:t>Indigenous</w:t>
      </w:r>
      <w:r w:rsidRPr="0029511A">
        <w:rPr>
          <w:rFonts w:ascii="Calibri" w:hAnsi="Calibri" w:cs="Calibri"/>
          <w:i/>
          <w:iCs/>
          <w:lang w:val="en-GB"/>
        </w:rPr>
        <w:t xml:space="preserve"> Trade Workshop</w:t>
      </w:r>
      <w:r w:rsidRPr="0029511A">
        <w:rPr>
          <w:rFonts w:ascii="Calibri" w:hAnsi="Calibri" w:cs="Calibri"/>
          <w:lang w:val="en-GB"/>
        </w:rPr>
        <w:t xml:space="preserve"> (at SOM3, August 2024)</w:t>
      </w:r>
      <w:r w:rsidR="00A91222" w:rsidRPr="0029511A">
        <w:rPr>
          <w:rFonts w:ascii="Calibri" w:hAnsi="Calibri" w:cs="Calibri"/>
          <w:lang w:val="en-GB"/>
        </w:rPr>
        <w:t>,</w:t>
      </w:r>
      <w:r w:rsidRPr="0029511A">
        <w:rPr>
          <w:rFonts w:ascii="Calibri" w:hAnsi="Calibri" w:cs="Calibri"/>
          <w:lang w:val="en-GB"/>
        </w:rPr>
        <w:t xml:space="preserve"> bringing together policymakers, </w:t>
      </w:r>
      <w:r w:rsidR="00E6228D" w:rsidRPr="0029511A">
        <w:rPr>
          <w:rFonts w:ascii="Calibri" w:hAnsi="Calibri" w:cs="Calibri"/>
          <w:lang w:val="en-GB"/>
        </w:rPr>
        <w:t>Indigenous</w:t>
      </w:r>
      <w:r w:rsidRPr="0029511A">
        <w:rPr>
          <w:rFonts w:ascii="Calibri" w:hAnsi="Calibri" w:cs="Calibri"/>
          <w:lang w:val="en-GB"/>
        </w:rPr>
        <w:t xml:space="preserve"> business leaders</w:t>
      </w:r>
      <w:r w:rsidR="00A91222" w:rsidRPr="0029511A">
        <w:rPr>
          <w:rFonts w:ascii="Calibri" w:hAnsi="Calibri" w:cs="Calibri"/>
          <w:lang w:val="en-GB"/>
        </w:rPr>
        <w:t>,</w:t>
      </w:r>
      <w:r w:rsidRPr="0029511A">
        <w:rPr>
          <w:rFonts w:ascii="Calibri" w:hAnsi="Calibri" w:cs="Calibri"/>
          <w:lang w:val="en-GB"/>
        </w:rPr>
        <w:t xml:space="preserve"> entrepreneurs and academics from across the APEC region, as well as representatives from international organisations, to exchange views and share examples of policies, programs and practices that support </w:t>
      </w:r>
      <w:r w:rsidR="00E6228D" w:rsidRPr="0029511A">
        <w:rPr>
          <w:rFonts w:ascii="Calibri" w:hAnsi="Calibri" w:cs="Calibri"/>
          <w:lang w:val="en-GB"/>
        </w:rPr>
        <w:t>Indigenous</w:t>
      </w:r>
      <w:r w:rsidRPr="0029511A">
        <w:rPr>
          <w:rFonts w:ascii="Calibri" w:hAnsi="Calibri" w:cs="Calibri"/>
          <w:lang w:val="en-GB"/>
        </w:rPr>
        <w:t xml:space="preserve"> trade, including protecting traditional knowledge and traditional cultural expressions. Drawing on expertise from research conducted by the WEF and the International Trade Centre, these forums have allowed </w:t>
      </w:r>
      <w:r w:rsidR="00E6228D" w:rsidRPr="0029511A">
        <w:rPr>
          <w:rFonts w:ascii="Calibri" w:hAnsi="Calibri" w:cs="Calibri"/>
          <w:lang w:val="en-GB"/>
        </w:rPr>
        <w:t>Indigenous</w:t>
      </w:r>
      <w:r w:rsidRPr="0029511A">
        <w:rPr>
          <w:rFonts w:ascii="Calibri" w:hAnsi="Calibri" w:cs="Calibri"/>
          <w:lang w:val="en-GB"/>
        </w:rPr>
        <w:t xml:space="preserve"> businesses to identify shared challenges, new areas for collaboration, discuss innovative approaches to grow </w:t>
      </w:r>
      <w:r w:rsidR="00E6228D" w:rsidRPr="0029511A">
        <w:rPr>
          <w:rFonts w:ascii="Calibri" w:hAnsi="Calibri" w:cs="Calibri"/>
          <w:lang w:val="en-GB"/>
        </w:rPr>
        <w:t>Indigenous</w:t>
      </w:r>
      <w:r w:rsidRPr="0029511A">
        <w:rPr>
          <w:rFonts w:ascii="Calibri" w:hAnsi="Calibri" w:cs="Calibri"/>
          <w:lang w:val="en-GB"/>
        </w:rPr>
        <w:t xml:space="preserve"> trade, create networks and incorporate </w:t>
      </w:r>
      <w:r w:rsidR="00E6228D" w:rsidRPr="0029511A">
        <w:rPr>
          <w:rFonts w:ascii="Calibri" w:hAnsi="Calibri" w:cs="Calibri"/>
          <w:lang w:val="en-GB"/>
        </w:rPr>
        <w:t>Indigenous</w:t>
      </w:r>
      <w:r w:rsidRPr="0029511A">
        <w:rPr>
          <w:rFonts w:ascii="Calibri" w:hAnsi="Calibri" w:cs="Calibri"/>
          <w:lang w:val="en-GB"/>
        </w:rPr>
        <w:t xml:space="preserve"> views into APEC’s work on trade and investment. </w:t>
      </w:r>
    </w:p>
    <w:p w14:paraId="7821961D" w14:textId="77777777" w:rsidR="00DB5E0E" w:rsidRDefault="00DB5E0E" w:rsidP="007E240F">
      <w:pPr>
        <w:spacing w:after="160" w:line="252" w:lineRule="auto"/>
        <w:rPr>
          <w:rFonts w:ascii="Calibri" w:hAnsi="Calibri" w:cs="Calibri"/>
          <w:lang w:val="en-GB"/>
        </w:rPr>
      </w:pPr>
    </w:p>
    <w:p w14:paraId="77A8D711" w14:textId="77777777" w:rsidR="00DB5E0E" w:rsidRPr="00B86FB6" w:rsidRDefault="00DB5E0E" w:rsidP="00DB5E0E">
      <w:pPr>
        <w:rPr>
          <w:rFonts w:asciiTheme="minorHAnsi" w:hAnsiTheme="minorHAnsi" w:cstheme="minorHAnsi"/>
          <w:b/>
          <w:bCs/>
          <w:i/>
          <w:iCs/>
        </w:rPr>
      </w:pPr>
      <w:r w:rsidRPr="00B86FB6">
        <w:rPr>
          <w:rFonts w:asciiTheme="minorHAnsi" w:hAnsiTheme="minorHAnsi" w:cstheme="minorHAnsi"/>
          <w:b/>
          <w:bCs/>
          <w:i/>
          <w:iCs/>
        </w:rPr>
        <w:t xml:space="preserve">Feedback from participants attending Indigenous Trade Workshop </w:t>
      </w:r>
    </w:p>
    <w:p w14:paraId="234F9B18" w14:textId="77777777" w:rsidR="00DB5E0E" w:rsidRPr="00B86FB6" w:rsidRDefault="00DB5E0E" w:rsidP="00DB5E0E">
      <w:pPr>
        <w:pStyle w:val="ListParagraph"/>
        <w:numPr>
          <w:ilvl w:val="0"/>
          <w:numId w:val="25"/>
        </w:numPr>
        <w:ind w:left="284" w:hanging="284"/>
        <w:rPr>
          <w:rFonts w:asciiTheme="minorHAnsi" w:hAnsiTheme="minorHAnsi" w:cstheme="minorHAnsi"/>
          <w:i/>
          <w:iCs/>
        </w:rPr>
      </w:pPr>
      <w:r w:rsidRPr="00B86FB6">
        <w:rPr>
          <w:rFonts w:asciiTheme="minorHAnsi" w:hAnsiTheme="minorHAnsi" w:cstheme="minorHAnsi"/>
          <w:i/>
          <w:iCs/>
        </w:rPr>
        <w:t>One of the key principles that come out of this conversation is how we access the right kind of markets and enabling environments to allow Indigenous Peoples to develop their Indigenous economies</w:t>
      </w:r>
    </w:p>
    <w:p w14:paraId="3FFD9B32" w14:textId="77777777" w:rsidR="00DB5E0E" w:rsidRPr="00B86FB6" w:rsidRDefault="00DB5E0E" w:rsidP="00DB5E0E">
      <w:pPr>
        <w:pStyle w:val="ListParagraph"/>
        <w:numPr>
          <w:ilvl w:val="0"/>
          <w:numId w:val="25"/>
        </w:numPr>
        <w:ind w:left="284" w:hanging="284"/>
        <w:rPr>
          <w:rFonts w:asciiTheme="minorHAnsi" w:hAnsiTheme="minorHAnsi" w:cstheme="minorHAnsi"/>
          <w:i/>
          <w:iCs/>
        </w:rPr>
      </w:pPr>
      <w:r w:rsidRPr="00B86FB6">
        <w:rPr>
          <w:rFonts w:asciiTheme="minorHAnsi" w:hAnsiTheme="minorHAnsi" w:cstheme="minorHAnsi"/>
          <w:i/>
          <w:iCs/>
        </w:rPr>
        <w:t>It’s vital that buyers understand supplier diversity. It’s not about numbers, it’s about the social outcomes and the economic equity that can be built through establishing and giving contracts to Indigenous suppliers.</w:t>
      </w:r>
    </w:p>
    <w:p w14:paraId="0B1328E0" w14:textId="77777777" w:rsidR="00DB5E0E" w:rsidRDefault="00DB5E0E" w:rsidP="007E240F">
      <w:pPr>
        <w:spacing w:after="160" w:line="252" w:lineRule="auto"/>
        <w:rPr>
          <w:rFonts w:ascii="Calibri" w:hAnsi="Calibri" w:cs="Calibri"/>
          <w:lang w:val="en-GB"/>
        </w:rPr>
      </w:pPr>
    </w:p>
    <w:p w14:paraId="3BCCF9C5" w14:textId="6A8C8567" w:rsidR="007E240F" w:rsidRPr="0029511A" w:rsidRDefault="007E240F" w:rsidP="007E240F">
      <w:pPr>
        <w:spacing w:after="160" w:line="252" w:lineRule="auto"/>
        <w:rPr>
          <w:rFonts w:ascii="Calibri" w:hAnsi="Calibri" w:cs="Calibri"/>
          <w:lang w:val="en-GB"/>
        </w:rPr>
      </w:pPr>
      <w:r w:rsidRPr="0029511A">
        <w:rPr>
          <w:rFonts w:ascii="Calibri" w:hAnsi="Calibri" w:cs="Calibri"/>
          <w:lang w:val="en-GB"/>
        </w:rPr>
        <w:t xml:space="preserve">More specifically, </w:t>
      </w:r>
      <w:r w:rsidRPr="0029511A">
        <w:rPr>
          <w:rFonts w:ascii="Calibri" w:hAnsi="Calibri" w:cs="Calibri"/>
          <w:b/>
          <w:bCs/>
          <w:lang w:val="en-GB"/>
        </w:rPr>
        <w:t xml:space="preserve">AASP’s work has demonstrated how digital tools can increase market opportunities, promote supplier diversity and bring </w:t>
      </w:r>
      <w:r w:rsidR="00E6228D" w:rsidRPr="0029511A">
        <w:rPr>
          <w:rFonts w:ascii="Calibri" w:hAnsi="Calibri" w:cs="Calibri"/>
          <w:b/>
          <w:bCs/>
          <w:lang w:val="en-GB"/>
        </w:rPr>
        <w:t>Indigenous</w:t>
      </w:r>
      <w:r w:rsidRPr="0029511A">
        <w:rPr>
          <w:rFonts w:ascii="Calibri" w:hAnsi="Calibri" w:cs="Calibri"/>
          <w:b/>
          <w:bCs/>
          <w:lang w:val="en-GB"/>
        </w:rPr>
        <w:t xml:space="preserve"> goods to international markets</w:t>
      </w:r>
      <w:r w:rsidRPr="0029511A">
        <w:rPr>
          <w:rFonts w:ascii="Calibri" w:hAnsi="Calibri" w:cs="Calibri"/>
          <w:lang w:val="en-GB"/>
        </w:rPr>
        <w:t xml:space="preserve">. AASP’s </w:t>
      </w:r>
      <w:r w:rsidR="00E6228D" w:rsidRPr="0029511A">
        <w:rPr>
          <w:rFonts w:ascii="Calibri" w:hAnsi="Calibri" w:cs="Calibri"/>
          <w:i/>
          <w:iCs/>
          <w:lang w:val="en-GB"/>
        </w:rPr>
        <w:t>Indigenous</w:t>
      </w:r>
      <w:r w:rsidRPr="0029511A">
        <w:rPr>
          <w:rFonts w:ascii="Calibri" w:hAnsi="Calibri" w:cs="Calibri"/>
          <w:i/>
          <w:iCs/>
          <w:lang w:val="en-GB"/>
        </w:rPr>
        <w:t xml:space="preserve"> Digital Inclusion </w:t>
      </w:r>
      <w:r w:rsidR="00343322" w:rsidRPr="0029511A">
        <w:rPr>
          <w:rFonts w:ascii="Calibri" w:hAnsi="Calibri" w:cs="Calibri"/>
          <w:lang w:val="en-GB"/>
        </w:rPr>
        <w:t>project</w:t>
      </w:r>
      <w:r w:rsidRPr="0029511A">
        <w:rPr>
          <w:rFonts w:ascii="Calibri" w:hAnsi="Calibri" w:cs="Calibri"/>
          <w:lang w:val="en-GB"/>
        </w:rPr>
        <w:t xml:space="preserve"> is </w:t>
      </w:r>
      <w:r w:rsidR="00783335" w:rsidRPr="0029511A">
        <w:rPr>
          <w:rFonts w:ascii="Calibri" w:hAnsi="Calibri" w:cs="Calibri"/>
          <w:lang w:val="en-GB"/>
        </w:rPr>
        <w:t>focused</w:t>
      </w:r>
      <w:r w:rsidRPr="0029511A">
        <w:rPr>
          <w:rFonts w:ascii="Calibri" w:hAnsi="Calibri" w:cs="Calibri"/>
          <w:lang w:val="en-GB"/>
        </w:rPr>
        <w:t xml:space="preserve"> on collect</w:t>
      </w:r>
      <w:r w:rsidR="00A91222" w:rsidRPr="0029511A">
        <w:rPr>
          <w:rFonts w:ascii="Calibri" w:hAnsi="Calibri" w:cs="Calibri"/>
          <w:lang w:val="en-GB"/>
        </w:rPr>
        <w:t>ing</w:t>
      </w:r>
      <w:r w:rsidRPr="0029511A">
        <w:rPr>
          <w:rFonts w:ascii="Calibri" w:hAnsi="Calibri" w:cs="Calibri"/>
          <w:lang w:val="en-GB"/>
        </w:rPr>
        <w:t xml:space="preserve"> case studies from APEC economies on effective initiatives and policies </w:t>
      </w:r>
      <w:r w:rsidR="00A91222" w:rsidRPr="0029511A">
        <w:rPr>
          <w:rFonts w:ascii="Calibri" w:hAnsi="Calibri" w:cs="Calibri"/>
          <w:lang w:val="en-GB"/>
        </w:rPr>
        <w:t>that</w:t>
      </w:r>
      <w:r w:rsidRPr="0029511A">
        <w:rPr>
          <w:rFonts w:ascii="Calibri" w:hAnsi="Calibri" w:cs="Calibri"/>
          <w:lang w:val="en-GB"/>
        </w:rPr>
        <w:t xml:space="preserve"> promote </w:t>
      </w:r>
      <w:r w:rsidR="00B77694" w:rsidRPr="0029511A">
        <w:rPr>
          <w:rFonts w:ascii="Calibri" w:hAnsi="Calibri" w:cs="Calibri"/>
          <w:lang w:val="en-GB"/>
        </w:rPr>
        <w:t xml:space="preserve">the </w:t>
      </w:r>
      <w:r w:rsidRPr="0029511A">
        <w:rPr>
          <w:rFonts w:ascii="Calibri" w:hAnsi="Calibri" w:cs="Calibri"/>
          <w:lang w:val="en-GB"/>
        </w:rPr>
        <w:t xml:space="preserve">digital inclusion of </w:t>
      </w:r>
      <w:r w:rsidR="00E6228D" w:rsidRPr="0029511A">
        <w:rPr>
          <w:rFonts w:ascii="Calibri" w:hAnsi="Calibri" w:cs="Calibri"/>
          <w:lang w:val="en-GB"/>
        </w:rPr>
        <w:t>Indigenous</w:t>
      </w:r>
      <w:r w:rsidRPr="0029511A">
        <w:rPr>
          <w:rFonts w:ascii="Calibri" w:hAnsi="Calibri" w:cs="Calibri"/>
          <w:lang w:val="en-GB"/>
        </w:rPr>
        <w:t xml:space="preserve"> businesses within economies in APEC. Digital inclusion (including access, digital capability and affordability) can help enable a range of benefits, including, but not limited to, increased employment opportunities and economic connectedness for </w:t>
      </w:r>
      <w:r w:rsidR="00E6228D" w:rsidRPr="0029511A">
        <w:rPr>
          <w:rFonts w:ascii="Calibri" w:hAnsi="Calibri" w:cs="Calibri"/>
          <w:lang w:val="en-GB"/>
        </w:rPr>
        <w:t>Indigenous</w:t>
      </w:r>
      <w:r w:rsidRPr="0029511A">
        <w:rPr>
          <w:rFonts w:ascii="Calibri" w:hAnsi="Calibri" w:cs="Calibri"/>
          <w:lang w:val="en-GB"/>
        </w:rPr>
        <w:t xml:space="preserve"> business</w:t>
      </w:r>
      <w:r w:rsidR="00A91222" w:rsidRPr="0029511A">
        <w:rPr>
          <w:rFonts w:ascii="Calibri" w:hAnsi="Calibri" w:cs="Calibri"/>
          <w:lang w:val="en-GB"/>
        </w:rPr>
        <w:t>es</w:t>
      </w:r>
      <w:r w:rsidRPr="0029511A">
        <w:rPr>
          <w:rFonts w:ascii="Calibri" w:hAnsi="Calibri" w:cs="Calibri"/>
          <w:lang w:val="en-GB"/>
        </w:rPr>
        <w:t xml:space="preserve">. </w:t>
      </w:r>
    </w:p>
    <w:p w14:paraId="4196C3EC" w14:textId="372288EC" w:rsidR="007E240F" w:rsidRDefault="007E240F" w:rsidP="007E240F">
      <w:pPr>
        <w:spacing w:after="160" w:line="252" w:lineRule="auto"/>
        <w:rPr>
          <w:rFonts w:ascii="Calibri" w:hAnsi="Calibri" w:cs="Calibri"/>
          <w:lang w:val="en-GB"/>
        </w:rPr>
      </w:pPr>
      <w:r w:rsidRPr="0029511A">
        <w:rPr>
          <w:rFonts w:ascii="Calibri" w:hAnsi="Calibri" w:cs="Calibri"/>
          <w:lang w:val="en-GB"/>
        </w:rPr>
        <w:t xml:space="preserve">A further example of Australian leadership in this space </w:t>
      </w:r>
      <w:r w:rsidR="00A91222" w:rsidRPr="0029511A">
        <w:rPr>
          <w:rFonts w:ascii="Calibri" w:hAnsi="Calibri" w:cs="Calibri"/>
          <w:lang w:val="en-GB"/>
        </w:rPr>
        <w:t xml:space="preserve">has </w:t>
      </w:r>
      <w:r w:rsidRPr="0029511A">
        <w:rPr>
          <w:rFonts w:ascii="Calibri" w:hAnsi="Calibri" w:cs="Calibri"/>
          <w:lang w:val="en-GB"/>
        </w:rPr>
        <w:t xml:space="preserve">been the </w:t>
      </w:r>
      <w:r w:rsidRPr="0029511A">
        <w:rPr>
          <w:rFonts w:ascii="Calibri" w:hAnsi="Calibri" w:cs="Calibri"/>
          <w:i/>
          <w:iCs/>
          <w:lang w:val="en-GB"/>
        </w:rPr>
        <w:t xml:space="preserve">Growing </w:t>
      </w:r>
      <w:r w:rsidR="00E6228D" w:rsidRPr="0029511A">
        <w:rPr>
          <w:rFonts w:ascii="Calibri" w:hAnsi="Calibri" w:cs="Calibri"/>
          <w:i/>
          <w:iCs/>
          <w:lang w:val="en-GB"/>
        </w:rPr>
        <w:t>Indigenous</w:t>
      </w:r>
      <w:r w:rsidRPr="0029511A">
        <w:rPr>
          <w:rFonts w:ascii="Calibri" w:hAnsi="Calibri" w:cs="Calibri"/>
          <w:i/>
          <w:iCs/>
          <w:lang w:val="en-GB"/>
        </w:rPr>
        <w:t xml:space="preserve"> Businesses Through </w:t>
      </w:r>
      <w:r w:rsidR="00064C7A" w:rsidRPr="0029511A">
        <w:rPr>
          <w:rFonts w:ascii="Calibri" w:hAnsi="Calibri" w:cs="Calibri"/>
          <w:i/>
          <w:iCs/>
          <w:lang w:val="en-GB"/>
        </w:rPr>
        <w:t>Trade</w:t>
      </w:r>
      <w:r w:rsidR="00064C7A" w:rsidRPr="0029511A">
        <w:rPr>
          <w:rFonts w:ascii="Calibri" w:hAnsi="Calibri" w:cs="Calibri"/>
          <w:lang w:val="en-GB"/>
        </w:rPr>
        <w:t xml:space="preserve"> (GRIT) </w:t>
      </w:r>
      <w:r w:rsidRPr="0029511A">
        <w:rPr>
          <w:rFonts w:ascii="Calibri" w:hAnsi="Calibri" w:cs="Calibri"/>
          <w:lang w:val="en-GB"/>
        </w:rPr>
        <w:t xml:space="preserve">projects (Phases I – III), which respond to the priorities of Ministers responsible for Small and Medium Enterprises to create “pathways to growth for MSMEs, including empowering MSMEs in regional and global markets through access to global value chains and through digital tools and technologies, which expand opportunities for MSMEs owned or led by individuals with </w:t>
      </w:r>
      <w:r w:rsidR="00221D69" w:rsidRPr="0029511A">
        <w:rPr>
          <w:rFonts w:ascii="Calibri" w:hAnsi="Calibri" w:cs="Calibri"/>
          <w:lang w:val="en-GB"/>
        </w:rPr>
        <w:t>unrealised</w:t>
      </w:r>
      <w:r w:rsidRPr="0029511A">
        <w:rPr>
          <w:rFonts w:ascii="Calibri" w:hAnsi="Calibri" w:cs="Calibri"/>
          <w:lang w:val="en-GB"/>
        </w:rPr>
        <w:t xml:space="preserve"> economic potential, such as women, </w:t>
      </w:r>
      <w:r w:rsidR="00E6228D" w:rsidRPr="0029511A">
        <w:rPr>
          <w:rFonts w:ascii="Calibri" w:hAnsi="Calibri" w:cs="Calibri"/>
          <w:lang w:val="en-GB"/>
        </w:rPr>
        <w:t>Indigenous</w:t>
      </w:r>
      <w:r w:rsidRPr="0029511A">
        <w:rPr>
          <w:rFonts w:ascii="Calibri" w:hAnsi="Calibri" w:cs="Calibri"/>
          <w:lang w:val="en-GB"/>
        </w:rPr>
        <w:t xml:space="preserve"> Peoples as appropriate, persons with disabilities, and those from remote and rural communities”. AASP</w:t>
      </w:r>
      <w:r w:rsidR="00A91222" w:rsidRPr="0029511A">
        <w:rPr>
          <w:rFonts w:ascii="Calibri" w:hAnsi="Calibri" w:cs="Calibri"/>
          <w:lang w:val="en-GB"/>
        </w:rPr>
        <w:t>’</w:t>
      </w:r>
      <w:r w:rsidRPr="0029511A">
        <w:rPr>
          <w:rFonts w:ascii="Calibri" w:hAnsi="Calibri" w:cs="Calibri"/>
          <w:lang w:val="en-GB"/>
        </w:rPr>
        <w:t>s work has helped undertake an export-ready self-assessment prior to commencing training, in addition to the provision of online training and a ‘train-the-trainer’ approach to ensure the benefits of the project extend beyond immediate participants.</w:t>
      </w:r>
    </w:p>
    <w:p w14:paraId="0ED7A427" w14:textId="77777777" w:rsidR="00DB5E0E" w:rsidRPr="00CD6789" w:rsidRDefault="00DB5E0E" w:rsidP="00DB5E0E">
      <w:pPr>
        <w:rPr>
          <w:rFonts w:asciiTheme="minorHAnsi" w:hAnsiTheme="minorHAnsi" w:cstheme="minorHAnsi"/>
          <w:b/>
          <w:bCs/>
        </w:rPr>
      </w:pPr>
      <w:r w:rsidRPr="00CD6789">
        <w:rPr>
          <w:rFonts w:asciiTheme="minorHAnsi" w:hAnsiTheme="minorHAnsi" w:cstheme="minorHAnsi"/>
          <w:b/>
          <w:bCs/>
        </w:rPr>
        <w:lastRenderedPageBreak/>
        <w:t>Benefits to GRIT Participants:</w:t>
      </w:r>
    </w:p>
    <w:p w14:paraId="01C12471" w14:textId="77777777" w:rsidR="00DB5E0E" w:rsidRPr="00CD6789" w:rsidRDefault="00DB5E0E" w:rsidP="00DB5E0E">
      <w:pPr>
        <w:pStyle w:val="ListParagraph"/>
        <w:numPr>
          <w:ilvl w:val="0"/>
          <w:numId w:val="26"/>
        </w:numPr>
        <w:ind w:left="426" w:hanging="283"/>
        <w:rPr>
          <w:rFonts w:asciiTheme="minorHAnsi" w:hAnsiTheme="minorHAnsi" w:cstheme="minorHAnsi"/>
        </w:rPr>
      </w:pPr>
      <w:r w:rsidRPr="00CD6789">
        <w:rPr>
          <w:rFonts w:asciiTheme="minorHAnsi" w:hAnsiTheme="minorHAnsi" w:cstheme="minorHAnsi"/>
        </w:rPr>
        <w:t>Indigenous businesses accessing finance through contacts made with investors attending events</w:t>
      </w:r>
    </w:p>
    <w:p w14:paraId="699FC656" w14:textId="77777777" w:rsidR="00DB5E0E" w:rsidRPr="00CD6789" w:rsidRDefault="00DB5E0E" w:rsidP="00DB5E0E">
      <w:pPr>
        <w:pStyle w:val="ListParagraph"/>
        <w:numPr>
          <w:ilvl w:val="0"/>
          <w:numId w:val="26"/>
        </w:numPr>
        <w:ind w:left="426" w:hanging="283"/>
        <w:rPr>
          <w:rFonts w:asciiTheme="minorHAnsi" w:hAnsiTheme="minorHAnsi" w:cstheme="minorHAnsi"/>
        </w:rPr>
      </w:pPr>
      <w:r w:rsidRPr="00CD6789">
        <w:rPr>
          <w:rFonts w:asciiTheme="minorHAnsi" w:hAnsiTheme="minorHAnsi" w:cstheme="minorHAnsi"/>
        </w:rPr>
        <w:t>Improving marketing</w:t>
      </w:r>
    </w:p>
    <w:p w14:paraId="3188AF6E" w14:textId="77777777" w:rsidR="00DB5E0E" w:rsidRPr="00CD6789" w:rsidRDefault="00DB5E0E" w:rsidP="00DB5E0E">
      <w:pPr>
        <w:pStyle w:val="ListParagraph"/>
        <w:numPr>
          <w:ilvl w:val="0"/>
          <w:numId w:val="26"/>
        </w:numPr>
        <w:ind w:left="426" w:hanging="283"/>
        <w:rPr>
          <w:rFonts w:asciiTheme="minorHAnsi" w:hAnsiTheme="minorHAnsi" w:cstheme="minorHAnsi"/>
        </w:rPr>
      </w:pPr>
      <w:r w:rsidRPr="00CD6789">
        <w:rPr>
          <w:rFonts w:asciiTheme="minorHAnsi" w:hAnsiTheme="minorHAnsi" w:cstheme="minorHAnsi"/>
        </w:rPr>
        <w:t>Making their supply chain more efficient</w:t>
      </w:r>
    </w:p>
    <w:p w14:paraId="63BEE5CD" w14:textId="77777777" w:rsidR="00DB5E0E" w:rsidRPr="00CD6789" w:rsidRDefault="00DB5E0E" w:rsidP="00DB5E0E">
      <w:pPr>
        <w:pStyle w:val="ListParagraph"/>
        <w:numPr>
          <w:ilvl w:val="0"/>
          <w:numId w:val="26"/>
        </w:numPr>
        <w:ind w:left="426" w:hanging="283"/>
        <w:rPr>
          <w:rFonts w:asciiTheme="minorHAnsi" w:hAnsiTheme="minorHAnsi" w:cstheme="minorHAnsi"/>
        </w:rPr>
      </w:pPr>
      <w:r w:rsidRPr="00CD6789">
        <w:rPr>
          <w:rFonts w:asciiTheme="minorHAnsi" w:hAnsiTheme="minorHAnsi" w:cstheme="minorHAnsi"/>
        </w:rPr>
        <w:t>Greater exposure for SMEs via a presence on Export Council Australia’s website</w:t>
      </w:r>
    </w:p>
    <w:p w14:paraId="2D82D752" w14:textId="77777777" w:rsidR="00DB5E0E" w:rsidRPr="00CD6789" w:rsidRDefault="00DB5E0E" w:rsidP="00DB5E0E">
      <w:pPr>
        <w:pStyle w:val="ListParagraph"/>
        <w:numPr>
          <w:ilvl w:val="0"/>
          <w:numId w:val="26"/>
        </w:numPr>
        <w:ind w:left="426" w:hanging="283"/>
        <w:rPr>
          <w:rFonts w:asciiTheme="minorHAnsi" w:hAnsiTheme="minorHAnsi" w:cstheme="minorHAnsi"/>
        </w:rPr>
      </w:pPr>
      <w:r w:rsidRPr="00CD6789">
        <w:rPr>
          <w:rFonts w:asciiTheme="minorHAnsi" w:hAnsiTheme="minorHAnsi" w:cstheme="minorHAnsi"/>
        </w:rPr>
        <w:t>Fostering peer-to-peer networks</w:t>
      </w:r>
    </w:p>
    <w:p w14:paraId="0F8B2335" w14:textId="77777777" w:rsidR="00DB5E0E" w:rsidRPr="00CD6789" w:rsidRDefault="00DB5E0E" w:rsidP="00DB5E0E">
      <w:pPr>
        <w:pStyle w:val="ListParagraph"/>
        <w:numPr>
          <w:ilvl w:val="0"/>
          <w:numId w:val="26"/>
        </w:numPr>
        <w:ind w:left="426" w:hanging="283"/>
        <w:rPr>
          <w:rFonts w:asciiTheme="minorHAnsi" w:hAnsiTheme="minorHAnsi" w:cstheme="minorHAnsi"/>
        </w:rPr>
      </w:pPr>
      <w:r w:rsidRPr="00CD6789">
        <w:rPr>
          <w:rFonts w:asciiTheme="minorHAnsi" w:hAnsiTheme="minorHAnsi" w:cstheme="minorHAnsi"/>
        </w:rPr>
        <w:t>Raising the profile of Indigenous chambers of commerce</w:t>
      </w:r>
    </w:p>
    <w:p w14:paraId="67D2677E" w14:textId="77777777" w:rsidR="00DB5E0E" w:rsidRPr="00CD6789" w:rsidRDefault="00DB5E0E" w:rsidP="00DB5E0E">
      <w:pPr>
        <w:pStyle w:val="ListParagraph"/>
        <w:numPr>
          <w:ilvl w:val="0"/>
          <w:numId w:val="26"/>
        </w:numPr>
        <w:ind w:left="426" w:hanging="283"/>
        <w:rPr>
          <w:rFonts w:asciiTheme="minorHAnsi" w:hAnsiTheme="minorHAnsi" w:cstheme="minorHAnsi"/>
        </w:rPr>
      </w:pPr>
      <w:r w:rsidRPr="00CD6789">
        <w:rPr>
          <w:rFonts w:asciiTheme="minorHAnsi" w:hAnsiTheme="minorHAnsi" w:cstheme="minorHAnsi"/>
        </w:rPr>
        <w:t>Raising the profile of databases of Indigenous suppliers and partners</w:t>
      </w:r>
    </w:p>
    <w:p w14:paraId="425478D6" w14:textId="77777777" w:rsidR="00DB5E0E" w:rsidRPr="0029511A" w:rsidRDefault="00DB5E0E" w:rsidP="007E240F">
      <w:pPr>
        <w:spacing w:after="160" w:line="252" w:lineRule="auto"/>
        <w:rPr>
          <w:rFonts w:ascii="Calibri" w:hAnsi="Calibri" w:cs="Calibri"/>
          <w:lang w:val="en-GB"/>
        </w:rPr>
      </w:pPr>
    </w:p>
    <w:p w14:paraId="501A2115" w14:textId="3E5EB8BC" w:rsidR="00A11FFE" w:rsidRPr="0029511A" w:rsidRDefault="00A11FFE" w:rsidP="007E240F">
      <w:pPr>
        <w:spacing w:after="160" w:line="252" w:lineRule="auto"/>
        <w:rPr>
          <w:rFonts w:ascii="Calibri" w:hAnsi="Calibri" w:cs="Calibri"/>
          <w:lang w:val="en-GB"/>
        </w:rPr>
      </w:pPr>
      <w:r w:rsidRPr="0029511A">
        <w:rPr>
          <w:rFonts w:ascii="Calibri" w:hAnsi="Calibri" w:cs="Calibri"/>
          <w:lang w:val="en-GB"/>
        </w:rPr>
        <w:t xml:space="preserve">At the </w:t>
      </w:r>
      <w:r w:rsidR="007359F8" w:rsidRPr="0029511A">
        <w:rPr>
          <w:rFonts w:ascii="Calibri" w:hAnsi="Calibri" w:cs="Calibri"/>
          <w:lang w:val="en-GB"/>
        </w:rPr>
        <w:t>end of 2023</w:t>
      </w:r>
      <w:r w:rsidR="00795D08" w:rsidRPr="0029511A">
        <w:rPr>
          <w:rFonts w:ascii="Calibri" w:hAnsi="Calibri" w:cs="Calibri"/>
          <w:lang w:val="en-GB"/>
        </w:rPr>
        <w:t>,</w:t>
      </w:r>
      <w:r w:rsidRPr="0029511A">
        <w:rPr>
          <w:rFonts w:ascii="Calibri" w:hAnsi="Calibri" w:cs="Calibri"/>
          <w:lang w:val="en-GB"/>
        </w:rPr>
        <w:t xml:space="preserve"> the AASP commissioned a scoping study to outline potential priorities to</w:t>
      </w:r>
      <w:r w:rsidRPr="0029511A">
        <w:rPr>
          <w:rFonts w:ascii="Calibri" w:hAnsi="Calibri" w:cs="Calibri"/>
          <w:color w:val="000000" w:themeColor="text1"/>
          <w:lang w:val="en-GB"/>
        </w:rPr>
        <w:t xml:space="preserve"> guide Australia’s future work on </w:t>
      </w:r>
      <w:r w:rsidR="00E6228D" w:rsidRPr="0029511A">
        <w:rPr>
          <w:rFonts w:ascii="Calibri" w:hAnsi="Calibri" w:cs="Calibri"/>
          <w:color w:val="000000" w:themeColor="text1"/>
          <w:lang w:val="en-GB"/>
        </w:rPr>
        <w:t>Indigenous</w:t>
      </w:r>
      <w:r w:rsidRPr="0029511A">
        <w:rPr>
          <w:rFonts w:ascii="Calibri" w:hAnsi="Calibri" w:cs="Calibri"/>
          <w:color w:val="000000" w:themeColor="text1"/>
          <w:lang w:val="en-GB"/>
        </w:rPr>
        <w:t xml:space="preserve"> international trade and investment, particularly in the APEC region (</w:t>
      </w:r>
      <w:r w:rsidRPr="0029511A">
        <w:rPr>
          <w:rFonts w:ascii="Calibri" w:hAnsi="Calibri" w:cs="Calibri"/>
          <w:i/>
          <w:iCs/>
          <w:color w:val="000000" w:themeColor="text1"/>
          <w:lang w:val="en-GB"/>
        </w:rPr>
        <w:t xml:space="preserve">APEC </w:t>
      </w:r>
      <w:r w:rsidR="00E6228D" w:rsidRPr="0029511A">
        <w:rPr>
          <w:rFonts w:ascii="Calibri" w:hAnsi="Calibri" w:cs="Calibri"/>
          <w:i/>
          <w:iCs/>
          <w:color w:val="000000" w:themeColor="text1"/>
          <w:lang w:val="en-GB"/>
        </w:rPr>
        <w:t>Indigenous</w:t>
      </w:r>
      <w:r w:rsidRPr="0029511A">
        <w:rPr>
          <w:rFonts w:ascii="Calibri" w:hAnsi="Calibri" w:cs="Calibri"/>
          <w:i/>
          <w:iCs/>
          <w:color w:val="000000" w:themeColor="text1"/>
          <w:lang w:val="en-GB"/>
        </w:rPr>
        <w:t xml:space="preserve"> Trade Scoping Study</w:t>
      </w:r>
      <w:r w:rsidRPr="0029511A">
        <w:rPr>
          <w:rFonts w:ascii="Calibri" w:hAnsi="Calibri" w:cs="Calibri"/>
          <w:color w:val="000000" w:themeColor="text1"/>
          <w:lang w:val="en-GB"/>
        </w:rPr>
        <w:t>). Whil</w:t>
      </w:r>
      <w:r w:rsidR="00A40599" w:rsidRPr="0029511A">
        <w:rPr>
          <w:rFonts w:ascii="Calibri" w:hAnsi="Calibri" w:cs="Calibri"/>
          <w:color w:val="000000" w:themeColor="text1"/>
          <w:lang w:val="en-GB"/>
        </w:rPr>
        <w:t>e</w:t>
      </w:r>
      <w:r w:rsidRPr="0029511A">
        <w:rPr>
          <w:rFonts w:ascii="Calibri" w:hAnsi="Calibri" w:cs="Calibri"/>
          <w:color w:val="000000" w:themeColor="text1"/>
          <w:lang w:val="en-GB"/>
        </w:rPr>
        <w:t xml:space="preserve"> the study acknowledges that the </w:t>
      </w:r>
      <w:r w:rsidRPr="0029511A">
        <w:rPr>
          <w:rFonts w:ascii="Calibri" w:hAnsi="Calibri" w:cs="Calibri"/>
          <w:lang w:val="en-GB"/>
        </w:rPr>
        <w:t>level of activity and policy discussion has increased over the last two years, ‘</w:t>
      </w:r>
      <w:r w:rsidRPr="0029511A">
        <w:rPr>
          <w:rFonts w:ascii="Calibri" w:hAnsi="Calibri" w:cs="Calibri"/>
          <w:b/>
          <w:bCs/>
          <w:lang w:val="en-GB"/>
        </w:rPr>
        <w:t xml:space="preserve">sensitivities in relation to </w:t>
      </w:r>
      <w:r w:rsidR="00E6228D" w:rsidRPr="0029511A">
        <w:rPr>
          <w:rFonts w:ascii="Calibri" w:hAnsi="Calibri" w:cs="Calibri"/>
          <w:b/>
          <w:bCs/>
          <w:lang w:val="en-GB"/>
        </w:rPr>
        <w:t>Indigenous</w:t>
      </w:r>
      <w:r w:rsidRPr="0029511A">
        <w:rPr>
          <w:rFonts w:ascii="Calibri" w:hAnsi="Calibri" w:cs="Calibri"/>
          <w:b/>
          <w:bCs/>
          <w:lang w:val="en-GB"/>
        </w:rPr>
        <w:t xml:space="preserve"> issues in some economies will require ongoing management’</w:t>
      </w:r>
      <w:r w:rsidRPr="0029511A">
        <w:rPr>
          <w:rFonts w:ascii="Calibri" w:hAnsi="Calibri" w:cs="Calibri"/>
          <w:lang w:val="en-GB"/>
        </w:rPr>
        <w:t>. Importantly</w:t>
      </w:r>
      <w:r w:rsidR="00B06951" w:rsidRPr="0029511A">
        <w:rPr>
          <w:rFonts w:ascii="Calibri" w:hAnsi="Calibri" w:cs="Calibri"/>
          <w:lang w:val="en-GB"/>
        </w:rPr>
        <w:t>,</w:t>
      </w:r>
      <w:r w:rsidRPr="0029511A">
        <w:rPr>
          <w:rFonts w:ascii="Calibri" w:hAnsi="Calibri" w:cs="Calibri"/>
          <w:lang w:val="en-GB"/>
        </w:rPr>
        <w:t xml:space="preserve"> the study identifies areas for further exploration (noting that these issues</w:t>
      </w:r>
      <w:r w:rsidR="00130706" w:rsidRPr="0029511A">
        <w:rPr>
          <w:rFonts w:ascii="Calibri" w:hAnsi="Calibri" w:cs="Calibri"/>
          <w:lang w:val="en-GB"/>
        </w:rPr>
        <w:t>,</w:t>
      </w:r>
      <w:r w:rsidRPr="0029511A">
        <w:rPr>
          <w:rFonts w:ascii="Calibri" w:hAnsi="Calibri" w:cs="Calibri"/>
          <w:lang w:val="en-GB"/>
        </w:rPr>
        <w:t xml:space="preserve"> whil</w:t>
      </w:r>
      <w:r w:rsidR="00A40599" w:rsidRPr="0029511A">
        <w:rPr>
          <w:rFonts w:ascii="Calibri" w:hAnsi="Calibri" w:cs="Calibri"/>
          <w:lang w:val="en-GB"/>
        </w:rPr>
        <w:t>e</w:t>
      </w:r>
      <w:r w:rsidRPr="0029511A">
        <w:rPr>
          <w:rFonts w:ascii="Calibri" w:hAnsi="Calibri" w:cs="Calibri"/>
          <w:lang w:val="en-GB"/>
        </w:rPr>
        <w:t xml:space="preserve"> beyond the scope of AASP, will still need to inform future AASP programming):</w:t>
      </w:r>
    </w:p>
    <w:p w14:paraId="68D37D96" w14:textId="21443BA2" w:rsidR="00A11FFE" w:rsidRPr="0029511A" w:rsidRDefault="00A11FFE" w:rsidP="00D078C9">
      <w:pPr>
        <w:pStyle w:val="ListParagraph"/>
        <w:numPr>
          <w:ilvl w:val="0"/>
          <w:numId w:val="9"/>
        </w:numPr>
        <w:spacing w:after="160" w:line="252" w:lineRule="auto"/>
        <w:rPr>
          <w:rFonts w:ascii="Calibri" w:hAnsi="Calibri" w:cs="Calibri"/>
          <w:lang w:val="en-GB"/>
        </w:rPr>
      </w:pPr>
      <w:r w:rsidRPr="0029511A">
        <w:rPr>
          <w:rFonts w:ascii="Calibri" w:hAnsi="Calibri" w:cs="Calibri"/>
          <w:lang w:val="en-GB"/>
        </w:rPr>
        <w:t>Need for greater coordination and information sharing on support to participate in trade.</w:t>
      </w:r>
    </w:p>
    <w:p w14:paraId="1ACF429B" w14:textId="52E1E46E" w:rsidR="00A11FFE" w:rsidRPr="0029511A" w:rsidRDefault="00A11FFE" w:rsidP="00D078C9">
      <w:pPr>
        <w:pStyle w:val="ListParagraph"/>
        <w:numPr>
          <w:ilvl w:val="0"/>
          <w:numId w:val="9"/>
        </w:numPr>
        <w:spacing w:after="160" w:line="252" w:lineRule="auto"/>
        <w:rPr>
          <w:rFonts w:ascii="Calibri" w:hAnsi="Calibri" w:cs="Calibri"/>
          <w:lang w:val="en-GB"/>
        </w:rPr>
      </w:pPr>
      <w:r w:rsidRPr="0029511A">
        <w:rPr>
          <w:rFonts w:ascii="Calibri" w:hAnsi="Calibri" w:cs="Calibri"/>
          <w:lang w:val="en-GB"/>
        </w:rPr>
        <w:t xml:space="preserve">Networking </w:t>
      </w:r>
      <w:r w:rsidR="00E6228D" w:rsidRPr="0029511A">
        <w:rPr>
          <w:rFonts w:ascii="Calibri" w:hAnsi="Calibri" w:cs="Calibri"/>
          <w:lang w:val="en-GB"/>
        </w:rPr>
        <w:t>Indigenous</w:t>
      </w:r>
      <w:r w:rsidRPr="0029511A">
        <w:rPr>
          <w:rFonts w:ascii="Calibri" w:hAnsi="Calibri" w:cs="Calibri"/>
          <w:lang w:val="en-GB"/>
        </w:rPr>
        <w:t xml:space="preserve"> businesses, including </w:t>
      </w:r>
      <w:r w:rsidR="00E6228D" w:rsidRPr="0029511A">
        <w:rPr>
          <w:rFonts w:ascii="Calibri" w:hAnsi="Calibri" w:cs="Calibri"/>
          <w:lang w:val="en-GB"/>
        </w:rPr>
        <w:t>Indigenous</w:t>
      </w:r>
      <w:r w:rsidRPr="0029511A">
        <w:rPr>
          <w:rFonts w:ascii="Calibri" w:hAnsi="Calibri" w:cs="Calibri"/>
          <w:lang w:val="en-GB"/>
        </w:rPr>
        <w:t xml:space="preserve"> Commerce and Trade Groups</w:t>
      </w:r>
      <w:r w:rsidR="00130706" w:rsidRPr="0029511A">
        <w:rPr>
          <w:rFonts w:ascii="Calibri" w:hAnsi="Calibri" w:cs="Calibri"/>
          <w:lang w:val="en-GB"/>
        </w:rPr>
        <w:t>.</w:t>
      </w:r>
    </w:p>
    <w:p w14:paraId="1B4B3191" w14:textId="3F052B86" w:rsidR="00A11FFE" w:rsidRDefault="00A11FFE" w:rsidP="00D078C9">
      <w:pPr>
        <w:pStyle w:val="ListParagraph"/>
        <w:numPr>
          <w:ilvl w:val="0"/>
          <w:numId w:val="9"/>
        </w:numPr>
        <w:spacing w:after="160" w:line="252" w:lineRule="auto"/>
        <w:rPr>
          <w:rFonts w:ascii="Calibri" w:hAnsi="Calibri" w:cs="Calibri"/>
          <w:lang w:val="en-GB"/>
        </w:rPr>
      </w:pPr>
      <w:r w:rsidRPr="0029511A">
        <w:rPr>
          <w:rFonts w:ascii="Calibri" w:hAnsi="Calibri" w:cs="Calibri"/>
          <w:lang w:val="en-GB"/>
        </w:rPr>
        <w:t xml:space="preserve">A market demand analysis (or communicating existing analyses) would help </w:t>
      </w:r>
      <w:r w:rsidR="00E6228D" w:rsidRPr="0029511A">
        <w:rPr>
          <w:rFonts w:ascii="Calibri" w:hAnsi="Calibri" w:cs="Calibri"/>
          <w:lang w:val="en-GB"/>
        </w:rPr>
        <w:t>Indigenous</w:t>
      </w:r>
      <w:r w:rsidRPr="0029511A">
        <w:rPr>
          <w:rFonts w:ascii="Calibri" w:hAnsi="Calibri" w:cs="Calibri"/>
          <w:lang w:val="en-GB"/>
        </w:rPr>
        <w:t xml:space="preserve"> businesses – both Australian and international – to understand levels of demand across APEC/international markets</w:t>
      </w:r>
      <w:r w:rsidR="00130706" w:rsidRPr="0029511A">
        <w:rPr>
          <w:rFonts w:ascii="Calibri" w:hAnsi="Calibri" w:cs="Calibri"/>
          <w:lang w:val="en-GB"/>
        </w:rPr>
        <w:t>.</w:t>
      </w:r>
    </w:p>
    <w:p w14:paraId="6D776A85" w14:textId="1B2D9F85" w:rsidR="00A11FFE" w:rsidRPr="0029511A" w:rsidRDefault="002B41BC" w:rsidP="007E240F">
      <w:pPr>
        <w:pStyle w:val="Subheading"/>
        <w:rPr>
          <w:rFonts w:ascii="Calibri" w:hAnsi="Calibri" w:cs="Calibri"/>
          <w:color w:val="auto"/>
          <w:spacing w:val="0"/>
          <w:lang w:val="en-GB"/>
        </w:rPr>
      </w:pPr>
      <w:r w:rsidRPr="0029511A">
        <w:rPr>
          <w:rFonts w:ascii="Calibri" w:hAnsi="Calibri" w:cs="Calibri"/>
          <w:color w:val="auto"/>
          <w:spacing w:val="0"/>
          <w:lang w:val="en-GB"/>
        </w:rPr>
        <w:t>The</w:t>
      </w:r>
      <w:r w:rsidR="00A11FFE" w:rsidRPr="0029511A">
        <w:rPr>
          <w:rFonts w:ascii="Calibri" w:hAnsi="Calibri" w:cs="Calibri"/>
          <w:color w:val="auto"/>
          <w:spacing w:val="0"/>
          <w:lang w:val="en-GB"/>
        </w:rPr>
        <w:t xml:space="preserve"> study concludes with the recommendation</w:t>
      </w:r>
      <w:r w:rsidRPr="0029511A">
        <w:rPr>
          <w:rStyle w:val="FootnoteReference"/>
          <w:rFonts w:ascii="Calibri" w:hAnsi="Calibri" w:cs="Calibri"/>
          <w:color w:val="auto"/>
          <w:spacing w:val="0"/>
          <w:lang w:val="en-GB"/>
        </w:rPr>
        <w:footnoteReference w:id="8"/>
      </w:r>
      <w:r w:rsidRPr="0029511A">
        <w:rPr>
          <w:rFonts w:ascii="Calibri" w:hAnsi="Calibri" w:cs="Calibri"/>
          <w:color w:val="auto"/>
          <w:spacing w:val="0"/>
          <w:lang w:val="en-GB"/>
        </w:rPr>
        <w:t>,</w:t>
      </w:r>
      <w:r w:rsidR="00A11FFE" w:rsidRPr="0029511A">
        <w:rPr>
          <w:rFonts w:ascii="Calibri" w:hAnsi="Calibri" w:cs="Calibri"/>
          <w:color w:val="auto"/>
          <w:spacing w:val="0"/>
          <w:lang w:val="en-GB"/>
        </w:rPr>
        <w:t xml:space="preserve"> that </w:t>
      </w:r>
    </w:p>
    <w:p w14:paraId="0802B796" w14:textId="5C4308D4" w:rsidR="00A11FFE" w:rsidRPr="0029511A" w:rsidRDefault="00A11FFE" w:rsidP="00774B14">
      <w:pPr>
        <w:pStyle w:val="Subheading"/>
        <w:ind w:left="720"/>
        <w:rPr>
          <w:rStyle w:val="cf21"/>
          <w:rFonts w:ascii="Calibri" w:hAnsi="Calibri"/>
          <w:i/>
          <w:iCs/>
          <w:color w:val="auto"/>
          <w:spacing w:val="0"/>
        </w:rPr>
      </w:pPr>
      <w:r w:rsidRPr="0029511A">
        <w:rPr>
          <w:rFonts w:ascii="Calibri" w:hAnsi="Calibri" w:cs="Calibri"/>
          <w:i/>
          <w:iCs/>
          <w:color w:val="auto"/>
          <w:spacing w:val="0"/>
          <w:lang w:val="en-GB"/>
        </w:rPr>
        <w:t xml:space="preserve">Informed by ongoing consultation with </w:t>
      </w:r>
      <w:r w:rsidR="00E6228D" w:rsidRPr="0029511A">
        <w:rPr>
          <w:rFonts w:ascii="Calibri" w:hAnsi="Calibri" w:cs="Calibri"/>
          <w:i/>
          <w:iCs/>
          <w:color w:val="auto"/>
          <w:spacing w:val="0"/>
          <w:lang w:val="en-GB"/>
        </w:rPr>
        <w:t>Indigenous</w:t>
      </w:r>
      <w:r w:rsidRPr="0029511A">
        <w:rPr>
          <w:rFonts w:ascii="Calibri" w:hAnsi="Calibri" w:cs="Calibri"/>
          <w:i/>
          <w:iCs/>
          <w:color w:val="auto"/>
          <w:spacing w:val="0"/>
          <w:lang w:val="en-GB"/>
        </w:rPr>
        <w:t xml:space="preserve"> representatives and relevant agencies (including the National </w:t>
      </w:r>
      <w:r w:rsidR="00E6228D" w:rsidRPr="0029511A">
        <w:rPr>
          <w:rFonts w:ascii="Calibri" w:hAnsi="Calibri" w:cs="Calibri"/>
          <w:i/>
          <w:iCs/>
          <w:color w:val="auto"/>
          <w:spacing w:val="0"/>
          <w:lang w:val="en-GB"/>
        </w:rPr>
        <w:t>Indigenous</w:t>
      </w:r>
      <w:r w:rsidRPr="0029511A">
        <w:rPr>
          <w:rFonts w:ascii="Calibri" w:hAnsi="Calibri" w:cs="Calibri"/>
          <w:i/>
          <w:iCs/>
          <w:color w:val="auto"/>
          <w:spacing w:val="0"/>
          <w:lang w:val="en-GB"/>
        </w:rPr>
        <w:t xml:space="preserve"> Australians Agency (NIAA), Austrade and DFAT), Australian officials should continue to pursue policy dialogues in APEC across key themes and work directly with </w:t>
      </w:r>
      <w:r w:rsidR="00E6228D" w:rsidRPr="0029511A">
        <w:rPr>
          <w:rFonts w:ascii="Calibri" w:hAnsi="Calibri" w:cs="Calibri"/>
          <w:i/>
          <w:iCs/>
          <w:color w:val="auto"/>
          <w:spacing w:val="0"/>
          <w:lang w:val="en-GB"/>
        </w:rPr>
        <w:t>Indigenous</w:t>
      </w:r>
      <w:r w:rsidRPr="0029511A">
        <w:rPr>
          <w:rFonts w:ascii="Calibri" w:hAnsi="Calibri" w:cs="Calibri"/>
          <w:i/>
          <w:iCs/>
          <w:color w:val="auto"/>
          <w:spacing w:val="0"/>
          <w:lang w:val="en-GB"/>
        </w:rPr>
        <w:t xml:space="preserve"> businesses in priority economies</w:t>
      </w:r>
      <w:r w:rsidR="00363461" w:rsidRPr="0029511A">
        <w:rPr>
          <w:rFonts w:ascii="Calibri" w:hAnsi="Calibri" w:cs="Calibri"/>
          <w:i/>
          <w:iCs/>
          <w:color w:val="auto"/>
          <w:spacing w:val="0"/>
          <w:lang w:val="en-GB"/>
        </w:rPr>
        <w:t>.</w:t>
      </w:r>
    </w:p>
    <w:p w14:paraId="187CB691" w14:textId="1584D347" w:rsidR="008F04C6" w:rsidRPr="0029511A" w:rsidRDefault="00C848A4" w:rsidP="00746CC3">
      <w:pPr>
        <w:rPr>
          <w:rFonts w:ascii="Calibri" w:hAnsi="Calibri" w:cs="Calibri"/>
          <w:lang w:val="en-GB"/>
        </w:rPr>
      </w:pPr>
      <w:r w:rsidRPr="0029511A">
        <w:rPr>
          <w:rFonts w:ascii="Calibri" w:hAnsi="Calibri" w:cs="Calibri"/>
          <w:lang w:val="en-GB"/>
        </w:rPr>
        <w:t xml:space="preserve">The overarching finding with respect to GEDSI, and confirmed in interviews with key </w:t>
      </w:r>
      <w:r w:rsidR="000D11F6" w:rsidRPr="0029511A">
        <w:rPr>
          <w:rFonts w:ascii="Calibri" w:hAnsi="Calibri" w:cs="Calibri"/>
          <w:lang w:val="en-GB"/>
        </w:rPr>
        <w:t>informants,</w:t>
      </w:r>
      <w:r w:rsidRPr="0029511A">
        <w:rPr>
          <w:rFonts w:ascii="Calibri" w:hAnsi="Calibri" w:cs="Calibri"/>
          <w:lang w:val="en-GB"/>
        </w:rPr>
        <w:t xml:space="preserve"> is that Australia </w:t>
      </w:r>
      <w:r w:rsidR="00A51B50" w:rsidRPr="0029511A">
        <w:rPr>
          <w:rFonts w:ascii="Calibri" w:hAnsi="Calibri" w:cs="Calibri"/>
          <w:lang w:val="en-GB"/>
        </w:rPr>
        <w:t>is</w:t>
      </w:r>
      <w:r w:rsidRPr="0029511A">
        <w:rPr>
          <w:rFonts w:ascii="Calibri" w:hAnsi="Calibri" w:cs="Calibri"/>
          <w:lang w:val="en-GB"/>
        </w:rPr>
        <w:t xml:space="preserve"> a leader in driving an expanded inclusivity agenda in APEC, including through its policy advocacy and supported by capacity building projects delivered under the AASP. APEC operates by consensus, and Australia has played a pivotal role in working constructively with APEC economies to support increasing prioritisation of gender equality in APEC, expanding APEC’s work program on Indigenous trade and investment, and promoting discussion of disability equity, including by showcasing Australia’s disability strategy in APEC fora, and laying the groundwork for future activities in this space</w:t>
      </w:r>
      <w:r w:rsidR="008F04C6" w:rsidRPr="0029511A">
        <w:rPr>
          <w:rFonts w:ascii="Calibri" w:hAnsi="Calibri" w:cs="Calibri"/>
          <w:lang w:val="en-GB"/>
        </w:rPr>
        <w:t>.</w:t>
      </w:r>
    </w:p>
    <w:p w14:paraId="69C7D635" w14:textId="71CD5B8E" w:rsidR="009221A8" w:rsidRPr="00E934C8" w:rsidRDefault="009221A8" w:rsidP="00746CC3">
      <w:pPr>
        <w:rPr>
          <w:rStyle w:val="cf21"/>
          <w:rFonts w:ascii="Calibri" w:hAnsi="Calibri"/>
          <w:b/>
          <w:bCs/>
        </w:rPr>
      </w:pPr>
    </w:p>
    <w:p w14:paraId="21F2DF61" w14:textId="1967E9CF" w:rsidR="007E240F" w:rsidRPr="00CD6789" w:rsidRDefault="007E240F" w:rsidP="007E240F">
      <w:pPr>
        <w:spacing w:after="160" w:line="252" w:lineRule="auto"/>
        <w:rPr>
          <w:rFonts w:ascii="Calibri" w:eastAsia="Calibri Light" w:hAnsi="Calibri" w:cs="Calibri"/>
          <w:color w:val="002060"/>
          <w:lang w:val="en-GB"/>
        </w:rPr>
      </w:pPr>
      <w:r w:rsidRPr="00CD6789">
        <w:rPr>
          <w:rStyle w:val="cf21"/>
          <w:rFonts w:ascii="Calibri" w:hAnsi="Calibri"/>
          <w:b/>
          <w:bCs/>
          <w:color w:val="002060"/>
        </w:rPr>
        <w:t xml:space="preserve">Intermediate Outcome 5: </w:t>
      </w:r>
      <w:r w:rsidRPr="00CD6789">
        <w:rPr>
          <w:rFonts w:ascii="Calibri" w:eastAsia="Calibri Light" w:hAnsi="Calibri" w:cs="Calibri"/>
          <w:color w:val="002060"/>
          <w:lang w:val="en-GB"/>
        </w:rPr>
        <w:t>APEC developing economies report</w:t>
      </w:r>
      <w:r w:rsidR="0051265B" w:rsidRPr="00CD6789">
        <w:rPr>
          <w:rFonts w:ascii="Calibri" w:eastAsia="Calibri Light" w:hAnsi="Calibri" w:cs="Calibri"/>
          <w:color w:val="002060"/>
          <w:lang w:val="en-GB"/>
        </w:rPr>
        <w:t>ing</w:t>
      </w:r>
      <w:r w:rsidRPr="00CD6789">
        <w:rPr>
          <w:rFonts w:ascii="Calibri" w:eastAsia="Calibri Light" w:hAnsi="Calibri" w:cs="Calibri"/>
          <w:color w:val="002060"/>
          <w:lang w:val="en-GB"/>
        </w:rPr>
        <w:t xml:space="preserve"> the contribution of AASP as valuable</w:t>
      </w:r>
      <w:r w:rsidR="0080179D" w:rsidRPr="00CD6789">
        <w:rPr>
          <w:rFonts w:ascii="Calibri" w:eastAsia="Calibri Light" w:hAnsi="Calibri" w:cs="Calibri"/>
          <w:color w:val="002060"/>
          <w:lang w:val="en-GB"/>
        </w:rPr>
        <w:t>.</w:t>
      </w:r>
    </w:p>
    <w:p w14:paraId="1F8C08C9" w14:textId="31B69A8A" w:rsidR="00410D8E" w:rsidRPr="0029511A" w:rsidRDefault="00055B06" w:rsidP="007E240F">
      <w:pPr>
        <w:spacing w:after="160" w:line="252" w:lineRule="auto"/>
        <w:rPr>
          <w:rFonts w:ascii="Calibri" w:eastAsia="Calibri Light" w:hAnsi="Calibri" w:cs="Calibri"/>
          <w:color w:val="000000"/>
          <w:lang w:val="en-GB"/>
        </w:rPr>
      </w:pPr>
      <w:r w:rsidRPr="0029511A">
        <w:rPr>
          <w:rFonts w:ascii="Calibri" w:eastAsia="Calibri Light" w:hAnsi="Calibri" w:cs="Calibri"/>
          <w:color w:val="000000"/>
          <w:lang w:val="en-GB"/>
        </w:rPr>
        <w:t xml:space="preserve">The </w:t>
      </w:r>
      <w:r w:rsidRPr="0029511A">
        <w:rPr>
          <w:rFonts w:ascii="Calibri" w:eastAsia="Calibri Light" w:hAnsi="Calibri" w:cs="Calibri"/>
          <w:b/>
          <w:bCs/>
          <w:color w:val="000000"/>
          <w:lang w:val="en-GB"/>
        </w:rPr>
        <w:t>mean satisfaction score for all completed AASP projects is a very high 4.5</w:t>
      </w:r>
      <w:r w:rsidRPr="0029511A">
        <w:rPr>
          <w:rFonts w:ascii="Calibri" w:eastAsia="Calibri Light" w:hAnsi="Calibri" w:cs="Calibri"/>
          <w:color w:val="000000"/>
          <w:lang w:val="en-GB"/>
        </w:rPr>
        <w:t xml:space="preserve"> </w:t>
      </w:r>
      <w:r w:rsidRPr="0029511A">
        <w:rPr>
          <w:rFonts w:ascii="Calibri" w:eastAsia="Calibri Light" w:hAnsi="Calibri" w:cs="Calibri"/>
          <w:b/>
          <w:bCs/>
          <w:color w:val="000000"/>
          <w:lang w:val="en-GB"/>
        </w:rPr>
        <w:t>out of a maximum score of 5</w:t>
      </w:r>
      <w:r w:rsidR="00410D8E" w:rsidRPr="0029511A">
        <w:rPr>
          <w:rFonts w:ascii="Calibri" w:eastAsia="Calibri Light" w:hAnsi="Calibri" w:cs="Calibri"/>
          <w:b/>
          <w:bCs/>
          <w:color w:val="000000"/>
          <w:lang w:val="en-GB"/>
        </w:rPr>
        <w:t xml:space="preserve"> </w:t>
      </w:r>
      <w:r w:rsidR="00410D8E" w:rsidRPr="0029511A">
        <w:rPr>
          <w:rFonts w:ascii="Calibri" w:eastAsia="Calibri Light" w:hAnsi="Calibri" w:cs="Calibri"/>
          <w:color w:val="000000"/>
          <w:lang w:val="en-GB"/>
        </w:rPr>
        <w:t xml:space="preserve">(independently verified by surveying a sample of project participants, see </w:t>
      </w:r>
      <w:r w:rsidR="00410D8E" w:rsidRPr="0029511A">
        <w:rPr>
          <w:rFonts w:ascii="Calibri" w:eastAsia="Calibri Light" w:hAnsi="Calibri" w:cs="Calibri"/>
          <w:color w:val="000000"/>
          <w:lang w:val="en-GB"/>
        </w:rPr>
        <w:fldChar w:fldCharType="begin"/>
      </w:r>
      <w:r w:rsidR="00410D8E" w:rsidRPr="0029511A">
        <w:rPr>
          <w:rFonts w:ascii="Calibri" w:eastAsia="Calibri Light" w:hAnsi="Calibri" w:cs="Calibri"/>
          <w:color w:val="000000"/>
          <w:lang w:val="en-GB"/>
        </w:rPr>
        <w:instrText xml:space="preserve"> REF _Ref179625193 \h </w:instrText>
      </w:r>
      <w:r w:rsidR="0029511A" w:rsidRPr="0029511A">
        <w:rPr>
          <w:rFonts w:ascii="Calibri" w:eastAsia="Calibri Light" w:hAnsi="Calibri" w:cs="Calibri"/>
          <w:color w:val="000000"/>
          <w:lang w:val="en-GB"/>
        </w:rPr>
        <w:instrText xml:space="preserve"> \* MERGEFORMAT </w:instrText>
      </w:r>
      <w:r w:rsidR="00410D8E" w:rsidRPr="0029511A">
        <w:rPr>
          <w:rFonts w:ascii="Calibri" w:eastAsia="Calibri Light" w:hAnsi="Calibri" w:cs="Calibri"/>
          <w:color w:val="000000"/>
          <w:lang w:val="en-GB"/>
        </w:rPr>
      </w:r>
      <w:r w:rsidR="00410D8E" w:rsidRPr="0029511A">
        <w:rPr>
          <w:rFonts w:ascii="Calibri" w:eastAsia="Calibri Light" w:hAnsi="Calibri" w:cs="Calibri"/>
          <w:color w:val="000000"/>
          <w:lang w:val="en-GB"/>
        </w:rPr>
        <w:fldChar w:fldCharType="separate"/>
      </w:r>
      <w:r w:rsidR="00FD5BA3" w:rsidRPr="0029511A">
        <w:rPr>
          <w:rFonts w:ascii="Calibri" w:hAnsi="Calibri" w:cs="Calibri"/>
          <w:lang w:val="en-GB"/>
        </w:rPr>
        <w:t xml:space="preserve">Figure </w:t>
      </w:r>
      <w:r w:rsidR="00FD5BA3" w:rsidRPr="0029511A">
        <w:rPr>
          <w:rFonts w:ascii="Calibri" w:hAnsi="Calibri" w:cs="Calibri"/>
          <w:noProof/>
          <w:lang w:val="en-GB"/>
        </w:rPr>
        <w:t>1</w:t>
      </w:r>
      <w:r w:rsidR="00410D8E" w:rsidRPr="0029511A">
        <w:rPr>
          <w:rFonts w:ascii="Calibri" w:eastAsia="Calibri Light" w:hAnsi="Calibri" w:cs="Calibri"/>
          <w:color w:val="000000"/>
          <w:lang w:val="en-GB"/>
        </w:rPr>
        <w:fldChar w:fldCharType="end"/>
      </w:r>
      <w:r w:rsidR="00410D8E" w:rsidRPr="0029511A">
        <w:rPr>
          <w:rFonts w:ascii="Calibri" w:eastAsia="Calibri Light" w:hAnsi="Calibri" w:cs="Calibri"/>
          <w:color w:val="000000"/>
          <w:lang w:val="en-GB"/>
        </w:rPr>
        <w:t>)</w:t>
      </w:r>
      <w:r w:rsidRPr="0029511A">
        <w:rPr>
          <w:rFonts w:ascii="Calibri" w:eastAsia="Calibri Light" w:hAnsi="Calibri" w:cs="Calibri"/>
          <w:color w:val="000000"/>
          <w:lang w:val="en-GB"/>
        </w:rPr>
        <w:t xml:space="preserve">. </w:t>
      </w:r>
      <w:r w:rsidRPr="0029511A">
        <w:rPr>
          <w:rFonts w:ascii="Calibri" w:eastAsia="Calibri Light" w:hAnsi="Calibri" w:cs="Calibri"/>
          <w:color w:val="000000"/>
          <w:lang w:val="en-GB"/>
        </w:rPr>
        <w:lastRenderedPageBreak/>
        <w:t xml:space="preserve">Participants have consistently rated AASP projects highly, reporting high levels of satisfaction with both the relevance of the topics addressed in the respective projects and the utility of the knowledge shared through the projects. </w:t>
      </w:r>
    </w:p>
    <w:p w14:paraId="792ADB56" w14:textId="5647E794" w:rsidR="0080179D" w:rsidRPr="0029511A" w:rsidRDefault="00055B06" w:rsidP="007E240F">
      <w:pPr>
        <w:spacing w:after="160" w:line="252" w:lineRule="auto"/>
        <w:rPr>
          <w:rFonts w:ascii="Calibri" w:eastAsia="Calibri Light" w:hAnsi="Calibri" w:cs="Calibri"/>
          <w:color w:val="000000"/>
          <w:lang w:val="en-GB"/>
        </w:rPr>
      </w:pPr>
      <w:r w:rsidRPr="0029511A">
        <w:rPr>
          <w:rFonts w:ascii="Calibri" w:eastAsia="Calibri Light" w:hAnsi="Calibri" w:cs="Calibri"/>
          <w:color w:val="000000"/>
          <w:lang w:val="en-GB"/>
        </w:rPr>
        <w:t>All four case studies</w:t>
      </w:r>
      <w:r w:rsidR="00410D8E" w:rsidRPr="0029511A">
        <w:rPr>
          <w:rFonts w:ascii="Calibri" w:eastAsia="Calibri Light" w:hAnsi="Calibri" w:cs="Calibri"/>
          <w:color w:val="000000"/>
          <w:lang w:val="en-GB"/>
        </w:rPr>
        <w:t xml:space="preserve"> noted </w:t>
      </w:r>
      <w:r w:rsidR="007D2D63" w:rsidRPr="0029511A">
        <w:rPr>
          <w:rFonts w:ascii="Calibri" w:eastAsia="Calibri Light" w:hAnsi="Calibri" w:cs="Calibri"/>
          <w:color w:val="000000"/>
          <w:lang w:val="en-GB"/>
        </w:rPr>
        <w:t>the value of the AASP, for instance</w:t>
      </w:r>
      <w:r w:rsidRPr="0029511A">
        <w:rPr>
          <w:rFonts w:ascii="Calibri" w:eastAsia="Calibri Light" w:hAnsi="Calibri" w:cs="Calibri"/>
          <w:color w:val="000000"/>
          <w:lang w:val="en-GB"/>
        </w:rPr>
        <w:t>:</w:t>
      </w:r>
    </w:p>
    <w:p w14:paraId="7FDA502E" w14:textId="57F514B6" w:rsidR="00055B06" w:rsidRPr="0029511A" w:rsidRDefault="007D2D63" w:rsidP="00D078C9">
      <w:pPr>
        <w:pStyle w:val="ListParagraph"/>
        <w:numPr>
          <w:ilvl w:val="0"/>
          <w:numId w:val="8"/>
        </w:numPr>
        <w:spacing w:after="160" w:line="252" w:lineRule="auto"/>
        <w:rPr>
          <w:rFonts w:ascii="Calibri" w:eastAsia="Calibri Light" w:hAnsi="Calibri" w:cs="Calibri"/>
          <w:color w:val="000000"/>
          <w:lang w:val="en-GB"/>
        </w:rPr>
      </w:pPr>
      <w:r w:rsidRPr="0029511A">
        <w:rPr>
          <w:rFonts w:ascii="Calibri" w:eastAsia="Calibri Light" w:hAnsi="Calibri" w:cs="Calibri"/>
          <w:b/>
          <w:bCs/>
          <w:color w:val="000000"/>
          <w:lang w:val="en-GB"/>
        </w:rPr>
        <w:t>GRIT project participants</w:t>
      </w:r>
      <w:r w:rsidRPr="0029511A">
        <w:rPr>
          <w:rFonts w:ascii="Calibri" w:eastAsia="Calibri Light" w:hAnsi="Calibri" w:cs="Calibri"/>
          <w:color w:val="000000"/>
          <w:lang w:val="en-GB"/>
        </w:rPr>
        <w:t>: derived benefit</w:t>
      </w:r>
      <w:r w:rsidR="0051265B" w:rsidRPr="0029511A">
        <w:rPr>
          <w:rFonts w:ascii="Calibri" w:eastAsia="Calibri Light" w:hAnsi="Calibri" w:cs="Calibri"/>
          <w:color w:val="000000"/>
          <w:lang w:val="en-GB"/>
        </w:rPr>
        <w:t>s</w:t>
      </w:r>
      <w:r w:rsidRPr="0029511A">
        <w:rPr>
          <w:rFonts w:ascii="Calibri" w:eastAsia="Calibri Light" w:hAnsi="Calibri" w:cs="Calibri"/>
          <w:color w:val="000000"/>
          <w:lang w:val="en-GB"/>
        </w:rPr>
        <w:t xml:space="preserve"> through accessing finance</w:t>
      </w:r>
      <w:r w:rsidR="00A91222" w:rsidRPr="0029511A">
        <w:rPr>
          <w:rFonts w:ascii="Calibri" w:eastAsia="Calibri Light" w:hAnsi="Calibri" w:cs="Calibri"/>
          <w:color w:val="000000"/>
          <w:lang w:val="en-GB"/>
        </w:rPr>
        <w:t xml:space="preserve">, </w:t>
      </w:r>
      <w:r w:rsidRPr="0029511A">
        <w:rPr>
          <w:rFonts w:ascii="Calibri" w:eastAsia="Calibri Light" w:hAnsi="Calibri" w:cs="Calibri"/>
          <w:color w:val="000000"/>
          <w:lang w:val="en-GB"/>
        </w:rPr>
        <w:t>improving the marketability and visibility of their businesses</w:t>
      </w:r>
      <w:r w:rsidR="00A91222" w:rsidRPr="0029511A">
        <w:rPr>
          <w:rFonts w:ascii="Calibri" w:eastAsia="Calibri Light" w:hAnsi="Calibri" w:cs="Calibri"/>
          <w:color w:val="000000"/>
          <w:lang w:val="en-GB"/>
        </w:rPr>
        <w:t xml:space="preserve">, </w:t>
      </w:r>
      <w:r w:rsidRPr="0029511A">
        <w:rPr>
          <w:rFonts w:ascii="Calibri" w:eastAsia="Calibri Light" w:hAnsi="Calibri" w:cs="Calibri"/>
          <w:color w:val="000000"/>
          <w:lang w:val="en-GB"/>
        </w:rPr>
        <w:t>fostering peer-to-peer networks</w:t>
      </w:r>
      <w:r w:rsidR="00A91222" w:rsidRPr="0029511A">
        <w:rPr>
          <w:rFonts w:ascii="Calibri" w:eastAsia="Calibri Light" w:hAnsi="Calibri" w:cs="Calibri"/>
          <w:color w:val="000000"/>
          <w:lang w:val="en-GB"/>
        </w:rPr>
        <w:t xml:space="preserve">, </w:t>
      </w:r>
      <w:r w:rsidRPr="0029511A">
        <w:rPr>
          <w:rFonts w:ascii="Calibri" w:eastAsia="Calibri Light" w:hAnsi="Calibri" w:cs="Calibri"/>
          <w:color w:val="000000"/>
          <w:lang w:val="en-GB"/>
        </w:rPr>
        <w:t xml:space="preserve">and raising the profile of </w:t>
      </w:r>
      <w:r w:rsidR="00E6228D" w:rsidRPr="0029511A">
        <w:rPr>
          <w:rFonts w:ascii="Calibri" w:eastAsia="Calibri Light" w:hAnsi="Calibri" w:cs="Calibri"/>
          <w:color w:val="000000"/>
          <w:lang w:val="en-GB"/>
        </w:rPr>
        <w:t>Indigenous</w:t>
      </w:r>
      <w:r w:rsidRPr="0029511A">
        <w:rPr>
          <w:rFonts w:ascii="Calibri" w:eastAsia="Calibri Light" w:hAnsi="Calibri" w:cs="Calibri"/>
          <w:color w:val="000000"/>
          <w:lang w:val="en-GB"/>
        </w:rPr>
        <w:t xml:space="preserve"> chambers of commerce (both domestically and internationally).</w:t>
      </w:r>
    </w:p>
    <w:p w14:paraId="7261855B" w14:textId="5A6CAA35" w:rsidR="007D2D63" w:rsidRPr="0029511A" w:rsidRDefault="007D2D63" w:rsidP="00D078C9">
      <w:pPr>
        <w:pStyle w:val="ListParagraph"/>
        <w:numPr>
          <w:ilvl w:val="0"/>
          <w:numId w:val="8"/>
        </w:numPr>
        <w:spacing w:after="160" w:line="252" w:lineRule="auto"/>
        <w:rPr>
          <w:rFonts w:ascii="Calibri" w:eastAsia="Calibri Light" w:hAnsi="Calibri" w:cs="Calibri"/>
          <w:color w:val="000000"/>
          <w:lang w:val="en-GB"/>
        </w:rPr>
      </w:pPr>
      <w:r w:rsidRPr="0029511A">
        <w:rPr>
          <w:rFonts w:ascii="Calibri" w:eastAsia="Calibri Light" w:hAnsi="Calibri" w:cs="Calibri"/>
          <w:b/>
          <w:bCs/>
          <w:color w:val="000000"/>
          <w:lang w:val="en-GB"/>
        </w:rPr>
        <w:t>Marine Debris project participants</w:t>
      </w:r>
      <w:r w:rsidRPr="0029511A">
        <w:rPr>
          <w:rFonts w:ascii="Calibri" w:eastAsia="Calibri Light" w:hAnsi="Calibri" w:cs="Calibri"/>
          <w:color w:val="000000"/>
          <w:lang w:val="en-GB"/>
        </w:rPr>
        <w:t>: noted that the project had helped socialise key policy imperatives</w:t>
      </w:r>
      <w:r w:rsidR="00A91222" w:rsidRPr="0029511A">
        <w:rPr>
          <w:rFonts w:ascii="Calibri" w:eastAsia="Calibri Light" w:hAnsi="Calibri" w:cs="Calibri"/>
          <w:color w:val="000000"/>
          <w:lang w:val="en-GB"/>
        </w:rPr>
        <w:t xml:space="preserve">, </w:t>
      </w:r>
      <w:r w:rsidRPr="0029511A">
        <w:rPr>
          <w:rFonts w:ascii="Calibri" w:eastAsia="Calibri Light" w:hAnsi="Calibri" w:cs="Calibri"/>
          <w:color w:val="000000"/>
          <w:lang w:val="en-GB"/>
        </w:rPr>
        <w:t>increased awareness of the roles and functions of services involved in the clean-up of marine debris</w:t>
      </w:r>
      <w:r w:rsidR="00A91222" w:rsidRPr="0029511A">
        <w:rPr>
          <w:rFonts w:ascii="Calibri" w:eastAsia="Calibri Light" w:hAnsi="Calibri" w:cs="Calibri"/>
          <w:color w:val="000000"/>
          <w:lang w:val="en-GB"/>
        </w:rPr>
        <w:t xml:space="preserve">, </w:t>
      </w:r>
      <w:r w:rsidRPr="0029511A">
        <w:rPr>
          <w:rFonts w:ascii="Calibri" w:eastAsia="Calibri Light" w:hAnsi="Calibri" w:cs="Calibri"/>
          <w:color w:val="000000"/>
          <w:lang w:val="en-GB"/>
        </w:rPr>
        <w:t>and a better understanding of how services in cleaning up marine debris can promote investment, trade, and market creation.</w:t>
      </w:r>
    </w:p>
    <w:p w14:paraId="5EF337B4" w14:textId="1779990C" w:rsidR="007D2D63" w:rsidRPr="0029511A" w:rsidRDefault="007D2D63" w:rsidP="00D078C9">
      <w:pPr>
        <w:pStyle w:val="ListParagraph"/>
        <w:numPr>
          <w:ilvl w:val="0"/>
          <w:numId w:val="8"/>
        </w:numPr>
        <w:spacing w:after="160" w:line="252" w:lineRule="auto"/>
        <w:rPr>
          <w:rFonts w:ascii="Calibri" w:eastAsia="Calibri Light" w:hAnsi="Calibri" w:cs="Calibri"/>
          <w:color w:val="000000"/>
          <w:lang w:val="en-GB"/>
        </w:rPr>
      </w:pPr>
      <w:r w:rsidRPr="0029511A">
        <w:rPr>
          <w:rFonts w:ascii="Calibri" w:eastAsia="Calibri Light" w:hAnsi="Calibri" w:cs="Calibri"/>
          <w:b/>
          <w:bCs/>
          <w:color w:val="000000"/>
          <w:lang w:val="en-GB"/>
        </w:rPr>
        <w:t>MRA project participants</w:t>
      </w:r>
      <w:r w:rsidRPr="0029511A">
        <w:rPr>
          <w:rFonts w:ascii="Calibri" w:eastAsia="Calibri Light" w:hAnsi="Calibri" w:cs="Calibri"/>
          <w:color w:val="000000"/>
          <w:lang w:val="en-GB"/>
        </w:rPr>
        <w:t xml:space="preserve">: </w:t>
      </w:r>
      <w:r w:rsidRPr="0029511A">
        <w:rPr>
          <w:rFonts w:ascii="Calibri" w:hAnsi="Calibri" w:cs="Calibri"/>
          <w:bCs/>
          <w:lang w:val="en-GB"/>
        </w:rPr>
        <w:t>participants identified a wide range of actions they committed to undertaking as a result of the project</w:t>
      </w:r>
      <w:r w:rsidR="00A91222" w:rsidRPr="0029511A">
        <w:rPr>
          <w:rFonts w:ascii="Calibri" w:hAnsi="Calibri" w:cs="Calibri"/>
          <w:bCs/>
          <w:lang w:val="en-GB"/>
        </w:rPr>
        <w:t>,</w:t>
      </w:r>
      <w:r w:rsidRPr="0029511A">
        <w:rPr>
          <w:rFonts w:ascii="Calibri" w:hAnsi="Calibri" w:cs="Calibri"/>
          <w:bCs/>
          <w:lang w:val="en-GB"/>
        </w:rPr>
        <w:t xml:space="preserve"> including developing guidelines and operating procedures on </w:t>
      </w:r>
      <w:r w:rsidR="00A91222" w:rsidRPr="0029511A">
        <w:rPr>
          <w:rFonts w:ascii="Calibri" w:hAnsi="Calibri" w:cs="Calibri"/>
          <w:bCs/>
          <w:lang w:val="en-GB"/>
        </w:rPr>
        <w:t xml:space="preserve">digitising </w:t>
      </w:r>
      <w:r w:rsidR="009B170A" w:rsidRPr="0029511A">
        <w:rPr>
          <w:rFonts w:ascii="Calibri" w:hAnsi="Calibri" w:cs="Calibri"/>
          <w:bCs/>
          <w:lang w:val="en-GB"/>
        </w:rPr>
        <w:t xml:space="preserve">the </w:t>
      </w:r>
      <w:r w:rsidRPr="0029511A">
        <w:rPr>
          <w:rFonts w:ascii="Calibri" w:hAnsi="Calibri" w:cs="Calibri"/>
          <w:bCs/>
          <w:lang w:val="en-GB"/>
        </w:rPr>
        <w:t>recognition process and on certification of micro-credentials</w:t>
      </w:r>
      <w:r w:rsidR="00A91222" w:rsidRPr="0029511A">
        <w:rPr>
          <w:rFonts w:ascii="Calibri" w:hAnsi="Calibri" w:cs="Calibri"/>
          <w:bCs/>
          <w:lang w:val="en-GB"/>
        </w:rPr>
        <w:t xml:space="preserve">, </w:t>
      </w:r>
      <w:r w:rsidRPr="0029511A">
        <w:rPr>
          <w:rFonts w:ascii="Calibri" w:hAnsi="Calibri" w:cs="Calibri"/>
          <w:bCs/>
          <w:lang w:val="en-GB"/>
        </w:rPr>
        <w:t>factoring in the current trade agreement provisions in the digital professional service delivery platform development; and restructuring existing platforms to ensure they better facilitate professional mobility within economies in the region.</w:t>
      </w:r>
    </w:p>
    <w:p w14:paraId="22AE37C3" w14:textId="2EF123F9" w:rsidR="007D2D63" w:rsidRPr="0029511A" w:rsidRDefault="00C61227" w:rsidP="00D078C9">
      <w:pPr>
        <w:pStyle w:val="ListParagraph"/>
        <w:numPr>
          <w:ilvl w:val="0"/>
          <w:numId w:val="8"/>
        </w:numPr>
        <w:spacing w:after="160" w:line="252" w:lineRule="auto"/>
        <w:rPr>
          <w:rFonts w:ascii="Calibri" w:eastAsia="Calibri Light" w:hAnsi="Calibri" w:cs="Calibri"/>
          <w:color w:val="000000"/>
          <w:lang w:val="en-GB"/>
        </w:rPr>
      </w:pPr>
      <w:r w:rsidRPr="0029511A">
        <w:rPr>
          <w:rFonts w:ascii="Calibri" w:eastAsia="Calibri Light" w:hAnsi="Calibri" w:cs="Calibri"/>
          <w:b/>
          <w:bCs/>
          <w:color w:val="000000"/>
          <w:lang w:val="en-GB"/>
        </w:rPr>
        <w:t>Women in STEM project participants</w:t>
      </w:r>
      <w:r w:rsidRPr="0029511A">
        <w:rPr>
          <w:rFonts w:ascii="Calibri" w:eastAsia="Calibri Light" w:hAnsi="Calibri" w:cs="Calibri"/>
          <w:color w:val="000000"/>
          <w:lang w:val="en-GB"/>
        </w:rPr>
        <w:t>: derived benefit</w:t>
      </w:r>
      <w:r w:rsidR="009B170A" w:rsidRPr="0029511A">
        <w:rPr>
          <w:rFonts w:ascii="Calibri" w:eastAsia="Calibri Light" w:hAnsi="Calibri" w:cs="Calibri"/>
          <w:color w:val="000000"/>
          <w:lang w:val="en-GB"/>
        </w:rPr>
        <w:t>s</w:t>
      </w:r>
      <w:r w:rsidRPr="0029511A">
        <w:rPr>
          <w:rFonts w:ascii="Calibri" w:eastAsia="Calibri Light" w:hAnsi="Calibri" w:cs="Calibri"/>
          <w:color w:val="000000"/>
          <w:lang w:val="en-GB"/>
        </w:rPr>
        <w:t xml:space="preserve"> through increased skill development and career prospects; added value to host institutions through publications and other </w:t>
      </w:r>
      <w:r w:rsidR="00A91222" w:rsidRPr="0029511A">
        <w:rPr>
          <w:rFonts w:ascii="Calibri" w:eastAsia="Calibri Light" w:hAnsi="Calibri" w:cs="Calibri"/>
          <w:color w:val="000000"/>
          <w:lang w:val="en-GB"/>
        </w:rPr>
        <w:t>knowledge-</w:t>
      </w:r>
      <w:r w:rsidRPr="0029511A">
        <w:rPr>
          <w:rFonts w:ascii="Calibri" w:eastAsia="Calibri Light" w:hAnsi="Calibri" w:cs="Calibri"/>
          <w:color w:val="000000"/>
          <w:lang w:val="en-GB"/>
        </w:rPr>
        <w:t>sharing research outputs; generated future research collaboration opportunities; and eased the constraints and barriers faced by women researchers.</w:t>
      </w:r>
    </w:p>
    <w:p w14:paraId="7D704BC6" w14:textId="6AB974CF" w:rsidR="007E240F" w:rsidRPr="0029511A" w:rsidRDefault="007E240F" w:rsidP="007E240F">
      <w:pPr>
        <w:spacing w:after="160" w:line="252" w:lineRule="auto"/>
        <w:rPr>
          <w:rFonts w:ascii="Calibri" w:hAnsi="Calibri" w:cs="Calibri"/>
          <w:lang w:val="en-GB"/>
        </w:rPr>
      </w:pPr>
      <w:r w:rsidRPr="0029511A">
        <w:rPr>
          <w:rFonts w:ascii="Calibri" w:eastAsia="Calibri Light" w:hAnsi="Calibri" w:cs="Calibri"/>
          <w:b/>
          <w:bCs/>
          <w:color w:val="000000"/>
          <w:lang w:val="en-GB"/>
        </w:rPr>
        <w:t xml:space="preserve">Feedback </w:t>
      </w:r>
      <w:r w:rsidRPr="0029511A">
        <w:rPr>
          <w:rFonts w:ascii="Calibri" w:eastAsia="Calibri Light" w:hAnsi="Calibri" w:cs="Calibri"/>
          <w:color w:val="000000"/>
          <w:lang w:val="en-GB"/>
        </w:rPr>
        <w:t>from</w:t>
      </w:r>
      <w:r w:rsidRPr="0029511A">
        <w:rPr>
          <w:rFonts w:ascii="Calibri" w:eastAsia="Calibri Light" w:hAnsi="Calibri" w:cs="Calibri"/>
          <w:b/>
          <w:bCs/>
          <w:color w:val="000000"/>
          <w:lang w:val="en-GB"/>
        </w:rPr>
        <w:t xml:space="preserve"> </w:t>
      </w:r>
      <w:r w:rsidRPr="0029511A">
        <w:rPr>
          <w:rFonts w:ascii="Calibri" w:eastAsia="Calibri Light" w:hAnsi="Calibri" w:cs="Calibri"/>
          <w:color w:val="000000"/>
          <w:lang w:val="en-GB"/>
        </w:rPr>
        <w:t xml:space="preserve">interviews </w:t>
      </w:r>
      <w:r w:rsidR="009865AF" w:rsidRPr="0029511A">
        <w:rPr>
          <w:rFonts w:ascii="Calibri" w:eastAsia="Calibri Light" w:hAnsi="Calibri" w:cs="Calibri"/>
          <w:color w:val="000000"/>
          <w:lang w:val="en-GB"/>
        </w:rPr>
        <w:t>conducted in the margins of</w:t>
      </w:r>
      <w:r w:rsidRPr="0029511A">
        <w:rPr>
          <w:rFonts w:ascii="Calibri" w:eastAsia="Calibri Light" w:hAnsi="Calibri" w:cs="Calibri"/>
          <w:color w:val="000000"/>
          <w:lang w:val="en-GB"/>
        </w:rPr>
        <w:t xml:space="preserve"> SOM 3</w:t>
      </w:r>
      <w:r w:rsidR="009865AF" w:rsidRPr="0029511A">
        <w:rPr>
          <w:rFonts w:ascii="Calibri" w:eastAsia="Calibri Light" w:hAnsi="Calibri" w:cs="Calibri"/>
          <w:color w:val="000000"/>
          <w:lang w:val="en-GB"/>
        </w:rPr>
        <w:t xml:space="preserve"> in 2024</w:t>
      </w:r>
      <w:r w:rsidRPr="0029511A">
        <w:rPr>
          <w:rFonts w:ascii="Calibri" w:eastAsia="Calibri Light" w:hAnsi="Calibri" w:cs="Calibri"/>
          <w:color w:val="000000"/>
          <w:lang w:val="en-GB"/>
        </w:rPr>
        <w:t xml:space="preserve"> and survey responses </w:t>
      </w:r>
      <w:r w:rsidR="00C61227" w:rsidRPr="0029511A">
        <w:rPr>
          <w:rFonts w:ascii="Calibri" w:eastAsia="Calibri Light" w:hAnsi="Calibri" w:cs="Calibri"/>
          <w:color w:val="000000"/>
          <w:lang w:val="en-GB"/>
        </w:rPr>
        <w:t>similarly supports the view that the contribution of AASP is of value within APEC (</w:t>
      </w:r>
      <w:r w:rsidR="00DC16E3" w:rsidRPr="0029511A">
        <w:rPr>
          <w:rFonts w:ascii="Calibri" w:eastAsia="Calibri Light" w:hAnsi="Calibri" w:cs="Calibri"/>
          <w:color w:val="000000"/>
          <w:lang w:val="en-GB"/>
        </w:rPr>
        <w:t>as provided in the text boxes above</w:t>
      </w:r>
      <w:r w:rsidR="00CE3FC0" w:rsidRPr="0029511A">
        <w:rPr>
          <w:rFonts w:ascii="Calibri" w:eastAsia="Calibri Light" w:hAnsi="Calibri" w:cs="Calibri"/>
          <w:color w:val="000000"/>
          <w:lang w:val="en-GB"/>
        </w:rPr>
        <w:t>,</w:t>
      </w:r>
      <w:r w:rsidR="00DC16E3" w:rsidRPr="0029511A">
        <w:rPr>
          <w:rFonts w:ascii="Calibri" w:eastAsia="Calibri Light" w:hAnsi="Calibri" w:cs="Calibri"/>
          <w:color w:val="000000"/>
          <w:lang w:val="en-GB"/>
        </w:rPr>
        <w:t xml:space="preserve"> which record the</w:t>
      </w:r>
      <w:r w:rsidR="00C61227" w:rsidRPr="0029511A">
        <w:rPr>
          <w:rFonts w:ascii="Calibri" w:eastAsia="Calibri Light" w:hAnsi="Calibri" w:cs="Calibri"/>
          <w:color w:val="000000"/>
          <w:lang w:val="en-GB"/>
        </w:rPr>
        <w:t xml:space="preserve"> feedback received from Indonesia, Mexico, the Philippines,</w:t>
      </w:r>
      <w:r w:rsidR="00D07A9D" w:rsidRPr="0029511A">
        <w:rPr>
          <w:rFonts w:ascii="Calibri" w:eastAsia="Calibri Light" w:hAnsi="Calibri" w:cs="Calibri"/>
          <w:color w:val="000000"/>
          <w:lang w:val="en-GB"/>
        </w:rPr>
        <w:t xml:space="preserve"> and Malaysia), in addition:</w:t>
      </w:r>
      <w:r w:rsidR="00442269" w:rsidRPr="0029511A">
        <w:rPr>
          <w:rFonts w:ascii="Calibri" w:eastAsia="Calibri Light" w:hAnsi="Calibri" w:cs="Calibri"/>
          <w:color w:val="000000"/>
          <w:lang w:val="en-GB"/>
        </w:rPr>
        <w:t xml:space="preserve"> </w:t>
      </w:r>
    </w:p>
    <w:p w14:paraId="28D24708" w14:textId="3FCEA993" w:rsidR="007E240F" w:rsidRPr="0029511A" w:rsidRDefault="007E240F" w:rsidP="00D078C9">
      <w:pPr>
        <w:pStyle w:val="ListParagraph"/>
        <w:numPr>
          <w:ilvl w:val="0"/>
          <w:numId w:val="5"/>
        </w:numPr>
        <w:spacing w:after="160" w:line="252" w:lineRule="auto"/>
        <w:rPr>
          <w:rFonts w:ascii="Calibri" w:hAnsi="Calibri" w:cs="Calibri"/>
          <w:lang w:val="en-GB"/>
        </w:rPr>
      </w:pPr>
      <w:r w:rsidRPr="0029511A">
        <w:rPr>
          <w:rFonts w:ascii="Calibri" w:hAnsi="Calibri" w:cs="Calibri"/>
          <w:lang w:val="en-GB"/>
        </w:rPr>
        <w:t xml:space="preserve">The United States </w:t>
      </w:r>
      <w:r w:rsidR="009865AF" w:rsidRPr="0029511A">
        <w:rPr>
          <w:rFonts w:ascii="Calibri" w:hAnsi="Calibri" w:cs="Calibri"/>
          <w:lang w:val="en-GB"/>
        </w:rPr>
        <w:t xml:space="preserve">representative </w:t>
      </w:r>
      <w:r w:rsidRPr="0029511A">
        <w:rPr>
          <w:rFonts w:ascii="Calibri" w:hAnsi="Calibri" w:cs="Calibri"/>
          <w:lang w:val="en-GB"/>
        </w:rPr>
        <w:t>specifically mentioned that Australian workshops are "strategic and cover useful topics" and are "of high quality, well-attended and has good speakers/experts</w:t>
      </w:r>
      <w:r w:rsidR="00301D40" w:rsidRPr="0029511A">
        <w:rPr>
          <w:rFonts w:ascii="Calibri" w:hAnsi="Calibri" w:cs="Calibri"/>
          <w:lang w:val="en-GB"/>
        </w:rPr>
        <w:t>"</w:t>
      </w:r>
    </w:p>
    <w:p w14:paraId="3EC86887" w14:textId="43353BD1" w:rsidR="00410D8E" w:rsidRPr="0029511A" w:rsidRDefault="007E240F" w:rsidP="00D078C9">
      <w:pPr>
        <w:pStyle w:val="ListParagraph"/>
        <w:numPr>
          <w:ilvl w:val="0"/>
          <w:numId w:val="5"/>
        </w:numPr>
        <w:spacing w:after="160" w:line="252" w:lineRule="auto"/>
        <w:rPr>
          <w:rFonts w:ascii="Calibri" w:hAnsi="Calibri" w:cs="Calibri"/>
          <w:lang w:val="en-GB"/>
        </w:rPr>
      </w:pPr>
      <w:r w:rsidRPr="0029511A">
        <w:rPr>
          <w:rFonts w:ascii="Calibri" w:hAnsi="Calibri" w:cs="Calibri"/>
          <w:lang w:val="en-GB"/>
        </w:rPr>
        <w:t>The OECD representative stated that "Australian leadership and capacity</w:t>
      </w:r>
      <w:r w:rsidR="00064C7A" w:rsidRPr="0029511A">
        <w:rPr>
          <w:rFonts w:ascii="Calibri" w:hAnsi="Calibri" w:cs="Calibri"/>
          <w:lang w:val="en-GB"/>
        </w:rPr>
        <w:t xml:space="preserve"> </w:t>
      </w:r>
      <w:r w:rsidRPr="0029511A">
        <w:rPr>
          <w:rFonts w:ascii="Calibri" w:hAnsi="Calibri" w:cs="Calibri"/>
          <w:lang w:val="en-GB"/>
        </w:rPr>
        <w:t>building offerings in APEC are considered best practice."</w:t>
      </w:r>
      <w:r w:rsidR="00D07A9D" w:rsidRPr="0029511A">
        <w:rPr>
          <w:rFonts w:ascii="Calibri" w:hAnsi="Calibri" w:cs="Calibri"/>
          <w:lang w:val="en-GB"/>
        </w:rPr>
        <w:t xml:space="preserve"> The same representative also noted that </w:t>
      </w:r>
      <w:r w:rsidRPr="0029511A">
        <w:rPr>
          <w:rFonts w:ascii="Calibri" w:hAnsi="Calibri" w:cs="Calibri"/>
          <w:lang w:val="en-GB"/>
        </w:rPr>
        <w:t xml:space="preserve">PNG was inspired by the messages delivered at the </w:t>
      </w:r>
      <w:r w:rsidR="00CE3FC0" w:rsidRPr="0029511A">
        <w:rPr>
          <w:rFonts w:ascii="Calibri" w:hAnsi="Calibri" w:cs="Calibri"/>
          <w:lang w:val="en-GB"/>
        </w:rPr>
        <w:t>Australian-</w:t>
      </w:r>
      <w:r w:rsidRPr="0029511A">
        <w:rPr>
          <w:rFonts w:ascii="Calibri" w:hAnsi="Calibri" w:cs="Calibri"/>
          <w:lang w:val="en-GB"/>
        </w:rPr>
        <w:t xml:space="preserve">hosted workshops on </w:t>
      </w:r>
      <w:r w:rsidR="003D16EF" w:rsidRPr="0029511A">
        <w:rPr>
          <w:rFonts w:ascii="Calibri" w:hAnsi="Calibri" w:cs="Calibri"/>
          <w:lang w:val="en-GB"/>
        </w:rPr>
        <w:t>the Services Trade Restrictiveness Index (STRI)</w:t>
      </w:r>
      <w:r w:rsidRPr="0029511A">
        <w:rPr>
          <w:rFonts w:ascii="Calibri" w:hAnsi="Calibri" w:cs="Calibri"/>
          <w:lang w:val="en-GB"/>
        </w:rPr>
        <w:t xml:space="preserve"> and used it as a stepping stone to engage with the OECD</w:t>
      </w:r>
      <w:r w:rsidR="00CE3FC0" w:rsidRPr="0029511A">
        <w:rPr>
          <w:rFonts w:ascii="Calibri" w:hAnsi="Calibri" w:cs="Calibri"/>
          <w:lang w:val="en-GB"/>
        </w:rPr>
        <w:t>,</w:t>
      </w:r>
      <w:r w:rsidRPr="0029511A">
        <w:rPr>
          <w:rFonts w:ascii="Calibri" w:hAnsi="Calibri" w:cs="Calibri"/>
          <w:lang w:val="en-GB"/>
        </w:rPr>
        <w:t xml:space="preserve"> </w:t>
      </w:r>
      <w:r w:rsidR="00CE3FC0" w:rsidRPr="0029511A">
        <w:rPr>
          <w:rFonts w:ascii="Calibri" w:hAnsi="Calibri" w:cs="Calibri"/>
          <w:lang w:val="en-GB"/>
        </w:rPr>
        <w:t xml:space="preserve">which </w:t>
      </w:r>
      <w:r w:rsidRPr="0029511A">
        <w:rPr>
          <w:rFonts w:ascii="Calibri" w:hAnsi="Calibri" w:cs="Calibri"/>
          <w:lang w:val="en-GB"/>
        </w:rPr>
        <w:t xml:space="preserve">is currently undertaking the OECD STRI process in collaboration with PNG, with an aim to identify services trade restrictions across PNG's services sectors. </w:t>
      </w:r>
    </w:p>
    <w:p w14:paraId="25FBC2B1" w14:textId="6C449C1C" w:rsidR="007E240F" w:rsidRPr="0029511A" w:rsidRDefault="00410D8E" w:rsidP="00D078C9">
      <w:pPr>
        <w:pStyle w:val="ListParagraph"/>
        <w:numPr>
          <w:ilvl w:val="0"/>
          <w:numId w:val="5"/>
        </w:numPr>
        <w:spacing w:after="160" w:line="252" w:lineRule="auto"/>
        <w:rPr>
          <w:rFonts w:ascii="Calibri" w:hAnsi="Calibri" w:cs="Calibri"/>
          <w:lang w:val="en-GB"/>
        </w:rPr>
      </w:pPr>
      <w:r w:rsidRPr="0029511A">
        <w:rPr>
          <w:rFonts w:ascii="Calibri" w:hAnsi="Calibri" w:cs="Calibri"/>
          <w:lang w:val="en-GB"/>
        </w:rPr>
        <w:t>The representative from Canada found that “</w:t>
      </w:r>
      <w:r w:rsidR="005307EA" w:rsidRPr="0029511A">
        <w:rPr>
          <w:rFonts w:ascii="Calibri" w:hAnsi="Calibri" w:cs="Calibri"/>
          <w:lang w:val="en-GB"/>
        </w:rPr>
        <w:t>t</w:t>
      </w:r>
      <w:r w:rsidRPr="0029511A">
        <w:rPr>
          <w:rFonts w:ascii="Calibri" w:hAnsi="Calibri" w:cs="Calibri"/>
          <w:lang w:val="en-GB"/>
        </w:rPr>
        <w:t xml:space="preserve">he </w:t>
      </w:r>
      <w:r w:rsidR="00B262AC" w:rsidRPr="0029511A">
        <w:rPr>
          <w:rFonts w:ascii="Calibri" w:hAnsi="Calibri" w:cs="Calibri"/>
          <w:i/>
          <w:iCs/>
          <w:lang w:val="en-GB"/>
        </w:rPr>
        <w:t>G</w:t>
      </w:r>
      <w:r w:rsidRPr="0029511A">
        <w:rPr>
          <w:rFonts w:ascii="Calibri" w:hAnsi="Calibri" w:cs="Calibri"/>
          <w:i/>
          <w:iCs/>
          <w:lang w:val="en-GB"/>
        </w:rPr>
        <w:t xml:space="preserve">ender in </w:t>
      </w:r>
      <w:r w:rsidR="00B262AC" w:rsidRPr="0029511A">
        <w:rPr>
          <w:rFonts w:ascii="Calibri" w:hAnsi="Calibri" w:cs="Calibri"/>
          <w:i/>
          <w:iCs/>
          <w:lang w:val="en-GB"/>
        </w:rPr>
        <w:t>S</w:t>
      </w:r>
      <w:r w:rsidRPr="0029511A">
        <w:rPr>
          <w:rFonts w:ascii="Calibri" w:hAnsi="Calibri" w:cs="Calibri"/>
          <w:i/>
          <w:iCs/>
          <w:lang w:val="en-GB"/>
        </w:rPr>
        <w:t>ports</w:t>
      </w:r>
      <w:r w:rsidRPr="0029511A">
        <w:rPr>
          <w:rFonts w:ascii="Calibri" w:hAnsi="Calibri" w:cs="Calibri"/>
          <w:lang w:val="en-GB"/>
        </w:rPr>
        <w:t xml:space="preserve"> workshop offered a fresh perspective on looking at sports and gender from a non-traditional lens. The speakers and experts were </w:t>
      </w:r>
      <w:proofErr w:type="gramStart"/>
      <w:r w:rsidRPr="0029511A">
        <w:rPr>
          <w:rFonts w:ascii="Calibri" w:hAnsi="Calibri" w:cs="Calibri"/>
          <w:lang w:val="en-GB"/>
        </w:rPr>
        <w:t>good</w:t>
      </w:r>
      <w:proofErr w:type="gramEnd"/>
      <w:r w:rsidRPr="0029511A">
        <w:rPr>
          <w:rFonts w:ascii="Calibri" w:hAnsi="Calibri" w:cs="Calibri"/>
          <w:lang w:val="en-GB"/>
        </w:rPr>
        <w:t xml:space="preserve"> and discussions were informative”.</w:t>
      </w:r>
    </w:p>
    <w:p w14:paraId="7142EF01" w14:textId="142C096B" w:rsidR="005307EA" w:rsidRPr="0029511A" w:rsidRDefault="00C26590" w:rsidP="00D078C9">
      <w:pPr>
        <w:pStyle w:val="ListParagraph"/>
        <w:numPr>
          <w:ilvl w:val="0"/>
          <w:numId w:val="5"/>
        </w:numPr>
        <w:spacing w:after="160" w:line="252" w:lineRule="auto"/>
        <w:rPr>
          <w:rFonts w:ascii="Calibri" w:hAnsi="Calibri" w:cs="Calibri"/>
          <w:lang w:val="en-GB"/>
        </w:rPr>
      </w:pPr>
      <w:r w:rsidRPr="0029511A">
        <w:rPr>
          <w:rFonts w:ascii="Calibri" w:hAnsi="Calibri" w:cs="Calibri"/>
          <w:lang w:val="en-GB"/>
        </w:rPr>
        <w:t>The representative from Chin</w:t>
      </w:r>
      <w:r w:rsidR="009865AF" w:rsidRPr="0029511A">
        <w:rPr>
          <w:rFonts w:ascii="Calibri" w:hAnsi="Calibri" w:cs="Calibri"/>
          <w:lang w:val="en-GB"/>
        </w:rPr>
        <w:t>ese</w:t>
      </w:r>
      <w:r w:rsidRPr="0029511A">
        <w:rPr>
          <w:rFonts w:ascii="Calibri" w:hAnsi="Calibri" w:cs="Calibri"/>
          <w:lang w:val="en-GB"/>
        </w:rPr>
        <w:t xml:space="preserve"> Taipei</w:t>
      </w:r>
      <w:r w:rsidR="00444029" w:rsidRPr="0029511A">
        <w:rPr>
          <w:rFonts w:ascii="Calibri" w:hAnsi="Calibri" w:cs="Calibri"/>
          <w:lang w:val="en-GB"/>
        </w:rPr>
        <w:t xml:space="preserve"> </w:t>
      </w:r>
      <w:r w:rsidRPr="0029511A">
        <w:rPr>
          <w:rFonts w:ascii="Calibri" w:hAnsi="Calibri" w:cs="Calibri"/>
          <w:lang w:val="en-GB"/>
        </w:rPr>
        <w:t>report</w:t>
      </w:r>
      <w:r w:rsidR="009865AF" w:rsidRPr="0029511A">
        <w:rPr>
          <w:rFonts w:ascii="Calibri" w:hAnsi="Calibri" w:cs="Calibri"/>
          <w:lang w:val="en-GB"/>
        </w:rPr>
        <w:t>ed</w:t>
      </w:r>
      <w:r w:rsidRPr="0029511A">
        <w:rPr>
          <w:rFonts w:ascii="Calibri" w:hAnsi="Calibri" w:cs="Calibri"/>
          <w:lang w:val="en-GB"/>
        </w:rPr>
        <w:t xml:space="preserve"> that AASP “workshops presented more practical issues that C</w:t>
      </w:r>
      <w:r w:rsidR="004F7563" w:rsidRPr="0029511A">
        <w:rPr>
          <w:rFonts w:ascii="Calibri" w:hAnsi="Calibri" w:cs="Calibri"/>
          <w:lang w:val="en-GB"/>
        </w:rPr>
        <w:t>hinese Taipei</w:t>
      </w:r>
      <w:r w:rsidRPr="0029511A">
        <w:rPr>
          <w:rFonts w:ascii="Calibri" w:hAnsi="Calibri" w:cs="Calibri"/>
          <w:lang w:val="en-GB"/>
        </w:rPr>
        <w:t xml:space="preserve"> trade officials had not encountered before”. They also found the outputs useful and informative to guide processes domestically: “</w:t>
      </w:r>
      <w:r w:rsidR="00CE3FC0" w:rsidRPr="0029511A">
        <w:rPr>
          <w:rFonts w:ascii="Calibri" w:hAnsi="Calibri" w:cs="Calibri"/>
          <w:lang w:val="en-GB"/>
        </w:rPr>
        <w:t xml:space="preserve">The </w:t>
      </w:r>
      <w:r w:rsidRPr="0029511A">
        <w:rPr>
          <w:rFonts w:ascii="Calibri" w:hAnsi="Calibri" w:cs="Calibri"/>
          <w:lang w:val="en-GB"/>
        </w:rPr>
        <w:t>workshops have inspired C</w:t>
      </w:r>
      <w:r w:rsidR="004F7563" w:rsidRPr="0029511A">
        <w:rPr>
          <w:rFonts w:ascii="Calibri" w:hAnsi="Calibri" w:cs="Calibri"/>
          <w:lang w:val="en-GB"/>
        </w:rPr>
        <w:t>hinese Taipei</w:t>
      </w:r>
      <w:r w:rsidRPr="0029511A">
        <w:rPr>
          <w:rFonts w:ascii="Calibri" w:hAnsi="Calibri" w:cs="Calibri"/>
          <w:lang w:val="en-GB"/>
        </w:rPr>
        <w:t xml:space="preserve"> to find </w:t>
      </w:r>
      <w:r w:rsidR="00AE3729" w:rsidRPr="0029511A">
        <w:rPr>
          <w:rFonts w:ascii="Calibri" w:hAnsi="Calibri" w:cs="Calibri"/>
          <w:lang w:val="en-GB"/>
        </w:rPr>
        <w:t xml:space="preserve">value in the </w:t>
      </w:r>
      <w:r w:rsidR="00555C90" w:rsidRPr="0029511A">
        <w:rPr>
          <w:rFonts w:ascii="Calibri" w:hAnsi="Calibri" w:cs="Calibri"/>
          <w:lang w:val="en-GB"/>
        </w:rPr>
        <w:t>services sector and</w:t>
      </w:r>
      <w:r w:rsidRPr="0029511A">
        <w:rPr>
          <w:rFonts w:ascii="Calibri" w:hAnsi="Calibri" w:cs="Calibri"/>
          <w:lang w:val="en-GB"/>
        </w:rPr>
        <w:t xml:space="preserve"> start from scratch to build upon their strengths in services exports (data and statistics) starting with transportation, travel, and financial services”.</w:t>
      </w:r>
    </w:p>
    <w:p w14:paraId="7DCBD884" w14:textId="06EFE0C7" w:rsidR="00F61268" w:rsidRPr="0029511A" w:rsidRDefault="00F61268" w:rsidP="00D078C9">
      <w:pPr>
        <w:pStyle w:val="ListParagraph"/>
        <w:numPr>
          <w:ilvl w:val="0"/>
          <w:numId w:val="5"/>
        </w:numPr>
        <w:spacing w:after="160" w:line="252" w:lineRule="auto"/>
        <w:rPr>
          <w:rFonts w:ascii="Calibri" w:hAnsi="Calibri" w:cs="Calibri"/>
          <w:lang w:val="en-GB"/>
        </w:rPr>
      </w:pPr>
      <w:r w:rsidRPr="0029511A">
        <w:rPr>
          <w:rFonts w:ascii="Calibri" w:hAnsi="Calibri" w:cs="Calibri"/>
          <w:lang w:val="en-GB"/>
        </w:rPr>
        <w:t xml:space="preserve">Services Dialogues like the ones hosted by Australia within </w:t>
      </w:r>
      <w:r w:rsidR="00CE3FC0" w:rsidRPr="0029511A">
        <w:rPr>
          <w:rFonts w:ascii="Calibri" w:hAnsi="Calibri" w:cs="Calibri"/>
          <w:lang w:val="en-GB"/>
        </w:rPr>
        <w:t xml:space="preserve">the </w:t>
      </w:r>
      <w:r w:rsidRPr="0029511A">
        <w:rPr>
          <w:rFonts w:ascii="Calibri" w:hAnsi="Calibri" w:cs="Calibri"/>
          <w:lang w:val="en-GB"/>
        </w:rPr>
        <w:t>GOS agenda provide tools and fora for collaboration</w:t>
      </w:r>
      <w:r w:rsidR="00CE3FC0" w:rsidRPr="0029511A">
        <w:rPr>
          <w:rFonts w:ascii="Calibri" w:hAnsi="Calibri" w:cs="Calibri"/>
          <w:lang w:val="en-GB"/>
        </w:rPr>
        <w:t>,</w:t>
      </w:r>
      <w:r w:rsidRPr="0029511A">
        <w:rPr>
          <w:rFonts w:ascii="Calibri" w:hAnsi="Calibri" w:cs="Calibri"/>
          <w:lang w:val="en-GB"/>
        </w:rPr>
        <w:t xml:space="preserve"> platforms for formulating and adopting some common principles (such as the </w:t>
      </w:r>
      <w:r w:rsidRPr="0029511A">
        <w:rPr>
          <w:rFonts w:ascii="Calibri" w:hAnsi="Calibri" w:cs="Calibri"/>
          <w:i/>
          <w:iCs/>
          <w:lang w:val="en-GB"/>
        </w:rPr>
        <w:t>Non-Binding Guidelines on Services that Support the Clean-up of Marine Debris</w:t>
      </w:r>
      <w:r w:rsidRPr="0029511A">
        <w:rPr>
          <w:rFonts w:ascii="Calibri" w:hAnsi="Calibri" w:cs="Calibri"/>
          <w:lang w:val="en-GB"/>
        </w:rPr>
        <w:t>)</w:t>
      </w:r>
      <w:r w:rsidR="00CE3FC0" w:rsidRPr="0029511A">
        <w:rPr>
          <w:rFonts w:ascii="Calibri" w:hAnsi="Calibri" w:cs="Calibri"/>
          <w:lang w:val="en-GB"/>
        </w:rPr>
        <w:t>,</w:t>
      </w:r>
      <w:r w:rsidRPr="0029511A">
        <w:rPr>
          <w:rFonts w:ascii="Calibri" w:hAnsi="Calibri" w:cs="Calibri"/>
          <w:lang w:val="en-GB"/>
        </w:rPr>
        <w:t xml:space="preserve"> </w:t>
      </w:r>
      <w:r w:rsidRPr="0029511A">
        <w:rPr>
          <w:rFonts w:ascii="Calibri" w:hAnsi="Calibri" w:cs="Calibri"/>
          <w:lang w:val="en-GB"/>
        </w:rPr>
        <w:lastRenderedPageBreak/>
        <w:t>and guidelines and policy briefs which participants can use to inform domestic reform processes.</w:t>
      </w:r>
    </w:p>
    <w:p w14:paraId="6898E404" w14:textId="22E9A2FE" w:rsidR="00CD5E19" w:rsidRPr="0029511A" w:rsidRDefault="00D07A9D" w:rsidP="00D07A9D">
      <w:pPr>
        <w:spacing w:after="160" w:line="252" w:lineRule="auto"/>
        <w:rPr>
          <w:rFonts w:ascii="Calibri" w:hAnsi="Calibri" w:cs="Calibri"/>
          <w:lang w:val="en-GB"/>
        </w:rPr>
      </w:pPr>
      <w:bookmarkStart w:id="43" w:name="OLE_LINK3"/>
      <w:r w:rsidRPr="0029511A">
        <w:rPr>
          <w:rFonts w:ascii="Calibri" w:hAnsi="Calibri" w:cs="Calibri"/>
          <w:lang w:val="en-GB"/>
        </w:rPr>
        <w:t xml:space="preserve">Interviews with </w:t>
      </w:r>
      <w:r w:rsidR="00514B8F" w:rsidRPr="0029511A">
        <w:rPr>
          <w:rFonts w:ascii="Calibri" w:hAnsi="Calibri" w:cs="Calibri"/>
          <w:lang w:val="en-GB"/>
        </w:rPr>
        <w:t>w</w:t>
      </w:r>
      <w:r w:rsidR="00795D08" w:rsidRPr="0029511A">
        <w:rPr>
          <w:rFonts w:ascii="Calibri" w:hAnsi="Calibri" w:cs="Calibri"/>
          <w:lang w:val="en-GB"/>
        </w:rPr>
        <w:t>hole-of-</w:t>
      </w:r>
      <w:r w:rsidR="00514B8F" w:rsidRPr="0029511A">
        <w:rPr>
          <w:rFonts w:ascii="Calibri" w:hAnsi="Calibri" w:cs="Calibri"/>
          <w:lang w:val="en-GB"/>
        </w:rPr>
        <w:t>g</w:t>
      </w:r>
      <w:r w:rsidR="00795D08" w:rsidRPr="0029511A">
        <w:rPr>
          <w:rFonts w:ascii="Calibri" w:hAnsi="Calibri" w:cs="Calibri"/>
          <w:lang w:val="en-GB"/>
        </w:rPr>
        <w:t>overnment</w:t>
      </w:r>
      <w:r w:rsidRPr="0029511A">
        <w:rPr>
          <w:rFonts w:ascii="Calibri" w:hAnsi="Calibri" w:cs="Calibri"/>
          <w:lang w:val="en-GB"/>
        </w:rPr>
        <w:t xml:space="preserve"> partners also found that </w:t>
      </w:r>
      <w:r w:rsidRPr="0029511A">
        <w:rPr>
          <w:rFonts w:ascii="Calibri" w:hAnsi="Calibri" w:cs="Calibri"/>
          <w:b/>
          <w:bCs/>
          <w:lang w:val="en-GB"/>
        </w:rPr>
        <w:t>a wide range of partners had derived direct benefit</w:t>
      </w:r>
      <w:r w:rsidR="009B170A" w:rsidRPr="0029511A">
        <w:rPr>
          <w:rFonts w:ascii="Calibri" w:hAnsi="Calibri" w:cs="Calibri"/>
          <w:b/>
          <w:bCs/>
          <w:lang w:val="en-GB"/>
        </w:rPr>
        <w:t>s</w:t>
      </w:r>
      <w:r w:rsidRPr="0029511A">
        <w:rPr>
          <w:rFonts w:ascii="Calibri" w:hAnsi="Calibri" w:cs="Calibri"/>
          <w:b/>
          <w:bCs/>
          <w:lang w:val="en-GB"/>
        </w:rPr>
        <w:t xml:space="preserve"> from implementing a self-fund project under the AASP</w:t>
      </w:r>
      <w:bookmarkEnd w:id="43"/>
      <w:r w:rsidRPr="0029511A">
        <w:rPr>
          <w:rFonts w:ascii="Calibri" w:hAnsi="Calibri" w:cs="Calibri"/>
          <w:lang w:val="en-GB"/>
        </w:rPr>
        <w:t>. For instance, both</w:t>
      </w:r>
      <w:r w:rsidR="00064C7A" w:rsidRPr="0029511A">
        <w:rPr>
          <w:rFonts w:ascii="Calibri" w:hAnsi="Calibri" w:cs="Calibri"/>
          <w:lang w:val="en-GB"/>
        </w:rPr>
        <w:t xml:space="preserve"> </w:t>
      </w:r>
      <w:r w:rsidRPr="0029511A">
        <w:rPr>
          <w:rFonts w:ascii="Calibri" w:hAnsi="Calibri" w:cs="Calibri"/>
          <w:lang w:val="en-GB"/>
        </w:rPr>
        <w:t>D</w:t>
      </w:r>
      <w:r w:rsidR="004D0C98" w:rsidRPr="0029511A">
        <w:rPr>
          <w:rFonts w:ascii="Calibri" w:hAnsi="Calibri" w:cs="Calibri"/>
          <w:lang w:val="en-GB"/>
        </w:rPr>
        <w:t>epartment of Agriculture, Fisheries and Forestry (D</w:t>
      </w:r>
      <w:r w:rsidRPr="0029511A">
        <w:rPr>
          <w:rFonts w:ascii="Calibri" w:hAnsi="Calibri" w:cs="Calibri"/>
          <w:lang w:val="en-GB"/>
        </w:rPr>
        <w:t>AFF</w:t>
      </w:r>
      <w:r w:rsidR="004D0C98" w:rsidRPr="0029511A">
        <w:rPr>
          <w:rFonts w:ascii="Calibri" w:hAnsi="Calibri" w:cs="Calibri"/>
          <w:lang w:val="en-GB"/>
        </w:rPr>
        <w:t>)</w:t>
      </w:r>
      <w:r w:rsidR="00064C7A" w:rsidRPr="0029511A">
        <w:rPr>
          <w:rFonts w:ascii="Calibri" w:hAnsi="Calibri" w:cs="Calibri"/>
          <w:lang w:val="en-GB"/>
        </w:rPr>
        <w:t xml:space="preserve"> and Food Standards Australian New Zealand (</w:t>
      </w:r>
      <w:r w:rsidR="00795D08" w:rsidRPr="0029511A">
        <w:rPr>
          <w:rFonts w:ascii="Calibri" w:hAnsi="Calibri" w:cs="Calibri"/>
          <w:lang w:val="en-GB"/>
        </w:rPr>
        <w:t>FSANZ</w:t>
      </w:r>
      <w:r w:rsidR="00064C7A" w:rsidRPr="0029511A">
        <w:rPr>
          <w:rFonts w:ascii="Calibri" w:hAnsi="Calibri" w:cs="Calibri"/>
          <w:lang w:val="en-GB"/>
        </w:rPr>
        <w:t xml:space="preserve">) </w:t>
      </w:r>
      <w:r w:rsidRPr="0029511A">
        <w:rPr>
          <w:rFonts w:ascii="Calibri" w:hAnsi="Calibri" w:cs="Calibri"/>
          <w:lang w:val="en-GB"/>
        </w:rPr>
        <w:t>reported that their respective projects had helped strengthen bilateral relationships with</w:t>
      </w:r>
      <w:r w:rsidR="00410D8E" w:rsidRPr="0029511A">
        <w:rPr>
          <w:rFonts w:ascii="Calibri" w:hAnsi="Calibri" w:cs="Calibri"/>
          <w:lang w:val="en-GB"/>
        </w:rPr>
        <w:t xml:space="preserve"> economies within APEC</w:t>
      </w:r>
      <w:r w:rsidR="00CE3FC0" w:rsidRPr="0029511A">
        <w:rPr>
          <w:rFonts w:ascii="Calibri" w:hAnsi="Calibri" w:cs="Calibri"/>
          <w:lang w:val="en-GB"/>
        </w:rPr>
        <w:t>,</w:t>
      </w:r>
      <w:r w:rsidR="00410D8E" w:rsidRPr="0029511A">
        <w:rPr>
          <w:rFonts w:ascii="Calibri" w:hAnsi="Calibri" w:cs="Calibri"/>
          <w:lang w:val="en-GB"/>
        </w:rPr>
        <w:t xml:space="preserve"> which is critical to the work they are doing domestically</w:t>
      </w:r>
      <w:r w:rsidR="00CD5E19" w:rsidRPr="0029511A">
        <w:rPr>
          <w:rFonts w:ascii="Calibri" w:hAnsi="Calibri" w:cs="Calibri"/>
          <w:lang w:val="en-GB"/>
        </w:rPr>
        <w:t>. DAFF notes that their project on biosecurity, for instance, ‘“improves supply chain performance through</w:t>
      </w:r>
      <w:r w:rsidR="00B56DE9">
        <w:rPr>
          <w:rFonts w:ascii="Calibri" w:hAnsi="Calibri" w:cs="Calibri"/>
          <w:lang w:val="en-GB"/>
        </w:rPr>
        <w:t xml:space="preserve"> </w:t>
      </w:r>
      <w:r w:rsidR="00CD5E19" w:rsidRPr="0029511A">
        <w:rPr>
          <w:rFonts w:ascii="Calibri" w:hAnsi="Calibri" w:cs="Calibri"/>
          <w:lang w:val="en-GB"/>
        </w:rPr>
        <w:t>implementing a capacity building plan to assist economies in overcoming specific obstacles as outlined in the APEC Connectivity Blueprint for 2015-2025</w:t>
      </w:r>
      <w:r w:rsidR="004D0C98" w:rsidRPr="0029511A">
        <w:rPr>
          <w:rFonts w:ascii="Calibri" w:hAnsi="Calibri" w:cs="Calibri"/>
          <w:lang w:val="en-GB"/>
        </w:rPr>
        <w:t>"</w:t>
      </w:r>
      <w:r w:rsidR="00CD5E19" w:rsidRPr="0029511A">
        <w:rPr>
          <w:rFonts w:ascii="Calibri" w:hAnsi="Calibri" w:cs="Calibri"/>
          <w:lang w:val="en-GB"/>
        </w:rPr>
        <w:t xml:space="preserve">. </w:t>
      </w:r>
      <w:r w:rsidR="00410D8E" w:rsidRPr="0029511A">
        <w:rPr>
          <w:rFonts w:ascii="Calibri" w:hAnsi="Calibri" w:cs="Calibri"/>
          <w:lang w:val="en-GB"/>
        </w:rPr>
        <w:t xml:space="preserve">The Export Council of Australia reports that an unintended consequence of their work to enhance </w:t>
      </w:r>
      <w:r w:rsidR="00E6228D" w:rsidRPr="0029511A">
        <w:rPr>
          <w:rFonts w:ascii="Calibri" w:hAnsi="Calibri" w:cs="Calibri"/>
          <w:lang w:val="en-GB"/>
        </w:rPr>
        <w:t>Indigenous</w:t>
      </w:r>
      <w:r w:rsidR="00410D8E" w:rsidRPr="0029511A">
        <w:rPr>
          <w:rFonts w:ascii="Calibri" w:hAnsi="Calibri" w:cs="Calibri"/>
          <w:lang w:val="en-GB"/>
        </w:rPr>
        <w:t xml:space="preserve"> trade </w:t>
      </w:r>
      <w:r w:rsidR="00FB481A" w:rsidRPr="0029511A">
        <w:rPr>
          <w:rFonts w:ascii="Calibri" w:hAnsi="Calibri" w:cs="Calibri"/>
          <w:lang w:val="en-GB"/>
        </w:rPr>
        <w:t xml:space="preserve">through AASP </w:t>
      </w:r>
      <w:r w:rsidR="00410D8E" w:rsidRPr="0029511A">
        <w:rPr>
          <w:rFonts w:ascii="Calibri" w:hAnsi="Calibri" w:cs="Calibri"/>
          <w:lang w:val="en-GB"/>
        </w:rPr>
        <w:t xml:space="preserve">has </w:t>
      </w:r>
      <w:r w:rsidR="00C2177E" w:rsidRPr="0029511A">
        <w:rPr>
          <w:rFonts w:ascii="Calibri" w:hAnsi="Calibri" w:cs="Calibri"/>
          <w:lang w:val="en-GB"/>
        </w:rPr>
        <w:t>strengthened</w:t>
      </w:r>
      <w:r w:rsidR="00410D8E" w:rsidRPr="0029511A">
        <w:rPr>
          <w:rFonts w:ascii="Calibri" w:hAnsi="Calibri" w:cs="Calibri"/>
          <w:lang w:val="en-GB"/>
        </w:rPr>
        <w:t xml:space="preserve"> relationships domestically with </w:t>
      </w:r>
      <w:r w:rsidR="00E6228D" w:rsidRPr="0029511A">
        <w:rPr>
          <w:rFonts w:ascii="Calibri" w:hAnsi="Calibri" w:cs="Calibri"/>
          <w:lang w:val="en-GB"/>
        </w:rPr>
        <w:t>Indigenous</w:t>
      </w:r>
      <w:r w:rsidR="00410D8E" w:rsidRPr="0029511A">
        <w:rPr>
          <w:rFonts w:ascii="Calibri" w:hAnsi="Calibri" w:cs="Calibri"/>
          <w:lang w:val="en-GB"/>
        </w:rPr>
        <w:t xml:space="preserve"> business chambers, has led to new</w:t>
      </w:r>
      <w:r w:rsidR="00064C7A" w:rsidRPr="0029511A">
        <w:rPr>
          <w:rFonts w:ascii="Calibri" w:hAnsi="Calibri" w:cs="Calibri"/>
          <w:lang w:val="en-GB"/>
        </w:rPr>
        <w:t xml:space="preserve"> </w:t>
      </w:r>
      <w:r w:rsidR="00474C12" w:rsidRPr="0029511A">
        <w:rPr>
          <w:rFonts w:ascii="Calibri" w:hAnsi="Calibri" w:cs="Calibri"/>
          <w:lang w:val="en-GB"/>
        </w:rPr>
        <w:t>Memorandums of</w:t>
      </w:r>
      <w:r w:rsidR="00064C7A" w:rsidRPr="0029511A">
        <w:rPr>
          <w:rFonts w:ascii="Calibri" w:hAnsi="Calibri" w:cs="Calibri"/>
          <w:lang w:val="en-GB"/>
        </w:rPr>
        <w:t xml:space="preserve"> Understanding</w:t>
      </w:r>
      <w:r w:rsidR="00410D8E" w:rsidRPr="0029511A">
        <w:rPr>
          <w:rFonts w:ascii="Calibri" w:hAnsi="Calibri" w:cs="Calibri"/>
          <w:lang w:val="en-GB"/>
        </w:rPr>
        <w:t xml:space="preserve"> </w:t>
      </w:r>
      <w:r w:rsidR="00064C7A" w:rsidRPr="0029511A">
        <w:rPr>
          <w:rFonts w:ascii="Calibri" w:hAnsi="Calibri" w:cs="Calibri"/>
          <w:lang w:val="en-GB"/>
        </w:rPr>
        <w:t>(</w:t>
      </w:r>
      <w:proofErr w:type="spellStart"/>
      <w:r w:rsidR="00064C7A" w:rsidRPr="0029511A">
        <w:rPr>
          <w:rFonts w:ascii="Calibri" w:hAnsi="Calibri" w:cs="Calibri"/>
          <w:lang w:val="en-GB"/>
        </w:rPr>
        <w:t>MoUs</w:t>
      </w:r>
      <w:proofErr w:type="spellEnd"/>
      <w:r w:rsidR="00064C7A" w:rsidRPr="0029511A">
        <w:rPr>
          <w:rFonts w:ascii="Calibri" w:hAnsi="Calibri" w:cs="Calibri"/>
          <w:lang w:val="en-GB"/>
        </w:rPr>
        <w:t xml:space="preserve">) </w:t>
      </w:r>
      <w:r w:rsidR="00410D8E" w:rsidRPr="0029511A">
        <w:rPr>
          <w:rFonts w:ascii="Calibri" w:hAnsi="Calibri" w:cs="Calibri"/>
          <w:lang w:val="en-GB"/>
        </w:rPr>
        <w:t xml:space="preserve">with different business chambers, and created a previously </w:t>
      </w:r>
      <w:r w:rsidR="00221D69" w:rsidRPr="0029511A">
        <w:rPr>
          <w:rFonts w:ascii="Calibri" w:hAnsi="Calibri" w:cs="Calibri"/>
          <w:lang w:val="en-GB"/>
        </w:rPr>
        <w:t xml:space="preserve">unrealised </w:t>
      </w:r>
      <w:r w:rsidR="00410D8E" w:rsidRPr="0029511A">
        <w:rPr>
          <w:rFonts w:ascii="Calibri" w:hAnsi="Calibri" w:cs="Calibri"/>
          <w:lang w:val="en-GB"/>
        </w:rPr>
        <w:t xml:space="preserve">export market for previously marginalised </w:t>
      </w:r>
      <w:r w:rsidR="00E6228D" w:rsidRPr="0029511A">
        <w:rPr>
          <w:rFonts w:ascii="Calibri" w:hAnsi="Calibri" w:cs="Calibri"/>
          <w:lang w:val="en-GB"/>
        </w:rPr>
        <w:t>Indigenous</w:t>
      </w:r>
      <w:r w:rsidR="00410D8E" w:rsidRPr="0029511A">
        <w:rPr>
          <w:rFonts w:ascii="Calibri" w:hAnsi="Calibri" w:cs="Calibri"/>
          <w:lang w:val="en-GB"/>
        </w:rPr>
        <w:t xml:space="preserve"> businesses. </w:t>
      </w:r>
    </w:p>
    <w:p w14:paraId="1ADCF4D8" w14:textId="77777777" w:rsidR="005E578D" w:rsidRPr="0029511A" w:rsidRDefault="005E578D" w:rsidP="00D07A9D">
      <w:pPr>
        <w:spacing w:after="160" w:line="252" w:lineRule="auto"/>
        <w:rPr>
          <w:rFonts w:ascii="Calibri" w:hAnsi="Calibri" w:cs="Calibri"/>
          <w:lang w:val="en-GB"/>
        </w:rPr>
        <w:sectPr w:rsidR="005E578D" w:rsidRPr="0029511A" w:rsidSect="00D229F4">
          <w:type w:val="continuous"/>
          <w:pgSz w:w="11900" w:h="16840"/>
          <w:pgMar w:top="1418" w:right="1440" w:bottom="1440" w:left="1440" w:header="709" w:footer="709" w:gutter="0"/>
          <w:cols w:space="708"/>
          <w:docGrid w:linePitch="360"/>
        </w:sectPr>
      </w:pPr>
    </w:p>
    <w:p w14:paraId="6AD0AE79" w14:textId="77777777" w:rsidR="005E578D" w:rsidRPr="0029511A" w:rsidRDefault="005E578D" w:rsidP="00D07A9D">
      <w:pPr>
        <w:spacing w:after="160" w:line="252" w:lineRule="auto"/>
        <w:rPr>
          <w:rFonts w:ascii="Calibri" w:hAnsi="Calibri" w:cs="Calibri"/>
          <w:lang w:val="en-GB"/>
        </w:rPr>
      </w:pPr>
    </w:p>
    <w:p w14:paraId="3E0FB990" w14:textId="36911123" w:rsidR="007E240F" w:rsidRPr="0029511A" w:rsidRDefault="007E240F" w:rsidP="007E240F">
      <w:pPr>
        <w:pStyle w:val="Caption"/>
        <w:rPr>
          <w:rStyle w:val="cf21"/>
          <w:rFonts w:ascii="Calibri" w:hAnsi="Calibri"/>
          <w:sz w:val="22"/>
          <w:szCs w:val="22"/>
        </w:rPr>
      </w:pPr>
      <w:bookmarkStart w:id="44" w:name="_Ref179625193"/>
      <w:bookmarkStart w:id="45" w:name="_Toc179630578"/>
      <w:r w:rsidRPr="0029511A">
        <w:rPr>
          <w:rFonts w:ascii="Calibri" w:hAnsi="Calibri" w:cs="Calibri"/>
          <w:sz w:val="22"/>
          <w:szCs w:val="22"/>
          <w:lang w:val="en-GB"/>
        </w:rPr>
        <w:t xml:space="preserve">Figure </w:t>
      </w:r>
      <w:r w:rsidRPr="0029511A">
        <w:rPr>
          <w:rFonts w:ascii="Calibri" w:hAnsi="Calibri" w:cs="Calibri"/>
          <w:sz w:val="22"/>
          <w:szCs w:val="22"/>
          <w:lang w:val="en-GB"/>
        </w:rPr>
        <w:fldChar w:fldCharType="begin"/>
      </w:r>
      <w:r w:rsidRPr="0029511A">
        <w:rPr>
          <w:rFonts w:ascii="Calibri" w:hAnsi="Calibri" w:cs="Calibri"/>
          <w:sz w:val="22"/>
          <w:szCs w:val="22"/>
          <w:lang w:val="en-GB"/>
        </w:rPr>
        <w:instrText xml:space="preserve"> SEQ Figure \* ARABIC </w:instrText>
      </w:r>
      <w:r w:rsidRPr="0029511A">
        <w:rPr>
          <w:rFonts w:ascii="Calibri" w:hAnsi="Calibri" w:cs="Calibri"/>
          <w:sz w:val="22"/>
          <w:szCs w:val="22"/>
          <w:lang w:val="en-GB"/>
        </w:rPr>
        <w:fldChar w:fldCharType="separate"/>
      </w:r>
      <w:r w:rsidR="00FD5BA3" w:rsidRPr="0029511A">
        <w:rPr>
          <w:rFonts w:ascii="Calibri" w:hAnsi="Calibri" w:cs="Calibri"/>
          <w:noProof/>
          <w:sz w:val="22"/>
          <w:szCs w:val="22"/>
          <w:lang w:val="en-GB"/>
        </w:rPr>
        <w:t>1</w:t>
      </w:r>
      <w:r w:rsidRPr="0029511A">
        <w:rPr>
          <w:rFonts w:ascii="Calibri" w:hAnsi="Calibri" w:cs="Calibri"/>
          <w:noProof/>
          <w:sz w:val="22"/>
          <w:szCs w:val="22"/>
          <w:lang w:val="en-GB"/>
        </w:rPr>
        <w:fldChar w:fldCharType="end"/>
      </w:r>
      <w:bookmarkEnd w:id="44"/>
      <w:r w:rsidRPr="0029511A">
        <w:rPr>
          <w:rFonts w:ascii="Calibri" w:hAnsi="Calibri" w:cs="Calibri"/>
          <w:sz w:val="22"/>
          <w:szCs w:val="22"/>
          <w:lang w:val="en-GB"/>
        </w:rPr>
        <w:t>: Participant satisfaction with AASP projects (Source: own survey)</w:t>
      </w:r>
      <w:bookmarkEnd w:id="45"/>
    </w:p>
    <w:p w14:paraId="7C4EA15A" w14:textId="4941AB0E" w:rsidR="007E240F" w:rsidRDefault="00E934C8" w:rsidP="007E240F">
      <w:pPr>
        <w:spacing w:after="160" w:line="252" w:lineRule="auto"/>
        <w:rPr>
          <w:rFonts w:ascii="Calibri" w:hAnsi="Calibri" w:cs="Calibri"/>
          <w:b/>
          <w:bCs/>
          <w:noProof/>
          <w:lang w:val="en-GB"/>
        </w:rPr>
      </w:pPr>
      <w:r>
        <w:rPr>
          <w:rFonts w:ascii="Calibri" w:hAnsi="Calibri" w:cs="Calibri"/>
          <w:b/>
          <w:bCs/>
          <w:noProof/>
          <w:lang w:val="en-GB"/>
        </w:rPr>
        <w:drawing>
          <wp:inline distT="0" distB="0" distL="0" distR="0" wp14:anchorId="774C2481" wp14:editId="40731FB2">
            <wp:extent cx="5727700" cy="2999740"/>
            <wp:effectExtent l="0" t="0" r="6350" b="0"/>
            <wp:docPr id="1632255817" name="Picture 1" descr="Figure 1 shows 90% of survey respondents rated their satisfaction with AASP projects as somewhat satisfied or very satisfied on factors including overall satisfaction, sharing ideas and learnings, networking opportunities, quality and relev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255817" name="Picture 1" descr="Figure 1 shows 90% of survey respondents rated their satisfaction with AASP projects as somewhat satisfied or very satisfied on factors including overall satisfaction, sharing ideas and learnings, networking opportunities, quality and relevanc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727700" cy="2999740"/>
                    </a:xfrm>
                    <a:prstGeom prst="rect">
                      <a:avLst/>
                    </a:prstGeom>
                  </pic:spPr>
                </pic:pic>
              </a:graphicData>
            </a:graphic>
          </wp:inline>
        </w:drawing>
      </w:r>
    </w:p>
    <w:p w14:paraId="7B00EEB6" w14:textId="77777777" w:rsidR="00E934C8" w:rsidRPr="0029511A" w:rsidRDefault="00E934C8" w:rsidP="007E240F">
      <w:pPr>
        <w:spacing w:after="160" w:line="252" w:lineRule="auto"/>
        <w:rPr>
          <w:rStyle w:val="cf21"/>
          <w:rFonts w:ascii="Calibri" w:hAnsi="Calibri"/>
          <w:b/>
          <w:bCs/>
        </w:rPr>
      </w:pPr>
    </w:p>
    <w:p w14:paraId="55A27A96" w14:textId="77777777" w:rsidR="00AD014B" w:rsidRPr="0029511A" w:rsidRDefault="00AD014B" w:rsidP="0092590A">
      <w:pPr>
        <w:spacing w:after="160" w:line="252" w:lineRule="auto"/>
        <w:rPr>
          <w:rStyle w:val="cf21"/>
          <w:rFonts w:ascii="Calibri" w:hAnsi="Calibri"/>
          <w:b/>
          <w:bCs/>
          <w:color w:val="BF8F00" w:themeColor="accent4" w:themeShade="BF"/>
        </w:rPr>
        <w:sectPr w:rsidR="00AD014B" w:rsidRPr="0029511A" w:rsidSect="00D229F4">
          <w:type w:val="continuous"/>
          <w:pgSz w:w="11900" w:h="16840"/>
          <w:pgMar w:top="1418" w:right="1440" w:bottom="1440" w:left="1440" w:header="709" w:footer="709" w:gutter="0"/>
          <w:cols w:space="708"/>
          <w:docGrid w:linePitch="360"/>
        </w:sectPr>
      </w:pPr>
    </w:p>
    <w:p w14:paraId="63F2AD58" w14:textId="5EB11D78" w:rsidR="0092590A" w:rsidRPr="00CD6789" w:rsidRDefault="0092590A" w:rsidP="0092590A">
      <w:pPr>
        <w:spacing w:after="160" w:line="252" w:lineRule="auto"/>
        <w:rPr>
          <w:rStyle w:val="cf21"/>
          <w:rFonts w:ascii="Calibri" w:hAnsi="Calibri"/>
          <w:color w:val="002060"/>
        </w:rPr>
      </w:pPr>
      <w:r w:rsidRPr="00CD6789">
        <w:rPr>
          <w:rStyle w:val="cf21"/>
          <w:rFonts w:ascii="Calibri" w:hAnsi="Calibri"/>
          <w:b/>
          <w:bCs/>
          <w:color w:val="002060"/>
        </w:rPr>
        <w:t>E</w:t>
      </w:r>
      <w:r w:rsidR="00BA07D5" w:rsidRPr="00CD6789">
        <w:rPr>
          <w:rStyle w:val="cf21"/>
          <w:rFonts w:ascii="Calibri" w:hAnsi="Calibri"/>
          <w:b/>
          <w:bCs/>
          <w:color w:val="002060"/>
        </w:rPr>
        <w:t>nd of Program Outcome</w:t>
      </w:r>
      <w:r w:rsidRPr="00CD6789">
        <w:rPr>
          <w:rStyle w:val="cf21"/>
          <w:rFonts w:ascii="Calibri" w:hAnsi="Calibri"/>
          <w:b/>
          <w:bCs/>
          <w:color w:val="002060"/>
        </w:rPr>
        <w:t xml:space="preserve"> 1: </w:t>
      </w:r>
      <w:r w:rsidRPr="00CD6789">
        <w:rPr>
          <w:rFonts w:ascii="Calibri" w:eastAsia="Calibri Light" w:hAnsi="Calibri" w:cs="Calibri"/>
          <w:color w:val="002060"/>
          <w:lang w:val="en-GB"/>
        </w:rPr>
        <w:t xml:space="preserve">Regional economic integration and structural </w:t>
      </w:r>
      <w:r w:rsidR="00BA07D5" w:rsidRPr="00CD6789">
        <w:rPr>
          <w:rFonts w:ascii="Calibri" w:eastAsia="Calibri Light" w:hAnsi="Calibri" w:cs="Calibri"/>
          <w:color w:val="002060"/>
          <w:lang w:val="en-GB"/>
        </w:rPr>
        <w:t>r</w:t>
      </w:r>
      <w:r w:rsidRPr="00CD6789">
        <w:rPr>
          <w:rFonts w:ascii="Calibri" w:eastAsia="Calibri Light" w:hAnsi="Calibri" w:cs="Calibri"/>
          <w:color w:val="002060"/>
          <w:lang w:val="en-GB"/>
        </w:rPr>
        <w:t>eform that is consistent with Australia’s broader trade and investment agenda is strengthened to maximise inclusive growth for APEC developing economies</w:t>
      </w:r>
      <w:r w:rsidR="00BA07D5" w:rsidRPr="00CD6789">
        <w:rPr>
          <w:rStyle w:val="cf21"/>
          <w:rFonts w:ascii="Calibri" w:hAnsi="Calibri"/>
          <w:color w:val="002060"/>
        </w:rPr>
        <w:t>.</w:t>
      </w:r>
    </w:p>
    <w:p w14:paraId="7B0A73BF" w14:textId="58B4DDA1" w:rsidR="00804066" w:rsidRPr="0029511A" w:rsidRDefault="00BA07D5" w:rsidP="3AEAF0E0">
      <w:pPr>
        <w:spacing w:after="160" w:line="252" w:lineRule="auto"/>
        <w:rPr>
          <w:rStyle w:val="cf21"/>
          <w:rFonts w:ascii="Calibri" w:hAnsi="Calibri"/>
          <w:lang w:val="en-AU"/>
        </w:rPr>
      </w:pPr>
      <w:r w:rsidRPr="0029511A">
        <w:rPr>
          <w:rStyle w:val="cf21"/>
          <w:rFonts w:ascii="Calibri" w:hAnsi="Calibri"/>
          <w:lang w:val="en-AU"/>
        </w:rPr>
        <w:t>Against each of the respective intermediate outcomes above</w:t>
      </w:r>
      <w:r w:rsidR="00CE3FC0" w:rsidRPr="0029511A">
        <w:rPr>
          <w:rStyle w:val="cf21"/>
          <w:rFonts w:ascii="Calibri" w:hAnsi="Calibri"/>
          <w:lang w:val="en-AU"/>
        </w:rPr>
        <w:t>,</w:t>
      </w:r>
      <w:r w:rsidRPr="0029511A">
        <w:rPr>
          <w:rStyle w:val="cf21"/>
          <w:rFonts w:ascii="Calibri" w:hAnsi="Calibri"/>
          <w:lang w:val="en-AU"/>
        </w:rPr>
        <w:t xml:space="preserve"> there is </w:t>
      </w:r>
      <w:r w:rsidRPr="0029511A">
        <w:rPr>
          <w:rStyle w:val="cf21"/>
          <w:rFonts w:ascii="Calibri" w:hAnsi="Calibri"/>
          <w:b/>
          <w:bCs/>
          <w:lang w:val="en-AU"/>
        </w:rPr>
        <w:t xml:space="preserve">clear evidence that despite the relatively short-term </w:t>
      </w:r>
      <w:proofErr w:type="gramStart"/>
      <w:r w:rsidR="00C46704" w:rsidRPr="0029511A">
        <w:rPr>
          <w:rStyle w:val="cf21"/>
          <w:rFonts w:ascii="Calibri" w:hAnsi="Calibri"/>
          <w:b/>
          <w:bCs/>
          <w:lang w:val="en-AU"/>
        </w:rPr>
        <w:t>time period</w:t>
      </w:r>
      <w:proofErr w:type="gramEnd"/>
      <w:r w:rsidR="00C46704" w:rsidRPr="0029511A">
        <w:rPr>
          <w:rStyle w:val="cf21"/>
          <w:rFonts w:ascii="Calibri" w:hAnsi="Calibri"/>
          <w:b/>
          <w:bCs/>
          <w:lang w:val="en-AU"/>
        </w:rPr>
        <w:t xml:space="preserve"> </w:t>
      </w:r>
      <w:r w:rsidRPr="0029511A">
        <w:rPr>
          <w:rStyle w:val="cf21"/>
          <w:rFonts w:ascii="Calibri" w:hAnsi="Calibri"/>
          <w:b/>
          <w:bCs/>
          <w:lang w:val="en-AU"/>
        </w:rPr>
        <w:t>of the majority of the AASP self-funded projects</w:t>
      </w:r>
      <w:r w:rsidR="00CE3FC0" w:rsidRPr="0029511A">
        <w:rPr>
          <w:rStyle w:val="cf21"/>
          <w:rFonts w:ascii="Calibri" w:hAnsi="Calibri"/>
          <w:b/>
          <w:bCs/>
          <w:lang w:val="en-AU"/>
        </w:rPr>
        <w:t>,</w:t>
      </w:r>
      <w:r w:rsidRPr="0029511A">
        <w:rPr>
          <w:rStyle w:val="cf21"/>
          <w:rFonts w:ascii="Calibri" w:hAnsi="Calibri"/>
          <w:b/>
          <w:bCs/>
          <w:lang w:val="en-AU"/>
        </w:rPr>
        <w:t xml:space="preserve"> the program is making strong progress towards </w:t>
      </w:r>
      <w:proofErr w:type="spellStart"/>
      <w:r w:rsidRPr="0029511A">
        <w:rPr>
          <w:rStyle w:val="cf21"/>
          <w:rFonts w:ascii="Calibri" w:hAnsi="Calibri"/>
          <w:b/>
          <w:bCs/>
          <w:lang w:val="en-AU"/>
        </w:rPr>
        <w:t>EoPO</w:t>
      </w:r>
      <w:proofErr w:type="spellEnd"/>
      <w:r w:rsidRPr="0029511A">
        <w:rPr>
          <w:rStyle w:val="cf21"/>
          <w:rFonts w:ascii="Calibri" w:hAnsi="Calibri"/>
          <w:b/>
          <w:bCs/>
          <w:lang w:val="en-AU"/>
        </w:rPr>
        <w:t xml:space="preserve"> 1</w:t>
      </w:r>
      <w:r w:rsidRPr="0029511A">
        <w:rPr>
          <w:rStyle w:val="cf21"/>
          <w:rFonts w:ascii="Calibri" w:hAnsi="Calibri"/>
          <w:lang w:val="en-AU"/>
        </w:rPr>
        <w:t xml:space="preserve">. Examples have already been provided </w:t>
      </w:r>
      <w:r w:rsidR="00CE3FC0" w:rsidRPr="0029511A">
        <w:rPr>
          <w:rStyle w:val="cf21"/>
          <w:rFonts w:ascii="Calibri" w:hAnsi="Calibri"/>
          <w:lang w:val="en-AU"/>
        </w:rPr>
        <w:t>that</w:t>
      </w:r>
      <w:r w:rsidRPr="0029511A">
        <w:rPr>
          <w:rStyle w:val="cf21"/>
          <w:rFonts w:ascii="Calibri" w:hAnsi="Calibri"/>
          <w:lang w:val="en-AU"/>
        </w:rPr>
        <w:t xml:space="preserve"> demonstrate that projects promoting Australia’s priorities within APEC are also helping developing economies</w:t>
      </w:r>
      <w:r w:rsidR="00804066" w:rsidRPr="0029511A">
        <w:rPr>
          <w:rStyle w:val="cf21"/>
          <w:rFonts w:ascii="Calibri" w:hAnsi="Calibri"/>
          <w:lang w:val="en-AU"/>
        </w:rPr>
        <w:t xml:space="preserve"> realise their own ambitions with respect to inclusive growth. </w:t>
      </w:r>
      <w:r w:rsidR="00275CD7" w:rsidRPr="0029511A">
        <w:rPr>
          <w:rStyle w:val="cf21"/>
          <w:rFonts w:ascii="Calibri" w:hAnsi="Calibri"/>
          <w:lang w:val="en-AU"/>
        </w:rPr>
        <w:t>By placing emphasis on the ODA</w:t>
      </w:r>
      <w:r w:rsidR="001151A2" w:rsidRPr="0029511A">
        <w:rPr>
          <w:rStyle w:val="cf21"/>
          <w:rFonts w:ascii="Calibri" w:hAnsi="Calibri"/>
          <w:lang w:val="en-AU"/>
        </w:rPr>
        <w:t>-</w:t>
      </w:r>
      <w:r w:rsidR="00275CD7" w:rsidRPr="0029511A">
        <w:rPr>
          <w:rStyle w:val="cf21"/>
          <w:rFonts w:ascii="Calibri" w:hAnsi="Calibri"/>
          <w:lang w:val="en-AU"/>
        </w:rPr>
        <w:t>eligible economies</w:t>
      </w:r>
      <w:r w:rsidR="00CE3FC0" w:rsidRPr="0029511A">
        <w:rPr>
          <w:rStyle w:val="cf21"/>
          <w:rFonts w:ascii="Calibri" w:hAnsi="Calibri"/>
          <w:lang w:val="en-AU"/>
        </w:rPr>
        <w:t>,</w:t>
      </w:r>
      <w:r w:rsidR="00275CD7" w:rsidRPr="0029511A">
        <w:rPr>
          <w:rStyle w:val="cf21"/>
          <w:rFonts w:ascii="Calibri" w:hAnsi="Calibri"/>
          <w:lang w:val="en-AU"/>
        </w:rPr>
        <w:t xml:space="preserve"> the AASP is facilitating greater participation and access of these economies to participate in projects </w:t>
      </w:r>
      <w:r w:rsidR="00783335" w:rsidRPr="0029511A">
        <w:rPr>
          <w:rStyle w:val="cf21"/>
          <w:rFonts w:ascii="Calibri" w:hAnsi="Calibri"/>
          <w:lang w:val="en-AU"/>
        </w:rPr>
        <w:t>focusing</w:t>
      </w:r>
      <w:r w:rsidR="00275CD7" w:rsidRPr="0029511A">
        <w:rPr>
          <w:rStyle w:val="cf21"/>
          <w:rFonts w:ascii="Calibri" w:hAnsi="Calibri"/>
          <w:lang w:val="en-AU"/>
        </w:rPr>
        <w:t xml:space="preserve"> on the key priorities of APEC. </w:t>
      </w:r>
      <w:r w:rsidR="00804066" w:rsidRPr="0029511A">
        <w:rPr>
          <w:rStyle w:val="cf21"/>
          <w:rFonts w:ascii="Calibri" w:hAnsi="Calibri"/>
          <w:lang w:val="en-AU"/>
        </w:rPr>
        <w:t xml:space="preserve">AASP’s capacity building efforts are helping to shape and influence the development agendas of APEC economies, and projects (as </w:t>
      </w:r>
      <w:r w:rsidR="00804066" w:rsidRPr="0029511A">
        <w:rPr>
          <w:rStyle w:val="cf21"/>
          <w:rFonts w:ascii="Calibri" w:hAnsi="Calibri"/>
          <w:lang w:val="en-AU"/>
        </w:rPr>
        <w:lastRenderedPageBreak/>
        <w:t xml:space="preserve">evidenced in the feedback from developing economies) </w:t>
      </w:r>
      <w:r w:rsidR="00783335" w:rsidRPr="0029511A">
        <w:rPr>
          <w:rStyle w:val="cf21"/>
          <w:rFonts w:ascii="Calibri" w:hAnsi="Calibri"/>
          <w:lang w:val="en-AU"/>
        </w:rPr>
        <w:t>are</w:t>
      </w:r>
      <w:r w:rsidR="00804066" w:rsidRPr="0029511A">
        <w:rPr>
          <w:rStyle w:val="cf21"/>
          <w:rFonts w:ascii="Calibri" w:hAnsi="Calibri"/>
          <w:lang w:val="en-AU"/>
        </w:rPr>
        <w:t xml:space="preserve"> enhancing the capability of these economies to deliver necessary domestic policy reforms and the implementation of good regulatory practice.</w:t>
      </w:r>
    </w:p>
    <w:p w14:paraId="1A34C05E" w14:textId="1C6A9772" w:rsidR="00646EF3" w:rsidRPr="0029511A" w:rsidRDefault="008674C4" w:rsidP="00804066">
      <w:pPr>
        <w:spacing w:after="160" w:line="252" w:lineRule="auto"/>
        <w:rPr>
          <w:rFonts w:ascii="Calibri" w:hAnsi="Calibri" w:cs="Calibri"/>
          <w:lang w:val="en-GB"/>
        </w:rPr>
      </w:pPr>
      <w:r w:rsidRPr="0029511A">
        <w:rPr>
          <w:rFonts w:ascii="Calibri" w:hAnsi="Calibri" w:cs="Calibri"/>
          <w:b/>
          <w:bCs/>
          <w:lang w:val="en-GB"/>
        </w:rPr>
        <w:t xml:space="preserve">The AASP </w:t>
      </w:r>
      <w:r w:rsidR="00E1367B" w:rsidRPr="0029511A">
        <w:rPr>
          <w:rFonts w:ascii="Calibri" w:hAnsi="Calibri" w:cs="Calibri"/>
          <w:b/>
          <w:bCs/>
          <w:lang w:val="en-GB"/>
        </w:rPr>
        <w:t xml:space="preserve">has </w:t>
      </w:r>
      <w:r w:rsidRPr="0029511A">
        <w:rPr>
          <w:rFonts w:ascii="Calibri" w:hAnsi="Calibri" w:cs="Calibri"/>
          <w:b/>
          <w:bCs/>
          <w:lang w:val="en-GB"/>
        </w:rPr>
        <w:t>helped to strengthen regional economic integration</w:t>
      </w:r>
      <w:r w:rsidR="00602FBA" w:rsidRPr="0029511A">
        <w:rPr>
          <w:rFonts w:ascii="Calibri" w:hAnsi="Calibri" w:cs="Calibri"/>
          <w:b/>
          <w:bCs/>
          <w:lang w:val="en-GB"/>
        </w:rPr>
        <w:t>,</w:t>
      </w:r>
      <w:r w:rsidRPr="0029511A">
        <w:rPr>
          <w:rFonts w:ascii="Calibri" w:hAnsi="Calibri" w:cs="Calibri"/>
          <w:b/>
          <w:bCs/>
          <w:lang w:val="en-GB"/>
        </w:rPr>
        <w:t xml:space="preserve"> including through increasing capacit</w:t>
      </w:r>
      <w:r w:rsidR="002B19D7" w:rsidRPr="0029511A">
        <w:rPr>
          <w:rFonts w:ascii="Calibri" w:hAnsi="Calibri" w:cs="Calibri"/>
          <w:b/>
          <w:bCs/>
          <w:lang w:val="en-GB"/>
        </w:rPr>
        <w:t>ies in developing economies</w:t>
      </w:r>
      <w:r w:rsidRPr="0029511A">
        <w:rPr>
          <w:rFonts w:ascii="Calibri" w:hAnsi="Calibri" w:cs="Calibri"/>
          <w:b/>
          <w:bCs/>
          <w:lang w:val="en-GB"/>
        </w:rPr>
        <w:t xml:space="preserve"> with respect to </w:t>
      </w:r>
      <w:r w:rsidR="00A3633B" w:rsidRPr="0029511A">
        <w:rPr>
          <w:rFonts w:ascii="Calibri" w:hAnsi="Calibri" w:cs="Calibri"/>
          <w:b/>
          <w:bCs/>
          <w:lang w:val="en-GB"/>
        </w:rPr>
        <w:t xml:space="preserve">bilateral and </w:t>
      </w:r>
      <w:r w:rsidR="0017683E" w:rsidRPr="0029511A">
        <w:rPr>
          <w:rFonts w:ascii="Calibri" w:hAnsi="Calibri" w:cs="Calibri"/>
          <w:b/>
          <w:bCs/>
          <w:lang w:val="en-GB"/>
        </w:rPr>
        <w:t>free trade</w:t>
      </w:r>
      <w:r w:rsidR="00B72862" w:rsidRPr="0029511A">
        <w:rPr>
          <w:rFonts w:ascii="Calibri" w:hAnsi="Calibri" w:cs="Calibri"/>
          <w:b/>
          <w:bCs/>
          <w:lang w:val="en-GB"/>
        </w:rPr>
        <w:t xml:space="preserve"> agreement</w:t>
      </w:r>
      <w:r w:rsidRPr="0029511A">
        <w:rPr>
          <w:rFonts w:ascii="Calibri" w:hAnsi="Calibri" w:cs="Calibri"/>
          <w:b/>
          <w:bCs/>
          <w:lang w:val="en-GB"/>
        </w:rPr>
        <w:t>s</w:t>
      </w:r>
      <w:r w:rsidR="00B72862" w:rsidRPr="0029511A">
        <w:rPr>
          <w:rFonts w:ascii="Calibri" w:hAnsi="Calibri" w:cs="Calibri"/>
          <w:b/>
          <w:bCs/>
          <w:lang w:val="en-GB"/>
        </w:rPr>
        <w:t xml:space="preserve"> (FTA</w:t>
      </w:r>
      <w:r w:rsidRPr="0029511A">
        <w:rPr>
          <w:rFonts w:ascii="Calibri" w:hAnsi="Calibri" w:cs="Calibri"/>
          <w:b/>
          <w:bCs/>
          <w:lang w:val="en-GB"/>
        </w:rPr>
        <w:t>s</w:t>
      </w:r>
      <w:r w:rsidR="00B72862" w:rsidRPr="0029511A">
        <w:rPr>
          <w:rFonts w:ascii="Calibri" w:hAnsi="Calibri" w:cs="Calibri"/>
          <w:b/>
          <w:bCs/>
          <w:lang w:val="en-GB"/>
        </w:rPr>
        <w:t>)</w:t>
      </w:r>
      <w:r w:rsidR="00A3633B" w:rsidRPr="0029511A">
        <w:rPr>
          <w:rFonts w:ascii="Calibri" w:hAnsi="Calibri" w:cs="Calibri"/>
          <w:lang w:val="en-GB"/>
        </w:rPr>
        <w:t>. The enhanced knowledge and capacities of regional partners (gained th</w:t>
      </w:r>
      <w:r w:rsidR="00CE3FC0" w:rsidRPr="0029511A">
        <w:rPr>
          <w:rFonts w:ascii="Calibri" w:hAnsi="Calibri" w:cs="Calibri"/>
          <w:lang w:val="en-GB"/>
        </w:rPr>
        <w:t>r</w:t>
      </w:r>
      <w:r w:rsidR="00A3633B" w:rsidRPr="0029511A">
        <w:rPr>
          <w:rFonts w:ascii="Calibri" w:hAnsi="Calibri" w:cs="Calibri"/>
          <w:lang w:val="en-GB"/>
        </w:rPr>
        <w:t xml:space="preserve">ough </w:t>
      </w:r>
      <w:r w:rsidR="00804066" w:rsidRPr="0029511A">
        <w:rPr>
          <w:rFonts w:ascii="Calibri" w:hAnsi="Calibri" w:cs="Calibri"/>
          <w:lang w:val="en-GB"/>
        </w:rPr>
        <w:t>AASP</w:t>
      </w:r>
      <w:r w:rsidR="00A3633B" w:rsidRPr="0029511A">
        <w:rPr>
          <w:rFonts w:ascii="Calibri" w:hAnsi="Calibri" w:cs="Calibri"/>
          <w:lang w:val="en-GB"/>
        </w:rPr>
        <w:t xml:space="preserve"> projects) ha</w:t>
      </w:r>
      <w:r w:rsidR="00CE3FC0" w:rsidRPr="0029511A">
        <w:rPr>
          <w:rFonts w:ascii="Calibri" w:hAnsi="Calibri" w:cs="Calibri"/>
          <w:lang w:val="en-GB"/>
        </w:rPr>
        <w:t>ve</w:t>
      </w:r>
      <w:r w:rsidR="00A3633B" w:rsidRPr="0029511A">
        <w:rPr>
          <w:rFonts w:ascii="Calibri" w:hAnsi="Calibri" w:cs="Calibri"/>
          <w:lang w:val="en-GB"/>
        </w:rPr>
        <w:t xml:space="preserve"> equipped the economies to come to the table better informed and negotiate better on the FTA terms and chapters, which has led to positive trade outcomes for all involved parties</w:t>
      </w:r>
      <w:r w:rsidR="00804066" w:rsidRPr="0029511A">
        <w:rPr>
          <w:rFonts w:ascii="Calibri" w:hAnsi="Calibri" w:cs="Calibri"/>
          <w:lang w:val="en-GB"/>
        </w:rPr>
        <w:t>. Representatives from Peru, for instance, noted that they had drawn on knowledge gained through the AASP</w:t>
      </w:r>
      <w:r w:rsidR="00275CD7" w:rsidRPr="0029511A">
        <w:rPr>
          <w:rFonts w:ascii="Calibri" w:hAnsi="Calibri" w:cs="Calibri"/>
          <w:lang w:val="en-GB"/>
        </w:rPr>
        <w:t xml:space="preserve"> (specifically with respect to global supply chain issues)</w:t>
      </w:r>
      <w:r w:rsidR="00804066" w:rsidRPr="0029511A">
        <w:rPr>
          <w:rFonts w:ascii="Calibri" w:hAnsi="Calibri" w:cs="Calibri"/>
          <w:lang w:val="en-GB"/>
        </w:rPr>
        <w:t xml:space="preserve"> to </w:t>
      </w:r>
      <w:r w:rsidR="00275CD7" w:rsidRPr="0029511A">
        <w:rPr>
          <w:rFonts w:ascii="Calibri" w:hAnsi="Calibri" w:cs="Calibri"/>
          <w:lang w:val="en-GB"/>
        </w:rPr>
        <w:t xml:space="preserve">inform their FTA with China. </w:t>
      </w:r>
    </w:p>
    <w:p w14:paraId="29C344DD" w14:textId="7BE8096D" w:rsidR="00A3633B" w:rsidRPr="0029511A" w:rsidRDefault="00056130" w:rsidP="00804066">
      <w:pPr>
        <w:spacing w:after="160" w:line="252" w:lineRule="auto"/>
        <w:rPr>
          <w:rFonts w:ascii="Calibri" w:hAnsi="Calibri" w:cs="Calibri"/>
          <w:lang w:val="en-GB"/>
        </w:rPr>
      </w:pPr>
      <w:r w:rsidRPr="0029511A">
        <w:rPr>
          <w:rFonts w:ascii="Calibri" w:hAnsi="Calibri" w:cs="Calibri"/>
          <w:b/>
          <w:bCs/>
          <w:lang w:val="en-GB"/>
        </w:rPr>
        <w:t>The AASP has also promoted structural reform to maximise inclusive growth for APEC developing economies.</w:t>
      </w:r>
      <w:r w:rsidRPr="0029511A">
        <w:rPr>
          <w:rFonts w:ascii="Calibri" w:hAnsi="Calibri" w:cs="Calibri"/>
          <w:lang w:val="en-GB"/>
        </w:rPr>
        <w:t xml:space="preserve"> T</w:t>
      </w:r>
      <w:r w:rsidR="00646EF3" w:rsidRPr="0029511A">
        <w:rPr>
          <w:rFonts w:ascii="Calibri" w:hAnsi="Calibri" w:cs="Calibri"/>
          <w:lang w:val="en-GB"/>
        </w:rPr>
        <w:t>he representative from Malaysia explained how the AASP has influenced domestic structural reforms: “</w:t>
      </w:r>
      <w:r w:rsidR="00783335" w:rsidRPr="0029511A">
        <w:rPr>
          <w:rFonts w:ascii="Calibri" w:hAnsi="Calibri" w:cs="Calibri"/>
          <w:lang w:val="en-GB"/>
        </w:rPr>
        <w:t xml:space="preserve">We </w:t>
      </w:r>
      <w:r w:rsidR="00646EF3" w:rsidRPr="0029511A">
        <w:rPr>
          <w:rFonts w:ascii="Calibri" w:hAnsi="Calibri" w:cs="Calibri"/>
          <w:lang w:val="en-GB"/>
        </w:rPr>
        <w:t xml:space="preserve">appreciate Australia's ongoing commitment to fostering cross-fora collaboration and knowledge-sharing in professional services across the APEC region. We look forward to further cooperation in this crucial area, which aligns closely with our domestic economic priorities and APEC's shared vision for a more integrated services sector”. </w:t>
      </w:r>
      <w:r w:rsidR="00275CD7" w:rsidRPr="0029511A">
        <w:rPr>
          <w:rFonts w:ascii="Calibri" w:hAnsi="Calibri" w:cs="Calibri"/>
          <w:lang w:val="en-GB"/>
        </w:rPr>
        <w:t>The representative from Chin</w:t>
      </w:r>
      <w:r w:rsidR="00AE025F" w:rsidRPr="0029511A">
        <w:rPr>
          <w:rFonts w:ascii="Calibri" w:hAnsi="Calibri" w:cs="Calibri"/>
          <w:lang w:val="en-GB"/>
        </w:rPr>
        <w:t>ese</w:t>
      </w:r>
      <w:r w:rsidR="00275CD7" w:rsidRPr="0029511A">
        <w:rPr>
          <w:rFonts w:ascii="Calibri" w:hAnsi="Calibri" w:cs="Calibri"/>
          <w:lang w:val="en-GB"/>
        </w:rPr>
        <w:t xml:space="preserve"> Taipei had also noted how they had drawn on ‘concepts and concrete examples’ from AASP projects to help raise ‘the importance of services in trade’ when senior officials are engaged in trade negotiations.</w:t>
      </w:r>
    </w:p>
    <w:p w14:paraId="32B29ACA" w14:textId="3CDC67C6" w:rsidR="0092590A" w:rsidRPr="0029511A" w:rsidRDefault="00776D8B" w:rsidP="00776D8B">
      <w:pPr>
        <w:spacing w:after="160" w:line="252" w:lineRule="auto"/>
        <w:rPr>
          <w:rStyle w:val="cf21"/>
          <w:rFonts w:ascii="Calibri" w:hAnsi="Calibri"/>
        </w:rPr>
      </w:pPr>
      <w:r w:rsidRPr="0029511A">
        <w:rPr>
          <w:rFonts w:ascii="Calibri" w:hAnsi="Calibri" w:cs="Calibri"/>
          <w:lang w:val="en-GB"/>
        </w:rPr>
        <w:t>In addition</w:t>
      </w:r>
      <w:r w:rsidR="00795D08" w:rsidRPr="0029511A">
        <w:rPr>
          <w:rFonts w:ascii="Calibri" w:hAnsi="Calibri" w:cs="Calibri"/>
          <w:lang w:val="en-GB"/>
        </w:rPr>
        <w:t>,</w:t>
      </w:r>
      <w:r w:rsidRPr="0029511A">
        <w:rPr>
          <w:rFonts w:ascii="Calibri" w:hAnsi="Calibri" w:cs="Calibri"/>
          <w:lang w:val="en-GB"/>
        </w:rPr>
        <w:t xml:space="preserve"> </w:t>
      </w:r>
      <w:bookmarkStart w:id="46" w:name="OLE_LINK4"/>
      <w:r w:rsidR="0092590A" w:rsidRPr="0029511A">
        <w:rPr>
          <w:rStyle w:val="cf21"/>
          <w:rFonts w:ascii="Calibri" w:hAnsi="Calibri"/>
        </w:rPr>
        <w:t xml:space="preserve">the </w:t>
      </w:r>
      <w:r w:rsidR="0092590A" w:rsidRPr="0029511A">
        <w:rPr>
          <w:rStyle w:val="cf21"/>
          <w:rFonts w:ascii="Calibri" w:hAnsi="Calibri"/>
          <w:b/>
          <w:bCs/>
        </w:rPr>
        <w:t xml:space="preserve">AASP is having </w:t>
      </w:r>
      <w:r w:rsidRPr="0029511A">
        <w:rPr>
          <w:rStyle w:val="cf21"/>
          <w:rFonts w:ascii="Calibri" w:hAnsi="Calibri"/>
          <w:b/>
          <w:bCs/>
        </w:rPr>
        <w:t>a notable</w:t>
      </w:r>
      <w:r w:rsidR="0092590A" w:rsidRPr="0029511A">
        <w:rPr>
          <w:rStyle w:val="cf21"/>
          <w:rFonts w:ascii="Calibri" w:hAnsi="Calibri"/>
          <w:b/>
          <w:bCs/>
        </w:rPr>
        <w:t xml:space="preserve"> impact on policy</w:t>
      </w:r>
      <w:r w:rsidRPr="0029511A">
        <w:rPr>
          <w:rStyle w:val="cf21"/>
          <w:rFonts w:ascii="Calibri" w:hAnsi="Calibri"/>
          <w:b/>
          <w:bCs/>
        </w:rPr>
        <w:t xml:space="preserve"> development</w:t>
      </w:r>
      <w:r w:rsidR="0092590A" w:rsidRPr="0029511A">
        <w:rPr>
          <w:rStyle w:val="cf21"/>
          <w:rFonts w:ascii="Calibri" w:hAnsi="Calibri"/>
        </w:rPr>
        <w:t xml:space="preserve"> through the provision of critical building blocks necessary for economic and structural reform</w:t>
      </w:r>
      <w:bookmarkEnd w:id="46"/>
      <w:r w:rsidR="00CE3FC0" w:rsidRPr="0029511A">
        <w:rPr>
          <w:rStyle w:val="cf21"/>
          <w:rFonts w:ascii="Calibri" w:hAnsi="Calibri"/>
        </w:rPr>
        <w:t>,</w:t>
      </w:r>
      <w:r w:rsidR="0092590A" w:rsidRPr="0029511A">
        <w:rPr>
          <w:rStyle w:val="cf21"/>
          <w:rFonts w:ascii="Calibri" w:hAnsi="Calibri"/>
        </w:rPr>
        <w:t xml:space="preserve"> </w:t>
      </w:r>
      <w:r w:rsidRPr="0029511A">
        <w:rPr>
          <w:rStyle w:val="cf21"/>
          <w:rFonts w:ascii="Calibri" w:hAnsi="Calibri"/>
        </w:rPr>
        <w:t xml:space="preserve">such as </w:t>
      </w:r>
      <w:r w:rsidR="0092590A" w:rsidRPr="0029511A">
        <w:rPr>
          <w:rStyle w:val="cf21"/>
          <w:rFonts w:ascii="Calibri" w:hAnsi="Calibri"/>
        </w:rPr>
        <w:t>through policy briefs, influencing Ministerial statements, and the development of non-binding guidelines that support Australia’s broader trade and investment agenda within APEC</w:t>
      </w:r>
      <w:r w:rsidRPr="0029511A">
        <w:rPr>
          <w:rStyle w:val="cf21"/>
          <w:rFonts w:ascii="Calibri" w:hAnsi="Calibri"/>
        </w:rPr>
        <w:t>.</w:t>
      </w:r>
    </w:p>
    <w:p w14:paraId="3775E07E" w14:textId="77777777" w:rsidR="000E1B41" w:rsidRPr="00E934C8" w:rsidRDefault="000E1B41" w:rsidP="0092590A">
      <w:pPr>
        <w:spacing w:after="160" w:line="252" w:lineRule="auto"/>
        <w:rPr>
          <w:rStyle w:val="cf21"/>
          <w:rFonts w:ascii="Calibri" w:hAnsi="Calibri"/>
          <w:b/>
          <w:bCs/>
        </w:rPr>
      </w:pPr>
    </w:p>
    <w:p w14:paraId="08E8FB1F" w14:textId="7C33CCB9" w:rsidR="0092590A" w:rsidRPr="00CD6789" w:rsidRDefault="0092590A" w:rsidP="3AEAF0E0">
      <w:pPr>
        <w:spacing w:after="160" w:line="252" w:lineRule="auto"/>
        <w:rPr>
          <w:rStyle w:val="cf21"/>
          <w:rFonts w:ascii="Calibri" w:hAnsi="Calibri"/>
          <w:color w:val="002060"/>
          <w:lang w:val="en-AU"/>
        </w:rPr>
      </w:pPr>
      <w:r w:rsidRPr="00CD6789">
        <w:rPr>
          <w:rStyle w:val="cf21"/>
          <w:rFonts w:ascii="Calibri" w:hAnsi="Calibri"/>
          <w:b/>
          <w:bCs/>
          <w:color w:val="002060"/>
          <w:lang w:val="en-AU"/>
        </w:rPr>
        <w:t>E</w:t>
      </w:r>
      <w:r w:rsidR="00BA07D5" w:rsidRPr="00CD6789">
        <w:rPr>
          <w:rStyle w:val="cf21"/>
          <w:rFonts w:ascii="Calibri" w:hAnsi="Calibri"/>
          <w:b/>
          <w:bCs/>
          <w:color w:val="002060"/>
          <w:lang w:val="en-AU"/>
        </w:rPr>
        <w:t xml:space="preserve">nd of Program </w:t>
      </w:r>
      <w:r w:rsidRPr="00CD6789">
        <w:rPr>
          <w:rStyle w:val="cf21"/>
          <w:rFonts w:ascii="Calibri" w:hAnsi="Calibri"/>
          <w:b/>
          <w:bCs/>
          <w:color w:val="002060"/>
          <w:lang w:val="en-AU"/>
        </w:rPr>
        <w:t>O</w:t>
      </w:r>
      <w:r w:rsidR="00BA07D5" w:rsidRPr="00CD6789">
        <w:rPr>
          <w:rStyle w:val="cf21"/>
          <w:rFonts w:ascii="Calibri" w:hAnsi="Calibri"/>
          <w:b/>
          <w:bCs/>
          <w:color w:val="002060"/>
          <w:lang w:val="en-AU"/>
        </w:rPr>
        <w:t>utcome</w:t>
      </w:r>
      <w:r w:rsidRPr="00CD6789">
        <w:rPr>
          <w:rStyle w:val="cf21"/>
          <w:rFonts w:ascii="Calibri" w:hAnsi="Calibri"/>
          <w:b/>
          <w:bCs/>
          <w:color w:val="002060"/>
          <w:lang w:val="en-AU"/>
        </w:rPr>
        <w:t xml:space="preserve"> 2: </w:t>
      </w:r>
      <w:r w:rsidR="00056130" w:rsidRPr="00CD6789">
        <w:rPr>
          <w:rStyle w:val="cf21"/>
          <w:rFonts w:ascii="Calibri" w:hAnsi="Calibri"/>
          <w:b/>
          <w:bCs/>
          <w:color w:val="002060"/>
          <w:lang w:val="en-AU"/>
        </w:rPr>
        <w:t xml:space="preserve">Australia’s influence within APEC and across the region is enhanced </w:t>
      </w:r>
      <w:bookmarkStart w:id="47" w:name="_Hlk183602362"/>
      <w:r w:rsidR="00056130" w:rsidRPr="00CD6789">
        <w:rPr>
          <w:rStyle w:val="cf21"/>
          <w:rFonts w:ascii="Calibri" w:hAnsi="Calibri"/>
          <w:b/>
          <w:bCs/>
          <w:color w:val="002060"/>
          <w:lang w:val="en-AU"/>
        </w:rPr>
        <w:t>to support open and free rules-based trading systems that bring mutual benefit to participating economies</w:t>
      </w:r>
      <w:bookmarkEnd w:id="47"/>
      <w:r w:rsidR="00056130" w:rsidRPr="00CD6789">
        <w:rPr>
          <w:rStyle w:val="cf21"/>
          <w:rFonts w:ascii="Calibri" w:hAnsi="Calibri"/>
          <w:b/>
          <w:bCs/>
          <w:color w:val="002060"/>
          <w:lang w:val="en-AU"/>
        </w:rPr>
        <w:t>.</w:t>
      </w:r>
    </w:p>
    <w:p w14:paraId="6CA6812E" w14:textId="3907EF99" w:rsidR="00A3633B" w:rsidRPr="0029511A" w:rsidRDefault="00776D8B" w:rsidP="00776D8B">
      <w:pPr>
        <w:spacing w:after="160" w:line="252" w:lineRule="auto"/>
        <w:rPr>
          <w:rFonts w:ascii="Calibri" w:hAnsi="Calibri" w:cs="Calibri"/>
          <w:lang w:val="en-GB"/>
        </w:rPr>
      </w:pPr>
      <w:r w:rsidRPr="0029511A">
        <w:rPr>
          <w:rFonts w:ascii="Calibri" w:hAnsi="Calibri" w:cs="Calibri"/>
          <w:b/>
          <w:bCs/>
          <w:lang w:val="en-GB"/>
        </w:rPr>
        <w:t>Australian leadership and capacity</w:t>
      </w:r>
      <w:r w:rsidR="00064C7A" w:rsidRPr="0029511A">
        <w:rPr>
          <w:rFonts w:ascii="Calibri" w:hAnsi="Calibri" w:cs="Calibri"/>
          <w:b/>
          <w:bCs/>
          <w:lang w:val="en-GB"/>
        </w:rPr>
        <w:t xml:space="preserve"> </w:t>
      </w:r>
      <w:r w:rsidRPr="0029511A">
        <w:rPr>
          <w:rFonts w:ascii="Calibri" w:hAnsi="Calibri" w:cs="Calibri"/>
          <w:b/>
          <w:bCs/>
          <w:lang w:val="en-GB"/>
        </w:rPr>
        <w:t>building offerings in APEC are considered best practice</w:t>
      </w:r>
      <w:r w:rsidR="004F7BA9" w:rsidRPr="0029511A">
        <w:rPr>
          <w:rFonts w:ascii="Calibri" w:hAnsi="Calibri" w:cs="Calibri"/>
          <w:b/>
          <w:bCs/>
          <w:lang w:val="en-GB"/>
        </w:rPr>
        <w:t xml:space="preserve"> by key informants consulted during the fieldwork of the MTR</w:t>
      </w:r>
      <w:r w:rsidRPr="0029511A">
        <w:rPr>
          <w:rFonts w:ascii="Calibri" w:hAnsi="Calibri" w:cs="Calibri"/>
          <w:lang w:val="en-GB"/>
        </w:rPr>
        <w:t xml:space="preserve">. </w:t>
      </w:r>
      <w:r w:rsidR="00FB7994" w:rsidRPr="0029511A">
        <w:rPr>
          <w:rFonts w:ascii="Calibri" w:hAnsi="Calibri" w:cs="Calibri"/>
          <w:lang w:val="en-GB"/>
        </w:rPr>
        <w:t>Australia is seen</w:t>
      </w:r>
      <w:r w:rsidR="0092590A" w:rsidRPr="0029511A">
        <w:rPr>
          <w:rFonts w:ascii="Calibri" w:hAnsi="Calibri" w:cs="Calibri"/>
          <w:lang w:val="en-GB"/>
        </w:rPr>
        <w:t xml:space="preserve"> to be leading APEC’s work on </w:t>
      </w:r>
      <w:proofErr w:type="gramStart"/>
      <w:r w:rsidR="0092590A" w:rsidRPr="0029511A">
        <w:rPr>
          <w:rFonts w:ascii="Calibri" w:hAnsi="Calibri" w:cs="Calibri"/>
          <w:lang w:val="en-GB"/>
        </w:rPr>
        <w:t>a number of</w:t>
      </w:r>
      <w:proofErr w:type="gramEnd"/>
      <w:r w:rsidR="0092590A" w:rsidRPr="0029511A">
        <w:rPr>
          <w:rFonts w:ascii="Calibri" w:hAnsi="Calibri" w:cs="Calibri"/>
          <w:lang w:val="en-GB"/>
        </w:rPr>
        <w:t xml:space="preserve"> </w:t>
      </w:r>
      <w:r w:rsidR="00FB7994" w:rsidRPr="0029511A">
        <w:rPr>
          <w:rFonts w:ascii="Calibri" w:hAnsi="Calibri" w:cs="Calibri"/>
          <w:lang w:val="en-GB"/>
        </w:rPr>
        <w:t>APEC’s</w:t>
      </w:r>
      <w:r w:rsidR="0092590A" w:rsidRPr="0029511A">
        <w:rPr>
          <w:rFonts w:ascii="Calibri" w:hAnsi="Calibri" w:cs="Calibri"/>
          <w:lang w:val="en-GB"/>
        </w:rPr>
        <w:t xml:space="preserve"> key policy priorities</w:t>
      </w:r>
      <w:r w:rsidR="00CE3FC0" w:rsidRPr="0029511A">
        <w:rPr>
          <w:rFonts w:ascii="Calibri" w:hAnsi="Calibri" w:cs="Calibri"/>
          <w:lang w:val="en-GB"/>
        </w:rPr>
        <w:t>,</w:t>
      </w:r>
      <w:r w:rsidR="00ED232B" w:rsidRPr="0029511A">
        <w:rPr>
          <w:rFonts w:ascii="Calibri" w:hAnsi="Calibri" w:cs="Calibri"/>
          <w:lang w:val="en-GB"/>
        </w:rPr>
        <w:t xml:space="preserve"> and Australia is</w:t>
      </w:r>
      <w:r w:rsidR="0092590A" w:rsidRPr="0029511A">
        <w:rPr>
          <w:rFonts w:ascii="Calibri" w:hAnsi="Calibri" w:cs="Calibri"/>
          <w:lang w:val="en-GB"/>
        </w:rPr>
        <w:t xml:space="preserve"> leading on key aspects of APEC’s work (e.g. services and structural reform)</w:t>
      </w:r>
      <w:r w:rsidR="00C66795" w:rsidRPr="0029511A">
        <w:rPr>
          <w:rFonts w:ascii="Calibri" w:hAnsi="Calibri" w:cs="Calibri"/>
          <w:lang w:val="en-GB"/>
        </w:rPr>
        <w:t xml:space="preserve"> that benefit all APEC economies</w:t>
      </w:r>
      <w:r w:rsidR="0092590A" w:rsidRPr="0029511A">
        <w:rPr>
          <w:rFonts w:ascii="Calibri" w:hAnsi="Calibri" w:cs="Calibri"/>
          <w:lang w:val="en-GB"/>
        </w:rPr>
        <w:t xml:space="preserve">. </w:t>
      </w:r>
      <w:r w:rsidR="00A3633B" w:rsidRPr="0029511A">
        <w:rPr>
          <w:rFonts w:ascii="Calibri" w:hAnsi="Calibri" w:cs="Calibri"/>
          <w:lang w:val="en-GB"/>
        </w:rPr>
        <w:t xml:space="preserve">Australia’s overall reputation in </w:t>
      </w:r>
      <w:r w:rsidR="00ED232B" w:rsidRPr="0029511A">
        <w:rPr>
          <w:rFonts w:ascii="Calibri" w:hAnsi="Calibri" w:cs="Calibri"/>
          <w:lang w:val="en-GB"/>
        </w:rPr>
        <w:t>driving</w:t>
      </w:r>
      <w:r w:rsidR="00A3633B" w:rsidRPr="0029511A">
        <w:rPr>
          <w:rFonts w:ascii="Calibri" w:hAnsi="Calibri" w:cs="Calibri"/>
          <w:lang w:val="en-GB"/>
        </w:rPr>
        <w:t xml:space="preserve"> trade and economic policy in standards-setting, services trade, and inclusive trade has been enhanced</w:t>
      </w:r>
      <w:r w:rsidR="00E634D0" w:rsidRPr="0029511A">
        <w:rPr>
          <w:rFonts w:ascii="Calibri" w:hAnsi="Calibri" w:cs="Calibri"/>
          <w:lang w:val="en-GB"/>
        </w:rPr>
        <w:t xml:space="preserve"> by the different projects delivered by the AASP. In addition</w:t>
      </w:r>
      <w:r w:rsidR="00813FF2" w:rsidRPr="0029511A">
        <w:rPr>
          <w:rFonts w:ascii="Calibri" w:hAnsi="Calibri" w:cs="Calibri"/>
          <w:lang w:val="en-GB"/>
        </w:rPr>
        <w:t>,</w:t>
      </w:r>
      <w:r w:rsidR="00A3633B" w:rsidRPr="0029511A">
        <w:rPr>
          <w:rFonts w:ascii="Calibri" w:hAnsi="Calibri" w:cs="Calibri"/>
          <w:lang w:val="en-GB"/>
        </w:rPr>
        <w:t xml:space="preserve"> Australia is considered a strong APEC capacity building and technical cooperation partner.</w:t>
      </w:r>
    </w:p>
    <w:p w14:paraId="6CF68F87" w14:textId="218A7CD6" w:rsidR="0092590A" w:rsidRPr="0029511A" w:rsidRDefault="0092590A" w:rsidP="00776D8B">
      <w:pPr>
        <w:spacing w:after="160" w:line="252" w:lineRule="auto"/>
        <w:rPr>
          <w:rFonts w:ascii="Calibri" w:hAnsi="Calibri" w:cs="Calibri"/>
          <w:lang w:val="en-GB"/>
        </w:rPr>
      </w:pPr>
      <w:r w:rsidRPr="0029511A">
        <w:rPr>
          <w:rFonts w:ascii="Calibri" w:hAnsi="Calibri" w:cs="Calibri"/>
          <w:b/>
          <w:bCs/>
          <w:lang w:val="en-GB"/>
        </w:rPr>
        <w:t>Interviews with Australia’s partners within APEC endorse</w:t>
      </w:r>
      <w:r w:rsidR="00776D8B" w:rsidRPr="0029511A">
        <w:rPr>
          <w:rFonts w:ascii="Calibri" w:hAnsi="Calibri" w:cs="Calibri"/>
          <w:b/>
          <w:bCs/>
          <w:lang w:val="en-GB"/>
        </w:rPr>
        <w:t xml:space="preserve"> the view of</w:t>
      </w:r>
      <w:r w:rsidRPr="0029511A">
        <w:rPr>
          <w:rFonts w:ascii="Calibri" w:hAnsi="Calibri" w:cs="Calibri"/>
          <w:b/>
          <w:bCs/>
          <w:lang w:val="en-GB"/>
        </w:rPr>
        <w:t xml:space="preserve"> Australia’s contribution</w:t>
      </w:r>
      <w:r w:rsidR="00B22A4C" w:rsidRPr="0029511A">
        <w:rPr>
          <w:rFonts w:ascii="Calibri" w:hAnsi="Calibri" w:cs="Calibri"/>
          <w:b/>
          <w:bCs/>
          <w:lang w:val="en-GB"/>
        </w:rPr>
        <w:t xml:space="preserve"> as valuable</w:t>
      </w:r>
      <w:r w:rsidR="00776D8B" w:rsidRPr="0029511A">
        <w:rPr>
          <w:rFonts w:ascii="Calibri" w:hAnsi="Calibri" w:cs="Calibri"/>
          <w:lang w:val="en-GB"/>
        </w:rPr>
        <w:t xml:space="preserve"> (as already noted under the discussion of IO 5</w:t>
      </w:r>
      <w:r w:rsidR="00CE3FC0" w:rsidRPr="0029511A">
        <w:rPr>
          <w:rFonts w:ascii="Calibri" w:hAnsi="Calibri" w:cs="Calibri"/>
          <w:lang w:val="en-GB"/>
        </w:rPr>
        <w:t>,</w:t>
      </w:r>
      <w:r w:rsidR="00776D8B" w:rsidRPr="0029511A">
        <w:rPr>
          <w:rFonts w:ascii="Calibri" w:hAnsi="Calibri" w:cs="Calibri"/>
          <w:lang w:val="en-GB"/>
        </w:rPr>
        <w:t xml:space="preserve"> which notes that Australia’s influence within APEC is being enhanced through the quality and relevance of the projects it has funded). For instance, in an interview </w:t>
      </w:r>
      <w:r w:rsidR="00646C78" w:rsidRPr="0029511A">
        <w:rPr>
          <w:rFonts w:ascii="Calibri" w:hAnsi="Calibri" w:cs="Calibri"/>
          <w:lang w:val="en-GB"/>
        </w:rPr>
        <w:t xml:space="preserve">during </w:t>
      </w:r>
      <w:r w:rsidR="00776D8B" w:rsidRPr="0029511A">
        <w:rPr>
          <w:rFonts w:ascii="Calibri" w:hAnsi="Calibri" w:cs="Calibri"/>
          <w:lang w:val="en-GB"/>
        </w:rPr>
        <w:t>SOM</w:t>
      </w:r>
      <w:r w:rsidR="00646C78" w:rsidRPr="0029511A">
        <w:rPr>
          <w:rFonts w:ascii="Calibri" w:hAnsi="Calibri" w:cs="Calibri"/>
          <w:lang w:val="en-GB"/>
        </w:rPr>
        <w:t>3 meetings in 2024</w:t>
      </w:r>
      <w:r w:rsidR="00776D8B" w:rsidRPr="0029511A">
        <w:rPr>
          <w:rFonts w:ascii="Calibri" w:hAnsi="Calibri" w:cs="Calibri"/>
          <w:lang w:val="en-GB"/>
        </w:rPr>
        <w:t xml:space="preserve"> with a representative from the </w:t>
      </w:r>
      <w:r w:rsidRPr="0029511A">
        <w:rPr>
          <w:rFonts w:ascii="Calibri" w:hAnsi="Calibri" w:cs="Calibri"/>
          <w:lang w:val="en-GB"/>
        </w:rPr>
        <w:t xml:space="preserve">United States </w:t>
      </w:r>
      <w:r w:rsidR="00776D8B" w:rsidRPr="0029511A">
        <w:rPr>
          <w:rFonts w:ascii="Calibri" w:hAnsi="Calibri" w:cs="Calibri"/>
          <w:lang w:val="en-GB"/>
        </w:rPr>
        <w:t xml:space="preserve">of America, the representative </w:t>
      </w:r>
      <w:r w:rsidRPr="0029511A">
        <w:rPr>
          <w:rFonts w:ascii="Calibri" w:hAnsi="Calibri" w:cs="Calibri"/>
          <w:lang w:val="en-GB"/>
        </w:rPr>
        <w:t>appreciated Australia's cross-fora collaboration and leadership in areas like services liberali</w:t>
      </w:r>
      <w:r w:rsidR="00813FF2" w:rsidRPr="0029511A">
        <w:rPr>
          <w:rFonts w:ascii="Calibri" w:hAnsi="Calibri" w:cs="Calibri"/>
          <w:lang w:val="en-GB"/>
        </w:rPr>
        <w:t>s</w:t>
      </w:r>
      <w:r w:rsidRPr="0029511A">
        <w:rPr>
          <w:rFonts w:ascii="Calibri" w:hAnsi="Calibri" w:cs="Calibri"/>
          <w:lang w:val="en-GB"/>
        </w:rPr>
        <w:t>ation and structural reform:</w:t>
      </w:r>
    </w:p>
    <w:p w14:paraId="32506DBA" w14:textId="080A9682" w:rsidR="0092590A" w:rsidRPr="0029511A" w:rsidRDefault="0092590A" w:rsidP="0092590A">
      <w:pPr>
        <w:spacing w:after="160" w:line="252" w:lineRule="auto"/>
        <w:ind w:left="720"/>
        <w:rPr>
          <w:rFonts w:ascii="Calibri" w:hAnsi="Calibri" w:cs="Calibri"/>
          <w:i/>
          <w:iCs/>
          <w:lang w:val="en-GB"/>
        </w:rPr>
      </w:pPr>
      <w:r w:rsidRPr="0029511A">
        <w:rPr>
          <w:rFonts w:ascii="Calibri" w:hAnsi="Calibri" w:cs="Calibri"/>
          <w:i/>
          <w:iCs/>
          <w:lang w:val="en-GB"/>
        </w:rPr>
        <w:t>The USA finds Australia’s contribution to the APEC Services agenda quite critical. It</w:t>
      </w:r>
      <w:r w:rsidR="00617BEA" w:rsidRPr="0029511A">
        <w:rPr>
          <w:rFonts w:ascii="Calibri" w:hAnsi="Calibri" w:cs="Calibri"/>
          <w:i/>
          <w:iCs/>
          <w:lang w:val="en-GB"/>
        </w:rPr>
        <w:t xml:space="preserve"> plays an</w:t>
      </w:r>
      <w:r w:rsidRPr="0029511A">
        <w:rPr>
          <w:rFonts w:ascii="Calibri" w:hAnsi="Calibri" w:cs="Calibri"/>
          <w:i/>
          <w:iCs/>
          <w:lang w:val="en-GB"/>
        </w:rPr>
        <w:t xml:space="preserve"> important role as a </w:t>
      </w:r>
      <w:r w:rsidR="00495C8C" w:rsidRPr="0029511A">
        <w:rPr>
          <w:rFonts w:ascii="Calibri" w:hAnsi="Calibri" w:cs="Calibri"/>
          <w:i/>
          <w:iCs/>
          <w:lang w:val="en-GB"/>
        </w:rPr>
        <w:t>leader</w:t>
      </w:r>
      <w:r w:rsidRPr="0029511A">
        <w:rPr>
          <w:rFonts w:ascii="Calibri" w:hAnsi="Calibri" w:cs="Calibri"/>
          <w:i/>
          <w:iCs/>
          <w:lang w:val="en-GB"/>
        </w:rPr>
        <w:t xml:space="preserve"> in services in the Indo-Pacific region </w:t>
      </w:r>
      <w:r w:rsidR="00A4722D" w:rsidRPr="0029511A">
        <w:rPr>
          <w:rFonts w:ascii="Calibri" w:hAnsi="Calibri" w:cs="Calibri"/>
          <w:i/>
          <w:iCs/>
          <w:lang w:val="en-GB"/>
        </w:rPr>
        <w:t>…</w:t>
      </w:r>
      <w:r w:rsidRPr="0029511A">
        <w:rPr>
          <w:rFonts w:ascii="Calibri" w:hAnsi="Calibri" w:cs="Calibri"/>
          <w:i/>
          <w:iCs/>
          <w:lang w:val="en-GB"/>
        </w:rPr>
        <w:t>. The workshops funded by Australia are strategic and cover useful topics such as environmental services and structural reform</w:t>
      </w:r>
      <w:r w:rsidR="00783335" w:rsidRPr="0029511A">
        <w:rPr>
          <w:rFonts w:ascii="Calibri" w:hAnsi="Calibri" w:cs="Calibri"/>
          <w:i/>
          <w:iCs/>
          <w:lang w:val="en-GB"/>
        </w:rPr>
        <w:t>..</w:t>
      </w:r>
      <w:r w:rsidRPr="0029511A">
        <w:rPr>
          <w:rFonts w:ascii="Calibri" w:hAnsi="Calibri" w:cs="Calibri"/>
          <w:i/>
          <w:iCs/>
          <w:lang w:val="en-GB"/>
        </w:rPr>
        <w:t xml:space="preserve">. Australia leads by example </w:t>
      </w:r>
      <w:proofErr w:type="gramStart"/>
      <w:r w:rsidRPr="0029511A">
        <w:rPr>
          <w:rFonts w:ascii="Calibri" w:hAnsi="Calibri" w:cs="Calibri"/>
          <w:i/>
          <w:iCs/>
          <w:lang w:val="en-GB"/>
        </w:rPr>
        <w:t xml:space="preserve">in </w:t>
      </w:r>
      <w:r w:rsidR="0090555F" w:rsidRPr="0029511A">
        <w:rPr>
          <w:rFonts w:ascii="Calibri" w:hAnsi="Calibri" w:cs="Calibri"/>
          <w:i/>
          <w:iCs/>
          <w:lang w:val="en-GB"/>
        </w:rPr>
        <w:t xml:space="preserve">the </w:t>
      </w:r>
      <w:r w:rsidRPr="0029511A">
        <w:rPr>
          <w:rFonts w:ascii="Calibri" w:hAnsi="Calibri" w:cs="Calibri"/>
          <w:i/>
          <w:iCs/>
          <w:lang w:val="en-GB"/>
        </w:rPr>
        <w:t>area of</w:t>
      </w:r>
      <w:proofErr w:type="gramEnd"/>
      <w:r w:rsidRPr="0029511A">
        <w:rPr>
          <w:rFonts w:ascii="Calibri" w:hAnsi="Calibri" w:cs="Calibri"/>
          <w:i/>
          <w:iCs/>
          <w:lang w:val="en-GB"/>
        </w:rPr>
        <w:t xml:space="preserve"> service liberalisation and does good cross</w:t>
      </w:r>
      <w:r w:rsidR="00CD2825" w:rsidRPr="0029511A">
        <w:rPr>
          <w:rFonts w:ascii="Calibri" w:hAnsi="Calibri" w:cs="Calibri"/>
          <w:i/>
          <w:iCs/>
          <w:lang w:val="en-GB"/>
        </w:rPr>
        <w:t xml:space="preserve"> </w:t>
      </w:r>
      <w:r w:rsidR="00CD2825" w:rsidRPr="0029511A">
        <w:rPr>
          <w:rFonts w:ascii="Calibri" w:hAnsi="Calibri" w:cs="Calibri"/>
          <w:i/>
          <w:iCs/>
          <w:lang w:val="en-GB"/>
        </w:rPr>
        <w:lastRenderedPageBreak/>
        <w:t>fo</w:t>
      </w:r>
      <w:r w:rsidR="00D303B5" w:rsidRPr="0029511A">
        <w:rPr>
          <w:rFonts w:ascii="Calibri" w:hAnsi="Calibri" w:cs="Calibri"/>
          <w:i/>
          <w:iCs/>
          <w:lang w:val="en-GB"/>
        </w:rPr>
        <w:t xml:space="preserve">ra </w:t>
      </w:r>
      <w:r w:rsidRPr="0029511A">
        <w:rPr>
          <w:rFonts w:ascii="Calibri" w:hAnsi="Calibri" w:cs="Calibri"/>
          <w:i/>
          <w:iCs/>
          <w:lang w:val="en-GB"/>
        </w:rPr>
        <w:t>collaboration. The Australian workshops/</w:t>
      </w:r>
      <w:r w:rsidR="005A1DB8" w:rsidRPr="0029511A">
        <w:rPr>
          <w:rFonts w:ascii="Calibri" w:hAnsi="Calibri" w:cs="Calibri"/>
          <w:i/>
          <w:iCs/>
          <w:lang w:val="en-GB"/>
        </w:rPr>
        <w:t>events</w:t>
      </w:r>
      <w:r w:rsidRPr="0029511A">
        <w:rPr>
          <w:rFonts w:ascii="Calibri" w:hAnsi="Calibri" w:cs="Calibri"/>
          <w:i/>
          <w:iCs/>
          <w:lang w:val="en-GB"/>
        </w:rPr>
        <w:t xml:space="preserve"> are of high quality, well-attended and h</w:t>
      </w:r>
      <w:r w:rsidR="0090555F" w:rsidRPr="0029511A">
        <w:rPr>
          <w:rFonts w:ascii="Calibri" w:hAnsi="Calibri" w:cs="Calibri"/>
          <w:i/>
          <w:iCs/>
          <w:lang w:val="en-GB"/>
        </w:rPr>
        <w:t>ave</w:t>
      </w:r>
      <w:r w:rsidRPr="0029511A">
        <w:rPr>
          <w:rFonts w:ascii="Calibri" w:hAnsi="Calibri" w:cs="Calibri"/>
          <w:i/>
          <w:iCs/>
          <w:lang w:val="en-GB"/>
        </w:rPr>
        <w:t xml:space="preserve"> good speakers/experts. This has helped the US to rationalise their efforts in APEC. The US appreciates </w:t>
      </w:r>
      <w:r w:rsidR="002A47B1" w:rsidRPr="0029511A">
        <w:rPr>
          <w:rFonts w:ascii="Calibri" w:hAnsi="Calibri" w:cs="Calibri"/>
          <w:i/>
          <w:iCs/>
          <w:lang w:val="en-GB"/>
        </w:rPr>
        <w:t xml:space="preserve">Australia’s </w:t>
      </w:r>
      <w:r w:rsidRPr="0029511A">
        <w:rPr>
          <w:rFonts w:ascii="Calibri" w:hAnsi="Calibri" w:cs="Calibri"/>
          <w:i/>
          <w:iCs/>
          <w:lang w:val="en-GB"/>
        </w:rPr>
        <w:t>openness and collaboration during design stages. Australia improves GOS reputation as a very productive group within CTI.</w:t>
      </w:r>
    </w:p>
    <w:bookmarkStart w:id="48" w:name="_Ref179629473"/>
    <w:p w14:paraId="47E84AFD" w14:textId="003AEEF1" w:rsidR="00746CC3" w:rsidRPr="0029511A" w:rsidRDefault="00646EF3" w:rsidP="00D229F4">
      <w:pPr>
        <w:pStyle w:val="Caption"/>
        <w:rPr>
          <w:rFonts w:ascii="Calibri" w:hAnsi="Calibri" w:cs="Calibri"/>
          <w:i w:val="0"/>
          <w:iCs w:val="0"/>
          <w:sz w:val="22"/>
          <w:szCs w:val="22"/>
          <w:lang w:val="en-GB"/>
        </w:rPr>
      </w:pPr>
      <w:r w:rsidRPr="0029511A">
        <w:rPr>
          <w:rFonts w:ascii="Calibri" w:hAnsi="Calibri" w:cs="Calibri"/>
          <w:i w:val="0"/>
          <w:iCs w:val="0"/>
          <w:color w:val="000000" w:themeColor="text1"/>
          <w:sz w:val="22"/>
          <w:szCs w:val="22"/>
          <w:lang w:val="en-GB"/>
        </w:rPr>
        <w:fldChar w:fldCharType="begin"/>
      </w:r>
      <w:r w:rsidRPr="0029511A">
        <w:rPr>
          <w:rFonts w:ascii="Calibri" w:hAnsi="Calibri" w:cs="Calibri"/>
          <w:i w:val="0"/>
          <w:iCs w:val="0"/>
          <w:color w:val="000000" w:themeColor="text1"/>
          <w:sz w:val="22"/>
          <w:szCs w:val="22"/>
          <w:lang w:val="en-GB"/>
        </w:rPr>
        <w:instrText xml:space="preserve"> REF _Ref179629501 \h  \* MERGEFORMAT </w:instrText>
      </w:r>
      <w:r w:rsidRPr="0029511A">
        <w:rPr>
          <w:rFonts w:ascii="Calibri" w:hAnsi="Calibri" w:cs="Calibri"/>
          <w:i w:val="0"/>
          <w:iCs w:val="0"/>
          <w:color w:val="000000" w:themeColor="text1"/>
          <w:sz w:val="22"/>
          <w:szCs w:val="22"/>
          <w:lang w:val="en-GB"/>
        </w:rPr>
      </w:r>
      <w:r w:rsidRPr="0029511A">
        <w:rPr>
          <w:rFonts w:ascii="Calibri" w:hAnsi="Calibri" w:cs="Calibri"/>
          <w:i w:val="0"/>
          <w:iCs w:val="0"/>
          <w:color w:val="000000" w:themeColor="text1"/>
          <w:sz w:val="22"/>
          <w:szCs w:val="22"/>
          <w:lang w:val="en-GB"/>
        </w:rPr>
        <w:fldChar w:fldCharType="separate"/>
      </w:r>
      <w:r w:rsidR="00FD5BA3" w:rsidRPr="0029511A">
        <w:rPr>
          <w:rFonts w:ascii="Calibri" w:hAnsi="Calibri" w:cs="Calibri"/>
          <w:i w:val="0"/>
          <w:iCs w:val="0"/>
          <w:color w:val="000000" w:themeColor="text1"/>
          <w:sz w:val="22"/>
          <w:szCs w:val="22"/>
          <w:lang w:val="en-GB"/>
        </w:rPr>
        <w:t>Figure</w:t>
      </w:r>
      <w:r w:rsidR="00FD5BA3" w:rsidRPr="0029511A">
        <w:rPr>
          <w:rFonts w:ascii="Calibri" w:hAnsi="Calibri" w:cs="Calibri"/>
          <w:sz w:val="22"/>
          <w:szCs w:val="22"/>
          <w:lang w:val="en-GB"/>
        </w:rPr>
        <w:t xml:space="preserve"> </w:t>
      </w:r>
      <w:r w:rsidR="00FD5BA3" w:rsidRPr="0029511A">
        <w:rPr>
          <w:rFonts w:ascii="Calibri" w:hAnsi="Calibri" w:cs="Calibri"/>
          <w:noProof/>
          <w:sz w:val="22"/>
          <w:szCs w:val="22"/>
          <w:lang w:val="en-GB"/>
        </w:rPr>
        <w:t>2</w:t>
      </w:r>
      <w:r w:rsidRPr="0029511A">
        <w:rPr>
          <w:rFonts w:ascii="Calibri" w:hAnsi="Calibri" w:cs="Calibri"/>
          <w:i w:val="0"/>
          <w:iCs w:val="0"/>
          <w:color w:val="000000" w:themeColor="text1"/>
          <w:sz w:val="22"/>
          <w:szCs w:val="22"/>
          <w:lang w:val="en-GB"/>
        </w:rPr>
        <w:fldChar w:fldCharType="end"/>
      </w:r>
      <w:r w:rsidRPr="0029511A">
        <w:rPr>
          <w:rFonts w:ascii="Calibri" w:hAnsi="Calibri" w:cs="Calibri"/>
          <w:i w:val="0"/>
          <w:iCs w:val="0"/>
          <w:color w:val="000000" w:themeColor="text1"/>
          <w:sz w:val="22"/>
          <w:szCs w:val="22"/>
          <w:lang w:val="en-GB"/>
        </w:rPr>
        <w:t xml:space="preserve"> illustrates that the vast majority (90% of respondents) strongly agreed or agreed with the statement that the AASP enhances Australia’s influence within APEC</w:t>
      </w:r>
      <w:r w:rsidR="00206508" w:rsidRPr="0029511A">
        <w:rPr>
          <w:rFonts w:ascii="Calibri" w:hAnsi="Calibri" w:cs="Calibri"/>
          <w:i w:val="0"/>
          <w:iCs w:val="0"/>
          <w:color w:val="000000" w:themeColor="text1"/>
          <w:sz w:val="22"/>
          <w:szCs w:val="22"/>
          <w:lang w:val="en-GB"/>
        </w:rPr>
        <w:t xml:space="preserve"> to support open and free rules-based trading systems that bring mutual benefit to participating economies</w:t>
      </w:r>
      <w:r w:rsidRPr="0029511A">
        <w:rPr>
          <w:rFonts w:ascii="Calibri" w:hAnsi="Calibri" w:cs="Calibri"/>
          <w:i w:val="0"/>
          <w:iCs w:val="0"/>
          <w:color w:val="000000" w:themeColor="text1"/>
          <w:sz w:val="22"/>
          <w:szCs w:val="22"/>
          <w:lang w:val="en-GB"/>
        </w:rPr>
        <w:t>. Respondents also provided high approval ratings for the AASP’s outputs in helping to inform the APEC policy agenda and that</w:t>
      </w:r>
      <w:r w:rsidR="00CD5E19" w:rsidRPr="0029511A">
        <w:rPr>
          <w:rFonts w:ascii="Calibri" w:hAnsi="Calibri" w:cs="Calibri"/>
          <w:i w:val="0"/>
          <w:iCs w:val="0"/>
          <w:color w:val="000000" w:themeColor="text1"/>
          <w:sz w:val="22"/>
          <w:szCs w:val="22"/>
          <w:lang w:val="en-GB"/>
        </w:rPr>
        <w:t xml:space="preserve"> self-funded</w:t>
      </w:r>
      <w:r w:rsidRPr="0029511A">
        <w:rPr>
          <w:rFonts w:ascii="Calibri" w:hAnsi="Calibri" w:cs="Calibri"/>
          <w:i w:val="0"/>
          <w:iCs w:val="0"/>
          <w:color w:val="000000" w:themeColor="text1"/>
          <w:sz w:val="22"/>
          <w:szCs w:val="22"/>
          <w:lang w:val="en-GB"/>
        </w:rPr>
        <w:t xml:space="preserve"> projects demonstrate the AASP’s commitment to important cross-cutting priorities</w:t>
      </w:r>
      <w:r w:rsidR="00CD4B71" w:rsidRPr="0029511A">
        <w:rPr>
          <w:rFonts w:ascii="Calibri" w:hAnsi="Calibri" w:cs="Calibri"/>
          <w:i w:val="0"/>
          <w:iCs w:val="0"/>
          <w:color w:val="000000" w:themeColor="text1"/>
          <w:sz w:val="22"/>
          <w:szCs w:val="22"/>
          <w:lang w:val="en-GB"/>
        </w:rPr>
        <w:t>.</w:t>
      </w:r>
      <w:r w:rsidRPr="0029511A">
        <w:rPr>
          <w:rFonts w:ascii="Calibri" w:hAnsi="Calibri" w:cs="Calibri"/>
          <w:i w:val="0"/>
          <w:iCs w:val="0"/>
          <w:color w:val="000000" w:themeColor="text1"/>
          <w:sz w:val="22"/>
          <w:szCs w:val="22"/>
          <w:lang w:val="en-GB"/>
        </w:rPr>
        <w:t xml:space="preserve"> </w:t>
      </w:r>
      <w:bookmarkStart w:id="49" w:name="_Ref179629501"/>
      <w:bookmarkStart w:id="50" w:name="_Toc179630579"/>
    </w:p>
    <w:p w14:paraId="2939AE0D" w14:textId="3EA64A15" w:rsidR="0092590A" w:rsidRPr="0029511A" w:rsidRDefault="0092590A" w:rsidP="0092590A">
      <w:pPr>
        <w:pStyle w:val="Caption"/>
        <w:rPr>
          <w:rFonts w:ascii="Calibri" w:hAnsi="Calibri" w:cs="Calibri"/>
          <w:sz w:val="22"/>
          <w:szCs w:val="22"/>
          <w:lang w:val="en-GB"/>
        </w:rPr>
      </w:pPr>
      <w:r w:rsidRPr="0029511A">
        <w:rPr>
          <w:rFonts w:ascii="Calibri" w:hAnsi="Calibri" w:cs="Calibri"/>
          <w:sz w:val="22"/>
          <w:szCs w:val="22"/>
          <w:lang w:val="en-GB"/>
        </w:rPr>
        <w:t xml:space="preserve">Figure </w:t>
      </w:r>
      <w:r w:rsidRPr="0029511A">
        <w:rPr>
          <w:rFonts w:ascii="Calibri" w:hAnsi="Calibri" w:cs="Calibri"/>
          <w:sz w:val="22"/>
          <w:szCs w:val="22"/>
          <w:lang w:val="en-GB"/>
        </w:rPr>
        <w:fldChar w:fldCharType="begin"/>
      </w:r>
      <w:r w:rsidRPr="0029511A">
        <w:rPr>
          <w:rFonts w:ascii="Calibri" w:hAnsi="Calibri" w:cs="Calibri"/>
          <w:sz w:val="22"/>
          <w:szCs w:val="22"/>
          <w:lang w:val="en-GB"/>
        </w:rPr>
        <w:instrText xml:space="preserve"> SEQ Figure \* ARABIC </w:instrText>
      </w:r>
      <w:r w:rsidRPr="0029511A">
        <w:rPr>
          <w:rFonts w:ascii="Calibri" w:hAnsi="Calibri" w:cs="Calibri"/>
          <w:sz w:val="22"/>
          <w:szCs w:val="22"/>
          <w:lang w:val="en-GB"/>
        </w:rPr>
        <w:fldChar w:fldCharType="separate"/>
      </w:r>
      <w:r w:rsidR="00FD5BA3" w:rsidRPr="0029511A">
        <w:rPr>
          <w:rFonts w:ascii="Calibri" w:hAnsi="Calibri" w:cs="Calibri"/>
          <w:noProof/>
          <w:sz w:val="22"/>
          <w:szCs w:val="22"/>
          <w:lang w:val="en-GB"/>
        </w:rPr>
        <w:t>2</w:t>
      </w:r>
      <w:r w:rsidRPr="0029511A">
        <w:rPr>
          <w:rFonts w:ascii="Calibri" w:hAnsi="Calibri" w:cs="Calibri"/>
          <w:noProof/>
          <w:sz w:val="22"/>
          <w:szCs w:val="22"/>
          <w:lang w:val="en-GB"/>
        </w:rPr>
        <w:fldChar w:fldCharType="end"/>
      </w:r>
      <w:bookmarkEnd w:id="48"/>
      <w:bookmarkEnd w:id="49"/>
      <w:r w:rsidRPr="0029511A">
        <w:rPr>
          <w:rFonts w:ascii="Calibri" w:hAnsi="Calibri" w:cs="Calibri"/>
          <w:sz w:val="22"/>
          <w:szCs w:val="22"/>
          <w:lang w:val="en-GB"/>
        </w:rPr>
        <w:t>: Survey perceptions of AASP’s impact (Source: own survey)</w:t>
      </w:r>
      <w:bookmarkEnd w:id="50"/>
    </w:p>
    <w:p w14:paraId="0C6E01E3" w14:textId="5AF4EB28" w:rsidR="00A3633B" w:rsidRPr="0029511A" w:rsidRDefault="00E934C8" w:rsidP="00A3633B">
      <w:pPr>
        <w:spacing w:after="160" w:line="252" w:lineRule="auto"/>
        <w:rPr>
          <w:rFonts w:ascii="Calibri" w:hAnsi="Calibri" w:cs="Calibri"/>
          <w:lang w:val="en-GB"/>
        </w:rPr>
      </w:pPr>
      <w:r>
        <w:rPr>
          <w:rFonts w:ascii="Calibri" w:hAnsi="Calibri" w:cs="Calibri"/>
          <w:noProof/>
          <w:lang w:val="en-GB"/>
        </w:rPr>
        <w:drawing>
          <wp:inline distT="0" distB="0" distL="0" distR="0" wp14:anchorId="00EE5353" wp14:editId="243A8126">
            <wp:extent cx="5727700" cy="3608070"/>
            <wp:effectExtent l="0" t="0" r="6350" b="0"/>
            <wp:docPr id="1844656111" name="Picture 2" descr="Figure 2 shows 90% of survey respondents agree or strongly agree that AASP projects help to inform the APEC policy agenda, demonstrate a commitment to improving knowledge within marginalised groups, enhance Australia's influence in APEC and that they would recommend participation in AASP projects to colleagues. 80% of respondents agreed or strongly agreed that AASP projects demonstrate a commitment to improving the capacities of marginalised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56111" name="Picture 2" descr="Figure 2 shows 90% of survey respondents agree or strongly agree that AASP projects help to inform the APEC policy agenda, demonstrate a commitment to improving knowledge within marginalised groups, enhance Australia's influence in APEC and that they would recommend participation in AASP projects to colleagues. 80% of respondents agreed or strongly agreed that AASP projects demonstrate a commitment to improving the capacities of marginalised groups."/>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727700" cy="3608070"/>
                    </a:xfrm>
                    <a:prstGeom prst="rect">
                      <a:avLst/>
                    </a:prstGeom>
                  </pic:spPr>
                </pic:pic>
              </a:graphicData>
            </a:graphic>
          </wp:inline>
        </w:drawing>
      </w:r>
    </w:p>
    <w:p w14:paraId="2204CE72" w14:textId="4357C6DF" w:rsidR="00D70DDF" w:rsidRPr="0029511A" w:rsidRDefault="00627CE1" w:rsidP="00686033">
      <w:pPr>
        <w:pStyle w:val="Heading2"/>
        <w:rPr>
          <w:rFonts w:ascii="Calibri" w:hAnsi="Calibri" w:cs="Calibri"/>
          <w:sz w:val="22"/>
          <w:szCs w:val="22"/>
        </w:rPr>
      </w:pPr>
      <w:bookmarkStart w:id="51" w:name="_Toc190934892"/>
      <w:bookmarkStart w:id="52" w:name="_Toc156506667"/>
      <w:r w:rsidRPr="0029511A">
        <w:rPr>
          <w:rFonts w:ascii="Calibri" w:hAnsi="Calibri" w:cs="Calibri"/>
          <w:sz w:val="22"/>
          <w:szCs w:val="22"/>
        </w:rPr>
        <w:t>Efficiency</w:t>
      </w:r>
      <w:bookmarkEnd w:id="51"/>
    </w:p>
    <w:p w14:paraId="6D20BD23" w14:textId="65B8710C" w:rsidR="006979ED" w:rsidRPr="006858CC" w:rsidRDefault="006858CC" w:rsidP="0092590A">
      <w:pPr>
        <w:rPr>
          <w:rFonts w:asciiTheme="minorHAnsi" w:eastAsia="Times New Roman" w:hAnsiTheme="minorHAnsi" w:cstheme="minorHAnsi"/>
          <w:color w:val="000000"/>
          <w:lang w:val="en-GB" w:eastAsia="en-GB"/>
        </w:rPr>
      </w:pPr>
      <w:r w:rsidRPr="006858CC">
        <w:rPr>
          <w:rFonts w:asciiTheme="minorHAnsi" w:hAnsiTheme="minorHAnsi" w:cstheme="minorHAnsi"/>
        </w:rPr>
        <w:t xml:space="preserve">Key Findings: The AASP is on track to expend as expected against the full investment by its conclusion in June 2026. The AASP has ensured a relatively balanced portfolio across the key priorities of the program. However, to achieve this, the program will need to be continually proactive in ensuring that the pipeline continues to maintain a balanced portfolio as it risks not having sufficient projects generated by the whole-of government partners due to increasing resourcing constraints raised by these partners. In-house, the program needs to carefully prioritise projects that address Australia’s APEC priorities and intended AASP outcomes in a balanced fashion (i.e. avoid overrepresentation of some projects for one priority and neglect projects in others). The AASP has improved systems and processes internally to enhance the efficiency of the program and has enhanced its information sharing on the processes (including revised project templates, a step-by-step guide to project proposal preparation and implementation, and regular interaction with ASP agencies). The AASP provides support to the APEC Secretariat by funding the position of APEC’s Project Management Unit (PMU) Director. In that role, an Australian official is seconded to oversee the implementation of APEC funds - including funds provided by Australia. PMU has implemented </w:t>
      </w:r>
      <w:r w:rsidRPr="006858CC">
        <w:rPr>
          <w:rFonts w:asciiTheme="minorHAnsi" w:hAnsiTheme="minorHAnsi" w:cstheme="minorHAnsi"/>
        </w:rPr>
        <w:lastRenderedPageBreak/>
        <w:t xml:space="preserve">various approaches to improve efficiency including introducing new online tools for project management and training. Proactive early planning of a pipeline of activities, and ramped-up communication efforts offer ample flexibility for the consideration and embrace of innovative approaches and activities (better value for ODA funds), and the AASP has implemented a number of steps to ensure the efficient delivery of projects (including leveraging hybrid and innovative ways to enhance capacity building, developing a program database of experts, and hosting events alongside </w:t>
      </w:r>
      <w:proofErr w:type="spellStart"/>
      <w:r w:rsidRPr="006858CC">
        <w:rPr>
          <w:rFonts w:asciiTheme="minorHAnsi" w:hAnsiTheme="minorHAnsi" w:cstheme="minorHAnsi"/>
        </w:rPr>
        <w:t>faceto</w:t>
      </w:r>
      <w:proofErr w:type="spellEnd"/>
      <w:r w:rsidRPr="006858CC">
        <w:rPr>
          <w:rFonts w:asciiTheme="minorHAnsi" w:hAnsiTheme="minorHAnsi" w:cstheme="minorHAnsi"/>
        </w:rPr>
        <w:t>-face meetings of key APEC committees). When necessary AASP have been adaptive, respond to changing needs and have pivoted to address changes in context. Signing the extension of the contract with the managing contractor for another 12 months, has also ensured continuity of additional external technical assistance required to manage the program.</w:t>
      </w:r>
    </w:p>
    <w:p w14:paraId="1026A668" w14:textId="42ACCF8A" w:rsidR="0092590A" w:rsidRPr="0029511A" w:rsidRDefault="0092590A" w:rsidP="0092590A">
      <w:pPr>
        <w:rPr>
          <w:rFonts w:ascii="Calibri" w:eastAsia="Times New Roman" w:hAnsi="Calibri" w:cs="Calibri"/>
          <w:color w:val="000000"/>
          <w:lang w:val="en-GB" w:eastAsia="en-GB"/>
        </w:rPr>
      </w:pPr>
      <w:r w:rsidRPr="0029511A">
        <w:rPr>
          <w:rFonts w:ascii="Calibri" w:eastAsia="Times New Roman" w:hAnsi="Calibri" w:cs="Calibri"/>
          <w:color w:val="000000"/>
          <w:lang w:val="en-GB" w:eastAsia="en-GB"/>
        </w:rPr>
        <w:t xml:space="preserve">The AASP has an investment value </w:t>
      </w:r>
      <w:r w:rsidR="00CE3FC0" w:rsidRPr="0029511A">
        <w:rPr>
          <w:rFonts w:ascii="Calibri" w:eastAsia="Times New Roman" w:hAnsi="Calibri" w:cs="Calibri"/>
          <w:color w:val="000000"/>
          <w:lang w:val="en-GB" w:eastAsia="en-GB"/>
        </w:rPr>
        <w:t xml:space="preserve">of </w:t>
      </w:r>
      <w:r w:rsidRPr="0029511A">
        <w:rPr>
          <w:rFonts w:ascii="Calibri" w:eastAsia="Times New Roman" w:hAnsi="Calibri" w:cs="Calibri"/>
          <w:color w:val="000000"/>
          <w:lang w:val="en-GB" w:eastAsia="en-GB"/>
        </w:rPr>
        <w:t xml:space="preserve">$18,500,000 for the </w:t>
      </w:r>
      <w:r w:rsidR="00DC16E3" w:rsidRPr="0029511A">
        <w:rPr>
          <w:rFonts w:ascii="Calibri" w:eastAsia="Times New Roman" w:hAnsi="Calibri" w:cs="Calibri"/>
          <w:color w:val="000000"/>
          <w:lang w:val="en-GB" w:eastAsia="en-GB"/>
        </w:rPr>
        <w:t>four-year</w:t>
      </w:r>
      <w:r w:rsidRPr="0029511A">
        <w:rPr>
          <w:rFonts w:ascii="Calibri" w:eastAsia="Times New Roman" w:hAnsi="Calibri" w:cs="Calibri"/>
          <w:color w:val="000000"/>
          <w:lang w:val="en-GB" w:eastAsia="en-GB"/>
        </w:rPr>
        <w:t xml:space="preserve"> program (June 2022 to June 2026), of which an expected </w:t>
      </w:r>
      <w:r w:rsidRPr="0029511A">
        <w:rPr>
          <w:rFonts w:ascii="Calibri" w:hAnsi="Calibri" w:cs="Calibri"/>
          <w:lang w:val="en-GB"/>
        </w:rPr>
        <w:t>$4.</w:t>
      </w:r>
      <w:r w:rsidRPr="0029511A">
        <w:rPr>
          <w:rFonts w:ascii="Calibri" w:eastAsia="Times New Roman" w:hAnsi="Calibri" w:cs="Calibri"/>
          <w:color w:val="000000"/>
          <w:lang w:val="en-GB" w:eastAsia="en-GB"/>
        </w:rPr>
        <w:t>6 million per year is to be committed to supporting APEC through direct support to the APEC secretariat, centrally managed funds that support capacity building, and self-fund</w:t>
      </w:r>
      <w:r w:rsidR="000A6F19" w:rsidRPr="0029511A">
        <w:rPr>
          <w:rFonts w:ascii="Calibri" w:eastAsia="Times New Roman" w:hAnsi="Calibri" w:cs="Calibri"/>
          <w:color w:val="000000"/>
          <w:lang w:val="en-GB" w:eastAsia="en-GB"/>
        </w:rPr>
        <w:t>ed</w:t>
      </w:r>
      <w:r w:rsidRPr="0029511A">
        <w:rPr>
          <w:rFonts w:ascii="Calibri" w:eastAsia="Times New Roman" w:hAnsi="Calibri" w:cs="Calibri"/>
          <w:color w:val="000000"/>
          <w:lang w:val="en-GB" w:eastAsia="en-GB"/>
        </w:rPr>
        <w:t xml:space="preserve"> projects. As of </w:t>
      </w:r>
      <w:r w:rsidR="00C538BC" w:rsidRPr="0029511A">
        <w:rPr>
          <w:rFonts w:ascii="Calibri" w:eastAsia="Times New Roman" w:hAnsi="Calibri" w:cs="Calibri"/>
          <w:color w:val="000000"/>
          <w:lang w:val="en-GB" w:eastAsia="en-GB"/>
        </w:rPr>
        <w:t>6 November</w:t>
      </w:r>
      <w:r w:rsidR="00E95692" w:rsidRPr="0029511A">
        <w:rPr>
          <w:rFonts w:ascii="Calibri" w:eastAsia="Times New Roman" w:hAnsi="Calibri" w:cs="Calibri"/>
          <w:color w:val="000000"/>
          <w:lang w:val="en-GB" w:eastAsia="en-GB"/>
        </w:rPr>
        <w:t xml:space="preserve"> 2024,</w:t>
      </w:r>
      <w:r w:rsidRPr="0029511A">
        <w:rPr>
          <w:rFonts w:ascii="Calibri" w:eastAsia="Times New Roman" w:hAnsi="Calibri" w:cs="Calibri"/>
          <w:color w:val="000000"/>
          <w:lang w:val="en-GB" w:eastAsia="en-GB"/>
        </w:rPr>
        <w:t xml:space="preserve"> the AASP had committed $12,</w:t>
      </w:r>
      <w:r w:rsidR="00C538BC" w:rsidRPr="0029511A">
        <w:rPr>
          <w:rFonts w:ascii="Calibri" w:eastAsia="Times New Roman" w:hAnsi="Calibri" w:cs="Calibri"/>
          <w:color w:val="000000"/>
          <w:lang w:val="en-GB" w:eastAsia="en-GB"/>
        </w:rPr>
        <w:t>520,692</w:t>
      </w:r>
      <w:r w:rsidRPr="0029511A">
        <w:rPr>
          <w:rFonts w:ascii="Calibri" w:eastAsia="Times New Roman" w:hAnsi="Calibri" w:cs="Calibri"/>
          <w:color w:val="000000"/>
          <w:lang w:val="en-GB" w:eastAsia="en-GB"/>
        </w:rPr>
        <w:t xml:space="preserve"> (67% of the total investment)</w:t>
      </w:r>
      <w:r w:rsidR="0010290D" w:rsidRPr="0029511A">
        <w:rPr>
          <w:rFonts w:ascii="Calibri" w:eastAsia="Times New Roman" w:hAnsi="Calibri" w:cs="Calibri"/>
          <w:color w:val="000000"/>
          <w:lang w:val="en-GB" w:eastAsia="en-GB"/>
        </w:rPr>
        <w:t xml:space="preserve"> with approximately $9.4m expensed (50%) - </w:t>
      </w:r>
      <w:r w:rsidRPr="0029511A">
        <w:rPr>
          <w:rFonts w:ascii="Calibri" w:eastAsia="Times New Roman" w:hAnsi="Calibri" w:cs="Calibri"/>
          <w:color w:val="000000"/>
          <w:lang w:val="en-GB" w:eastAsia="en-GB"/>
        </w:rPr>
        <w:t xml:space="preserve">a strong indication that </w:t>
      </w:r>
      <w:r w:rsidRPr="0029511A">
        <w:rPr>
          <w:rFonts w:ascii="Calibri" w:eastAsia="Times New Roman" w:hAnsi="Calibri" w:cs="Calibri"/>
          <w:b/>
          <w:bCs/>
          <w:color w:val="000000"/>
          <w:lang w:val="en-GB" w:eastAsia="en-GB"/>
        </w:rPr>
        <w:t xml:space="preserve">the </w:t>
      </w:r>
      <w:r w:rsidR="00C80DE4" w:rsidRPr="0029511A">
        <w:rPr>
          <w:rFonts w:ascii="Calibri" w:eastAsia="Times New Roman" w:hAnsi="Calibri" w:cs="Calibri"/>
          <w:b/>
          <w:bCs/>
          <w:color w:val="000000"/>
          <w:lang w:val="en-GB" w:eastAsia="en-GB"/>
        </w:rPr>
        <w:t xml:space="preserve">program </w:t>
      </w:r>
      <w:r w:rsidRPr="0029511A">
        <w:rPr>
          <w:rFonts w:ascii="Calibri" w:eastAsia="Times New Roman" w:hAnsi="Calibri" w:cs="Calibri"/>
          <w:b/>
          <w:bCs/>
          <w:color w:val="000000"/>
          <w:lang w:val="en-GB" w:eastAsia="en-GB"/>
        </w:rPr>
        <w:t>is on track to expend as expected against the full investment by its conclusion</w:t>
      </w:r>
      <w:r w:rsidRPr="0029511A">
        <w:rPr>
          <w:rFonts w:ascii="Calibri" w:eastAsia="Times New Roman" w:hAnsi="Calibri" w:cs="Calibri"/>
          <w:color w:val="000000"/>
          <w:lang w:val="en-GB" w:eastAsia="en-GB"/>
        </w:rPr>
        <w:t xml:space="preserve"> in June 2026</w:t>
      </w:r>
      <w:r w:rsidRPr="0029511A">
        <w:rPr>
          <w:rStyle w:val="FootnoteReference"/>
          <w:rFonts w:ascii="Calibri" w:eastAsia="Times New Roman" w:hAnsi="Calibri" w:cs="Calibri"/>
          <w:color w:val="000000"/>
          <w:lang w:val="en-GB" w:eastAsia="en-GB"/>
        </w:rPr>
        <w:footnoteReference w:id="9"/>
      </w:r>
      <w:r w:rsidRPr="0029511A">
        <w:rPr>
          <w:rFonts w:ascii="Calibri" w:eastAsia="Times New Roman" w:hAnsi="Calibri" w:cs="Calibri"/>
          <w:color w:val="000000"/>
          <w:lang w:val="en-GB" w:eastAsia="en-GB"/>
        </w:rPr>
        <w:t>.</w:t>
      </w:r>
    </w:p>
    <w:p w14:paraId="5C69FCBF" w14:textId="5B07D748" w:rsidR="001C2F7E" w:rsidRPr="006858CC" w:rsidRDefault="001C2F7E" w:rsidP="0092590A">
      <w:pPr>
        <w:rPr>
          <w:rFonts w:ascii="Calibri" w:hAnsi="Calibri" w:cs="Calibri"/>
          <w:color w:val="000000" w:themeColor="text1"/>
          <w:lang w:val="en-GB" w:eastAsia="en-GB"/>
        </w:rPr>
      </w:pPr>
      <w:r w:rsidRPr="0029511A">
        <w:rPr>
          <w:rFonts w:ascii="Calibri" w:hAnsi="Calibri" w:cs="Calibri"/>
          <w:color w:val="000000" w:themeColor="text1"/>
          <w:lang w:val="en-GB" w:eastAsia="en-GB"/>
        </w:rPr>
        <w:t>Part of Australia’s financial contributions to directly support the APEC Secretariat includes funding for the position of APEC’s Project Management Unit (PMU) Director through the AASP. In this role, an Australian official is seconded to oversee the implementation of APEC funds, including those provided by Australia. The PMU has implemented various approaches to improve efficiency, including</w:t>
      </w:r>
      <w:r w:rsidR="006858CC">
        <w:rPr>
          <w:rFonts w:ascii="Calibri" w:hAnsi="Calibri" w:cs="Calibri"/>
          <w:color w:val="000000" w:themeColor="text1"/>
          <w:lang w:val="en-GB" w:eastAsia="en-GB"/>
        </w:rPr>
        <w:t xml:space="preserve"> </w:t>
      </w:r>
      <w:r w:rsidRPr="0029511A">
        <w:rPr>
          <w:rFonts w:ascii="Calibri" w:hAnsi="Calibri" w:cs="Calibri"/>
          <w:color w:val="000000" w:themeColor="text1"/>
          <w:lang w:val="en-GB" w:eastAsia="en-GB"/>
        </w:rPr>
        <w:t>the introduction of new online tools for project management and training</w:t>
      </w:r>
      <w:r w:rsidR="00234245" w:rsidRPr="0029511A">
        <w:rPr>
          <w:rFonts w:ascii="Calibri" w:hAnsi="Calibri" w:cs="Calibri"/>
          <w:color w:val="000000" w:themeColor="text1"/>
          <w:lang w:val="en-GB" w:eastAsia="en-GB"/>
        </w:rPr>
        <w:t>.</w:t>
      </w:r>
    </w:p>
    <w:p w14:paraId="382DAFBE" w14:textId="65689537" w:rsidR="0092590A" w:rsidRPr="0029511A" w:rsidRDefault="0092590A" w:rsidP="0092590A">
      <w:pPr>
        <w:rPr>
          <w:rFonts w:ascii="Calibri" w:eastAsia="Times New Roman" w:hAnsi="Calibri" w:cs="Calibri"/>
          <w:color w:val="000000"/>
          <w:lang w:val="en-GB" w:eastAsia="en-GB"/>
        </w:rPr>
      </w:pPr>
      <w:r w:rsidRPr="0029511A">
        <w:rPr>
          <w:rFonts w:ascii="Calibri" w:eastAsia="Times New Roman" w:hAnsi="Calibri" w:cs="Calibri"/>
          <w:color w:val="000000"/>
          <w:lang w:val="en-GB" w:eastAsia="en-GB"/>
        </w:rPr>
        <w:t xml:space="preserve">As illustrated in </w:t>
      </w:r>
      <w:r w:rsidRPr="0029511A">
        <w:rPr>
          <w:rFonts w:ascii="Calibri" w:eastAsia="Times New Roman" w:hAnsi="Calibri" w:cs="Calibri"/>
          <w:color w:val="000000"/>
          <w:lang w:val="en-GB" w:eastAsia="en-GB"/>
        </w:rPr>
        <w:fldChar w:fldCharType="begin"/>
      </w:r>
      <w:r w:rsidRPr="0029511A">
        <w:rPr>
          <w:rFonts w:ascii="Calibri" w:eastAsia="Times New Roman" w:hAnsi="Calibri" w:cs="Calibri"/>
          <w:color w:val="000000"/>
          <w:lang w:val="en-GB" w:eastAsia="en-GB"/>
        </w:rPr>
        <w:instrText xml:space="preserve"> REF _Ref179364229 \h  \* MERGEFORMAT </w:instrText>
      </w:r>
      <w:r w:rsidRPr="0029511A">
        <w:rPr>
          <w:rFonts w:ascii="Calibri" w:eastAsia="Times New Roman" w:hAnsi="Calibri" w:cs="Calibri"/>
          <w:color w:val="000000"/>
          <w:lang w:val="en-GB" w:eastAsia="en-GB"/>
        </w:rPr>
      </w:r>
      <w:r w:rsidRPr="0029511A">
        <w:rPr>
          <w:rFonts w:ascii="Calibri" w:eastAsia="Times New Roman" w:hAnsi="Calibri" w:cs="Calibri"/>
          <w:color w:val="000000"/>
          <w:lang w:val="en-GB" w:eastAsia="en-GB"/>
        </w:rPr>
        <w:fldChar w:fldCharType="separate"/>
      </w:r>
      <w:r w:rsidR="00FD5BA3" w:rsidRPr="0029511A">
        <w:rPr>
          <w:rFonts w:ascii="Calibri" w:hAnsi="Calibri" w:cs="Calibri"/>
          <w:lang w:val="en-GB"/>
        </w:rPr>
        <w:t xml:space="preserve">Figure </w:t>
      </w:r>
      <w:r w:rsidR="00FD5BA3" w:rsidRPr="0029511A">
        <w:rPr>
          <w:rFonts w:ascii="Calibri" w:hAnsi="Calibri" w:cs="Calibri"/>
          <w:noProof/>
          <w:lang w:val="en-GB"/>
        </w:rPr>
        <w:t>3</w:t>
      </w:r>
      <w:r w:rsidRPr="0029511A">
        <w:rPr>
          <w:rFonts w:ascii="Calibri" w:eastAsia="Times New Roman" w:hAnsi="Calibri" w:cs="Calibri"/>
          <w:color w:val="000000"/>
          <w:lang w:val="en-GB" w:eastAsia="en-GB"/>
        </w:rPr>
        <w:fldChar w:fldCharType="end"/>
      </w:r>
      <w:r w:rsidR="005C4F01" w:rsidRPr="0029511A">
        <w:rPr>
          <w:rFonts w:ascii="Calibri" w:eastAsia="Times New Roman" w:hAnsi="Calibri" w:cs="Calibri"/>
          <w:color w:val="000000"/>
          <w:lang w:val="en-GB" w:eastAsia="en-GB"/>
        </w:rPr>
        <w:t>,</w:t>
      </w:r>
      <w:r w:rsidR="00D67031" w:rsidRPr="0029511A">
        <w:rPr>
          <w:rFonts w:ascii="Calibri" w:eastAsia="Times New Roman" w:hAnsi="Calibri" w:cs="Calibri"/>
          <w:color w:val="000000"/>
          <w:lang w:val="en-GB" w:eastAsia="en-GB"/>
        </w:rPr>
        <w:t xml:space="preserve"> </w:t>
      </w:r>
      <w:r w:rsidR="009E6CEC" w:rsidRPr="0029511A">
        <w:rPr>
          <w:rFonts w:ascii="Calibri" w:eastAsia="Times New Roman" w:hAnsi="Calibri" w:cs="Calibri"/>
          <w:i/>
          <w:iCs/>
          <w:color w:val="000000"/>
          <w:lang w:val="en-GB" w:eastAsia="en-GB"/>
        </w:rPr>
        <w:t>S</w:t>
      </w:r>
      <w:r w:rsidRPr="0029511A">
        <w:rPr>
          <w:rFonts w:ascii="Calibri" w:eastAsia="Times New Roman" w:hAnsi="Calibri" w:cs="Calibri"/>
          <w:i/>
          <w:iCs/>
          <w:color w:val="000000"/>
          <w:lang w:val="en-GB" w:eastAsia="en-GB"/>
        </w:rPr>
        <w:t xml:space="preserve">upport for APEC </w:t>
      </w:r>
      <w:r w:rsidR="000D50FB" w:rsidRPr="0029511A">
        <w:rPr>
          <w:rFonts w:ascii="Calibri" w:eastAsia="Times New Roman" w:hAnsi="Calibri" w:cs="Calibri"/>
          <w:i/>
          <w:iCs/>
          <w:color w:val="000000"/>
          <w:lang w:val="en-GB" w:eastAsia="en-GB"/>
        </w:rPr>
        <w:t>S</w:t>
      </w:r>
      <w:r w:rsidRPr="0029511A">
        <w:rPr>
          <w:rFonts w:ascii="Calibri" w:eastAsia="Times New Roman" w:hAnsi="Calibri" w:cs="Calibri"/>
          <w:i/>
          <w:iCs/>
          <w:color w:val="000000"/>
          <w:lang w:val="en-GB" w:eastAsia="en-GB"/>
        </w:rPr>
        <w:t xml:space="preserve">ervices </w:t>
      </w:r>
      <w:r w:rsidR="005E6917" w:rsidRPr="0029511A">
        <w:rPr>
          <w:rFonts w:ascii="Calibri" w:eastAsia="Times New Roman" w:hAnsi="Calibri" w:cs="Calibri"/>
          <w:i/>
          <w:iCs/>
          <w:color w:val="000000"/>
          <w:lang w:val="en-GB" w:eastAsia="en-GB"/>
        </w:rPr>
        <w:t>C</w:t>
      </w:r>
      <w:r w:rsidRPr="0029511A">
        <w:rPr>
          <w:rFonts w:ascii="Calibri" w:eastAsia="Times New Roman" w:hAnsi="Calibri" w:cs="Calibri"/>
          <w:i/>
          <w:iCs/>
          <w:color w:val="000000"/>
          <w:lang w:val="en-GB" w:eastAsia="en-GB"/>
        </w:rPr>
        <w:t>ompetitiveness</w:t>
      </w:r>
      <w:r w:rsidRPr="0029511A">
        <w:rPr>
          <w:rFonts w:ascii="Calibri" w:eastAsia="Times New Roman" w:hAnsi="Calibri" w:cs="Calibri"/>
          <w:color w:val="000000"/>
          <w:lang w:val="en-GB" w:eastAsia="en-GB"/>
        </w:rPr>
        <w:t xml:space="preserve"> has accounted for 42% of the committed funds, followed by </w:t>
      </w:r>
      <w:r w:rsidRPr="0029511A">
        <w:rPr>
          <w:rFonts w:ascii="Calibri" w:eastAsia="Times New Roman" w:hAnsi="Calibri" w:cs="Calibri"/>
          <w:i/>
          <w:iCs/>
          <w:color w:val="000000"/>
          <w:lang w:val="en-GB" w:eastAsia="en-GB"/>
        </w:rPr>
        <w:t>Gender Equality and Social Inclusion</w:t>
      </w:r>
      <w:r w:rsidRPr="0029511A">
        <w:rPr>
          <w:rFonts w:ascii="Calibri" w:eastAsia="Times New Roman" w:hAnsi="Calibri" w:cs="Calibri"/>
          <w:color w:val="000000"/>
          <w:lang w:val="en-GB" w:eastAsia="en-GB"/>
        </w:rPr>
        <w:t xml:space="preserve"> (20% of committed funds) and </w:t>
      </w:r>
      <w:r w:rsidR="0077025A" w:rsidRPr="0029511A">
        <w:rPr>
          <w:rFonts w:ascii="Calibri" w:eastAsia="Times New Roman" w:hAnsi="Calibri" w:cs="Calibri"/>
          <w:color w:val="000000"/>
          <w:lang w:val="en-GB" w:eastAsia="en-GB"/>
        </w:rPr>
        <w:t>o</w:t>
      </w:r>
      <w:r w:rsidRPr="0029511A">
        <w:rPr>
          <w:rFonts w:ascii="Calibri" w:eastAsia="Times New Roman" w:hAnsi="Calibri" w:cs="Calibri"/>
          <w:color w:val="000000"/>
          <w:lang w:val="en-GB" w:eastAsia="en-GB"/>
        </w:rPr>
        <w:t>ther</w:t>
      </w:r>
      <w:r w:rsidR="00D45FD9" w:rsidRPr="0029511A">
        <w:rPr>
          <w:rFonts w:ascii="Calibri" w:eastAsia="Times New Roman" w:hAnsi="Calibri" w:cs="Calibri"/>
          <w:color w:val="000000"/>
          <w:lang w:val="en-GB" w:eastAsia="en-GB"/>
        </w:rPr>
        <w:t xml:space="preserve"> </w:t>
      </w:r>
      <w:r w:rsidRPr="0029511A">
        <w:rPr>
          <w:rFonts w:ascii="Calibri" w:eastAsia="Times New Roman" w:hAnsi="Calibri" w:cs="Calibri"/>
          <w:i/>
          <w:iCs/>
          <w:color w:val="000000"/>
          <w:lang w:val="en-GB" w:eastAsia="en-GB"/>
        </w:rPr>
        <w:t>APS</w:t>
      </w:r>
      <w:r w:rsidR="00ED3637" w:rsidRPr="0029511A">
        <w:rPr>
          <w:rStyle w:val="FootnoteReference"/>
          <w:rFonts w:ascii="Calibri" w:eastAsia="Times New Roman" w:hAnsi="Calibri" w:cs="Calibri"/>
          <w:i/>
          <w:iCs/>
          <w:color w:val="000000"/>
          <w:lang w:val="en-GB" w:eastAsia="en-GB"/>
        </w:rPr>
        <w:footnoteReference w:id="10"/>
      </w:r>
      <w:r w:rsidRPr="0029511A">
        <w:rPr>
          <w:rFonts w:ascii="Calibri" w:eastAsia="Times New Roman" w:hAnsi="Calibri" w:cs="Calibri"/>
          <w:i/>
          <w:iCs/>
          <w:color w:val="000000"/>
          <w:lang w:val="en-GB" w:eastAsia="en-GB"/>
        </w:rPr>
        <w:t xml:space="preserve"> Agencies-led APEC</w:t>
      </w:r>
      <w:r w:rsidRPr="0029511A">
        <w:rPr>
          <w:rFonts w:ascii="Calibri" w:eastAsia="Times New Roman" w:hAnsi="Calibri" w:cs="Calibri"/>
          <w:color w:val="000000"/>
          <w:lang w:val="en-GB" w:eastAsia="en-GB"/>
        </w:rPr>
        <w:t xml:space="preserve"> projects (also 20% of the committed funds)</w:t>
      </w:r>
      <w:r w:rsidR="001712CD" w:rsidRPr="0029511A">
        <w:rPr>
          <w:rFonts w:ascii="Calibri" w:eastAsia="Times New Roman" w:hAnsi="Calibri" w:cs="Calibri"/>
          <w:color w:val="000000"/>
          <w:lang w:val="en-GB" w:eastAsia="en-GB"/>
        </w:rPr>
        <w:t xml:space="preserve">, with the remaining 18% committed to Support for </w:t>
      </w:r>
      <w:r w:rsidR="001712CD" w:rsidRPr="0029511A">
        <w:rPr>
          <w:rFonts w:ascii="Calibri" w:eastAsia="Times New Roman" w:hAnsi="Calibri" w:cs="Calibri"/>
          <w:i/>
          <w:iCs/>
          <w:color w:val="000000"/>
          <w:lang w:val="en-GB" w:eastAsia="en-GB"/>
        </w:rPr>
        <w:t>Trade and Investment</w:t>
      </w:r>
      <w:r w:rsidR="001712CD" w:rsidRPr="0029511A">
        <w:rPr>
          <w:rFonts w:ascii="Calibri" w:eastAsia="Times New Roman" w:hAnsi="Calibri" w:cs="Calibri"/>
          <w:color w:val="000000"/>
          <w:lang w:val="en-GB" w:eastAsia="en-GB"/>
        </w:rPr>
        <w:t xml:space="preserve"> issues, and targeted APEC issues</w:t>
      </w:r>
      <w:r w:rsidRPr="0029511A">
        <w:rPr>
          <w:rFonts w:ascii="Calibri" w:eastAsia="Times New Roman" w:hAnsi="Calibri" w:cs="Calibri"/>
          <w:color w:val="000000"/>
          <w:lang w:val="en-GB" w:eastAsia="en-GB"/>
        </w:rPr>
        <w:t xml:space="preserve">. With respect to active versus completed funds, both </w:t>
      </w:r>
      <w:r w:rsidR="005E6917" w:rsidRPr="0029511A">
        <w:rPr>
          <w:rFonts w:ascii="Calibri" w:eastAsia="Times New Roman" w:hAnsi="Calibri" w:cs="Calibri"/>
          <w:i/>
          <w:iCs/>
          <w:color w:val="000000"/>
          <w:lang w:val="en-GB" w:eastAsia="en-GB"/>
        </w:rPr>
        <w:t xml:space="preserve">Support for </w:t>
      </w:r>
      <w:r w:rsidRPr="0029511A">
        <w:rPr>
          <w:rFonts w:ascii="Calibri" w:eastAsia="Times New Roman" w:hAnsi="Calibri" w:cs="Calibri"/>
          <w:i/>
          <w:iCs/>
          <w:color w:val="000000"/>
          <w:lang w:val="en-GB" w:eastAsia="en-GB"/>
        </w:rPr>
        <w:t>Trade and Investment</w:t>
      </w:r>
      <w:r w:rsidRPr="0029511A">
        <w:rPr>
          <w:rFonts w:ascii="Calibri" w:eastAsia="Times New Roman" w:hAnsi="Calibri" w:cs="Calibri"/>
          <w:color w:val="000000"/>
          <w:lang w:val="en-GB" w:eastAsia="en-GB"/>
        </w:rPr>
        <w:t xml:space="preserve"> and </w:t>
      </w:r>
      <w:r w:rsidRPr="0029511A">
        <w:rPr>
          <w:rFonts w:ascii="Calibri" w:eastAsia="Times New Roman" w:hAnsi="Calibri" w:cs="Calibri"/>
          <w:i/>
          <w:iCs/>
          <w:color w:val="000000"/>
          <w:lang w:val="en-GB" w:eastAsia="en-GB"/>
        </w:rPr>
        <w:t>Support for APEC Services Competitiveness</w:t>
      </w:r>
      <w:r w:rsidRPr="0029511A">
        <w:rPr>
          <w:rFonts w:ascii="Calibri" w:eastAsia="Times New Roman" w:hAnsi="Calibri" w:cs="Calibri"/>
          <w:color w:val="000000"/>
          <w:lang w:val="en-GB" w:eastAsia="en-GB"/>
        </w:rPr>
        <w:t xml:space="preserve"> have the largest proportion of active projects as a percentage of total committed funds</w:t>
      </w:r>
      <w:r w:rsidR="00C53CD1" w:rsidRPr="0029511A">
        <w:rPr>
          <w:rFonts w:ascii="Calibri" w:eastAsia="Times New Roman" w:hAnsi="Calibri" w:cs="Calibri"/>
          <w:color w:val="000000"/>
          <w:lang w:val="en-GB" w:eastAsia="en-GB"/>
        </w:rPr>
        <w:t xml:space="preserve"> (</w:t>
      </w:r>
      <w:r w:rsidRPr="0029511A">
        <w:rPr>
          <w:rFonts w:ascii="Calibri" w:eastAsia="Times New Roman" w:hAnsi="Calibri" w:cs="Calibri"/>
          <w:color w:val="000000"/>
          <w:lang w:val="en-GB" w:eastAsia="en-GB"/>
        </w:rPr>
        <w:t xml:space="preserve">84% of the total committed funds to Trade and Investment is </w:t>
      </w:r>
      <w:r w:rsidR="0023196A" w:rsidRPr="0029511A">
        <w:rPr>
          <w:rFonts w:ascii="Calibri" w:eastAsia="Times New Roman" w:hAnsi="Calibri" w:cs="Calibri"/>
          <w:color w:val="000000"/>
          <w:lang w:val="en-GB" w:eastAsia="en-GB"/>
        </w:rPr>
        <w:t>for</w:t>
      </w:r>
      <w:r w:rsidRPr="0029511A">
        <w:rPr>
          <w:rFonts w:ascii="Calibri" w:eastAsia="Times New Roman" w:hAnsi="Calibri" w:cs="Calibri"/>
          <w:color w:val="000000"/>
          <w:lang w:val="en-GB" w:eastAsia="en-GB"/>
        </w:rPr>
        <w:t xml:space="preserve"> active projects, whil</w:t>
      </w:r>
      <w:r w:rsidR="00A40599" w:rsidRPr="0029511A">
        <w:rPr>
          <w:rFonts w:ascii="Calibri" w:eastAsia="Times New Roman" w:hAnsi="Calibri" w:cs="Calibri"/>
          <w:color w:val="000000"/>
          <w:lang w:val="en-GB" w:eastAsia="en-GB"/>
        </w:rPr>
        <w:t>e</w:t>
      </w:r>
      <w:r w:rsidRPr="0029511A">
        <w:rPr>
          <w:rFonts w:ascii="Calibri" w:eastAsia="Times New Roman" w:hAnsi="Calibri" w:cs="Calibri"/>
          <w:color w:val="000000"/>
          <w:lang w:val="en-GB" w:eastAsia="en-GB"/>
        </w:rPr>
        <w:t xml:space="preserve"> for Services Competitiveness 62% of the total committed funds are for active projects</w:t>
      </w:r>
      <w:r w:rsidR="00C53CD1" w:rsidRPr="0029511A">
        <w:rPr>
          <w:rFonts w:ascii="Calibri" w:eastAsia="Times New Roman" w:hAnsi="Calibri" w:cs="Calibri"/>
          <w:color w:val="000000"/>
          <w:lang w:val="en-GB" w:eastAsia="en-GB"/>
        </w:rPr>
        <w:t>)</w:t>
      </w:r>
      <w:r w:rsidRPr="0029511A">
        <w:rPr>
          <w:rFonts w:ascii="Calibri" w:eastAsia="Times New Roman" w:hAnsi="Calibri" w:cs="Calibri"/>
          <w:color w:val="000000"/>
          <w:lang w:val="en-GB" w:eastAsia="en-GB"/>
        </w:rPr>
        <w:t>.</w:t>
      </w:r>
    </w:p>
    <w:p w14:paraId="03C9F150" w14:textId="1459610A" w:rsidR="0092590A" w:rsidRPr="0029511A" w:rsidRDefault="0092590A" w:rsidP="00CD5E19">
      <w:pPr>
        <w:rPr>
          <w:rFonts w:ascii="Calibri" w:eastAsia="Times New Roman" w:hAnsi="Calibri" w:cs="Calibri"/>
          <w:color w:val="000000"/>
          <w:lang w:val="en-GB" w:eastAsia="en-GB"/>
        </w:rPr>
      </w:pPr>
      <w:r w:rsidRPr="0029511A">
        <w:rPr>
          <w:rFonts w:ascii="Calibri" w:eastAsia="Times New Roman" w:hAnsi="Calibri" w:cs="Calibri"/>
          <w:color w:val="000000"/>
          <w:lang w:val="en-GB" w:eastAsia="en-GB"/>
        </w:rPr>
        <w:t xml:space="preserve">In the case of </w:t>
      </w:r>
      <w:r w:rsidRPr="0029511A">
        <w:rPr>
          <w:rFonts w:ascii="Calibri" w:eastAsia="Times New Roman" w:hAnsi="Calibri" w:cs="Calibri"/>
          <w:i/>
          <w:iCs/>
          <w:color w:val="000000"/>
          <w:lang w:val="en-GB" w:eastAsia="en-GB"/>
        </w:rPr>
        <w:t>Gender Equality and Social Inclusion</w:t>
      </w:r>
      <w:r w:rsidRPr="0029511A">
        <w:rPr>
          <w:rFonts w:ascii="Calibri" w:eastAsia="Times New Roman" w:hAnsi="Calibri" w:cs="Calibri"/>
          <w:color w:val="000000"/>
          <w:lang w:val="en-GB" w:eastAsia="en-GB"/>
        </w:rPr>
        <w:t xml:space="preserve"> (47% of total committed funds are for active projects) and </w:t>
      </w:r>
      <w:r w:rsidRPr="0029511A">
        <w:rPr>
          <w:rFonts w:ascii="Calibri" w:eastAsia="Times New Roman" w:hAnsi="Calibri" w:cs="Calibri"/>
          <w:i/>
          <w:iCs/>
          <w:color w:val="000000"/>
          <w:lang w:val="en-GB" w:eastAsia="en-GB"/>
        </w:rPr>
        <w:t>Other APS Agencies-</w:t>
      </w:r>
      <w:r w:rsidR="00276DD8" w:rsidRPr="0029511A">
        <w:rPr>
          <w:rFonts w:ascii="Calibri" w:eastAsia="Times New Roman" w:hAnsi="Calibri" w:cs="Calibri"/>
          <w:i/>
          <w:iCs/>
          <w:color w:val="000000"/>
          <w:lang w:val="en-GB" w:eastAsia="en-GB"/>
        </w:rPr>
        <w:t>l</w:t>
      </w:r>
      <w:r w:rsidRPr="0029511A">
        <w:rPr>
          <w:rFonts w:ascii="Calibri" w:eastAsia="Times New Roman" w:hAnsi="Calibri" w:cs="Calibri"/>
          <w:i/>
          <w:iCs/>
          <w:color w:val="000000"/>
          <w:lang w:val="en-GB" w:eastAsia="en-GB"/>
        </w:rPr>
        <w:t>ed APEC projects</w:t>
      </w:r>
      <w:r w:rsidRPr="0029511A">
        <w:rPr>
          <w:rFonts w:ascii="Calibri" w:eastAsia="Times New Roman" w:hAnsi="Calibri" w:cs="Calibri"/>
          <w:color w:val="000000"/>
          <w:lang w:val="en-GB" w:eastAsia="en-GB"/>
        </w:rPr>
        <w:t xml:space="preserve"> (45% of total committed funds are for active projects)</w:t>
      </w:r>
      <w:r w:rsidR="00CE3FC0" w:rsidRPr="0029511A">
        <w:rPr>
          <w:rFonts w:ascii="Calibri" w:eastAsia="Times New Roman" w:hAnsi="Calibri" w:cs="Calibri"/>
          <w:color w:val="000000"/>
          <w:lang w:val="en-GB" w:eastAsia="en-GB"/>
        </w:rPr>
        <w:t>,</w:t>
      </w:r>
      <w:r w:rsidRPr="0029511A">
        <w:rPr>
          <w:rFonts w:ascii="Calibri" w:eastAsia="Times New Roman" w:hAnsi="Calibri" w:cs="Calibri"/>
          <w:color w:val="000000"/>
          <w:lang w:val="en-GB" w:eastAsia="en-GB"/>
        </w:rPr>
        <w:t xml:space="preserve"> the data suggest that more projects have been completed </w:t>
      </w:r>
      <w:r w:rsidR="0073342A" w:rsidRPr="0029511A">
        <w:rPr>
          <w:rFonts w:ascii="Calibri" w:eastAsia="Times New Roman" w:hAnsi="Calibri" w:cs="Calibri"/>
          <w:color w:val="000000"/>
          <w:lang w:val="en-GB" w:eastAsia="en-GB"/>
        </w:rPr>
        <w:t xml:space="preserve">to date </w:t>
      </w:r>
      <w:r w:rsidRPr="0029511A">
        <w:rPr>
          <w:rFonts w:ascii="Calibri" w:eastAsia="Times New Roman" w:hAnsi="Calibri" w:cs="Calibri"/>
          <w:color w:val="000000"/>
          <w:lang w:val="en-GB" w:eastAsia="en-GB"/>
        </w:rPr>
        <w:t>than are currently active. Whil</w:t>
      </w:r>
      <w:r w:rsidR="00A40599" w:rsidRPr="0029511A">
        <w:rPr>
          <w:rFonts w:ascii="Calibri" w:eastAsia="Times New Roman" w:hAnsi="Calibri" w:cs="Calibri"/>
          <w:color w:val="000000"/>
          <w:lang w:val="en-GB" w:eastAsia="en-GB"/>
        </w:rPr>
        <w:t>e</w:t>
      </w:r>
      <w:r w:rsidRPr="0029511A">
        <w:rPr>
          <w:rFonts w:ascii="Calibri" w:eastAsia="Times New Roman" w:hAnsi="Calibri" w:cs="Calibri"/>
          <w:color w:val="000000"/>
          <w:lang w:val="en-GB" w:eastAsia="en-GB"/>
        </w:rPr>
        <w:t xml:space="preserve"> this provides compelling evidence of the admirable work to date to address important cross-cutting policy priorities and to ensure strong representativity of</w:t>
      </w:r>
      <w:r w:rsidR="007017C3" w:rsidRPr="0029511A">
        <w:rPr>
          <w:rFonts w:ascii="Calibri" w:eastAsia="Times New Roman" w:hAnsi="Calibri" w:cs="Calibri"/>
          <w:color w:val="000000"/>
          <w:lang w:val="en-GB" w:eastAsia="en-GB"/>
        </w:rPr>
        <w:t xml:space="preserve"> Australian Public Service (</w:t>
      </w:r>
      <w:r w:rsidRPr="0029511A">
        <w:rPr>
          <w:rFonts w:ascii="Calibri" w:eastAsia="Times New Roman" w:hAnsi="Calibri" w:cs="Calibri"/>
          <w:color w:val="000000"/>
          <w:lang w:val="en-GB" w:eastAsia="en-GB"/>
        </w:rPr>
        <w:t>APS</w:t>
      </w:r>
      <w:r w:rsidR="00994AA0" w:rsidRPr="0029511A">
        <w:rPr>
          <w:rFonts w:ascii="Calibri" w:eastAsia="Times New Roman" w:hAnsi="Calibri" w:cs="Calibri"/>
          <w:color w:val="000000"/>
          <w:lang w:val="en-GB" w:eastAsia="en-GB"/>
        </w:rPr>
        <w:t xml:space="preserve">) </w:t>
      </w:r>
      <w:r w:rsidRPr="0029511A">
        <w:rPr>
          <w:rFonts w:ascii="Calibri" w:eastAsia="Times New Roman" w:hAnsi="Calibri" w:cs="Calibri"/>
          <w:color w:val="000000"/>
          <w:lang w:val="en-GB" w:eastAsia="en-GB"/>
        </w:rPr>
        <w:t xml:space="preserve">agencies within APEC forums, it does also signal that the </w:t>
      </w:r>
      <w:r w:rsidRPr="0029511A">
        <w:rPr>
          <w:rFonts w:ascii="Calibri" w:eastAsia="Times New Roman" w:hAnsi="Calibri" w:cs="Calibri"/>
          <w:b/>
          <w:bCs/>
          <w:color w:val="000000"/>
          <w:lang w:val="en-GB" w:eastAsia="en-GB"/>
        </w:rPr>
        <w:t>AASP will need to maintain a strong, vibrant pipeline to ensure momentum is maintained across APS agencies</w:t>
      </w:r>
      <w:r w:rsidRPr="0029511A">
        <w:rPr>
          <w:rFonts w:ascii="Calibri" w:eastAsia="Times New Roman" w:hAnsi="Calibri" w:cs="Calibri"/>
          <w:color w:val="000000"/>
          <w:lang w:val="en-GB" w:eastAsia="en-GB"/>
        </w:rPr>
        <w:t xml:space="preserve">. </w:t>
      </w:r>
    </w:p>
    <w:p w14:paraId="207F3294" w14:textId="73018500" w:rsidR="00CD6789" w:rsidRDefault="00CD6789" w:rsidP="00CD5E19">
      <w:pPr>
        <w:rPr>
          <w:rFonts w:ascii="Calibri" w:eastAsia="Times New Roman" w:hAnsi="Calibri" w:cs="Calibri"/>
          <w:color w:val="000000"/>
          <w:lang w:val="en-GB" w:eastAsia="en-GB"/>
        </w:rPr>
      </w:pPr>
      <w:r>
        <w:rPr>
          <w:rFonts w:ascii="Calibri" w:eastAsia="Times New Roman" w:hAnsi="Calibri" w:cs="Calibri"/>
          <w:color w:val="000000"/>
          <w:lang w:val="en-GB" w:eastAsia="en-GB"/>
        </w:rPr>
        <w:br w:type="page"/>
      </w:r>
    </w:p>
    <w:p w14:paraId="753B3D29" w14:textId="5EBD3A15" w:rsidR="0092590A" w:rsidRPr="0029511A" w:rsidRDefault="0092590A" w:rsidP="0092590A">
      <w:pPr>
        <w:pStyle w:val="Caption"/>
        <w:rPr>
          <w:rFonts w:ascii="Calibri" w:hAnsi="Calibri" w:cs="Calibri"/>
          <w:sz w:val="22"/>
          <w:szCs w:val="22"/>
          <w:lang w:val="en-GB"/>
        </w:rPr>
      </w:pPr>
      <w:bookmarkStart w:id="53" w:name="_Ref179364229"/>
      <w:bookmarkStart w:id="54" w:name="_Toc179630580"/>
      <w:r w:rsidRPr="0029511A">
        <w:rPr>
          <w:rFonts w:ascii="Calibri" w:hAnsi="Calibri" w:cs="Calibri"/>
          <w:sz w:val="22"/>
          <w:szCs w:val="22"/>
          <w:lang w:val="en-GB"/>
        </w:rPr>
        <w:lastRenderedPageBreak/>
        <w:t xml:space="preserve">Figure </w:t>
      </w:r>
      <w:r w:rsidRPr="0029511A">
        <w:rPr>
          <w:rFonts w:ascii="Calibri" w:hAnsi="Calibri" w:cs="Calibri"/>
          <w:sz w:val="22"/>
          <w:szCs w:val="22"/>
          <w:lang w:val="en-GB"/>
        </w:rPr>
        <w:fldChar w:fldCharType="begin"/>
      </w:r>
      <w:r w:rsidRPr="0029511A">
        <w:rPr>
          <w:rFonts w:ascii="Calibri" w:hAnsi="Calibri" w:cs="Calibri"/>
          <w:sz w:val="22"/>
          <w:szCs w:val="22"/>
          <w:lang w:val="en-GB"/>
        </w:rPr>
        <w:instrText xml:space="preserve"> SEQ Figure \* ARABIC </w:instrText>
      </w:r>
      <w:r w:rsidRPr="0029511A">
        <w:rPr>
          <w:rFonts w:ascii="Calibri" w:hAnsi="Calibri" w:cs="Calibri"/>
          <w:sz w:val="22"/>
          <w:szCs w:val="22"/>
          <w:lang w:val="en-GB"/>
        </w:rPr>
        <w:fldChar w:fldCharType="separate"/>
      </w:r>
      <w:r w:rsidR="00FD5BA3" w:rsidRPr="0029511A">
        <w:rPr>
          <w:rFonts w:ascii="Calibri" w:hAnsi="Calibri" w:cs="Calibri"/>
          <w:noProof/>
          <w:sz w:val="22"/>
          <w:szCs w:val="22"/>
          <w:lang w:val="en-GB"/>
        </w:rPr>
        <w:t>3</w:t>
      </w:r>
      <w:r w:rsidRPr="0029511A">
        <w:rPr>
          <w:rFonts w:ascii="Calibri" w:hAnsi="Calibri" w:cs="Calibri"/>
          <w:noProof/>
          <w:sz w:val="22"/>
          <w:szCs w:val="22"/>
          <w:lang w:val="en-GB"/>
        </w:rPr>
        <w:fldChar w:fldCharType="end"/>
      </w:r>
      <w:bookmarkEnd w:id="53"/>
      <w:r w:rsidRPr="0029511A">
        <w:rPr>
          <w:rFonts w:ascii="Calibri" w:hAnsi="Calibri" w:cs="Calibri"/>
          <w:sz w:val="22"/>
          <w:szCs w:val="22"/>
          <w:lang w:val="en-GB"/>
        </w:rPr>
        <w:t>: AASP’s committed funds (completed vs active projects), per category, 2022 to September 2024 (Source: AASP Budget Tracker)</w:t>
      </w:r>
      <w:bookmarkEnd w:id="54"/>
    </w:p>
    <w:p w14:paraId="7CA64973" w14:textId="6213F3B9" w:rsidR="0092590A" w:rsidRPr="00E934C8" w:rsidRDefault="00E934C8" w:rsidP="0092590A">
      <w:pPr>
        <w:spacing w:after="160" w:line="252" w:lineRule="auto"/>
        <w:rPr>
          <w:rFonts w:ascii="Calibri" w:hAnsi="Calibri" w:cs="Calibri"/>
          <w:lang w:val="en-GB"/>
        </w:rPr>
      </w:pPr>
      <w:r>
        <w:rPr>
          <w:rFonts w:ascii="Calibri" w:hAnsi="Calibri" w:cs="Calibri"/>
          <w:noProof/>
          <w:lang w:val="en-GB"/>
        </w:rPr>
        <w:drawing>
          <wp:inline distT="0" distB="0" distL="0" distR="0" wp14:anchorId="3279F65F" wp14:editId="4D65E2D8">
            <wp:extent cx="5727700" cy="3383915"/>
            <wp:effectExtent l="0" t="0" r="6350" b="6985"/>
            <wp:docPr id="669948303" name="Picture 3" descr="Figure 3 charts AASP's committed funds, per category from 2022 to September 2024. This information is also included in text in the previous paragraphs.A graph of blue and white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948303" name="Picture 3" descr="Figure 3 charts AASP's committed funds, per category from 2022 to September 2024. This information is also included in text in the previous paragraphs.A graph of blue and white bars"/>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727700" cy="3383915"/>
                    </a:xfrm>
                    <a:prstGeom prst="rect">
                      <a:avLst/>
                    </a:prstGeom>
                  </pic:spPr>
                </pic:pic>
              </a:graphicData>
            </a:graphic>
          </wp:inline>
        </w:drawing>
      </w:r>
    </w:p>
    <w:p w14:paraId="5486E599" w14:textId="77777777" w:rsidR="00E934C8" w:rsidRDefault="00E934C8" w:rsidP="0092590A">
      <w:pPr>
        <w:spacing w:after="160" w:line="252" w:lineRule="auto"/>
        <w:rPr>
          <w:rFonts w:ascii="Calibri" w:eastAsia="Times New Roman" w:hAnsi="Calibri" w:cs="Calibri"/>
          <w:color w:val="000000"/>
          <w:lang w:val="en-GB" w:eastAsia="en-GB"/>
        </w:rPr>
      </w:pPr>
    </w:p>
    <w:p w14:paraId="07E20B16" w14:textId="423A6023" w:rsidR="008F4070" w:rsidRPr="0029511A" w:rsidRDefault="008F4070" w:rsidP="0092590A">
      <w:pPr>
        <w:spacing w:after="160" w:line="252" w:lineRule="auto"/>
        <w:rPr>
          <w:rFonts w:ascii="Calibri" w:eastAsia="Times New Roman" w:hAnsi="Calibri" w:cs="Calibri"/>
          <w:b/>
          <w:bCs/>
          <w:color w:val="000000"/>
          <w:lang w:val="en-GB" w:eastAsia="en-GB"/>
        </w:rPr>
      </w:pPr>
      <w:r w:rsidRPr="0029511A">
        <w:rPr>
          <w:rFonts w:ascii="Calibri" w:eastAsia="Times New Roman" w:hAnsi="Calibri" w:cs="Calibri"/>
          <w:color w:val="000000"/>
          <w:lang w:val="en-GB" w:eastAsia="en-GB"/>
        </w:rPr>
        <w:t>A rigorous quality assurance system to review project proposals under the AASP, including ensuring a robust M&amp;E plan, is incorporated at the design stage of projects, has ensured the design of projects that have been proven to be both effective and efficient.</w:t>
      </w:r>
    </w:p>
    <w:p w14:paraId="2D2C283B" w14:textId="63D18E99" w:rsidR="00BA2F13" w:rsidRPr="0029511A" w:rsidRDefault="0092590A" w:rsidP="0092590A">
      <w:pPr>
        <w:spacing w:after="160" w:line="252" w:lineRule="auto"/>
        <w:rPr>
          <w:rFonts w:ascii="Calibri" w:eastAsia="Times New Roman" w:hAnsi="Calibri" w:cs="Calibri"/>
          <w:color w:val="000000"/>
          <w:lang w:val="en-GB" w:eastAsia="en-GB"/>
        </w:rPr>
      </w:pPr>
      <w:r w:rsidRPr="0029511A">
        <w:rPr>
          <w:rFonts w:ascii="Calibri" w:eastAsia="Times New Roman" w:hAnsi="Calibri" w:cs="Calibri"/>
          <w:b/>
          <w:bCs/>
          <w:color w:val="000000"/>
          <w:lang w:val="en-GB" w:eastAsia="en-GB"/>
        </w:rPr>
        <w:t>The AASP has</w:t>
      </w:r>
      <w:r w:rsidR="008F4070" w:rsidRPr="0029511A">
        <w:rPr>
          <w:rFonts w:ascii="Calibri" w:eastAsia="Times New Roman" w:hAnsi="Calibri" w:cs="Calibri"/>
          <w:b/>
          <w:bCs/>
          <w:color w:val="000000"/>
          <w:lang w:val="en-GB" w:eastAsia="en-GB"/>
        </w:rPr>
        <w:t xml:space="preserve"> also</w:t>
      </w:r>
      <w:r w:rsidRPr="0029511A">
        <w:rPr>
          <w:rFonts w:ascii="Calibri" w:eastAsia="Times New Roman" w:hAnsi="Calibri" w:cs="Calibri"/>
          <w:b/>
          <w:bCs/>
          <w:color w:val="000000"/>
          <w:lang w:val="en-GB" w:eastAsia="en-GB"/>
        </w:rPr>
        <w:t xml:space="preserve"> improved systems and processes internally to enhance the efficiency of the program</w:t>
      </w:r>
      <w:r w:rsidRPr="0029511A">
        <w:rPr>
          <w:rFonts w:ascii="Calibri" w:eastAsia="Times New Roman" w:hAnsi="Calibri" w:cs="Calibri"/>
          <w:color w:val="000000"/>
          <w:lang w:val="en-GB" w:eastAsia="en-GB"/>
        </w:rPr>
        <w:t xml:space="preserve">. </w:t>
      </w:r>
      <w:r w:rsidR="00BA2F13" w:rsidRPr="0029511A">
        <w:rPr>
          <w:rFonts w:ascii="Calibri" w:eastAsia="Times New Roman" w:hAnsi="Calibri" w:cs="Calibri"/>
          <w:color w:val="000000"/>
          <w:lang w:val="en-GB" w:eastAsia="en-GB"/>
        </w:rPr>
        <w:t>DFAT</w:t>
      </w:r>
      <w:r w:rsidR="00BF410D" w:rsidRPr="0029511A">
        <w:rPr>
          <w:rFonts w:ascii="Calibri" w:eastAsia="Times New Roman" w:hAnsi="Calibri" w:cs="Calibri"/>
          <w:color w:val="000000"/>
          <w:lang w:val="en-GB" w:eastAsia="en-GB"/>
        </w:rPr>
        <w:t xml:space="preserve">’s </w:t>
      </w:r>
      <w:r w:rsidR="0040093A" w:rsidRPr="0029511A">
        <w:rPr>
          <w:rFonts w:ascii="Calibri" w:eastAsia="Calibri" w:hAnsi="Calibri" w:cs="Calibri"/>
          <w:kern w:val="2"/>
          <w:lang w:val="en-GB"/>
        </w:rPr>
        <w:t xml:space="preserve">APEC and Latin America branch </w:t>
      </w:r>
      <w:r w:rsidR="00BA2F13" w:rsidRPr="0029511A">
        <w:rPr>
          <w:rFonts w:ascii="Calibri" w:eastAsia="Times New Roman" w:hAnsi="Calibri" w:cs="Calibri"/>
          <w:color w:val="000000"/>
          <w:lang w:val="en-GB" w:eastAsia="en-GB"/>
        </w:rPr>
        <w:t>(ALM) governs the operations of the AASP</w:t>
      </w:r>
      <w:r w:rsidR="00CE3FC0" w:rsidRPr="0029511A">
        <w:rPr>
          <w:rFonts w:ascii="Calibri" w:eastAsia="Times New Roman" w:hAnsi="Calibri" w:cs="Calibri"/>
          <w:color w:val="000000"/>
          <w:lang w:val="en-GB" w:eastAsia="en-GB"/>
        </w:rPr>
        <w:t>,</w:t>
      </w:r>
      <w:r w:rsidR="00BA2F13" w:rsidRPr="0029511A">
        <w:rPr>
          <w:rFonts w:ascii="Calibri" w:eastAsia="Times New Roman" w:hAnsi="Calibri" w:cs="Calibri"/>
          <w:color w:val="000000"/>
          <w:lang w:val="en-GB" w:eastAsia="en-GB"/>
        </w:rPr>
        <w:t xml:space="preserve"> supported by </w:t>
      </w:r>
      <w:r w:rsidR="006C0418" w:rsidRPr="0029511A">
        <w:rPr>
          <w:rFonts w:ascii="Calibri" w:eastAsia="Times New Roman" w:hAnsi="Calibri" w:cs="Calibri"/>
          <w:color w:val="000000"/>
          <w:lang w:val="en-GB" w:eastAsia="en-GB"/>
        </w:rPr>
        <w:t>a managing contractor</w:t>
      </w:r>
      <w:r w:rsidR="00BA2F13" w:rsidRPr="0029511A">
        <w:rPr>
          <w:rFonts w:ascii="Calibri" w:eastAsia="Times New Roman" w:hAnsi="Calibri" w:cs="Calibri"/>
          <w:color w:val="000000"/>
          <w:lang w:val="en-GB" w:eastAsia="en-GB"/>
        </w:rPr>
        <w:t xml:space="preserve"> to provide design, M&amp;E and research support services for the AASP. This enables the use of complementary support from in-DFAT resources, and single-point accountability facilitates greater coordination of the program. </w:t>
      </w:r>
      <w:r w:rsidR="00BA0F5E" w:rsidRPr="0029511A">
        <w:rPr>
          <w:rFonts w:ascii="Calibri" w:eastAsia="Times New Roman" w:hAnsi="Calibri" w:cs="Calibri"/>
          <w:color w:val="000000"/>
          <w:lang w:val="en-GB" w:eastAsia="en-GB"/>
        </w:rPr>
        <w:t>AASP Investment Manager</w:t>
      </w:r>
      <w:r w:rsidR="00BA2F13" w:rsidRPr="0029511A">
        <w:rPr>
          <w:rFonts w:ascii="Calibri" w:eastAsia="Times New Roman" w:hAnsi="Calibri" w:cs="Calibri"/>
          <w:color w:val="000000"/>
          <w:lang w:val="en-GB" w:eastAsia="en-GB"/>
        </w:rPr>
        <w:t xml:space="preserve"> </w:t>
      </w:r>
      <w:r w:rsidR="00BA0F5E" w:rsidRPr="0029511A">
        <w:rPr>
          <w:rFonts w:ascii="Calibri" w:eastAsia="Times New Roman" w:hAnsi="Calibri" w:cs="Calibri"/>
          <w:color w:val="000000"/>
          <w:lang w:val="en-GB" w:eastAsia="en-GB"/>
        </w:rPr>
        <w:t xml:space="preserve">in ALM </w:t>
      </w:r>
      <w:r w:rsidR="00BA2F13" w:rsidRPr="0029511A">
        <w:rPr>
          <w:rFonts w:ascii="Calibri" w:eastAsia="Times New Roman" w:hAnsi="Calibri" w:cs="Calibri"/>
          <w:color w:val="000000"/>
          <w:lang w:val="en-GB" w:eastAsia="en-GB"/>
        </w:rPr>
        <w:t>monitors</w:t>
      </w:r>
      <w:r w:rsidR="002F656C" w:rsidRPr="0029511A">
        <w:rPr>
          <w:rFonts w:ascii="Calibri" w:eastAsia="Times New Roman" w:hAnsi="Calibri" w:cs="Calibri"/>
          <w:color w:val="000000"/>
          <w:lang w:val="en-GB" w:eastAsia="en-GB"/>
        </w:rPr>
        <w:t xml:space="preserve"> the</w:t>
      </w:r>
      <w:r w:rsidR="00BA2F13" w:rsidRPr="0029511A">
        <w:rPr>
          <w:rFonts w:ascii="Calibri" w:eastAsia="Times New Roman" w:hAnsi="Calibri" w:cs="Calibri"/>
          <w:color w:val="000000"/>
          <w:lang w:val="en-GB" w:eastAsia="en-GB"/>
        </w:rPr>
        <w:t xml:space="preserve"> </w:t>
      </w:r>
      <w:r w:rsidR="002F656C" w:rsidRPr="0029511A">
        <w:rPr>
          <w:rFonts w:ascii="Calibri" w:eastAsia="Times New Roman" w:hAnsi="Calibri" w:cs="Calibri"/>
          <w:color w:val="000000"/>
          <w:lang w:val="en-GB" w:eastAsia="en-GB"/>
        </w:rPr>
        <w:t>c</w:t>
      </w:r>
      <w:r w:rsidR="00BA2F13" w:rsidRPr="0029511A">
        <w:rPr>
          <w:rFonts w:ascii="Calibri" w:eastAsia="Times New Roman" w:hAnsi="Calibri" w:cs="Calibri"/>
          <w:color w:val="000000"/>
          <w:lang w:val="en-GB" w:eastAsia="en-GB"/>
        </w:rPr>
        <w:t xml:space="preserve">ontractor’s performance and </w:t>
      </w:r>
      <w:r w:rsidR="00BA0F5E" w:rsidRPr="0029511A">
        <w:rPr>
          <w:rFonts w:ascii="Calibri" w:eastAsia="Times New Roman" w:hAnsi="Calibri" w:cs="Calibri"/>
          <w:color w:val="000000"/>
          <w:lang w:val="en-GB" w:eastAsia="en-GB"/>
        </w:rPr>
        <w:t>monitors the</w:t>
      </w:r>
      <w:r w:rsidR="00BA2F13" w:rsidRPr="0029511A">
        <w:rPr>
          <w:rFonts w:ascii="Calibri" w:eastAsia="Times New Roman" w:hAnsi="Calibri" w:cs="Calibri"/>
          <w:color w:val="000000"/>
          <w:lang w:val="en-GB" w:eastAsia="en-GB"/>
        </w:rPr>
        <w:t xml:space="preserve"> deliverables and milestones</w:t>
      </w:r>
      <w:r w:rsidR="00CE3FC0" w:rsidRPr="0029511A">
        <w:rPr>
          <w:rFonts w:ascii="Calibri" w:eastAsia="Times New Roman" w:hAnsi="Calibri" w:cs="Calibri"/>
          <w:color w:val="000000"/>
          <w:lang w:val="en-GB" w:eastAsia="en-GB"/>
        </w:rPr>
        <w:t>,</w:t>
      </w:r>
      <w:r w:rsidR="00BA2F13" w:rsidRPr="0029511A">
        <w:rPr>
          <w:rFonts w:ascii="Calibri" w:eastAsia="Times New Roman" w:hAnsi="Calibri" w:cs="Calibri"/>
          <w:color w:val="000000"/>
          <w:lang w:val="en-GB" w:eastAsia="en-GB"/>
        </w:rPr>
        <w:t xml:space="preserve"> including holding </w:t>
      </w:r>
      <w:r w:rsidR="00BA0F5E" w:rsidRPr="0029511A">
        <w:rPr>
          <w:rFonts w:ascii="Calibri" w:eastAsia="Times New Roman" w:hAnsi="Calibri" w:cs="Calibri"/>
          <w:color w:val="000000"/>
          <w:lang w:val="en-GB" w:eastAsia="en-GB"/>
        </w:rPr>
        <w:t xml:space="preserve">fortnightly </w:t>
      </w:r>
      <w:r w:rsidR="00BA2F13" w:rsidRPr="0029511A">
        <w:rPr>
          <w:rFonts w:ascii="Calibri" w:eastAsia="Times New Roman" w:hAnsi="Calibri" w:cs="Calibri"/>
          <w:color w:val="000000"/>
          <w:lang w:val="en-GB" w:eastAsia="en-GB"/>
        </w:rPr>
        <w:t xml:space="preserve">discussions with the </w:t>
      </w:r>
      <w:r w:rsidR="002F656C" w:rsidRPr="0029511A">
        <w:rPr>
          <w:rFonts w:ascii="Calibri" w:eastAsia="Times New Roman" w:hAnsi="Calibri" w:cs="Calibri"/>
          <w:color w:val="000000"/>
          <w:lang w:val="en-GB" w:eastAsia="en-GB"/>
        </w:rPr>
        <w:t>c</w:t>
      </w:r>
      <w:r w:rsidR="00BA2F13" w:rsidRPr="0029511A">
        <w:rPr>
          <w:rFonts w:ascii="Calibri" w:eastAsia="Times New Roman" w:hAnsi="Calibri" w:cs="Calibri"/>
          <w:color w:val="000000"/>
          <w:lang w:val="en-GB" w:eastAsia="en-GB"/>
        </w:rPr>
        <w:t xml:space="preserve">ontractor on </w:t>
      </w:r>
      <w:r w:rsidR="00351A27" w:rsidRPr="0029511A">
        <w:rPr>
          <w:rFonts w:ascii="Calibri" w:eastAsia="Times New Roman" w:hAnsi="Calibri" w:cs="Calibri"/>
          <w:color w:val="000000"/>
          <w:lang w:val="en-GB" w:eastAsia="en-GB"/>
        </w:rPr>
        <w:t>M&amp;E</w:t>
      </w:r>
      <w:r w:rsidR="00BA2F13" w:rsidRPr="0029511A">
        <w:rPr>
          <w:rFonts w:ascii="Calibri" w:eastAsia="Times New Roman" w:hAnsi="Calibri" w:cs="Calibri"/>
          <w:color w:val="000000"/>
          <w:lang w:val="en-GB" w:eastAsia="en-GB"/>
        </w:rPr>
        <w:t xml:space="preserve">, and continuous improvement. </w:t>
      </w:r>
    </w:p>
    <w:p w14:paraId="1A73983C" w14:textId="2888C46E" w:rsidR="006C0418" w:rsidRPr="0029511A" w:rsidRDefault="006C2B71" w:rsidP="0092590A">
      <w:pPr>
        <w:spacing w:after="160" w:line="252" w:lineRule="auto"/>
        <w:rPr>
          <w:rFonts w:ascii="Calibri" w:eastAsia="Times New Roman" w:hAnsi="Calibri" w:cs="Calibri"/>
          <w:color w:val="000000"/>
          <w:lang w:val="en-GB" w:eastAsia="en-GB"/>
        </w:rPr>
      </w:pPr>
      <w:r w:rsidRPr="0029511A">
        <w:rPr>
          <w:rFonts w:ascii="Calibri" w:eastAsia="Times New Roman" w:hAnsi="Calibri" w:cs="Calibri"/>
          <w:color w:val="000000"/>
          <w:lang w:val="en-GB" w:eastAsia="en-GB"/>
        </w:rPr>
        <w:t xml:space="preserve">The APEC </w:t>
      </w:r>
      <w:r w:rsidR="006C0418" w:rsidRPr="0029511A">
        <w:rPr>
          <w:rFonts w:ascii="Calibri" w:eastAsia="Times New Roman" w:hAnsi="Calibri" w:cs="Calibri"/>
          <w:color w:val="000000"/>
          <w:lang w:val="en-GB" w:eastAsia="en-GB"/>
        </w:rPr>
        <w:t xml:space="preserve">PMU has </w:t>
      </w:r>
      <w:r w:rsidRPr="0029511A">
        <w:rPr>
          <w:rFonts w:ascii="Calibri" w:eastAsia="Times New Roman" w:hAnsi="Calibri" w:cs="Calibri"/>
          <w:color w:val="000000"/>
          <w:lang w:val="en-GB" w:eastAsia="en-GB"/>
        </w:rPr>
        <w:t xml:space="preserve">also </w:t>
      </w:r>
      <w:r w:rsidR="006C0418" w:rsidRPr="0029511A">
        <w:rPr>
          <w:rFonts w:ascii="Calibri" w:eastAsia="Times New Roman" w:hAnsi="Calibri" w:cs="Calibri"/>
          <w:color w:val="000000"/>
          <w:lang w:val="en-GB" w:eastAsia="en-GB"/>
        </w:rPr>
        <w:t>implemented various approaches to improve efficiency</w:t>
      </w:r>
      <w:r w:rsidRPr="0029511A">
        <w:rPr>
          <w:rFonts w:ascii="Calibri" w:eastAsia="Times New Roman" w:hAnsi="Calibri" w:cs="Calibri"/>
          <w:color w:val="000000"/>
          <w:lang w:val="en-GB" w:eastAsia="en-GB"/>
        </w:rPr>
        <w:t xml:space="preserve"> in the management of APEC funds</w:t>
      </w:r>
      <w:r w:rsidR="00FD157D" w:rsidRPr="0029511A">
        <w:rPr>
          <w:rFonts w:ascii="Calibri" w:eastAsia="Times New Roman" w:hAnsi="Calibri" w:cs="Calibri"/>
          <w:color w:val="000000"/>
          <w:lang w:val="en-GB" w:eastAsia="en-GB"/>
        </w:rPr>
        <w:t>,</w:t>
      </w:r>
      <w:r w:rsidR="006C0418" w:rsidRPr="0029511A">
        <w:rPr>
          <w:rFonts w:ascii="Calibri" w:eastAsia="Times New Roman" w:hAnsi="Calibri" w:cs="Calibri"/>
          <w:color w:val="000000"/>
          <w:lang w:val="en-GB" w:eastAsia="en-GB"/>
        </w:rPr>
        <w:t xml:space="preserve"> including introducing new online tools and staff to undertake quality assessment</w:t>
      </w:r>
      <w:r w:rsidR="00427D40" w:rsidRPr="0029511A">
        <w:rPr>
          <w:rFonts w:ascii="Calibri" w:eastAsia="Times New Roman" w:hAnsi="Calibri" w:cs="Calibri"/>
          <w:color w:val="000000"/>
          <w:lang w:val="en-GB" w:eastAsia="en-GB"/>
        </w:rPr>
        <w:t>s</w:t>
      </w:r>
      <w:r w:rsidR="006C0418" w:rsidRPr="0029511A">
        <w:rPr>
          <w:rFonts w:ascii="Calibri" w:eastAsia="Times New Roman" w:hAnsi="Calibri" w:cs="Calibri"/>
          <w:color w:val="000000"/>
          <w:lang w:val="en-GB" w:eastAsia="en-GB"/>
        </w:rPr>
        <w:t xml:space="preserve"> to speed up the review process</w:t>
      </w:r>
      <w:r w:rsidR="00FD157D" w:rsidRPr="0029511A">
        <w:rPr>
          <w:rFonts w:ascii="Calibri" w:eastAsia="Times New Roman" w:hAnsi="Calibri" w:cs="Calibri"/>
          <w:color w:val="000000"/>
          <w:lang w:val="en-GB" w:eastAsia="en-GB"/>
        </w:rPr>
        <w:t>.</w:t>
      </w:r>
    </w:p>
    <w:p w14:paraId="4BC4B153" w14:textId="556BFC17" w:rsidR="0092590A" w:rsidRPr="0029511A" w:rsidRDefault="0092590A" w:rsidP="0092590A">
      <w:pPr>
        <w:spacing w:after="160" w:line="252" w:lineRule="auto"/>
        <w:rPr>
          <w:rFonts w:ascii="Calibri" w:eastAsia="Times New Roman" w:hAnsi="Calibri" w:cs="Calibri"/>
          <w:color w:val="000000"/>
          <w:lang w:val="en-GB" w:eastAsia="en-GB"/>
        </w:rPr>
      </w:pPr>
      <w:r w:rsidRPr="0029511A">
        <w:rPr>
          <w:rFonts w:ascii="Calibri" w:eastAsia="Times New Roman" w:hAnsi="Calibri" w:cs="Calibri"/>
          <w:color w:val="000000"/>
          <w:lang w:val="en-GB" w:eastAsia="en-GB"/>
        </w:rPr>
        <w:t xml:space="preserve">After a review of the contracting model, the </w:t>
      </w:r>
      <w:r w:rsidRPr="0029511A">
        <w:rPr>
          <w:rFonts w:ascii="Calibri" w:eastAsia="Times New Roman" w:hAnsi="Calibri" w:cs="Calibri"/>
          <w:b/>
          <w:bCs/>
          <w:color w:val="000000"/>
          <w:lang w:val="en-GB" w:eastAsia="en-GB"/>
        </w:rPr>
        <w:t xml:space="preserve">AASP is underpinned by a contracting model </w:t>
      </w:r>
      <w:r w:rsidR="002F656C" w:rsidRPr="0029511A">
        <w:rPr>
          <w:rFonts w:ascii="Calibri" w:eastAsia="Times New Roman" w:hAnsi="Calibri" w:cs="Calibri"/>
          <w:b/>
          <w:bCs/>
          <w:color w:val="000000"/>
          <w:lang w:val="en-GB" w:eastAsia="en-GB"/>
        </w:rPr>
        <w:t>that</w:t>
      </w:r>
      <w:r w:rsidRPr="0029511A">
        <w:rPr>
          <w:rFonts w:ascii="Calibri" w:eastAsia="Times New Roman" w:hAnsi="Calibri" w:cs="Calibri"/>
          <w:b/>
          <w:bCs/>
          <w:color w:val="000000"/>
          <w:lang w:val="en-GB" w:eastAsia="en-GB"/>
        </w:rPr>
        <w:t xml:space="preserve"> utilises a competitive market approach</w:t>
      </w:r>
      <w:r w:rsidRPr="0029511A">
        <w:rPr>
          <w:rFonts w:ascii="Calibri" w:eastAsia="Times New Roman" w:hAnsi="Calibri" w:cs="Calibri"/>
          <w:color w:val="000000"/>
          <w:lang w:val="en-GB" w:eastAsia="en-GB"/>
        </w:rPr>
        <w:t xml:space="preserve"> and has helped diversify implementing partners/service providers to ensure value for money.</w:t>
      </w:r>
      <w:r w:rsidR="00BA2F13" w:rsidRPr="0029511A">
        <w:rPr>
          <w:rFonts w:ascii="Calibri" w:eastAsia="Times New Roman" w:hAnsi="Calibri" w:cs="Calibri"/>
          <w:color w:val="000000"/>
          <w:lang w:val="en-GB" w:eastAsia="en-GB"/>
        </w:rPr>
        <w:t xml:space="preserve"> In line with recently introduced </w:t>
      </w:r>
      <w:r w:rsidR="002F656C" w:rsidRPr="0029511A">
        <w:rPr>
          <w:rFonts w:ascii="Calibri" w:eastAsia="Times New Roman" w:hAnsi="Calibri" w:cs="Calibri"/>
          <w:color w:val="000000"/>
          <w:lang w:val="en-GB" w:eastAsia="en-GB"/>
        </w:rPr>
        <w:t>s</w:t>
      </w:r>
      <w:r w:rsidR="00BA2F13" w:rsidRPr="0029511A">
        <w:rPr>
          <w:rFonts w:ascii="Calibri" w:eastAsia="Times New Roman" w:hAnsi="Calibri" w:cs="Calibri"/>
          <w:color w:val="000000"/>
          <w:lang w:val="en-GB" w:eastAsia="en-GB"/>
        </w:rPr>
        <w:t xml:space="preserve">tandard </w:t>
      </w:r>
      <w:r w:rsidR="002F656C" w:rsidRPr="0029511A">
        <w:rPr>
          <w:rFonts w:ascii="Calibri" w:eastAsia="Times New Roman" w:hAnsi="Calibri" w:cs="Calibri"/>
          <w:color w:val="000000"/>
          <w:lang w:val="en-GB" w:eastAsia="en-GB"/>
        </w:rPr>
        <w:t>o</w:t>
      </w:r>
      <w:r w:rsidR="00BA2F13" w:rsidRPr="0029511A">
        <w:rPr>
          <w:rFonts w:ascii="Calibri" w:eastAsia="Times New Roman" w:hAnsi="Calibri" w:cs="Calibri"/>
          <w:color w:val="000000"/>
          <w:lang w:val="en-GB" w:eastAsia="en-GB"/>
        </w:rPr>
        <w:t xml:space="preserve">perating </w:t>
      </w:r>
      <w:r w:rsidR="002F656C" w:rsidRPr="0029511A">
        <w:rPr>
          <w:rFonts w:ascii="Calibri" w:eastAsia="Times New Roman" w:hAnsi="Calibri" w:cs="Calibri"/>
          <w:color w:val="000000"/>
          <w:lang w:val="en-GB" w:eastAsia="en-GB"/>
        </w:rPr>
        <w:t>p</w:t>
      </w:r>
      <w:r w:rsidR="00BA2F13" w:rsidRPr="0029511A">
        <w:rPr>
          <w:rFonts w:ascii="Calibri" w:eastAsia="Times New Roman" w:hAnsi="Calibri" w:cs="Calibri"/>
          <w:color w:val="000000"/>
          <w:lang w:val="en-GB" w:eastAsia="en-GB"/>
        </w:rPr>
        <w:t xml:space="preserve">rocedures (SOP) for ODA payments, </w:t>
      </w:r>
      <w:r w:rsidR="004B189A" w:rsidRPr="0029511A">
        <w:rPr>
          <w:rFonts w:ascii="Calibri" w:eastAsia="Times New Roman" w:hAnsi="Calibri" w:cs="Calibri"/>
          <w:color w:val="000000"/>
          <w:lang w:val="en-GB" w:eastAsia="en-GB"/>
        </w:rPr>
        <w:t>the program has</w:t>
      </w:r>
      <w:r w:rsidR="00BA2F13" w:rsidRPr="0029511A">
        <w:rPr>
          <w:rFonts w:ascii="Calibri" w:eastAsia="Times New Roman" w:hAnsi="Calibri" w:cs="Calibri"/>
          <w:color w:val="000000"/>
          <w:lang w:val="en-GB" w:eastAsia="en-GB"/>
        </w:rPr>
        <w:t xml:space="preserve"> introduced further due diligence measures to strengthen the integrity of AASP </w:t>
      </w:r>
      <w:r w:rsidR="00EF5E3F" w:rsidRPr="0029511A">
        <w:rPr>
          <w:rFonts w:ascii="Calibri" w:eastAsia="Times New Roman" w:hAnsi="Calibri" w:cs="Calibri"/>
          <w:color w:val="000000"/>
          <w:lang w:val="en-GB" w:eastAsia="en-GB"/>
        </w:rPr>
        <w:t>funds and</w:t>
      </w:r>
      <w:r w:rsidR="004B189A" w:rsidRPr="0029511A">
        <w:rPr>
          <w:rFonts w:ascii="Calibri" w:eastAsia="Times New Roman" w:hAnsi="Calibri" w:cs="Calibri"/>
          <w:color w:val="000000"/>
          <w:lang w:val="en-GB" w:eastAsia="en-GB"/>
        </w:rPr>
        <w:t xml:space="preserve"> follow </w:t>
      </w:r>
      <w:r w:rsidR="00EF5E3F" w:rsidRPr="0029511A">
        <w:rPr>
          <w:rFonts w:ascii="Calibri" w:eastAsia="Times New Roman" w:hAnsi="Calibri" w:cs="Calibri"/>
          <w:color w:val="000000"/>
          <w:lang w:val="en-GB" w:eastAsia="en-GB"/>
        </w:rPr>
        <w:t>Commonwealth</w:t>
      </w:r>
      <w:r w:rsidR="004B189A" w:rsidRPr="0029511A">
        <w:rPr>
          <w:rFonts w:ascii="Calibri" w:eastAsia="Times New Roman" w:hAnsi="Calibri" w:cs="Calibri"/>
          <w:color w:val="000000"/>
          <w:lang w:val="en-GB" w:eastAsia="en-GB"/>
        </w:rPr>
        <w:t xml:space="preserve"> Procurement </w:t>
      </w:r>
      <w:r w:rsidR="00EF5E3F" w:rsidRPr="0029511A">
        <w:rPr>
          <w:rFonts w:ascii="Calibri" w:eastAsia="Times New Roman" w:hAnsi="Calibri" w:cs="Calibri"/>
          <w:color w:val="000000"/>
          <w:lang w:val="en-GB" w:eastAsia="en-GB"/>
        </w:rPr>
        <w:t>Rules and DFAT procurement policy</w:t>
      </w:r>
      <w:r w:rsidR="00BA2F13" w:rsidRPr="0029511A">
        <w:rPr>
          <w:rFonts w:ascii="Calibri" w:eastAsia="Times New Roman" w:hAnsi="Calibri" w:cs="Calibri"/>
          <w:color w:val="000000"/>
          <w:lang w:val="en-GB" w:eastAsia="en-GB"/>
        </w:rPr>
        <w:t xml:space="preserve">. </w:t>
      </w:r>
    </w:p>
    <w:p w14:paraId="07365BDB" w14:textId="648D44AB" w:rsidR="0092590A" w:rsidRPr="0029511A" w:rsidRDefault="00BA2F13" w:rsidP="0092590A">
      <w:pPr>
        <w:spacing w:after="160" w:line="252" w:lineRule="auto"/>
        <w:rPr>
          <w:rFonts w:ascii="Calibri" w:eastAsia="Times New Roman" w:hAnsi="Calibri" w:cs="Calibri"/>
          <w:color w:val="000000"/>
          <w:lang w:val="en-GB" w:eastAsia="en-GB"/>
        </w:rPr>
      </w:pPr>
      <w:r w:rsidRPr="0029511A">
        <w:rPr>
          <w:rFonts w:ascii="Calibri" w:eastAsia="Times New Roman" w:hAnsi="Calibri" w:cs="Calibri"/>
          <w:color w:val="000000"/>
          <w:lang w:val="en-GB" w:eastAsia="en-GB"/>
        </w:rPr>
        <w:t xml:space="preserve">Over time, </w:t>
      </w:r>
      <w:r w:rsidRPr="0029511A">
        <w:rPr>
          <w:rFonts w:ascii="Calibri" w:eastAsia="Times New Roman" w:hAnsi="Calibri" w:cs="Calibri"/>
          <w:b/>
          <w:bCs/>
          <w:color w:val="000000"/>
          <w:lang w:val="en-GB" w:eastAsia="en-GB"/>
        </w:rPr>
        <w:t>through enhancing information sharing on the processes (including revised project templates</w:t>
      </w:r>
      <w:r w:rsidR="00E6747A" w:rsidRPr="0029511A">
        <w:rPr>
          <w:rFonts w:ascii="Calibri" w:eastAsia="Times New Roman" w:hAnsi="Calibri" w:cs="Calibri"/>
          <w:b/>
          <w:bCs/>
          <w:color w:val="000000"/>
          <w:lang w:val="en-GB" w:eastAsia="en-GB"/>
        </w:rPr>
        <w:t>, a step-by-step guide to project proposal preparation and implementation</w:t>
      </w:r>
      <w:r w:rsidRPr="0029511A">
        <w:rPr>
          <w:rFonts w:ascii="Calibri" w:eastAsia="Times New Roman" w:hAnsi="Calibri" w:cs="Calibri"/>
          <w:b/>
          <w:bCs/>
          <w:color w:val="000000"/>
          <w:lang w:val="en-GB" w:eastAsia="en-GB"/>
        </w:rPr>
        <w:t xml:space="preserve">, and regular interaction with </w:t>
      </w:r>
      <w:r w:rsidR="00994AA0" w:rsidRPr="0029511A">
        <w:rPr>
          <w:rFonts w:ascii="Calibri" w:eastAsia="Times New Roman" w:hAnsi="Calibri" w:cs="Calibri"/>
          <w:b/>
          <w:bCs/>
          <w:color w:val="000000"/>
          <w:lang w:val="en-GB" w:eastAsia="en-GB"/>
        </w:rPr>
        <w:t xml:space="preserve">APS </w:t>
      </w:r>
      <w:r w:rsidRPr="0029511A">
        <w:rPr>
          <w:rFonts w:ascii="Calibri" w:eastAsia="Times New Roman" w:hAnsi="Calibri" w:cs="Calibri"/>
          <w:b/>
          <w:bCs/>
          <w:color w:val="000000"/>
          <w:lang w:val="en-GB" w:eastAsia="en-GB"/>
        </w:rPr>
        <w:t>agencies)</w:t>
      </w:r>
      <w:r w:rsidR="00CE3FC0" w:rsidRPr="0029511A">
        <w:rPr>
          <w:rFonts w:ascii="Calibri" w:eastAsia="Times New Roman" w:hAnsi="Calibri" w:cs="Calibri"/>
          <w:b/>
          <w:bCs/>
          <w:color w:val="000000"/>
          <w:lang w:val="en-GB" w:eastAsia="en-GB"/>
        </w:rPr>
        <w:t>,</w:t>
      </w:r>
      <w:r w:rsidRPr="0029511A">
        <w:rPr>
          <w:rFonts w:ascii="Calibri" w:eastAsia="Times New Roman" w:hAnsi="Calibri" w:cs="Calibri"/>
          <w:b/>
          <w:bCs/>
          <w:color w:val="000000"/>
          <w:lang w:val="en-GB" w:eastAsia="en-GB"/>
        </w:rPr>
        <w:t xml:space="preserve"> the AASP has developed a harmonised approach to programming</w:t>
      </w:r>
      <w:r w:rsidR="009D1420" w:rsidRPr="0029511A">
        <w:rPr>
          <w:rFonts w:ascii="Calibri" w:eastAsia="Times New Roman" w:hAnsi="Calibri" w:cs="Calibri"/>
          <w:b/>
          <w:bCs/>
          <w:color w:val="000000"/>
          <w:lang w:val="en-GB" w:eastAsia="en-GB"/>
        </w:rPr>
        <w:t>.</w:t>
      </w:r>
      <w:r w:rsidR="00FD7D91" w:rsidRPr="0029511A">
        <w:rPr>
          <w:rFonts w:ascii="Calibri" w:eastAsia="Times New Roman" w:hAnsi="Calibri" w:cs="Calibri"/>
          <w:b/>
          <w:bCs/>
          <w:color w:val="000000"/>
          <w:lang w:val="en-GB" w:eastAsia="en-GB"/>
        </w:rPr>
        <w:t xml:space="preserve"> </w:t>
      </w:r>
      <w:r w:rsidR="00FD7D91" w:rsidRPr="0029511A">
        <w:rPr>
          <w:rFonts w:ascii="Calibri" w:eastAsia="Times New Roman" w:hAnsi="Calibri" w:cs="Calibri"/>
          <w:color w:val="000000"/>
          <w:lang w:val="en-GB" w:eastAsia="en-GB"/>
        </w:rPr>
        <w:t>The AASP has</w:t>
      </w:r>
      <w:r w:rsidRPr="0029511A">
        <w:rPr>
          <w:rFonts w:ascii="Calibri" w:eastAsia="Times New Roman" w:hAnsi="Calibri" w:cs="Calibri"/>
          <w:color w:val="000000"/>
          <w:lang w:val="en-GB" w:eastAsia="en-GB"/>
        </w:rPr>
        <w:t xml:space="preserve"> </w:t>
      </w:r>
      <w:r w:rsidR="00FD7D91" w:rsidRPr="0029511A">
        <w:rPr>
          <w:rFonts w:ascii="Calibri" w:eastAsia="Times New Roman" w:hAnsi="Calibri" w:cs="Calibri"/>
          <w:color w:val="000000"/>
          <w:lang w:val="en-GB" w:eastAsia="en-GB"/>
        </w:rPr>
        <w:t>also</w:t>
      </w:r>
      <w:r w:rsidRPr="0029511A">
        <w:rPr>
          <w:rFonts w:ascii="Calibri" w:eastAsia="Times New Roman" w:hAnsi="Calibri" w:cs="Calibri"/>
          <w:color w:val="000000"/>
          <w:lang w:val="en-GB" w:eastAsia="en-GB"/>
        </w:rPr>
        <w:t xml:space="preserve"> enhanced information sharing among the network of agencies involved in APEC, </w:t>
      </w:r>
      <w:r w:rsidRPr="0029511A">
        <w:rPr>
          <w:rFonts w:ascii="Calibri" w:eastAsia="Times New Roman" w:hAnsi="Calibri" w:cs="Calibri"/>
          <w:color w:val="000000"/>
          <w:lang w:val="en-GB" w:eastAsia="en-GB"/>
        </w:rPr>
        <w:lastRenderedPageBreak/>
        <w:t>including through the provision of regular updates at the APEC Inter-Departmental Committees (IDC</w:t>
      </w:r>
      <w:r w:rsidR="002F656C" w:rsidRPr="0029511A">
        <w:rPr>
          <w:rFonts w:ascii="Calibri" w:eastAsia="Times New Roman" w:hAnsi="Calibri" w:cs="Calibri"/>
          <w:color w:val="000000"/>
          <w:lang w:val="en-GB" w:eastAsia="en-GB"/>
        </w:rPr>
        <w:t>s</w:t>
      </w:r>
      <w:r w:rsidRPr="0029511A">
        <w:rPr>
          <w:rFonts w:ascii="Calibri" w:eastAsia="Times New Roman" w:hAnsi="Calibri" w:cs="Calibri"/>
          <w:color w:val="000000"/>
          <w:lang w:val="en-GB" w:eastAsia="en-GB"/>
        </w:rPr>
        <w:t>)</w:t>
      </w:r>
      <w:r w:rsidR="00E95692" w:rsidRPr="0029511A">
        <w:rPr>
          <w:rFonts w:ascii="Calibri" w:eastAsia="Times New Roman" w:hAnsi="Calibri" w:cs="Calibri"/>
          <w:color w:val="000000"/>
          <w:lang w:val="en-GB" w:eastAsia="en-GB"/>
        </w:rPr>
        <w:t xml:space="preserve"> (including</w:t>
      </w:r>
      <w:r w:rsidRPr="0029511A">
        <w:rPr>
          <w:rFonts w:ascii="Calibri" w:eastAsia="Times New Roman" w:hAnsi="Calibri" w:cs="Calibri"/>
          <w:color w:val="000000"/>
          <w:lang w:val="en-GB" w:eastAsia="en-GB"/>
        </w:rPr>
        <w:t xml:space="preserve"> sharing information on the availability of AASP funds</w:t>
      </w:r>
      <w:r w:rsidR="00E95692" w:rsidRPr="0029511A">
        <w:rPr>
          <w:rFonts w:ascii="Calibri" w:eastAsia="Times New Roman" w:hAnsi="Calibri" w:cs="Calibri"/>
          <w:color w:val="000000"/>
          <w:lang w:val="en-GB" w:eastAsia="en-GB"/>
        </w:rPr>
        <w:t xml:space="preserve">) </w:t>
      </w:r>
      <w:r w:rsidRPr="0029511A">
        <w:rPr>
          <w:rFonts w:ascii="Calibri" w:eastAsia="Times New Roman" w:hAnsi="Calibri" w:cs="Calibri"/>
          <w:color w:val="000000"/>
          <w:lang w:val="en-GB" w:eastAsia="en-GB"/>
        </w:rPr>
        <w:t>and sharing successes and lessons from ongoing or recently implemented projects. Information sharing and coordination to enhance the effectiveness and efficiency of Australia’s work with APEC, particularly by sharing lessons learned about effective (and ineffective) approaches to engaging within the APEC ecosystem</w:t>
      </w:r>
      <w:r w:rsidR="00E6747A" w:rsidRPr="0029511A">
        <w:rPr>
          <w:rFonts w:ascii="Calibri" w:eastAsia="Times New Roman" w:hAnsi="Calibri" w:cs="Calibri"/>
          <w:color w:val="000000"/>
          <w:lang w:val="en-GB" w:eastAsia="en-GB"/>
        </w:rPr>
        <w:t xml:space="preserve"> through an active approach to communication, includes a quarterly newsletter to profile different projects</w:t>
      </w:r>
      <w:r w:rsidR="00DA278C" w:rsidRPr="0029511A">
        <w:rPr>
          <w:rFonts w:ascii="Calibri" w:eastAsia="Times New Roman" w:hAnsi="Calibri" w:cs="Calibri"/>
          <w:color w:val="000000"/>
          <w:lang w:val="en-GB" w:eastAsia="en-GB"/>
        </w:rPr>
        <w:t xml:space="preserve">, and encouraging </w:t>
      </w:r>
      <w:r w:rsidR="00514B8F" w:rsidRPr="0029511A">
        <w:rPr>
          <w:rFonts w:ascii="Calibri" w:eastAsia="Times New Roman" w:hAnsi="Calibri" w:cs="Calibri"/>
          <w:color w:val="000000"/>
          <w:lang w:val="en-GB" w:eastAsia="en-GB"/>
        </w:rPr>
        <w:t>w</w:t>
      </w:r>
      <w:r w:rsidR="00795D08" w:rsidRPr="0029511A">
        <w:rPr>
          <w:rFonts w:ascii="Calibri" w:eastAsia="Times New Roman" w:hAnsi="Calibri" w:cs="Calibri"/>
          <w:color w:val="000000"/>
          <w:lang w:val="en-GB" w:eastAsia="en-GB"/>
        </w:rPr>
        <w:t>hole-of-</w:t>
      </w:r>
      <w:r w:rsidR="00514B8F" w:rsidRPr="0029511A">
        <w:rPr>
          <w:rFonts w:ascii="Calibri" w:eastAsia="Times New Roman" w:hAnsi="Calibri" w:cs="Calibri"/>
          <w:color w:val="000000"/>
          <w:lang w:val="en-GB" w:eastAsia="en-GB"/>
        </w:rPr>
        <w:t>g</w:t>
      </w:r>
      <w:r w:rsidR="00795D08" w:rsidRPr="0029511A">
        <w:rPr>
          <w:rFonts w:ascii="Calibri" w:eastAsia="Times New Roman" w:hAnsi="Calibri" w:cs="Calibri"/>
          <w:color w:val="000000"/>
          <w:lang w:val="en-GB" w:eastAsia="en-GB"/>
        </w:rPr>
        <w:t>overnment</w:t>
      </w:r>
      <w:r w:rsidR="00DA278C" w:rsidRPr="0029511A">
        <w:rPr>
          <w:rFonts w:ascii="Calibri" w:eastAsia="Times New Roman" w:hAnsi="Calibri" w:cs="Calibri"/>
          <w:color w:val="000000"/>
          <w:lang w:val="en-GB" w:eastAsia="en-GB"/>
        </w:rPr>
        <w:t xml:space="preserve"> partners to use social media to communicate project </w:t>
      </w:r>
      <w:r w:rsidR="009D0BD0" w:rsidRPr="0029511A">
        <w:rPr>
          <w:rFonts w:ascii="Calibri" w:eastAsia="Times New Roman" w:hAnsi="Calibri" w:cs="Calibri"/>
          <w:color w:val="000000"/>
          <w:lang w:val="en-GB" w:eastAsia="en-GB"/>
        </w:rPr>
        <w:t>successes.</w:t>
      </w:r>
    </w:p>
    <w:p w14:paraId="46FBD50E" w14:textId="44208556" w:rsidR="00E6747A" w:rsidRPr="0029511A" w:rsidRDefault="006C0418" w:rsidP="00BA2F13">
      <w:pPr>
        <w:spacing w:after="160" w:line="252" w:lineRule="auto"/>
        <w:rPr>
          <w:rFonts w:ascii="Calibri" w:eastAsia="Times New Roman" w:hAnsi="Calibri" w:cs="Calibri"/>
          <w:color w:val="000000"/>
          <w:lang w:val="en-GB" w:eastAsia="en-GB"/>
        </w:rPr>
      </w:pPr>
      <w:r w:rsidRPr="0029511A">
        <w:rPr>
          <w:rFonts w:ascii="Calibri" w:eastAsia="Times New Roman" w:hAnsi="Calibri" w:cs="Calibri"/>
          <w:b/>
          <w:bCs/>
          <w:color w:val="000000"/>
          <w:lang w:val="en-GB" w:eastAsia="en-GB"/>
        </w:rPr>
        <w:t>I</w:t>
      </w:r>
      <w:r w:rsidR="0092590A" w:rsidRPr="0029511A">
        <w:rPr>
          <w:rFonts w:ascii="Calibri" w:eastAsia="Times New Roman" w:hAnsi="Calibri" w:cs="Calibri"/>
          <w:b/>
          <w:bCs/>
          <w:color w:val="000000"/>
          <w:lang w:val="en-GB" w:eastAsia="en-GB"/>
        </w:rPr>
        <w:t>nnovative approaches and activities</w:t>
      </w:r>
      <w:r w:rsidR="0092590A" w:rsidRPr="0029511A">
        <w:rPr>
          <w:rFonts w:ascii="Calibri" w:eastAsia="Times New Roman" w:hAnsi="Calibri" w:cs="Calibri"/>
          <w:color w:val="000000"/>
          <w:lang w:val="en-GB" w:eastAsia="en-GB"/>
        </w:rPr>
        <w:t xml:space="preserve"> </w:t>
      </w:r>
      <w:r w:rsidRPr="0029511A">
        <w:rPr>
          <w:rFonts w:ascii="Calibri" w:eastAsia="Times New Roman" w:hAnsi="Calibri" w:cs="Calibri"/>
          <w:color w:val="000000"/>
          <w:lang w:val="en-GB" w:eastAsia="en-GB"/>
        </w:rPr>
        <w:t>introduced by whole</w:t>
      </w:r>
      <w:r w:rsidR="007C666F" w:rsidRPr="0029511A">
        <w:rPr>
          <w:rFonts w:ascii="Calibri" w:eastAsia="Times New Roman" w:hAnsi="Calibri" w:cs="Calibri"/>
          <w:color w:val="000000"/>
          <w:lang w:val="en-GB" w:eastAsia="en-GB"/>
        </w:rPr>
        <w:t>-</w:t>
      </w:r>
      <w:r w:rsidRPr="0029511A">
        <w:rPr>
          <w:rFonts w:ascii="Calibri" w:eastAsia="Times New Roman" w:hAnsi="Calibri" w:cs="Calibri"/>
          <w:color w:val="000000"/>
          <w:lang w:val="en-GB" w:eastAsia="en-GB"/>
        </w:rPr>
        <w:t>of</w:t>
      </w:r>
      <w:r w:rsidR="007C666F" w:rsidRPr="0029511A">
        <w:rPr>
          <w:rFonts w:ascii="Calibri" w:eastAsia="Times New Roman" w:hAnsi="Calibri" w:cs="Calibri"/>
          <w:color w:val="000000"/>
          <w:lang w:val="en-GB" w:eastAsia="en-GB"/>
        </w:rPr>
        <w:t>-</w:t>
      </w:r>
      <w:r w:rsidRPr="0029511A">
        <w:rPr>
          <w:rFonts w:ascii="Calibri" w:eastAsia="Times New Roman" w:hAnsi="Calibri" w:cs="Calibri"/>
          <w:color w:val="000000"/>
          <w:lang w:val="en-GB" w:eastAsia="en-GB"/>
        </w:rPr>
        <w:t>government partners ha</w:t>
      </w:r>
      <w:r w:rsidR="007C666F" w:rsidRPr="0029511A">
        <w:rPr>
          <w:rFonts w:ascii="Calibri" w:eastAsia="Times New Roman" w:hAnsi="Calibri" w:cs="Calibri"/>
          <w:color w:val="000000"/>
          <w:lang w:val="en-GB" w:eastAsia="en-GB"/>
        </w:rPr>
        <w:t>ve</w:t>
      </w:r>
      <w:r w:rsidRPr="0029511A">
        <w:rPr>
          <w:rFonts w:ascii="Calibri" w:eastAsia="Times New Roman" w:hAnsi="Calibri" w:cs="Calibri"/>
          <w:color w:val="000000"/>
          <w:lang w:val="en-GB" w:eastAsia="en-GB"/>
        </w:rPr>
        <w:t xml:space="preserve"> also helped enhance efficiency.</w:t>
      </w:r>
      <w:r w:rsidR="0092590A" w:rsidRPr="0029511A">
        <w:rPr>
          <w:rFonts w:ascii="Calibri" w:eastAsia="Times New Roman" w:hAnsi="Calibri" w:cs="Calibri"/>
          <w:color w:val="000000"/>
          <w:lang w:val="en-GB" w:eastAsia="en-GB"/>
        </w:rPr>
        <w:t xml:space="preserve"> </w:t>
      </w:r>
      <w:r w:rsidR="00B0542A" w:rsidRPr="0029511A">
        <w:rPr>
          <w:rFonts w:ascii="Calibri" w:eastAsia="Times New Roman" w:hAnsi="Calibri" w:cs="Calibri"/>
          <w:color w:val="000000"/>
          <w:lang w:val="en-GB" w:eastAsia="en-GB"/>
        </w:rPr>
        <w:t>By</w:t>
      </w:r>
      <w:r w:rsidR="00E6747A" w:rsidRPr="0029511A">
        <w:rPr>
          <w:rFonts w:ascii="Calibri" w:eastAsia="Times New Roman" w:hAnsi="Calibri" w:cs="Calibri"/>
          <w:color w:val="000000"/>
          <w:lang w:val="en-GB" w:eastAsia="en-GB"/>
        </w:rPr>
        <w:t xml:space="preserve"> bringing in </w:t>
      </w:r>
      <w:r w:rsidR="00514B8F" w:rsidRPr="0029511A">
        <w:rPr>
          <w:rFonts w:ascii="Calibri" w:eastAsia="Times New Roman" w:hAnsi="Calibri" w:cs="Calibri"/>
          <w:color w:val="000000"/>
          <w:lang w:val="en-GB" w:eastAsia="en-GB"/>
        </w:rPr>
        <w:t>w</w:t>
      </w:r>
      <w:r w:rsidR="00795D08" w:rsidRPr="0029511A">
        <w:rPr>
          <w:rFonts w:ascii="Calibri" w:eastAsia="Times New Roman" w:hAnsi="Calibri" w:cs="Calibri"/>
          <w:color w:val="000000"/>
          <w:lang w:val="en-GB" w:eastAsia="en-GB"/>
        </w:rPr>
        <w:t>hole-of-</w:t>
      </w:r>
      <w:r w:rsidR="00514B8F" w:rsidRPr="0029511A">
        <w:rPr>
          <w:rFonts w:ascii="Calibri" w:eastAsia="Times New Roman" w:hAnsi="Calibri" w:cs="Calibri"/>
          <w:color w:val="000000"/>
          <w:lang w:val="en-GB" w:eastAsia="en-GB"/>
        </w:rPr>
        <w:t>g</w:t>
      </w:r>
      <w:r w:rsidR="00795D08" w:rsidRPr="0029511A">
        <w:rPr>
          <w:rFonts w:ascii="Calibri" w:eastAsia="Times New Roman" w:hAnsi="Calibri" w:cs="Calibri"/>
          <w:color w:val="000000"/>
          <w:lang w:val="en-GB" w:eastAsia="en-GB"/>
        </w:rPr>
        <w:t>overnment</w:t>
      </w:r>
      <w:r w:rsidR="00E6747A" w:rsidRPr="0029511A">
        <w:rPr>
          <w:rFonts w:ascii="Calibri" w:eastAsia="Times New Roman" w:hAnsi="Calibri" w:cs="Calibri"/>
          <w:color w:val="000000"/>
          <w:lang w:val="en-GB" w:eastAsia="en-GB"/>
        </w:rPr>
        <w:t xml:space="preserve"> partners who provide co-funding and/or in-kind support</w:t>
      </w:r>
      <w:r w:rsidR="00B0542A" w:rsidRPr="0029511A">
        <w:rPr>
          <w:rFonts w:ascii="Calibri" w:eastAsia="Times New Roman" w:hAnsi="Calibri" w:cs="Calibri"/>
          <w:color w:val="000000"/>
          <w:lang w:val="en-GB" w:eastAsia="en-GB"/>
        </w:rPr>
        <w:t>,</w:t>
      </w:r>
      <w:r w:rsidR="00E6747A" w:rsidRPr="0029511A">
        <w:rPr>
          <w:rFonts w:ascii="Calibri" w:eastAsia="Times New Roman" w:hAnsi="Calibri" w:cs="Calibri"/>
          <w:color w:val="000000"/>
          <w:lang w:val="en-GB" w:eastAsia="en-GB"/>
        </w:rPr>
        <w:t xml:space="preserve"> the AASP </w:t>
      </w:r>
      <w:proofErr w:type="gramStart"/>
      <w:r w:rsidR="00E6747A" w:rsidRPr="0029511A">
        <w:rPr>
          <w:rFonts w:ascii="Calibri" w:eastAsia="Times New Roman" w:hAnsi="Calibri" w:cs="Calibri"/>
          <w:color w:val="000000"/>
          <w:lang w:val="en-GB" w:eastAsia="en-GB"/>
        </w:rPr>
        <w:t>is able to</w:t>
      </w:r>
      <w:proofErr w:type="gramEnd"/>
      <w:r w:rsidR="00E6747A" w:rsidRPr="0029511A">
        <w:rPr>
          <w:rFonts w:ascii="Calibri" w:eastAsia="Times New Roman" w:hAnsi="Calibri" w:cs="Calibri"/>
          <w:color w:val="000000"/>
          <w:lang w:val="en-GB" w:eastAsia="en-GB"/>
        </w:rPr>
        <w:t xml:space="preserve"> leverage resources to enhance the efficient delivery of projects. </w:t>
      </w:r>
      <w:r w:rsidR="0092590A" w:rsidRPr="0029511A">
        <w:rPr>
          <w:rFonts w:ascii="Calibri" w:eastAsia="Times New Roman" w:hAnsi="Calibri" w:cs="Calibri"/>
          <w:color w:val="000000"/>
          <w:lang w:val="en-GB" w:eastAsia="en-GB"/>
        </w:rPr>
        <w:t>Experimentation with hybrid capacity building models (combining online and in-person delivery) and new communication methods (such as video content) represent an opportunity to trial new approaches for greater efficiency and effectiveness</w:t>
      </w:r>
      <w:r w:rsidR="00BA2F13" w:rsidRPr="0029511A">
        <w:rPr>
          <w:rFonts w:ascii="Calibri" w:eastAsia="Times New Roman" w:hAnsi="Calibri" w:cs="Calibri"/>
          <w:color w:val="000000"/>
          <w:lang w:val="en-GB" w:eastAsia="en-GB"/>
        </w:rPr>
        <w:t xml:space="preserve">. </w:t>
      </w:r>
    </w:p>
    <w:p w14:paraId="01432CF3" w14:textId="0684839A" w:rsidR="001712CD" w:rsidRPr="0029511A" w:rsidRDefault="00BA2F13" w:rsidP="001712CD">
      <w:pPr>
        <w:spacing w:after="160" w:line="252" w:lineRule="auto"/>
        <w:rPr>
          <w:rFonts w:ascii="Calibri" w:hAnsi="Calibri" w:cs="Calibri"/>
          <w:lang w:val="en-GB"/>
        </w:rPr>
      </w:pPr>
      <w:r w:rsidRPr="0029511A">
        <w:rPr>
          <w:rFonts w:ascii="Calibri" w:eastAsia="Times New Roman" w:hAnsi="Calibri" w:cs="Calibri"/>
          <w:color w:val="000000"/>
          <w:lang w:val="en-GB" w:eastAsia="en-GB"/>
        </w:rPr>
        <w:t xml:space="preserve">The AASP has also, </w:t>
      </w:r>
      <w:r w:rsidRPr="0029511A">
        <w:rPr>
          <w:rFonts w:ascii="Calibri" w:eastAsia="Times New Roman" w:hAnsi="Calibri" w:cs="Calibri"/>
          <w:b/>
          <w:bCs/>
          <w:color w:val="000000"/>
          <w:lang w:val="en-GB" w:eastAsia="en-GB"/>
        </w:rPr>
        <w:t xml:space="preserve">where feasible and practicable, built on existing projects, including through multi-year </w:t>
      </w:r>
      <w:r w:rsidR="00A475BA" w:rsidRPr="0029511A">
        <w:rPr>
          <w:rFonts w:ascii="Calibri" w:eastAsia="Times New Roman" w:hAnsi="Calibri" w:cs="Calibri"/>
          <w:b/>
          <w:bCs/>
          <w:color w:val="000000"/>
          <w:lang w:val="en-GB" w:eastAsia="en-GB"/>
        </w:rPr>
        <w:t xml:space="preserve">or multi-phase </w:t>
      </w:r>
      <w:r w:rsidRPr="0029511A">
        <w:rPr>
          <w:rFonts w:ascii="Calibri" w:eastAsia="Times New Roman" w:hAnsi="Calibri" w:cs="Calibri"/>
          <w:b/>
          <w:bCs/>
          <w:color w:val="000000"/>
          <w:lang w:val="en-GB" w:eastAsia="en-GB"/>
        </w:rPr>
        <w:t>activities</w:t>
      </w:r>
      <w:r w:rsidR="00A475BA" w:rsidRPr="0029511A">
        <w:rPr>
          <w:rFonts w:ascii="Calibri" w:eastAsia="Times New Roman" w:hAnsi="Calibri" w:cs="Calibri"/>
          <w:b/>
          <w:bCs/>
          <w:color w:val="000000"/>
          <w:lang w:val="en-GB" w:eastAsia="en-GB"/>
        </w:rPr>
        <w:t xml:space="preserve"> at the outset</w:t>
      </w:r>
      <w:r w:rsidR="001C43E0" w:rsidRPr="0029511A">
        <w:rPr>
          <w:rFonts w:ascii="Calibri" w:eastAsia="Times New Roman" w:hAnsi="Calibri" w:cs="Calibri"/>
          <w:b/>
          <w:bCs/>
          <w:color w:val="000000"/>
          <w:lang w:val="en-GB" w:eastAsia="en-GB"/>
        </w:rPr>
        <w:t>.</w:t>
      </w:r>
      <w:r w:rsidRPr="0029511A">
        <w:rPr>
          <w:rFonts w:ascii="Calibri" w:eastAsia="Times New Roman" w:hAnsi="Calibri" w:cs="Calibri"/>
          <w:color w:val="000000"/>
          <w:lang w:val="en-GB" w:eastAsia="en-GB"/>
        </w:rPr>
        <w:t xml:space="preserve"> </w:t>
      </w:r>
      <w:r w:rsidR="007648FB" w:rsidRPr="0029511A">
        <w:rPr>
          <w:rFonts w:ascii="Calibri" w:eastAsia="Times New Roman" w:hAnsi="Calibri" w:cs="Calibri"/>
          <w:color w:val="000000"/>
          <w:lang w:val="en-GB" w:eastAsia="en-GB"/>
        </w:rPr>
        <w:t>Multi</w:t>
      </w:r>
      <w:r w:rsidR="00680BA5" w:rsidRPr="0029511A">
        <w:rPr>
          <w:rFonts w:ascii="Calibri" w:eastAsia="Times New Roman" w:hAnsi="Calibri" w:cs="Calibri"/>
          <w:color w:val="000000"/>
          <w:lang w:val="en-GB" w:eastAsia="en-GB"/>
        </w:rPr>
        <w:t xml:space="preserve">-year funding (such as in the case of the work on services and structural reform and </w:t>
      </w:r>
      <w:r w:rsidR="00A06913" w:rsidRPr="0029511A">
        <w:rPr>
          <w:rFonts w:ascii="Calibri" w:eastAsia="Times New Roman" w:hAnsi="Calibri" w:cs="Calibri"/>
          <w:color w:val="000000"/>
          <w:lang w:val="en-GB" w:eastAsia="en-GB"/>
        </w:rPr>
        <w:t xml:space="preserve">on MRAs) has been shown to ensure </w:t>
      </w:r>
      <w:r w:rsidR="00D631A1" w:rsidRPr="0029511A">
        <w:rPr>
          <w:rFonts w:ascii="Calibri" w:eastAsia="Times New Roman" w:hAnsi="Calibri" w:cs="Calibri"/>
          <w:color w:val="000000"/>
          <w:lang w:val="en-GB" w:eastAsia="en-GB"/>
        </w:rPr>
        <w:t xml:space="preserve">better </w:t>
      </w:r>
      <w:r w:rsidR="00AC0034" w:rsidRPr="0029511A">
        <w:rPr>
          <w:rFonts w:ascii="Calibri" w:eastAsia="Times New Roman" w:hAnsi="Calibri" w:cs="Calibri"/>
          <w:color w:val="000000"/>
          <w:lang w:val="en-GB" w:eastAsia="en-GB"/>
        </w:rPr>
        <w:t>outcomes and</w:t>
      </w:r>
      <w:r w:rsidR="00B365BA" w:rsidRPr="0029511A">
        <w:rPr>
          <w:rFonts w:ascii="Calibri" w:eastAsia="Times New Roman" w:hAnsi="Calibri" w:cs="Calibri"/>
          <w:color w:val="000000"/>
          <w:lang w:val="en-GB" w:eastAsia="en-GB"/>
        </w:rPr>
        <w:t xml:space="preserve"> more efficient delivery</w:t>
      </w:r>
      <w:r w:rsidR="003A30AF" w:rsidRPr="0029511A">
        <w:rPr>
          <w:rFonts w:ascii="Calibri" w:eastAsia="Times New Roman" w:hAnsi="Calibri" w:cs="Calibri"/>
          <w:color w:val="000000"/>
          <w:lang w:val="en-GB" w:eastAsia="en-GB"/>
        </w:rPr>
        <w:t xml:space="preserve"> as projects can leverage and build on earlier successes</w:t>
      </w:r>
      <w:r w:rsidR="00301B18" w:rsidRPr="0029511A">
        <w:rPr>
          <w:rFonts w:ascii="Calibri" w:eastAsia="Times New Roman" w:hAnsi="Calibri" w:cs="Calibri"/>
          <w:color w:val="000000"/>
          <w:lang w:val="en-GB" w:eastAsia="en-GB"/>
        </w:rPr>
        <w:t>.</w:t>
      </w:r>
      <w:r w:rsidR="00957420" w:rsidRPr="0029511A">
        <w:rPr>
          <w:rFonts w:ascii="Calibri" w:eastAsia="Times New Roman" w:hAnsi="Calibri" w:cs="Calibri"/>
          <w:color w:val="000000"/>
          <w:lang w:val="en-GB" w:eastAsia="en-GB"/>
        </w:rPr>
        <w:t xml:space="preserve"> </w:t>
      </w:r>
      <w:r w:rsidR="00021474" w:rsidRPr="0029511A">
        <w:rPr>
          <w:rFonts w:ascii="Calibri" w:eastAsia="Times New Roman" w:hAnsi="Calibri" w:cs="Calibri"/>
          <w:color w:val="000000"/>
          <w:lang w:val="en-GB" w:eastAsia="en-GB"/>
        </w:rPr>
        <w:t xml:space="preserve">Implementing </w:t>
      </w:r>
      <w:r w:rsidR="009D0BD0" w:rsidRPr="0029511A">
        <w:rPr>
          <w:rFonts w:ascii="Calibri" w:eastAsia="Times New Roman" w:hAnsi="Calibri" w:cs="Calibri"/>
          <w:color w:val="000000"/>
          <w:lang w:val="en-GB" w:eastAsia="en-GB"/>
        </w:rPr>
        <w:t>partners raised</w:t>
      </w:r>
      <w:r w:rsidR="00021474" w:rsidRPr="0029511A">
        <w:rPr>
          <w:rFonts w:ascii="Calibri" w:eastAsia="Times New Roman" w:hAnsi="Calibri" w:cs="Calibri"/>
          <w:color w:val="000000"/>
          <w:lang w:val="en-GB" w:eastAsia="en-GB"/>
        </w:rPr>
        <w:t xml:space="preserve"> that </w:t>
      </w:r>
      <w:r w:rsidR="00021474" w:rsidRPr="0029511A">
        <w:rPr>
          <w:rFonts w:ascii="Calibri" w:hAnsi="Calibri" w:cs="Calibri"/>
          <w:lang w:val="en-GB"/>
        </w:rPr>
        <w:t xml:space="preserve">funding uncertainty between phases </w:t>
      </w:r>
      <w:r w:rsidR="00957420" w:rsidRPr="0029511A">
        <w:rPr>
          <w:rFonts w:ascii="Calibri" w:hAnsi="Calibri" w:cs="Calibri"/>
          <w:lang w:val="en-GB"/>
        </w:rPr>
        <w:t>can hinder</w:t>
      </w:r>
      <w:r w:rsidR="00021474" w:rsidRPr="0029511A">
        <w:rPr>
          <w:rFonts w:ascii="Calibri" w:hAnsi="Calibri" w:cs="Calibri"/>
          <w:lang w:val="en-GB"/>
        </w:rPr>
        <w:t xml:space="preserve"> long-term planning, and there is a sense that momentum is lost whil</w:t>
      </w:r>
      <w:r w:rsidR="00A40599" w:rsidRPr="0029511A">
        <w:rPr>
          <w:rFonts w:ascii="Calibri" w:hAnsi="Calibri" w:cs="Calibri"/>
          <w:lang w:val="en-GB"/>
        </w:rPr>
        <w:t>e</w:t>
      </w:r>
      <w:r w:rsidR="00021474" w:rsidRPr="0029511A">
        <w:rPr>
          <w:rFonts w:ascii="Calibri" w:hAnsi="Calibri" w:cs="Calibri"/>
          <w:lang w:val="en-GB"/>
        </w:rPr>
        <w:t xml:space="preserve"> decisions are being taken regarding </w:t>
      </w:r>
      <w:proofErr w:type="gramStart"/>
      <w:r w:rsidR="00021474" w:rsidRPr="0029511A">
        <w:rPr>
          <w:rFonts w:ascii="Calibri" w:hAnsi="Calibri" w:cs="Calibri"/>
          <w:lang w:val="en-GB"/>
        </w:rPr>
        <w:t>whether or not</w:t>
      </w:r>
      <w:proofErr w:type="gramEnd"/>
      <w:r w:rsidR="00021474" w:rsidRPr="0029511A">
        <w:rPr>
          <w:rFonts w:ascii="Calibri" w:hAnsi="Calibri" w:cs="Calibri"/>
          <w:lang w:val="en-GB"/>
        </w:rPr>
        <w:t xml:space="preserve"> to extend a project for another phase.</w:t>
      </w:r>
      <w:r w:rsidR="001712CD" w:rsidRPr="0029511A">
        <w:rPr>
          <w:rFonts w:ascii="Calibri" w:hAnsi="Calibri" w:cs="Calibri"/>
          <w:lang w:val="en-GB"/>
        </w:rPr>
        <w:t xml:space="preserve"> Nevertheless, there is also value in the iterative/phased approach, as, for example, the GRIT project has noticeably changed across the three phases in how it has targeted participants (this would likely not have been planned for at the outset of a multi-year project).</w:t>
      </w:r>
    </w:p>
    <w:p w14:paraId="528E5541" w14:textId="547F462B" w:rsidR="002859BD" w:rsidRPr="0029511A" w:rsidRDefault="00BA2F13" w:rsidP="002859BD">
      <w:pPr>
        <w:spacing w:before="100" w:beforeAutospacing="1" w:after="100" w:afterAutospacing="1"/>
        <w:rPr>
          <w:rFonts w:ascii="Calibri" w:eastAsia="Times New Roman" w:hAnsi="Calibri" w:cs="Calibri"/>
          <w:color w:val="000000"/>
          <w:lang w:val="en-GB" w:eastAsia="en-GB"/>
        </w:rPr>
      </w:pPr>
      <w:r w:rsidRPr="0029511A">
        <w:rPr>
          <w:rFonts w:ascii="Calibri" w:eastAsia="Times New Roman" w:hAnsi="Calibri" w:cs="Calibri"/>
          <w:color w:val="000000"/>
          <w:lang w:val="en-GB" w:eastAsia="en-GB"/>
        </w:rPr>
        <w:t xml:space="preserve">Other </w:t>
      </w:r>
      <w:r w:rsidRPr="0029511A">
        <w:rPr>
          <w:rFonts w:ascii="Calibri" w:eastAsia="Times New Roman" w:hAnsi="Calibri" w:cs="Calibri"/>
          <w:b/>
          <w:bCs/>
          <w:color w:val="000000"/>
          <w:lang w:val="en-GB" w:eastAsia="en-GB"/>
        </w:rPr>
        <w:t>efficient practices introduced by the AASP</w:t>
      </w:r>
      <w:r w:rsidRPr="0029511A">
        <w:rPr>
          <w:rFonts w:ascii="Calibri" w:eastAsia="Times New Roman" w:hAnsi="Calibri" w:cs="Calibri"/>
          <w:color w:val="000000"/>
          <w:lang w:val="en-GB" w:eastAsia="en-GB"/>
        </w:rPr>
        <w:t xml:space="preserve"> include </w:t>
      </w:r>
      <w:r w:rsidR="00E6747A" w:rsidRPr="0029511A">
        <w:rPr>
          <w:rFonts w:ascii="Calibri" w:hAnsi="Calibri" w:cs="Calibri"/>
          <w:lang w:val="en-GB"/>
        </w:rPr>
        <w:t>d</w:t>
      </w:r>
      <w:r w:rsidRPr="0029511A">
        <w:rPr>
          <w:rFonts w:ascii="Calibri" w:hAnsi="Calibri" w:cs="Calibri"/>
          <w:lang w:val="en-GB"/>
        </w:rPr>
        <w:t xml:space="preserve">eveloping a program database of experts, </w:t>
      </w:r>
      <w:r w:rsidR="00E6747A" w:rsidRPr="0029511A">
        <w:rPr>
          <w:rFonts w:ascii="Calibri" w:hAnsi="Calibri" w:cs="Calibri"/>
          <w:lang w:val="en-GB"/>
        </w:rPr>
        <w:t>which</w:t>
      </w:r>
      <w:r w:rsidR="00437A43" w:rsidRPr="0029511A">
        <w:rPr>
          <w:rFonts w:ascii="Calibri" w:hAnsi="Calibri" w:cs="Calibri"/>
          <w:lang w:val="en-GB"/>
        </w:rPr>
        <w:t>,</w:t>
      </w:r>
      <w:r w:rsidR="00E6747A" w:rsidRPr="0029511A">
        <w:rPr>
          <w:rFonts w:ascii="Calibri" w:hAnsi="Calibri" w:cs="Calibri"/>
          <w:lang w:val="en-GB"/>
        </w:rPr>
        <w:t xml:space="preserve"> </w:t>
      </w:r>
      <w:r w:rsidRPr="0029511A">
        <w:rPr>
          <w:rFonts w:ascii="Calibri" w:hAnsi="Calibri" w:cs="Calibri"/>
          <w:lang w:val="en-GB"/>
        </w:rPr>
        <w:t>coupled with l</w:t>
      </w:r>
      <w:r w:rsidRPr="0029511A">
        <w:rPr>
          <w:rFonts w:ascii="Calibri" w:hAnsi="Calibri" w:cs="Calibri"/>
          <w:color w:val="000000"/>
          <w:lang w:val="en-GB"/>
        </w:rPr>
        <w:t xml:space="preserve">everaging the expertise of collaborators, </w:t>
      </w:r>
      <w:r w:rsidR="00E6747A" w:rsidRPr="0029511A">
        <w:rPr>
          <w:rFonts w:ascii="Calibri" w:hAnsi="Calibri" w:cs="Calibri"/>
          <w:color w:val="000000"/>
          <w:lang w:val="en-GB"/>
        </w:rPr>
        <w:t>ensures an efficient means to</w:t>
      </w:r>
      <w:r w:rsidRPr="0029511A">
        <w:rPr>
          <w:rFonts w:ascii="Calibri" w:hAnsi="Calibri" w:cs="Calibri"/>
          <w:color w:val="000000"/>
          <w:lang w:val="en-GB"/>
        </w:rPr>
        <w:t xml:space="preserve"> identify speakers for events</w:t>
      </w:r>
      <w:r w:rsidR="00E6747A" w:rsidRPr="0029511A">
        <w:rPr>
          <w:rFonts w:ascii="Calibri" w:hAnsi="Calibri" w:cs="Calibri"/>
          <w:color w:val="000000"/>
          <w:lang w:val="en-GB"/>
        </w:rPr>
        <w:t xml:space="preserve"> </w:t>
      </w:r>
      <w:r w:rsidR="004E0FC1" w:rsidRPr="0029511A">
        <w:rPr>
          <w:rFonts w:ascii="Calibri" w:hAnsi="Calibri" w:cs="Calibri"/>
          <w:color w:val="000000"/>
          <w:lang w:val="en-GB"/>
        </w:rPr>
        <w:t>in a timely manner</w:t>
      </w:r>
      <w:r w:rsidR="00E6747A" w:rsidRPr="0029511A">
        <w:rPr>
          <w:rFonts w:ascii="Calibri" w:hAnsi="Calibri" w:cs="Calibri"/>
          <w:color w:val="000000"/>
          <w:lang w:val="en-GB"/>
        </w:rPr>
        <w:t xml:space="preserve">. </w:t>
      </w:r>
      <w:r w:rsidR="00E6747A" w:rsidRPr="0029511A">
        <w:rPr>
          <w:rFonts w:ascii="Calibri" w:eastAsia="Times New Roman" w:hAnsi="Calibri" w:cs="Calibri"/>
          <w:color w:val="000000"/>
          <w:lang w:val="en-GB" w:eastAsia="en-GB"/>
        </w:rPr>
        <w:t>Most projects have recorded presentations to enable online access, in addition to uploading project outputs</w:t>
      </w:r>
      <w:r w:rsidR="00437A43" w:rsidRPr="0029511A">
        <w:rPr>
          <w:rFonts w:ascii="Calibri" w:eastAsia="Times New Roman" w:hAnsi="Calibri" w:cs="Calibri"/>
          <w:color w:val="000000"/>
          <w:lang w:val="en-GB" w:eastAsia="en-GB"/>
        </w:rPr>
        <w:t>,</w:t>
      </w:r>
      <w:r w:rsidR="00E6747A" w:rsidRPr="0029511A">
        <w:rPr>
          <w:rFonts w:ascii="Calibri" w:eastAsia="Times New Roman" w:hAnsi="Calibri" w:cs="Calibri"/>
          <w:color w:val="000000"/>
          <w:lang w:val="en-GB" w:eastAsia="en-GB"/>
        </w:rPr>
        <w:t xml:space="preserve"> which ensure, for instance, that publications and policy briefs become a sustainable resource well after the funding has ended. Hosting projects alongside face-to-face meetings of key APEC committees enables efficient use of</w:t>
      </w:r>
      <w:r w:rsidR="002859BD" w:rsidRPr="0029511A">
        <w:rPr>
          <w:rFonts w:ascii="Calibri" w:eastAsia="Times New Roman" w:hAnsi="Calibri" w:cs="Calibri"/>
          <w:color w:val="000000"/>
          <w:lang w:val="en-GB" w:eastAsia="en-GB"/>
        </w:rPr>
        <w:t xml:space="preserve"> the time of representatives from different economies, and it also facilitates information being shared within relevant committees by representatives who have participated in events arranged by the different AASP projects.</w:t>
      </w:r>
    </w:p>
    <w:p w14:paraId="2C623133" w14:textId="3E5DCF4A" w:rsidR="0004201B" w:rsidRPr="0029511A" w:rsidRDefault="002859BD" w:rsidP="00021474">
      <w:pPr>
        <w:spacing w:before="100" w:beforeAutospacing="1" w:after="100" w:afterAutospacing="1"/>
        <w:rPr>
          <w:rFonts w:ascii="Calibri" w:eastAsia="Times New Roman" w:hAnsi="Calibri" w:cs="Calibri"/>
          <w:color w:val="000000"/>
          <w:lang w:val="en-GB" w:eastAsia="en-GB"/>
        </w:rPr>
      </w:pPr>
      <w:r w:rsidRPr="0029511A">
        <w:rPr>
          <w:rFonts w:ascii="Calibri" w:eastAsia="Times New Roman" w:hAnsi="Calibri" w:cs="Calibri"/>
          <w:b/>
          <w:bCs/>
          <w:color w:val="000000"/>
          <w:lang w:val="en-GB" w:eastAsia="en-GB"/>
        </w:rPr>
        <w:t xml:space="preserve">AASP projects have demonstrated </w:t>
      </w:r>
      <w:r w:rsidR="005A3C4F" w:rsidRPr="0029511A">
        <w:rPr>
          <w:rFonts w:ascii="Calibri" w:eastAsia="Times New Roman" w:hAnsi="Calibri" w:cs="Calibri"/>
          <w:b/>
          <w:bCs/>
          <w:color w:val="000000"/>
          <w:lang w:val="en-GB" w:eastAsia="en-GB"/>
        </w:rPr>
        <w:t>their ability to</w:t>
      </w:r>
      <w:r w:rsidRPr="0029511A">
        <w:rPr>
          <w:rFonts w:ascii="Calibri" w:eastAsia="Times New Roman" w:hAnsi="Calibri" w:cs="Calibri"/>
          <w:b/>
          <w:bCs/>
          <w:color w:val="000000"/>
          <w:lang w:val="en-GB" w:eastAsia="en-GB"/>
        </w:rPr>
        <w:t xml:space="preserve"> adapt and respon</w:t>
      </w:r>
      <w:r w:rsidR="005A3C4F" w:rsidRPr="0029511A">
        <w:rPr>
          <w:rFonts w:ascii="Calibri" w:eastAsia="Times New Roman" w:hAnsi="Calibri" w:cs="Calibri"/>
          <w:b/>
          <w:bCs/>
          <w:color w:val="000000"/>
          <w:lang w:val="en-GB" w:eastAsia="en-GB"/>
        </w:rPr>
        <w:t>d</w:t>
      </w:r>
      <w:r w:rsidRPr="0029511A">
        <w:rPr>
          <w:rFonts w:ascii="Calibri" w:eastAsia="Times New Roman" w:hAnsi="Calibri" w:cs="Calibri"/>
          <w:b/>
          <w:bCs/>
          <w:color w:val="000000"/>
          <w:lang w:val="en-GB" w:eastAsia="en-GB"/>
        </w:rPr>
        <w:t xml:space="preserve"> to changing </w:t>
      </w:r>
      <w:r w:rsidR="00021474" w:rsidRPr="0029511A">
        <w:rPr>
          <w:rFonts w:ascii="Calibri" w:eastAsia="Times New Roman" w:hAnsi="Calibri" w:cs="Calibri"/>
          <w:b/>
          <w:bCs/>
          <w:color w:val="000000"/>
          <w:lang w:val="en-GB" w:eastAsia="en-GB"/>
        </w:rPr>
        <w:t>needs and</w:t>
      </w:r>
      <w:r w:rsidRPr="0029511A">
        <w:rPr>
          <w:rFonts w:ascii="Calibri" w:eastAsia="Times New Roman" w:hAnsi="Calibri" w:cs="Calibri"/>
          <w:b/>
          <w:bCs/>
          <w:color w:val="000000"/>
          <w:lang w:val="en-GB" w:eastAsia="en-GB"/>
        </w:rPr>
        <w:t xml:space="preserve"> pivot to changes in context</w:t>
      </w:r>
      <w:r w:rsidR="005A3C4F" w:rsidRPr="0029511A">
        <w:rPr>
          <w:rFonts w:ascii="Calibri" w:eastAsia="Times New Roman" w:hAnsi="Calibri" w:cs="Calibri"/>
          <w:color w:val="000000"/>
          <w:lang w:val="en-GB" w:eastAsia="en-GB"/>
        </w:rPr>
        <w:t>.</w:t>
      </w:r>
      <w:r w:rsidRPr="0029511A">
        <w:rPr>
          <w:rFonts w:ascii="Calibri" w:eastAsia="Times New Roman" w:hAnsi="Calibri" w:cs="Calibri"/>
          <w:color w:val="000000"/>
          <w:lang w:val="en-GB" w:eastAsia="en-GB"/>
        </w:rPr>
        <w:t xml:space="preserve"> </w:t>
      </w:r>
      <w:r w:rsidR="005A3C4F" w:rsidRPr="0029511A">
        <w:rPr>
          <w:rFonts w:ascii="Calibri" w:eastAsia="Times New Roman" w:hAnsi="Calibri" w:cs="Calibri"/>
          <w:color w:val="000000"/>
          <w:lang w:val="en-GB" w:eastAsia="en-GB"/>
        </w:rPr>
        <w:t>This</w:t>
      </w:r>
      <w:r w:rsidRPr="0029511A">
        <w:rPr>
          <w:rFonts w:ascii="Calibri" w:eastAsia="Times New Roman" w:hAnsi="Calibri" w:cs="Calibri"/>
          <w:color w:val="000000"/>
          <w:lang w:val="en-GB" w:eastAsia="en-GB"/>
        </w:rPr>
        <w:t xml:space="preserve"> demonstrate</w:t>
      </w:r>
      <w:r w:rsidR="00437A43" w:rsidRPr="0029511A">
        <w:rPr>
          <w:rFonts w:ascii="Calibri" w:eastAsia="Times New Roman" w:hAnsi="Calibri" w:cs="Calibri"/>
          <w:color w:val="000000"/>
          <w:lang w:val="en-GB" w:eastAsia="en-GB"/>
        </w:rPr>
        <w:t>s</w:t>
      </w:r>
      <w:r w:rsidRPr="0029511A">
        <w:rPr>
          <w:rFonts w:ascii="Calibri" w:eastAsia="Times New Roman" w:hAnsi="Calibri" w:cs="Calibri"/>
          <w:color w:val="000000"/>
          <w:lang w:val="en-GB" w:eastAsia="en-GB"/>
        </w:rPr>
        <w:t xml:space="preserve"> the ability of the AASP </w:t>
      </w:r>
      <w:r w:rsidR="001F3EB0" w:rsidRPr="0029511A">
        <w:rPr>
          <w:rFonts w:ascii="Calibri" w:eastAsia="Times New Roman" w:hAnsi="Calibri" w:cs="Calibri"/>
          <w:color w:val="000000"/>
          <w:lang w:val="en-GB" w:eastAsia="en-GB"/>
        </w:rPr>
        <w:t>p</w:t>
      </w:r>
      <w:r w:rsidRPr="0029511A">
        <w:rPr>
          <w:rFonts w:ascii="Calibri" w:eastAsia="Times New Roman" w:hAnsi="Calibri" w:cs="Calibri"/>
          <w:color w:val="000000"/>
          <w:lang w:val="en-GB" w:eastAsia="en-GB"/>
        </w:rPr>
        <w:t xml:space="preserve">roject management team to facilitate these pivots. </w:t>
      </w:r>
      <w:r w:rsidR="0004201B" w:rsidRPr="0029511A">
        <w:rPr>
          <w:rFonts w:ascii="Calibri" w:eastAsia="Times New Roman" w:hAnsi="Calibri" w:cs="Calibri"/>
          <w:color w:val="000000"/>
          <w:lang w:val="en-GB" w:eastAsia="en-GB"/>
        </w:rPr>
        <w:t>Below are some examples.</w:t>
      </w:r>
    </w:p>
    <w:p w14:paraId="3E4CC035" w14:textId="42234585" w:rsidR="0004201B" w:rsidRPr="0029511A" w:rsidRDefault="002859BD" w:rsidP="00D078C9">
      <w:pPr>
        <w:pStyle w:val="ListParagraph"/>
        <w:numPr>
          <w:ilvl w:val="0"/>
          <w:numId w:val="18"/>
        </w:numPr>
        <w:spacing w:before="100" w:beforeAutospacing="1" w:after="100" w:afterAutospacing="1"/>
        <w:rPr>
          <w:rFonts w:ascii="Calibri" w:hAnsi="Calibri" w:cs="Calibri"/>
          <w:lang w:val="en-GB"/>
        </w:rPr>
      </w:pPr>
      <w:r w:rsidRPr="0029511A">
        <w:rPr>
          <w:rFonts w:ascii="Calibri" w:eastAsia="Times New Roman" w:hAnsi="Calibri" w:cs="Calibri"/>
          <w:color w:val="000000"/>
          <w:lang w:val="en-GB" w:eastAsia="en-GB"/>
        </w:rPr>
        <w:t xml:space="preserve">The </w:t>
      </w:r>
      <w:r w:rsidRPr="0029511A">
        <w:rPr>
          <w:rStyle w:val="Heading"/>
          <w:rFonts w:ascii="Calibri" w:hAnsi="Calibri" w:cs="Calibri"/>
          <w:i/>
          <w:iCs/>
          <w:color w:val="auto"/>
          <w:sz w:val="22"/>
          <w:szCs w:val="22"/>
          <w:lang w:val="en-GB"/>
        </w:rPr>
        <w:t xml:space="preserve">APEC Group on Services Project – Services that </w:t>
      </w:r>
      <w:r w:rsidR="00064C7A" w:rsidRPr="0029511A">
        <w:rPr>
          <w:rStyle w:val="Heading"/>
          <w:rFonts w:ascii="Calibri" w:hAnsi="Calibri" w:cs="Calibri"/>
          <w:i/>
          <w:iCs/>
          <w:color w:val="auto"/>
          <w:sz w:val="22"/>
          <w:szCs w:val="22"/>
          <w:lang w:val="en-GB"/>
        </w:rPr>
        <w:t>C</w:t>
      </w:r>
      <w:r w:rsidRPr="0029511A">
        <w:rPr>
          <w:rStyle w:val="Heading"/>
          <w:rFonts w:ascii="Calibri" w:hAnsi="Calibri" w:cs="Calibri"/>
          <w:i/>
          <w:iCs/>
          <w:color w:val="auto"/>
          <w:sz w:val="22"/>
          <w:szCs w:val="22"/>
          <w:lang w:val="en-GB"/>
        </w:rPr>
        <w:t xml:space="preserve">lean-up </w:t>
      </w:r>
      <w:r w:rsidR="00064C7A" w:rsidRPr="0029511A">
        <w:rPr>
          <w:rStyle w:val="Heading"/>
          <w:rFonts w:ascii="Calibri" w:hAnsi="Calibri" w:cs="Calibri"/>
          <w:i/>
          <w:iCs/>
          <w:color w:val="auto"/>
          <w:sz w:val="22"/>
          <w:szCs w:val="22"/>
          <w:lang w:val="en-GB"/>
        </w:rPr>
        <w:t>M</w:t>
      </w:r>
      <w:r w:rsidRPr="0029511A">
        <w:rPr>
          <w:rStyle w:val="Heading"/>
          <w:rFonts w:ascii="Calibri" w:hAnsi="Calibri" w:cs="Calibri"/>
          <w:i/>
          <w:iCs/>
          <w:color w:val="auto"/>
          <w:sz w:val="22"/>
          <w:szCs w:val="22"/>
          <w:lang w:val="en-GB"/>
        </w:rPr>
        <w:t xml:space="preserve">arine </w:t>
      </w:r>
      <w:r w:rsidR="00064C7A" w:rsidRPr="0029511A">
        <w:rPr>
          <w:rStyle w:val="Heading"/>
          <w:rFonts w:ascii="Calibri" w:hAnsi="Calibri" w:cs="Calibri"/>
          <w:i/>
          <w:iCs/>
          <w:color w:val="auto"/>
          <w:sz w:val="22"/>
          <w:szCs w:val="22"/>
          <w:lang w:val="en-GB"/>
        </w:rPr>
        <w:t>D</w:t>
      </w:r>
      <w:r w:rsidRPr="0029511A">
        <w:rPr>
          <w:rStyle w:val="Heading"/>
          <w:rFonts w:ascii="Calibri" w:hAnsi="Calibri" w:cs="Calibri"/>
          <w:i/>
          <w:iCs/>
          <w:color w:val="auto"/>
          <w:sz w:val="22"/>
          <w:szCs w:val="22"/>
          <w:lang w:val="en-GB"/>
        </w:rPr>
        <w:t>ebris</w:t>
      </w:r>
      <w:r w:rsidRPr="0029511A">
        <w:rPr>
          <w:rStyle w:val="Heading"/>
          <w:rFonts w:ascii="Calibri" w:hAnsi="Calibri" w:cs="Calibri"/>
          <w:color w:val="auto"/>
          <w:sz w:val="22"/>
          <w:szCs w:val="22"/>
          <w:lang w:val="en-GB"/>
        </w:rPr>
        <w:t>, for instance</w:t>
      </w:r>
      <w:r w:rsidR="0090555F" w:rsidRPr="0029511A">
        <w:rPr>
          <w:rStyle w:val="Heading"/>
          <w:rFonts w:ascii="Calibri" w:hAnsi="Calibri" w:cs="Calibri"/>
          <w:color w:val="auto"/>
          <w:sz w:val="22"/>
          <w:szCs w:val="22"/>
          <w:lang w:val="en-GB"/>
        </w:rPr>
        <w:t>,</w:t>
      </w:r>
      <w:r w:rsidRPr="0029511A">
        <w:rPr>
          <w:rFonts w:ascii="Calibri" w:hAnsi="Calibri" w:cs="Calibri"/>
          <w:lang w:val="en-GB"/>
        </w:rPr>
        <w:t xml:space="preserve"> evolved and shifted the focus over time as the work progressed in response to feedback from research and discussion in </w:t>
      </w:r>
      <w:proofErr w:type="spellStart"/>
      <w:r w:rsidRPr="0029511A">
        <w:rPr>
          <w:rFonts w:ascii="Calibri" w:hAnsi="Calibri" w:cs="Calibri"/>
          <w:lang w:val="en-GB"/>
        </w:rPr>
        <w:t>GoS</w:t>
      </w:r>
      <w:proofErr w:type="spellEnd"/>
      <w:r w:rsidR="00317EE4" w:rsidRPr="0029511A">
        <w:rPr>
          <w:rFonts w:ascii="Calibri" w:hAnsi="Calibri" w:cs="Calibri"/>
          <w:lang w:val="en-GB"/>
        </w:rPr>
        <w:t>. It adapted</w:t>
      </w:r>
      <w:r w:rsidRPr="0029511A">
        <w:rPr>
          <w:rFonts w:ascii="Calibri" w:hAnsi="Calibri" w:cs="Calibri"/>
          <w:lang w:val="en-GB"/>
        </w:rPr>
        <w:t xml:space="preserve"> to respond to technical outputs. T</w:t>
      </w:r>
      <w:r w:rsidR="005C5544" w:rsidRPr="0029511A">
        <w:rPr>
          <w:rFonts w:ascii="Calibri" w:hAnsi="Calibri" w:cs="Calibri"/>
          <w:lang w:val="en-GB"/>
        </w:rPr>
        <w:t>he t</w:t>
      </w:r>
      <w:r w:rsidRPr="0029511A">
        <w:rPr>
          <w:rFonts w:ascii="Calibri" w:hAnsi="Calibri" w:cs="Calibri"/>
          <w:lang w:val="en-GB"/>
        </w:rPr>
        <w:t>iming of the project was also extend</w:t>
      </w:r>
      <w:r w:rsidR="00530761" w:rsidRPr="0029511A">
        <w:rPr>
          <w:rFonts w:ascii="Calibri" w:hAnsi="Calibri" w:cs="Calibri"/>
          <w:lang w:val="en-GB"/>
        </w:rPr>
        <w:t>ed</w:t>
      </w:r>
      <w:r w:rsidRPr="0029511A">
        <w:rPr>
          <w:rFonts w:ascii="Calibri" w:hAnsi="Calibri" w:cs="Calibri"/>
          <w:lang w:val="en-GB"/>
        </w:rPr>
        <w:t xml:space="preserve"> to allow for the </w:t>
      </w:r>
      <w:r w:rsidR="00064C7A" w:rsidRPr="0029511A">
        <w:rPr>
          <w:rFonts w:ascii="Calibri" w:hAnsi="Calibri" w:cs="Calibri"/>
          <w:lang w:val="en-GB"/>
        </w:rPr>
        <w:t xml:space="preserve">negotiation </w:t>
      </w:r>
      <w:r w:rsidRPr="0029511A">
        <w:rPr>
          <w:rFonts w:ascii="Calibri" w:hAnsi="Calibri" w:cs="Calibri"/>
          <w:lang w:val="en-GB"/>
        </w:rPr>
        <w:t xml:space="preserve">of non-binding guidelines (an output that was not initially envisaged at the start of the project). </w:t>
      </w:r>
    </w:p>
    <w:p w14:paraId="0F9ED46E" w14:textId="59EBDD8D" w:rsidR="0004201B" w:rsidRPr="0029511A" w:rsidRDefault="002859BD" w:rsidP="00D078C9">
      <w:pPr>
        <w:pStyle w:val="ListParagraph"/>
        <w:numPr>
          <w:ilvl w:val="0"/>
          <w:numId w:val="18"/>
        </w:numPr>
        <w:spacing w:before="100" w:beforeAutospacing="1" w:after="100" w:afterAutospacing="1"/>
        <w:rPr>
          <w:rFonts w:ascii="Calibri" w:hAnsi="Calibri" w:cs="Calibri"/>
          <w:lang w:val="en-GB"/>
        </w:rPr>
      </w:pPr>
      <w:r w:rsidRPr="0029511A">
        <w:rPr>
          <w:rFonts w:ascii="Calibri" w:hAnsi="Calibri" w:cs="Calibri"/>
          <w:lang w:val="en-GB"/>
        </w:rPr>
        <w:t>The different phases o</w:t>
      </w:r>
      <w:r w:rsidR="0004201B" w:rsidRPr="0029511A">
        <w:rPr>
          <w:rFonts w:ascii="Calibri" w:hAnsi="Calibri" w:cs="Calibri"/>
          <w:lang w:val="en-GB"/>
        </w:rPr>
        <w:t xml:space="preserve">f </w:t>
      </w:r>
      <w:r w:rsidR="0004201B" w:rsidRPr="0029511A">
        <w:rPr>
          <w:rFonts w:ascii="Calibri" w:hAnsi="Calibri" w:cs="Calibri"/>
          <w:i/>
          <w:iCs/>
          <w:lang w:val="en-GB"/>
        </w:rPr>
        <w:t>Growing Indigenous Business th</w:t>
      </w:r>
      <w:r w:rsidR="00437A43" w:rsidRPr="0029511A">
        <w:rPr>
          <w:rFonts w:ascii="Calibri" w:hAnsi="Calibri" w:cs="Calibri"/>
          <w:i/>
          <w:iCs/>
          <w:lang w:val="en-GB"/>
        </w:rPr>
        <w:t>r</w:t>
      </w:r>
      <w:r w:rsidR="0004201B" w:rsidRPr="0029511A">
        <w:rPr>
          <w:rFonts w:ascii="Calibri" w:hAnsi="Calibri" w:cs="Calibri"/>
          <w:i/>
          <w:iCs/>
          <w:lang w:val="en-GB"/>
        </w:rPr>
        <w:t>ough Trade</w:t>
      </w:r>
      <w:r w:rsidR="005F7764" w:rsidRPr="0029511A">
        <w:rPr>
          <w:rFonts w:ascii="Calibri" w:hAnsi="Calibri" w:cs="Calibri"/>
          <w:i/>
          <w:iCs/>
          <w:lang w:val="en-GB"/>
        </w:rPr>
        <w:t xml:space="preserve"> </w:t>
      </w:r>
      <w:r w:rsidR="0004201B" w:rsidRPr="0029511A">
        <w:rPr>
          <w:rFonts w:ascii="Calibri" w:hAnsi="Calibri" w:cs="Calibri"/>
          <w:lang w:val="en-GB"/>
        </w:rPr>
        <w:t>(</w:t>
      </w:r>
      <w:r w:rsidRPr="0029511A">
        <w:rPr>
          <w:rFonts w:ascii="Calibri" w:hAnsi="Calibri" w:cs="Calibri"/>
          <w:i/>
          <w:iCs/>
          <w:lang w:val="en-GB"/>
        </w:rPr>
        <w:t>GRIT</w:t>
      </w:r>
      <w:r w:rsidR="0004201B" w:rsidRPr="0029511A">
        <w:rPr>
          <w:rFonts w:ascii="Calibri" w:hAnsi="Calibri" w:cs="Calibri"/>
          <w:i/>
          <w:iCs/>
          <w:lang w:val="en-GB"/>
        </w:rPr>
        <w:t>)</w:t>
      </w:r>
      <w:r w:rsidRPr="0029511A">
        <w:rPr>
          <w:rFonts w:ascii="Calibri" w:hAnsi="Calibri" w:cs="Calibri"/>
          <w:lang w:val="en-GB"/>
        </w:rPr>
        <w:t xml:space="preserve"> </w:t>
      </w:r>
      <w:r w:rsidR="0004201B" w:rsidRPr="0029511A">
        <w:rPr>
          <w:rFonts w:ascii="Calibri" w:hAnsi="Calibri" w:cs="Calibri"/>
          <w:lang w:val="en-GB"/>
        </w:rPr>
        <w:t>project</w:t>
      </w:r>
      <w:r w:rsidR="005F7764" w:rsidRPr="0029511A">
        <w:rPr>
          <w:rFonts w:ascii="Calibri" w:hAnsi="Calibri" w:cs="Calibri"/>
          <w:lang w:val="en-GB"/>
        </w:rPr>
        <w:t>s</w:t>
      </w:r>
      <w:r w:rsidR="0004201B" w:rsidRPr="0029511A">
        <w:rPr>
          <w:rFonts w:ascii="Calibri" w:hAnsi="Calibri" w:cs="Calibri"/>
          <w:lang w:val="en-GB"/>
        </w:rPr>
        <w:t xml:space="preserve"> </w:t>
      </w:r>
      <w:r w:rsidR="00653FB9" w:rsidRPr="0029511A">
        <w:rPr>
          <w:rFonts w:ascii="Calibri" w:hAnsi="Calibri" w:cs="Calibri"/>
          <w:lang w:val="en-GB"/>
        </w:rPr>
        <w:t xml:space="preserve">were adapted based on </w:t>
      </w:r>
      <w:r w:rsidR="00021474" w:rsidRPr="0029511A">
        <w:rPr>
          <w:rFonts w:ascii="Calibri" w:hAnsi="Calibri" w:cs="Calibri"/>
          <w:lang w:val="en-GB"/>
        </w:rPr>
        <w:t>lessons learnt from earlier phases</w:t>
      </w:r>
      <w:r w:rsidR="00317EE4" w:rsidRPr="0029511A">
        <w:rPr>
          <w:rFonts w:ascii="Calibri" w:hAnsi="Calibri" w:cs="Calibri"/>
          <w:lang w:val="en-GB"/>
        </w:rPr>
        <w:t>. GRIT p</w:t>
      </w:r>
      <w:r w:rsidR="00021474" w:rsidRPr="0029511A">
        <w:rPr>
          <w:rFonts w:ascii="Calibri" w:hAnsi="Calibri" w:cs="Calibri"/>
          <w:lang w:val="en-GB"/>
        </w:rPr>
        <w:t xml:space="preserve">hases have adapted from </w:t>
      </w:r>
      <w:r w:rsidR="00783335" w:rsidRPr="0029511A">
        <w:rPr>
          <w:rFonts w:ascii="Calibri" w:hAnsi="Calibri" w:cs="Calibri"/>
          <w:lang w:val="en-GB"/>
        </w:rPr>
        <w:t>focusing</w:t>
      </w:r>
      <w:r w:rsidR="00021474" w:rsidRPr="0029511A">
        <w:rPr>
          <w:rFonts w:ascii="Calibri" w:hAnsi="Calibri" w:cs="Calibri"/>
          <w:lang w:val="en-GB"/>
        </w:rPr>
        <w:t xml:space="preserve"> on export-ready businesses</w:t>
      </w:r>
      <w:r w:rsidR="00633889" w:rsidRPr="0029511A">
        <w:rPr>
          <w:rFonts w:ascii="Calibri" w:hAnsi="Calibri" w:cs="Calibri"/>
          <w:lang w:val="en-GB"/>
        </w:rPr>
        <w:t xml:space="preserve"> willing to export internationally</w:t>
      </w:r>
      <w:r w:rsidR="00021474" w:rsidRPr="0029511A">
        <w:rPr>
          <w:rFonts w:ascii="Calibri" w:hAnsi="Calibri" w:cs="Calibri"/>
          <w:lang w:val="en-GB"/>
        </w:rPr>
        <w:t xml:space="preserve"> to focus on businesses </w:t>
      </w:r>
      <w:r w:rsidR="00437A43" w:rsidRPr="0029511A">
        <w:rPr>
          <w:rFonts w:ascii="Calibri" w:hAnsi="Calibri" w:cs="Calibri"/>
          <w:lang w:val="en-GB"/>
        </w:rPr>
        <w:t xml:space="preserve">that </w:t>
      </w:r>
      <w:r w:rsidR="00021474" w:rsidRPr="0029511A">
        <w:rPr>
          <w:rFonts w:ascii="Calibri" w:hAnsi="Calibri" w:cs="Calibri"/>
          <w:lang w:val="en-GB"/>
        </w:rPr>
        <w:t xml:space="preserve">are at the start of their export journey. In the </w:t>
      </w:r>
      <w:r w:rsidR="00633889" w:rsidRPr="0029511A">
        <w:rPr>
          <w:rFonts w:ascii="Calibri" w:hAnsi="Calibri" w:cs="Calibri"/>
          <w:lang w:val="en-GB"/>
        </w:rPr>
        <w:t xml:space="preserve">current and </w:t>
      </w:r>
      <w:r w:rsidR="00021474" w:rsidRPr="0029511A">
        <w:rPr>
          <w:rFonts w:ascii="Calibri" w:hAnsi="Calibri" w:cs="Calibri"/>
          <w:lang w:val="en-GB"/>
        </w:rPr>
        <w:t>third phase</w:t>
      </w:r>
      <w:r w:rsidR="00437A43" w:rsidRPr="0029511A">
        <w:rPr>
          <w:rFonts w:ascii="Calibri" w:hAnsi="Calibri" w:cs="Calibri"/>
          <w:lang w:val="en-GB"/>
        </w:rPr>
        <w:t>s</w:t>
      </w:r>
      <w:r w:rsidR="00021474" w:rsidRPr="0029511A">
        <w:rPr>
          <w:rFonts w:ascii="Calibri" w:hAnsi="Calibri" w:cs="Calibri"/>
          <w:lang w:val="en-GB"/>
        </w:rPr>
        <w:t xml:space="preserve"> of the project, GRIT is </w:t>
      </w:r>
      <w:r w:rsidR="00783335" w:rsidRPr="0029511A">
        <w:rPr>
          <w:rFonts w:ascii="Calibri" w:hAnsi="Calibri" w:cs="Calibri"/>
          <w:lang w:val="en-GB"/>
        </w:rPr>
        <w:t>focusing</w:t>
      </w:r>
      <w:r w:rsidR="00021474" w:rsidRPr="0029511A">
        <w:rPr>
          <w:rFonts w:ascii="Calibri" w:hAnsi="Calibri" w:cs="Calibri"/>
          <w:lang w:val="en-GB"/>
        </w:rPr>
        <w:t xml:space="preserve"> on providing regional support to </w:t>
      </w:r>
      <w:r w:rsidR="000C0305" w:rsidRPr="0029511A">
        <w:rPr>
          <w:rFonts w:ascii="Calibri" w:hAnsi="Calibri" w:cs="Calibri"/>
          <w:lang w:val="en-GB"/>
        </w:rPr>
        <w:t xml:space="preserve">deliver practical advice in </w:t>
      </w:r>
      <w:r w:rsidR="00B80252" w:rsidRPr="0029511A">
        <w:rPr>
          <w:rFonts w:ascii="Calibri" w:hAnsi="Calibri" w:cs="Calibri"/>
          <w:lang w:val="en-GB"/>
        </w:rPr>
        <w:t xml:space="preserve">a </w:t>
      </w:r>
      <w:r w:rsidR="000C0305" w:rsidRPr="0029511A">
        <w:rPr>
          <w:rFonts w:ascii="Calibri" w:hAnsi="Calibri" w:cs="Calibri"/>
          <w:lang w:val="en-GB"/>
        </w:rPr>
        <w:t xml:space="preserve">local language to maximise the </w:t>
      </w:r>
      <w:r w:rsidR="000C0305" w:rsidRPr="0029511A">
        <w:rPr>
          <w:rFonts w:ascii="Calibri" w:hAnsi="Calibri" w:cs="Calibri"/>
          <w:lang w:val="en-GB"/>
        </w:rPr>
        <w:lastRenderedPageBreak/>
        <w:t xml:space="preserve">benefits for participants. </w:t>
      </w:r>
      <w:r w:rsidR="00B80252" w:rsidRPr="0029511A">
        <w:rPr>
          <w:rFonts w:ascii="Calibri" w:hAnsi="Calibri" w:cs="Calibri"/>
          <w:lang w:val="en-GB"/>
        </w:rPr>
        <w:t>The</w:t>
      </w:r>
      <w:r w:rsidR="00B87E95" w:rsidRPr="0029511A">
        <w:rPr>
          <w:rFonts w:ascii="Calibri" w:hAnsi="Calibri" w:cs="Calibri"/>
          <w:lang w:val="en-GB"/>
        </w:rPr>
        <w:t xml:space="preserve"> workshop</w:t>
      </w:r>
      <w:r w:rsidR="0028731C" w:rsidRPr="0029511A">
        <w:rPr>
          <w:rFonts w:ascii="Calibri" w:hAnsi="Calibri" w:cs="Calibri"/>
          <w:lang w:val="en-GB"/>
        </w:rPr>
        <w:t>s</w:t>
      </w:r>
      <w:r w:rsidR="00B87E95" w:rsidRPr="0029511A">
        <w:rPr>
          <w:rFonts w:ascii="Calibri" w:hAnsi="Calibri" w:cs="Calibri"/>
          <w:lang w:val="en-GB"/>
        </w:rPr>
        <w:t xml:space="preserve"> and training </w:t>
      </w:r>
      <w:r w:rsidR="0028731C" w:rsidRPr="0029511A">
        <w:rPr>
          <w:rFonts w:ascii="Calibri" w:hAnsi="Calibri" w:cs="Calibri"/>
          <w:lang w:val="en-GB"/>
        </w:rPr>
        <w:t xml:space="preserve">sessions </w:t>
      </w:r>
      <w:r w:rsidR="00B87E95" w:rsidRPr="0029511A">
        <w:rPr>
          <w:rFonts w:ascii="Calibri" w:hAnsi="Calibri" w:cs="Calibri"/>
          <w:lang w:val="en-GB"/>
        </w:rPr>
        <w:t xml:space="preserve">will be delivered in </w:t>
      </w:r>
      <w:r w:rsidR="0028731C" w:rsidRPr="0029511A">
        <w:rPr>
          <w:rFonts w:ascii="Calibri" w:hAnsi="Calibri" w:cs="Calibri"/>
          <w:lang w:val="en-GB"/>
        </w:rPr>
        <w:t>the native language of the participants - Spanish</w:t>
      </w:r>
      <w:r w:rsidR="00021474" w:rsidRPr="0029511A">
        <w:rPr>
          <w:rFonts w:ascii="Calibri" w:hAnsi="Calibri" w:cs="Calibri"/>
          <w:lang w:val="en-GB"/>
        </w:rPr>
        <w:t xml:space="preserve"> </w:t>
      </w:r>
      <w:r w:rsidR="00B87E95" w:rsidRPr="0029511A">
        <w:rPr>
          <w:rFonts w:ascii="Calibri" w:hAnsi="Calibri" w:cs="Calibri"/>
          <w:lang w:val="en-GB"/>
        </w:rPr>
        <w:t>in</w:t>
      </w:r>
      <w:r w:rsidR="00021474" w:rsidRPr="0029511A">
        <w:rPr>
          <w:rFonts w:ascii="Calibri" w:hAnsi="Calibri" w:cs="Calibri"/>
          <w:lang w:val="en-GB"/>
        </w:rPr>
        <w:t xml:space="preserve"> the South America</w:t>
      </w:r>
      <w:r w:rsidR="00B87E95" w:rsidRPr="0029511A">
        <w:rPr>
          <w:rFonts w:ascii="Calibri" w:hAnsi="Calibri" w:cs="Calibri"/>
          <w:lang w:val="en-GB"/>
        </w:rPr>
        <w:t>n region</w:t>
      </w:r>
      <w:r w:rsidR="0028731C" w:rsidRPr="0029511A">
        <w:rPr>
          <w:rFonts w:ascii="Calibri" w:hAnsi="Calibri" w:cs="Calibri"/>
          <w:lang w:val="en-GB"/>
        </w:rPr>
        <w:t xml:space="preserve"> (Peru, Chile, Mexico</w:t>
      </w:r>
      <w:r w:rsidR="00437A43" w:rsidRPr="0029511A">
        <w:rPr>
          <w:rFonts w:ascii="Calibri" w:hAnsi="Calibri" w:cs="Calibri"/>
          <w:lang w:val="en-GB"/>
        </w:rPr>
        <w:t xml:space="preserve">), </w:t>
      </w:r>
      <w:r w:rsidR="0028731C" w:rsidRPr="0029511A">
        <w:rPr>
          <w:rFonts w:ascii="Calibri" w:hAnsi="Calibri" w:cs="Calibri"/>
          <w:lang w:val="en-GB"/>
        </w:rPr>
        <w:t>Tagalog in the Philippines</w:t>
      </w:r>
      <w:r w:rsidR="00437A43" w:rsidRPr="0029511A">
        <w:rPr>
          <w:rFonts w:ascii="Calibri" w:hAnsi="Calibri" w:cs="Calibri"/>
          <w:lang w:val="en-GB"/>
        </w:rPr>
        <w:t xml:space="preserve">, </w:t>
      </w:r>
      <w:r w:rsidR="0028731C" w:rsidRPr="0029511A">
        <w:rPr>
          <w:rFonts w:ascii="Calibri" w:hAnsi="Calibri" w:cs="Calibri"/>
          <w:lang w:val="en-GB"/>
        </w:rPr>
        <w:t xml:space="preserve">and Tok Pisin in PNG. </w:t>
      </w:r>
      <w:r w:rsidR="000656D6" w:rsidRPr="0029511A">
        <w:rPr>
          <w:rFonts w:ascii="Calibri" w:hAnsi="Calibri" w:cs="Calibri"/>
          <w:lang w:val="en-GB"/>
        </w:rPr>
        <w:t>Not only is this likely to enhance</w:t>
      </w:r>
      <w:r w:rsidR="00021474" w:rsidRPr="0029511A">
        <w:rPr>
          <w:rFonts w:ascii="Calibri" w:hAnsi="Calibri" w:cs="Calibri"/>
          <w:lang w:val="en-GB"/>
        </w:rPr>
        <w:t xml:space="preserve"> </w:t>
      </w:r>
      <w:r w:rsidR="0028731C" w:rsidRPr="0029511A">
        <w:rPr>
          <w:rFonts w:ascii="Calibri" w:hAnsi="Calibri" w:cs="Calibri"/>
          <w:lang w:val="en-GB"/>
        </w:rPr>
        <w:t>learning</w:t>
      </w:r>
      <w:r w:rsidR="000656D6" w:rsidRPr="0029511A">
        <w:rPr>
          <w:rFonts w:ascii="Calibri" w:hAnsi="Calibri" w:cs="Calibri"/>
          <w:lang w:val="en-GB"/>
        </w:rPr>
        <w:t>,</w:t>
      </w:r>
      <w:r w:rsidR="00D95FCC" w:rsidRPr="0029511A">
        <w:rPr>
          <w:rFonts w:ascii="Calibri" w:hAnsi="Calibri" w:cs="Calibri"/>
          <w:lang w:val="en-GB"/>
        </w:rPr>
        <w:t xml:space="preserve"> but</w:t>
      </w:r>
      <w:r w:rsidR="000656D6" w:rsidRPr="0029511A">
        <w:rPr>
          <w:rFonts w:ascii="Calibri" w:hAnsi="Calibri" w:cs="Calibri"/>
          <w:lang w:val="en-GB"/>
        </w:rPr>
        <w:t xml:space="preserve"> it will also</w:t>
      </w:r>
      <w:r w:rsidR="00442269" w:rsidRPr="0029511A">
        <w:rPr>
          <w:rFonts w:ascii="Calibri" w:hAnsi="Calibri" w:cs="Calibri"/>
          <w:lang w:val="en-GB"/>
        </w:rPr>
        <w:t xml:space="preserve"> </w:t>
      </w:r>
      <w:r w:rsidR="0028731C" w:rsidRPr="0029511A">
        <w:rPr>
          <w:rFonts w:ascii="Calibri" w:hAnsi="Calibri" w:cs="Calibri"/>
          <w:lang w:val="en-GB"/>
        </w:rPr>
        <w:t xml:space="preserve">provide </w:t>
      </w:r>
      <w:r w:rsidR="00021474" w:rsidRPr="0029511A">
        <w:rPr>
          <w:rFonts w:ascii="Calibri" w:hAnsi="Calibri" w:cs="Calibri"/>
          <w:lang w:val="en-GB"/>
        </w:rPr>
        <w:t xml:space="preserve">practical benefits </w:t>
      </w:r>
      <w:r w:rsidR="0028731C" w:rsidRPr="0029511A">
        <w:rPr>
          <w:rFonts w:ascii="Calibri" w:hAnsi="Calibri" w:cs="Calibri"/>
          <w:lang w:val="en-GB"/>
        </w:rPr>
        <w:t xml:space="preserve">to the participants </w:t>
      </w:r>
      <w:r w:rsidR="00221D69" w:rsidRPr="0029511A">
        <w:rPr>
          <w:rFonts w:ascii="Calibri" w:hAnsi="Calibri" w:cs="Calibri"/>
          <w:lang w:val="en-GB"/>
        </w:rPr>
        <w:t>regarding</w:t>
      </w:r>
      <w:r w:rsidR="0028731C" w:rsidRPr="0029511A">
        <w:rPr>
          <w:rFonts w:ascii="Calibri" w:hAnsi="Calibri" w:cs="Calibri"/>
          <w:lang w:val="en-GB"/>
        </w:rPr>
        <w:t xml:space="preserve"> building business </w:t>
      </w:r>
      <w:r w:rsidR="0004201B" w:rsidRPr="0029511A">
        <w:rPr>
          <w:rFonts w:ascii="Calibri" w:hAnsi="Calibri" w:cs="Calibri"/>
          <w:lang w:val="en-GB"/>
        </w:rPr>
        <w:t>co</w:t>
      </w:r>
      <w:r w:rsidR="00021474" w:rsidRPr="0029511A">
        <w:rPr>
          <w:rFonts w:ascii="Calibri" w:hAnsi="Calibri" w:cs="Calibri"/>
          <w:lang w:val="en-GB"/>
        </w:rPr>
        <w:t>nnections and networking.</w:t>
      </w:r>
      <w:r w:rsidR="00BE070C" w:rsidRPr="0029511A">
        <w:rPr>
          <w:rFonts w:ascii="Calibri" w:hAnsi="Calibri" w:cs="Calibri"/>
          <w:lang w:val="en-GB"/>
        </w:rPr>
        <w:t xml:space="preserve"> </w:t>
      </w:r>
    </w:p>
    <w:p w14:paraId="546F82E4" w14:textId="26D9FFCB" w:rsidR="0092590A" w:rsidRPr="00626DDD" w:rsidRDefault="00BE070C" w:rsidP="00D078C9">
      <w:pPr>
        <w:pStyle w:val="ListParagraph"/>
        <w:numPr>
          <w:ilvl w:val="0"/>
          <w:numId w:val="18"/>
        </w:numPr>
        <w:spacing w:before="100" w:beforeAutospacing="1" w:after="100" w:afterAutospacing="1"/>
        <w:rPr>
          <w:rFonts w:ascii="Calibri" w:eastAsia="Times New Roman" w:hAnsi="Calibri" w:cs="Calibri"/>
          <w:color w:val="000000"/>
          <w:lang w:val="en-GB" w:eastAsia="en-GB"/>
        </w:rPr>
      </w:pPr>
      <w:r w:rsidRPr="0029511A">
        <w:rPr>
          <w:rFonts w:ascii="Calibri" w:hAnsi="Calibri" w:cs="Calibri"/>
          <w:lang w:val="en-GB"/>
        </w:rPr>
        <w:t xml:space="preserve">The </w:t>
      </w:r>
      <w:r w:rsidR="0004201B" w:rsidRPr="0029511A">
        <w:rPr>
          <w:rFonts w:ascii="Calibri" w:hAnsi="Calibri" w:cs="Calibri"/>
          <w:i/>
          <w:iCs/>
          <w:lang w:val="en-GB"/>
        </w:rPr>
        <w:t xml:space="preserve">Mutual Recognition </w:t>
      </w:r>
      <w:r w:rsidR="00335AAD" w:rsidRPr="0029511A">
        <w:rPr>
          <w:rFonts w:ascii="Calibri" w:hAnsi="Calibri" w:cs="Calibri"/>
          <w:i/>
          <w:iCs/>
          <w:lang w:val="en-GB"/>
        </w:rPr>
        <w:t>Agreement</w:t>
      </w:r>
      <w:r w:rsidR="00335AAD" w:rsidRPr="0029511A">
        <w:rPr>
          <w:rFonts w:ascii="Calibri" w:hAnsi="Calibri" w:cs="Calibri"/>
          <w:lang w:val="en-GB"/>
        </w:rPr>
        <w:t xml:space="preserve"> project</w:t>
      </w:r>
      <w:r w:rsidRPr="0029511A">
        <w:rPr>
          <w:rFonts w:ascii="Calibri" w:hAnsi="Calibri" w:cs="Calibri"/>
          <w:lang w:val="en-GB"/>
        </w:rPr>
        <w:t xml:space="preserve"> reshaped </w:t>
      </w:r>
      <w:r w:rsidR="00335AAD" w:rsidRPr="0029511A">
        <w:rPr>
          <w:rFonts w:ascii="Calibri" w:hAnsi="Calibri" w:cs="Calibri"/>
          <w:lang w:val="en-GB"/>
        </w:rPr>
        <w:t>its</w:t>
      </w:r>
      <w:r w:rsidRPr="0029511A">
        <w:rPr>
          <w:rFonts w:ascii="Calibri" w:hAnsi="Calibri" w:cs="Calibri"/>
          <w:lang w:val="en-GB"/>
        </w:rPr>
        <w:t xml:space="preserve"> approach to the Community of Practice (CoP), which included rethinking who would be invited, to enhance both the breadth and depth of discussion within the </w:t>
      </w:r>
      <w:proofErr w:type="spellStart"/>
      <w:r w:rsidR="00863B5A" w:rsidRPr="0029511A">
        <w:rPr>
          <w:rFonts w:ascii="Calibri" w:hAnsi="Calibri" w:cs="Calibri"/>
          <w:lang w:val="en-GB"/>
        </w:rPr>
        <w:t>CoP.</w:t>
      </w:r>
      <w:proofErr w:type="spellEnd"/>
    </w:p>
    <w:p w14:paraId="18E2C60D" w14:textId="77777777" w:rsidR="00D229F4" w:rsidRPr="0029511A" w:rsidRDefault="00D229F4">
      <w:pPr>
        <w:spacing w:after="0"/>
        <w:rPr>
          <w:rStyle w:val="cf21"/>
          <w:rFonts w:ascii="Calibri" w:eastAsia="Times New Roman" w:hAnsi="Calibri"/>
          <w:color w:val="000000"/>
          <w:lang w:eastAsia="en-GB"/>
        </w:rPr>
        <w:sectPr w:rsidR="00D229F4" w:rsidRPr="0029511A" w:rsidSect="00D229F4">
          <w:type w:val="continuous"/>
          <w:pgSz w:w="11900" w:h="16840"/>
          <w:pgMar w:top="1418" w:right="1440" w:bottom="1440" w:left="1440" w:header="709" w:footer="709" w:gutter="0"/>
          <w:cols w:space="708"/>
          <w:docGrid w:linePitch="360"/>
        </w:sectPr>
      </w:pPr>
    </w:p>
    <w:p w14:paraId="073BCF0C" w14:textId="77777777" w:rsidR="006F6091" w:rsidRDefault="006F6091">
      <w:pPr>
        <w:spacing w:after="0"/>
        <w:rPr>
          <w:rStyle w:val="cf21"/>
          <w:rFonts w:ascii="Calibri" w:eastAsia="Times New Roman" w:hAnsi="Calibri"/>
          <w:color w:val="000000"/>
          <w:lang w:eastAsia="en-GB"/>
        </w:rPr>
      </w:pPr>
    </w:p>
    <w:p w14:paraId="5FBFAEA2" w14:textId="77777777" w:rsidR="006F6091" w:rsidRDefault="006F6091">
      <w:pPr>
        <w:spacing w:after="0"/>
        <w:rPr>
          <w:rStyle w:val="cf21"/>
          <w:rFonts w:ascii="Calibri" w:eastAsia="Times New Roman" w:hAnsi="Calibri"/>
          <w:color w:val="000000"/>
          <w:lang w:eastAsia="en-GB"/>
        </w:rPr>
      </w:pPr>
    </w:p>
    <w:p w14:paraId="4C6C818D" w14:textId="77777777" w:rsidR="00B574DD" w:rsidRPr="0029511A" w:rsidRDefault="00B574DD" w:rsidP="005D53AA">
      <w:pPr>
        <w:spacing w:before="100" w:beforeAutospacing="1" w:after="100" w:afterAutospacing="1"/>
        <w:rPr>
          <w:rStyle w:val="cf21"/>
          <w:rFonts w:ascii="Calibri" w:eastAsia="Times New Roman" w:hAnsi="Calibri"/>
          <w:color w:val="000000"/>
          <w:lang w:eastAsia="en-GB"/>
        </w:rPr>
        <w:sectPr w:rsidR="00B574DD" w:rsidRPr="0029511A" w:rsidSect="00D06192">
          <w:type w:val="continuous"/>
          <w:pgSz w:w="11900" w:h="16840"/>
          <w:pgMar w:top="1418" w:right="1440" w:bottom="1440" w:left="1440" w:header="709" w:footer="709" w:gutter="0"/>
          <w:cols w:num="2" w:space="708"/>
          <w:docGrid w:linePitch="360"/>
        </w:sectPr>
      </w:pPr>
    </w:p>
    <w:p w14:paraId="2DB4B64E" w14:textId="06BB4B80" w:rsidR="00397B25" w:rsidRPr="0029511A" w:rsidRDefault="0092590A" w:rsidP="005C4F5E">
      <w:pPr>
        <w:pStyle w:val="Heading2"/>
        <w:spacing w:before="199" w:after="199"/>
        <w:rPr>
          <w:rFonts w:ascii="Calibri" w:hAnsi="Calibri" w:cs="Calibri"/>
          <w:sz w:val="22"/>
          <w:szCs w:val="22"/>
        </w:rPr>
      </w:pPr>
      <w:bookmarkStart w:id="55" w:name="_Toc190934893"/>
      <w:bookmarkStart w:id="56" w:name="_Ref165123822"/>
      <w:r w:rsidRPr="0029511A">
        <w:rPr>
          <w:rFonts w:ascii="Calibri" w:hAnsi="Calibri" w:cs="Calibri"/>
          <w:sz w:val="22"/>
          <w:szCs w:val="22"/>
        </w:rPr>
        <w:t>Risks and Safeguards</w:t>
      </w:r>
      <w:bookmarkEnd w:id="55"/>
      <w:r w:rsidR="00701B0F" w:rsidRPr="0029511A">
        <w:rPr>
          <w:rFonts w:ascii="Calibri" w:hAnsi="Calibri" w:cs="Calibri"/>
          <w:sz w:val="22"/>
          <w:szCs w:val="22"/>
        </w:rPr>
        <w:t xml:space="preserve"> </w:t>
      </w:r>
    </w:p>
    <w:p w14:paraId="40C38110" w14:textId="77777777" w:rsidR="005D53AA" w:rsidRPr="0029511A" w:rsidRDefault="005D53AA" w:rsidP="00754F11">
      <w:pPr>
        <w:spacing w:before="199" w:after="199"/>
        <w:rPr>
          <w:rFonts w:ascii="Calibri" w:eastAsia="calibri,sans-serif" w:hAnsi="Calibri" w:cs="Calibri"/>
          <w:b/>
          <w:bCs/>
          <w:color w:val="000000"/>
          <w:lang w:val="en-GB"/>
        </w:rPr>
        <w:sectPr w:rsidR="005D53AA" w:rsidRPr="0029511A" w:rsidSect="00D06192">
          <w:type w:val="continuous"/>
          <w:pgSz w:w="11900" w:h="16840"/>
          <w:pgMar w:top="1418" w:right="1440" w:bottom="1440" w:left="1440" w:header="709" w:footer="709" w:gutter="0"/>
          <w:cols w:space="708"/>
          <w:docGrid w:linePitch="360"/>
        </w:sectPr>
      </w:pPr>
    </w:p>
    <w:p w14:paraId="6E85EF6C" w14:textId="77777777" w:rsidR="006F6091" w:rsidRPr="0084502D" w:rsidRDefault="006F6091" w:rsidP="006F6091">
      <w:pPr>
        <w:rPr>
          <w:rFonts w:asciiTheme="minorHAnsi" w:eastAsia="calibri,sans-serif" w:hAnsiTheme="minorHAnsi" w:cstheme="minorHAnsi"/>
          <w:color w:val="000000"/>
          <w:lang w:val="en-GB"/>
        </w:rPr>
      </w:pPr>
      <w:r w:rsidRPr="0084502D">
        <w:rPr>
          <w:rFonts w:asciiTheme="minorHAnsi" w:hAnsiTheme="minorHAnsi" w:cstheme="minorHAnsi"/>
          <w:b/>
          <w:bCs/>
          <w:color w:val="002060"/>
        </w:rPr>
        <w:t xml:space="preserve">Key Findings: </w:t>
      </w:r>
    </w:p>
    <w:p w14:paraId="233EE2E5" w14:textId="77777777" w:rsidR="006F6091" w:rsidRPr="0084502D" w:rsidRDefault="006F6091" w:rsidP="006F6091">
      <w:pPr>
        <w:rPr>
          <w:rFonts w:asciiTheme="minorHAnsi" w:hAnsiTheme="minorHAnsi" w:cstheme="minorHAnsi"/>
          <w:lang w:val="en-GB"/>
        </w:rPr>
      </w:pPr>
      <w:r w:rsidRPr="0084502D">
        <w:rPr>
          <w:rFonts w:asciiTheme="minorHAnsi" w:hAnsiTheme="minorHAnsi" w:cstheme="minorHAnsi"/>
          <w:lang w:val="en-GB"/>
        </w:rPr>
        <w:t xml:space="preserve">The AASP is a low-risk program. The Investment Manager, in collaboration with the Managing Contractor (MC), performs routine assessments of the risk register, conducts risk assessments for each proposed project, and considers risk and safeguards as part of the project proposal assessment stages. The DFAT Investment Manager led the drafting of the due diligence assessment of the APEC Secretariat in 2024. The due diligence exercise provided an opportunity to review and evaluate the risks associated with providing funds to the APEC Secretariat as Australia’s funding partner and ensure DFAT has appropriate mitigation measures in place. </w:t>
      </w:r>
    </w:p>
    <w:p w14:paraId="3E932AF5" w14:textId="77777777" w:rsidR="006F6091" w:rsidRPr="0084502D" w:rsidRDefault="006F6091" w:rsidP="006F6091">
      <w:pPr>
        <w:rPr>
          <w:rFonts w:asciiTheme="minorHAnsi" w:hAnsiTheme="minorHAnsi" w:cstheme="minorHAnsi"/>
          <w:lang w:val="en-GB"/>
        </w:rPr>
      </w:pPr>
      <w:r w:rsidRPr="0084502D">
        <w:rPr>
          <w:rFonts w:asciiTheme="minorHAnsi" w:hAnsiTheme="minorHAnsi" w:cstheme="minorHAnsi"/>
          <w:lang w:val="en-GB"/>
        </w:rPr>
        <w:t>Additionally, the AASP-funded position of an Australian officer as APEC’s PMU Director oversees the implementation of APEC Sub-Funds, including contributions to these Sub-Funds made by Australia. The PMU Director has adopted various strategies to manage risk, such as online training for officials from APEC economies and supervising staff to conduct thorough quality assessments of project proposals. While the MTR process did not identify any major risks that can have a direct impact on the program, below are some risks worth monitoring for the remainder of the program:</w:t>
      </w:r>
    </w:p>
    <w:p w14:paraId="2EE3C296" w14:textId="77777777" w:rsidR="006F6091" w:rsidRPr="0084502D" w:rsidRDefault="006F6091" w:rsidP="006F6091">
      <w:pPr>
        <w:pStyle w:val="ListParagraph"/>
        <w:numPr>
          <w:ilvl w:val="0"/>
          <w:numId w:val="31"/>
        </w:numPr>
        <w:rPr>
          <w:rFonts w:asciiTheme="minorHAnsi" w:hAnsiTheme="minorHAnsi" w:cstheme="minorHAnsi"/>
          <w:lang w:val="en-GB"/>
        </w:rPr>
      </w:pPr>
      <w:r w:rsidRPr="0084502D">
        <w:rPr>
          <w:rFonts w:asciiTheme="minorHAnsi" w:hAnsiTheme="minorHAnsi" w:cstheme="minorHAnsi"/>
          <w:lang w:val="en-GB"/>
        </w:rPr>
        <w:t xml:space="preserve">The pipeline each year needs to be carefully managed to ensure it is fully programmed early on during the financial year (preferably no later than March of each financial year) Increasingly, the pressure is growing on DFAT to design and implement more and more projects to populate the pipeline. However, it was evident from the MTR consultations that not all whole-of-government partners are suitably structured or resourced to undertake AASP projects that include undertaking onerous procurement activities relating to implementation. </w:t>
      </w:r>
    </w:p>
    <w:p w14:paraId="72ACB634" w14:textId="77777777" w:rsidR="006F6091" w:rsidRPr="0084502D" w:rsidRDefault="006F6091" w:rsidP="006F6091">
      <w:pPr>
        <w:pStyle w:val="ListParagraph"/>
        <w:numPr>
          <w:ilvl w:val="0"/>
          <w:numId w:val="31"/>
        </w:numPr>
        <w:rPr>
          <w:rFonts w:asciiTheme="minorHAnsi" w:hAnsiTheme="minorHAnsi" w:cstheme="minorHAnsi"/>
        </w:rPr>
      </w:pPr>
      <w:r w:rsidRPr="0084502D">
        <w:rPr>
          <w:rFonts w:asciiTheme="minorHAnsi" w:hAnsiTheme="minorHAnsi" w:cstheme="minorHAnsi"/>
          <w:color w:val="000000" w:themeColor="text1"/>
        </w:rPr>
        <w:t xml:space="preserve">Lack of resources within DFAT and staff turnover could have a negative impact on project progress. Where practicable, DFAT must ensure staff continuity and appropriate handover to avoid unnecessary delays in finalising projects to populate and manage the pipeline. </w:t>
      </w:r>
    </w:p>
    <w:p w14:paraId="66D6CE31" w14:textId="77777777" w:rsidR="006F6091" w:rsidRPr="0084502D" w:rsidRDefault="006F6091" w:rsidP="006F6091">
      <w:pPr>
        <w:pStyle w:val="ListParagraph"/>
        <w:numPr>
          <w:ilvl w:val="0"/>
          <w:numId w:val="31"/>
        </w:numPr>
        <w:rPr>
          <w:rFonts w:asciiTheme="minorHAnsi" w:hAnsiTheme="minorHAnsi" w:cstheme="minorHAnsi"/>
        </w:rPr>
      </w:pPr>
      <w:r w:rsidRPr="0084502D">
        <w:rPr>
          <w:rFonts w:asciiTheme="minorHAnsi" w:hAnsiTheme="minorHAnsi" w:cstheme="minorHAnsi"/>
          <w:lang w:val="en-GB"/>
        </w:rPr>
        <w:t>All project overseers must continue to produce completion reports in a prompt manner after their project has ended. This would ensure DFAT is sufficiently capturing and reporting the project’s achievements, successes and evidence/data on gender, disability, and other social inclusion markers. This evidence/data is critical to ensuring the program’s achievements can be communicated more broadly to Ministers, APEC stakeholders, and the Australian public</w:t>
      </w:r>
      <w:r w:rsidRPr="0084502D">
        <w:rPr>
          <w:rFonts w:asciiTheme="minorHAnsi" w:hAnsiTheme="minorHAnsi" w:cstheme="minorHAnsi"/>
          <w:color w:val="002060"/>
        </w:rPr>
        <w:t>.</w:t>
      </w:r>
    </w:p>
    <w:p w14:paraId="1AE12972" w14:textId="0CE4D542" w:rsidR="0092590A" w:rsidRPr="0029511A" w:rsidRDefault="0092590A" w:rsidP="00754F11">
      <w:pPr>
        <w:spacing w:before="199" w:after="199"/>
        <w:rPr>
          <w:rFonts w:ascii="Calibri" w:eastAsia="calibri,sans-serif" w:hAnsi="Calibri" w:cs="Calibri"/>
          <w:color w:val="000000"/>
          <w:lang w:val="en-GB"/>
        </w:rPr>
      </w:pPr>
      <w:r w:rsidRPr="0029511A">
        <w:rPr>
          <w:rFonts w:ascii="Calibri" w:eastAsia="calibri,sans-serif" w:hAnsi="Calibri" w:cs="Calibri"/>
          <w:b/>
          <w:bCs/>
          <w:color w:val="000000"/>
          <w:lang w:val="en-GB"/>
        </w:rPr>
        <w:t>The AASP is a low-risk program</w:t>
      </w:r>
      <w:r w:rsidRPr="0029511A">
        <w:rPr>
          <w:rFonts w:ascii="Calibri" w:eastAsia="calibri,sans-serif" w:hAnsi="Calibri" w:cs="Calibri"/>
          <w:color w:val="000000"/>
          <w:lang w:val="en-GB"/>
        </w:rPr>
        <w:t xml:space="preserve">. It primarily involves small, short-term capacity building activities implemented or overseen by trusted whole-of-government partners. Workshops, meetings, reports and consultancies – none of which carry an especially high element of risk – are standard </w:t>
      </w:r>
      <w:r w:rsidR="00716B07" w:rsidRPr="0029511A">
        <w:rPr>
          <w:rFonts w:ascii="Calibri" w:eastAsia="calibri,sans-serif" w:hAnsi="Calibri" w:cs="Calibri"/>
          <w:color w:val="000000"/>
          <w:lang w:val="en-GB"/>
        </w:rPr>
        <w:t xml:space="preserve">outputs </w:t>
      </w:r>
      <w:r w:rsidRPr="0029511A">
        <w:rPr>
          <w:rFonts w:ascii="Calibri" w:eastAsia="calibri,sans-serif" w:hAnsi="Calibri" w:cs="Calibri"/>
          <w:color w:val="000000"/>
          <w:lang w:val="en-GB"/>
        </w:rPr>
        <w:t>under the AASP.</w:t>
      </w:r>
      <w:r w:rsidR="00754F11" w:rsidRPr="0029511A">
        <w:rPr>
          <w:rFonts w:ascii="Calibri" w:eastAsia="calibri,sans-serif" w:hAnsi="Calibri" w:cs="Calibri"/>
          <w:color w:val="000000"/>
          <w:lang w:val="en-GB"/>
        </w:rPr>
        <w:t xml:space="preserve"> </w:t>
      </w:r>
      <w:r w:rsidR="00716B07" w:rsidRPr="0029511A">
        <w:rPr>
          <w:rFonts w:ascii="Calibri" w:eastAsia="calibri,sans-serif" w:hAnsi="Calibri" w:cs="Calibri"/>
          <w:color w:val="000000"/>
          <w:lang w:val="en-GB"/>
        </w:rPr>
        <w:t>T</w:t>
      </w:r>
      <w:r w:rsidR="001D4E02" w:rsidRPr="0029511A">
        <w:rPr>
          <w:rFonts w:ascii="Calibri" w:eastAsia="calibri,sans-serif" w:hAnsi="Calibri" w:cs="Calibri"/>
          <w:color w:val="000000"/>
          <w:lang w:val="en-GB"/>
        </w:rPr>
        <w:t>he AASP</w:t>
      </w:r>
      <w:r w:rsidRPr="0029511A">
        <w:rPr>
          <w:rFonts w:ascii="Calibri" w:eastAsia="calibri,sans-serif" w:hAnsi="Calibri" w:cs="Calibri"/>
          <w:color w:val="000000"/>
          <w:lang w:val="en-GB"/>
        </w:rPr>
        <w:t xml:space="preserve"> maintains this profile through an ongoing assessment of its risk register, risk assessments for each proposed project, and through the consideration of risk and safeguards as a standing agenda item for the Project Assessment Committee.</w:t>
      </w:r>
    </w:p>
    <w:p w14:paraId="2FC5A2AD" w14:textId="3F5B5DFF" w:rsidR="00754F11" w:rsidRPr="0029511A" w:rsidRDefault="00754F11" w:rsidP="00754F11">
      <w:pPr>
        <w:spacing w:after="199"/>
        <w:rPr>
          <w:rFonts w:ascii="Calibri" w:hAnsi="Calibri" w:cs="Calibri"/>
          <w:lang w:val="en-GB"/>
        </w:rPr>
      </w:pPr>
      <w:r w:rsidRPr="0029511A">
        <w:rPr>
          <w:rFonts w:ascii="Calibri" w:hAnsi="Calibri" w:cs="Calibri"/>
          <w:color w:val="000000"/>
          <w:lang w:val="en-GB"/>
        </w:rPr>
        <w:lastRenderedPageBreak/>
        <w:t xml:space="preserve">Through the rigorous design of projects, the AASP has a process to ensure safeguard and due diligence requirements are met. </w:t>
      </w:r>
      <w:r w:rsidRPr="0029511A">
        <w:rPr>
          <w:rFonts w:ascii="Calibri" w:hAnsi="Calibri" w:cs="Calibri"/>
          <w:lang w:val="en-GB"/>
        </w:rPr>
        <w:t xml:space="preserve">For example, fraud risk is considered for each AASP activity proposal and regularly reviewed as part of ongoing risk management. ALM staff with project management responsibilities have oversight of fraud risk and ensure contracted parties adhere to DFAT’s mandatory fraud clause. Similarly, contractors are required to act in accordance with DFAT’s </w:t>
      </w:r>
      <w:r w:rsidR="00BB341F" w:rsidRPr="0029511A">
        <w:rPr>
          <w:rFonts w:ascii="Calibri" w:hAnsi="Calibri" w:cs="Calibri"/>
          <w:lang w:val="en-GB"/>
        </w:rPr>
        <w:t>P</w:t>
      </w:r>
      <w:r w:rsidRPr="0029511A">
        <w:rPr>
          <w:rFonts w:ascii="Calibri" w:hAnsi="Calibri" w:cs="Calibri"/>
          <w:lang w:val="en-GB"/>
        </w:rPr>
        <w:t xml:space="preserve">reventing </w:t>
      </w:r>
      <w:r w:rsidR="00BB341F" w:rsidRPr="0029511A">
        <w:rPr>
          <w:rFonts w:ascii="Calibri" w:hAnsi="Calibri" w:cs="Calibri"/>
          <w:lang w:val="en-GB"/>
        </w:rPr>
        <w:t>S</w:t>
      </w:r>
      <w:r w:rsidRPr="0029511A">
        <w:rPr>
          <w:rFonts w:ascii="Calibri" w:hAnsi="Calibri" w:cs="Calibri"/>
          <w:lang w:val="en-GB"/>
        </w:rPr>
        <w:t xml:space="preserve">exual </w:t>
      </w:r>
      <w:r w:rsidR="00BB341F" w:rsidRPr="0029511A">
        <w:rPr>
          <w:rFonts w:ascii="Calibri" w:hAnsi="Calibri" w:cs="Calibri"/>
          <w:lang w:val="en-GB"/>
        </w:rPr>
        <w:t>E</w:t>
      </w:r>
      <w:r w:rsidRPr="0029511A">
        <w:rPr>
          <w:rFonts w:ascii="Calibri" w:hAnsi="Calibri" w:cs="Calibri"/>
          <w:lang w:val="en-GB"/>
        </w:rPr>
        <w:t xml:space="preserve">xploitation, </w:t>
      </w:r>
      <w:r w:rsidR="00BB341F" w:rsidRPr="0029511A">
        <w:rPr>
          <w:rFonts w:ascii="Calibri" w:hAnsi="Calibri" w:cs="Calibri"/>
          <w:lang w:val="en-GB"/>
        </w:rPr>
        <w:t>A</w:t>
      </w:r>
      <w:r w:rsidRPr="0029511A">
        <w:rPr>
          <w:rFonts w:ascii="Calibri" w:hAnsi="Calibri" w:cs="Calibri"/>
          <w:lang w:val="en-GB"/>
        </w:rPr>
        <w:t xml:space="preserve">buse and </w:t>
      </w:r>
      <w:r w:rsidR="00BB341F" w:rsidRPr="0029511A">
        <w:rPr>
          <w:rFonts w:ascii="Calibri" w:hAnsi="Calibri" w:cs="Calibri"/>
          <w:lang w:val="en-GB"/>
        </w:rPr>
        <w:t>H</w:t>
      </w:r>
      <w:r w:rsidRPr="0029511A">
        <w:rPr>
          <w:rFonts w:ascii="Calibri" w:hAnsi="Calibri" w:cs="Calibri"/>
          <w:lang w:val="en-GB"/>
        </w:rPr>
        <w:t xml:space="preserve">arassment (PSEAH) policy. The new </w:t>
      </w:r>
      <w:r w:rsidR="0019046E" w:rsidRPr="0029511A">
        <w:rPr>
          <w:rFonts w:ascii="Calibri" w:hAnsi="Calibri" w:cs="Calibri"/>
          <w:lang w:val="en-GB"/>
        </w:rPr>
        <w:t>s</w:t>
      </w:r>
      <w:r w:rsidRPr="0029511A">
        <w:rPr>
          <w:rFonts w:ascii="Calibri" w:hAnsi="Calibri" w:cs="Calibri"/>
          <w:lang w:val="en-GB"/>
        </w:rPr>
        <w:t xml:space="preserve">tandard </w:t>
      </w:r>
      <w:r w:rsidR="0019046E" w:rsidRPr="0029511A">
        <w:rPr>
          <w:rFonts w:ascii="Calibri" w:hAnsi="Calibri" w:cs="Calibri"/>
          <w:lang w:val="en-GB"/>
        </w:rPr>
        <w:t>o</w:t>
      </w:r>
      <w:r w:rsidRPr="0029511A">
        <w:rPr>
          <w:rFonts w:ascii="Calibri" w:hAnsi="Calibri" w:cs="Calibri"/>
          <w:lang w:val="en-GB"/>
        </w:rPr>
        <w:t xml:space="preserve">perating </w:t>
      </w:r>
      <w:r w:rsidR="0019046E" w:rsidRPr="0029511A">
        <w:rPr>
          <w:rFonts w:ascii="Calibri" w:hAnsi="Calibri" w:cs="Calibri"/>
          <w:lang w:val="en-GB"/>
        </w:rPr>
        <w:t>p</w:t>
      </w:r>
      <w:r w:rsidRPr="0029511A">
        <w:rPr>
          <w:rFonts w:ascii="Calibri" w:hAnsi="Calibri" w:cs="Calibri"/>
          <w:lang w:val="en-GB"/>
        </w:rPr>
        <w:t>rocedures (SOP) for ODA payments also place new due diligence requirements on the contractor as well as DFAT officers during invoicing to reduce incidences of fraud</w:t>
      </w:r>
      <w:r w:rsidR="0019046E" w:rsidRPr="0029511A">
        <w:rPr>
          <w:rFonts w:ascii="Calibri" w:hAnsi="Calibri" w:cs="Calibri"/>
          <w:lang w:val="en-GB"/>
        </w:rPr>
        <w:t>.</w:t>
      </w:r>
    </w:p>
    <w:p w14:paraId="6C5A26FE" w14:textId="1DB2FFF9" w:rsidR="001712CD" w:rsidRPr="0029511A" w:rsidRDefault="001712CD" w:rsidP="001712CD">
      <w:pPr>
        <w:pStyle w:val="pf0"/>
        <w:rPr>
          <w:rFonts w:ascii="Calibri" w:eastAsiaTheme="minorEastAsia" w:hAnsi="Calibri" w:cs="Calibri"/>
          <w:sz w:val="22"/>
          <w:szCs w:val="22"/>
          <w:lang w:val="en-GB" w:eastAsia="en-US"/>
        </w:rPr>
      </w:pPr>
      <w:r w:rsidRPr="0029511A">
        <w:rPr>
          <w:rFonts w:ascii="Calibri" w:eastAsiaTheme="minorEastAsia" w:hAnsi="Calibri" w:cs="Calibri"/>
          <w:sz w:val="22"/>
          <w:szCs w:val="22"/>
          <w:lang w:val="en-GB" w:eastAsia="en-US"/>
        </w:rPr>
        <w:t>The AASP</w:t>
      </w:r>
      <w:r w:rsidR="00821204" w:rsidRPr="0029511A">
        <w:rPr>
          <w:rFonts w:ascii="Calibri" w:eastAsiaTheme="minorEastAsia" w:hAnsi="Calibri" w:cs="Calibri"/>
          <w:sz w:val="22"/>
          <w:szCs w:val="22"/>
          <w:lang w:val="en-GB" w:eastAsia="en-US"/>
        </w:rPr>
        <w:t>-</w:t>
      </w:r>
      <w:r w:rsidRPr="0029511A">
        <w:rPr>
          <w:rFonts w:ascii="Calibri" w:eastAsiaTheme="minorEastAsia" w:hAnsi="Calibri" w:cs="Calibri"/>
          <w:sz w:val="22"/>
          <w:szCs w:val="22"/>
          <w:lang w:val="en-GB" w:eastAsia="en-US"/>
        </w:rPr>
        <w:t>funded position of APEC’s PMU Director oversees the implementation of APEC Sub-Funds - including contributions to those Sub-Funds provided by Australia. The PMU Director has implemented various approaches to manage risk</w:t>
      </w:r>
      <w:r w:rsidR="00821204" w:rsidRPr="0029511A">
        <w:rPr>
          <w:rFonts w:ascii="Calibri" w:eastAsiaTheme="minorEastAsia" w:hAnsi="Calibri" w:cs="Calibri"/>
          <w:sz w:val="22"/>
          <w:szCs w:val="22"/>
          <w:lang w:val="en-GB" w:eastAsia="en-US"/>
        </w:rPr>
        <w:t>,</w:t>
      </w:r>
      <w:r w:rsidRPr="0029511A">
        <w:rPr>
          <w:rFonts w:ascii="Calibri" w:eastAsiaTheme="minorEastAsia" w:hAnsi="Calibri" w:cs="Calibri"/>
          <w:sz w:val="22"/>
          <w:szCs w:val="22"/>
          <w:lang w:val="en-GB" w:eastAsia="en-US"/>
        </w:rPr>
        <w:t xml:space="preserve"> including online training for officials from APEC economies and supervising staff to undertake rigorous quality assessment</w:t>
      </w:r>
      <w:r w:rsidR="00BB6D1C" w:rsidRPr="0029511A">
        <w:rPr>
          <w:rFonts w:ascii="Calibri" w:eastAsiaTheme="minorEastAsia" w:hAnsi="Calibri" w:cs="Calibri"/>
          <w:sz w:val="22"/>
          <w:szCs w:val="22"/>
          <w:lang w:val="en-GB" w:eastAsia="en-US"/>
        </w:rPr>
        <w:t>s</w:t>
      </w:r>
      <w:r w:rsidRPr="0029511A">
        <w:rPr>
          <w:rFonts w:ascii="Calibri" w:eastAsiaTheme="minorEastAsia" w:hAnsi="Calibri" w:cs="Calibri"/>
          <w:sz w:val="22"/>
          <w:szCs w:val="22"/>
          <w:lang w:val="en-GB" w:eastAsia="en-US"/>
        </w:rPr>
        <w:t xml:space="preserve"> of project proposals.</w:t>
      </w:r>
    </w:p>
    <w:p w14:paraId="00BB04E2" w14:textId="5FAD4950" w:rsidR="00754F11" w:rsidRPr="0029511A" w:rsidRDefault="00754F11" w:rsidP="00754F11">
      <w:pPr>
        <w:spacing w:after="199"/>
        <w:rPr>
          <w:rFonts w:ascii="Calibri" w:hAnsi="Calibri" w:cs="Calibri"/>
          <w:color w:val="000000"/>
          <w:lang w:val="en-GB"/>
        </w:rPr>
      </w:pPr>
      <w:r w:rsidRPr="0029511A">
        <w:rPr>
          <w:rFonts w:ascii="Calibri" w:hAnsi="Calibri" w:cs="Calibri"/>
          <w:color w:val="000000"/>
          <w:lang w:val="en-GB"/>
        </w:rPr>
        <w:t>Whil</w:t>
      </w:r>
      <w:r w:rsidR="00A40599" w:rsidRPr="0029511A">
        <w:rPr>
          <w:rFonts w:ascii="Calibri" w:hAnsi="Calibri" w:cs="Calibri"/>
          <w:color w:val="000000"/>
          <w:lang w:val="en-GB"/>
        </w:rPr>
        <w:t>e</w:t>
      </w:r>
      <w:r w:rsidRPr="0029511A">
        <w:rPr>
          <w:rFonts w:ascii="Calibri" w:hAnsi="Calibri" w:cs="Calibri"/>
          <w:color w:val="000000"/>
          <w:lang w:val="en-GB"/>
        </w:rPr>
        <w:t xml:space="preserve"> </w:t>
      </w:r>
      <w:r w:rsidRPr="0029511A">
        <w:rPr>
          <w:rFonts w:ascii="Calibri" w:hAnsi="Calibri" w:cs="Calibri"/>
          <w:b/>
          <w:bCs/>
          <w:color w:val="000000"/>
          <w:lang w:val="en-GB"/>
        </w:rPr>
        <w:t xml:space="preserve">no new risks emerged during the MTR </w:t>
      </w:r>
      <w:r w:rsidR="00795D08" w:rsidRPr="0029511A">
        <w:rPr>
          <w:rFonts w:ascii="Calibri" w:hAnsi="Calibri" w:cs="Calibri"/>
          <w:b/>
          <w:bCs/>
          <w:color w:val="000000"/>
          <w:lang w:val="en-GB"/>
        </w:rPr>
        <w:t>consultations</w:t>
      </w:r>
      <w:r w:rsidR="00437A43" w:rsidRPr="0029511A">
        <w:rPr>
          <w:rFonts w:ascii="Calibri" w:hAnsi="Calibri" w:cs="Calibri"/>
          <w:b/>
          <w:bCs/>
          <w:color w:val="000000"/>
          <w:lang w:val="en-GB"/>
        </w:rPr>
        <w:t>,</w:t>
      </w:r>
      <w:r w:rsidR="00795D08" w:rsidRPr="0029511A">
        <w:rPr>
          <w:rFonts w:ascii="Calibri" w:hAnsi="Calibri" w:cs="Calibri"/>
          <w:color w:val="000000"/>
          <w:lang w:val="en-GB"/>
        </w:rPr>
        <w:t xml:space="preserve"> </w:t>
      </w:r>
      <w:r w:rsidRPr="0029511A">
        <w:rPr>
          <w:rFonts w:ascii="Calibri" w:hAnsi="Calibri" w:cs="Calibri"/>
          <w:color w:val="000000"/>
          <w:lang w:val="en-GB"/>
        </w:rPr>
        <w:t xml:space="preserve">which would have a direct impact on the program, </w:t>
      </w:r>
      <w:r w:rsidR="0018395A" w:rsidRPr="0029511A">
        <w:rPr>
          <w:rFonts w:ascii="Calibri" w:hAnsi="Calibri" w:cs="Calibri"/>
          <w:color w:val="000000"/>
          <w:lang w:val="en-GB"/>
        </w:rPr>
        <w:t xml:space="preserve">it is worth noting that the pipeline each year needs to be carefully managed to ensure it is full early </w:t>
      </w:r>
      <w:r w:rsidR="00DD30E4" w:rsidRPr="0029511A">
        <w:rPr>
          <w:rFonts w:ascii="Calibri" w:hAnsi="Calibri" w:cs="Calibri"/>
          <w:color w:val="000000"/>
          <w:lang w:val="en-GB"/>
        </w:rPr>
        <w:t xml:space="preserve">on </w:t>
      </w:r>
      <w:r w:rsidR="0018395A" w:rsidRPr="0029511A">
        <w:rPr>
          <w:rFonts w:ascii="Calibri" w:hAnsi="Calibri" w:cs="Calibri"/>
          <w:color w:val="000000"/>
          <w:lang w:val="en-GB"/>
        </w:rPr>
        <w:t>during the financial year. Increasingly</w:t>
      </w:r>
      <w:r w:rsidR="00437A43" w:rsidRPr="0029511A">
        <w:rPr>
          <w:rFonts w:ascii="Calibri" w:hAnsi="Calibri" w:cs="Calibri"/>
          <w:color w:val="000000"/>
          <w:lang w:val="en-GB"/>
        </w:rPr>
        <w:t>,</w:t>
      </w:r>
      <w:r w:rsidR="0018395A" w:rsidRPr="0029511A">
        <w:rPr>
          <w:rFonts w:ascii="Calibri" w:hAnsi="Calibri" w:cs="Calibri"/>
          <w:color w:val="000000"/>
          <w:lang w:val="en-GB"/>
        </w:rPr>
        <w:t xml:space="preserve"> the pressure is growing on DFAT to </w:t>
      </w:r>
      <w:r w:rsidR="001151A2" w:rsidRPr="0029511A">
        <w:rPr>
          <w:rFonts w:ascii="Calibri" w:hAnsi="Calibri" w:cs="Calibri"/>
          <w:color w:val="000000"/>
          <w:lang w:val="en-GB"/>
        </w:rPr>
        <w:t>design and</w:t>
      </w:r>
      <w:r w:rsidR="0018395A" w:rsidRPr="0029511A">
        <w:rPr>
          <w:rFonts w:ascii="Calibri" w:hAnsi="Calibri" w:cs="Calibri"/>
          <w:color w:val="000000"/>
          <w:lang w:val="en-GB"/>
        </w:rPr>
        <w:t xml:space="preserve"> implement more and more projects to populate the pipeline as not all </w:t>
      </w:r>
      <w:r w:rsidR="00514B8F" w:rsidRPr="0029511A">
        <w:rPr>
          <w:rFonts w:ascii="Calibri" w:hAnsi="Calibri" w:cs="Calibri"/>
          <w:color w:val="000000"/>
          <w:lang w:val="en-GB"/>
        </w:rPr>
        <w:t>w</w:t>
      </w:r>
      <w:r w:rsidR="00795D08" w:rsidRPr="0029511A">
        <w:rPr>
          <w:rFonts w:ascii="Calibri" w:hAnsi="Calibri" w:cs="Calibri"/>
          <w:color w:val="000000"/>
          <w:lang w:val="en-GB"/>
        </w:rPr>
        <w:t>hole-of-</w:t>
      </w:r>
      <w:r w:rsidR="00514B8F" w:rsidRPr="0029511A">
        <w:rPr>
          <w:rFonts w:ascii="Calibri" w:hAnsi="Calibri" w:cs="Calibri"/>
          <w:color w:val="000000"/>
          <w:lang w:val="en-GB"/>
        </w:rPr>
        <w:t>g</w:t>
      </w:r>
      <w:r w:rsidR="00795D08" w:rsidRPr="0029511A">
        <w:rPr>
          <w:rFonts w:ascii="Calibri" w:hAnsi="Calibri" w:cs="Calibri"/>
          <w:color w:val="000000"/>
          <w:lang w:val="en-GB"/>
        </w:rPr>
        <w:t>overnment</w:t>
      </w:r>
      <w:r w:rsidR="0018395A" w:rsidRPr="0029511A">
        <w:rPr>
          <w:rFonts w:ascii="Calibri" w:hAnsi="Calibri" w:cs="Calibri"/>
          <w:color w:val="000000"/>
          <w:lang w:val="en-GB"/>
        </w:rPr>
        <w:t xml:space="preserve"> partners are suitably structured or resourced to ensure appropriate administration of AASP projects and are not willing to undertake onerous procurement activities relating to project implementation. This is </w:t>
      </w:r>
      <w:proofErr w:type="gramStart"/>
      <w:r w:rsidR="0018395A" w:rsidRPr="0029511A">
        <w:rPr>
          <w:rFonts w:ascii="Calibri" w:hAnsi="Calibri" w:cs="Calibri"/>
          <w:color w:val="000000"/>
          <w:lang w:val="en-GB"/>
        </w:rPr>
        <w:t>despite the fact that</w:t>
      </w:r>
      <w:proofErr w:type="gramEnd"/>
      <w:r w:rsidR="0018395A" w:rsidRPr="0029511A">
        <w:rPr>
          <w:rFonts w:ascii="Calibri" w:hAnsi="Calibri" w:cs="Calibri"/>
          <w:color w:val="000000"/>
          <w:lang w:val="en-GB"/>
        </w:rPr>
        <w:t xml:space="preserve"> partners were quick to recognise the value and benefit their agency has derived from implementing the project. In a few instances, certain partners have found the workload greater than initially envisaged, exacerbated by internal restructuring, which has meant that it was difficult for the project to meet its expected milestones in the time that was initially envisaged. </w:t>
      </w:r>
      <w:r w:rsidRPr="0029511A">
        <w:rPr>
          <w:rFonts w:ascii="Calibri" w:hAnsi="Calibri" w:cs="Calibri"/>
          <w:color w:val="000000"/>
          <w:lang w:val="en-GB"/>
        </w:rPr>
        <w:t xml:space="preserve">Staff turnover within </w:t>
      </w:r>
      <w:r w:rsidR="000D11F6" w:rsidRPr="0029511A">
        <w:rPr>
          <w:rFonts w:ascii="Calibri" w:hAnsi="Calibri" w:cs="Calibri"/>
          <w:color w:val="000000"/>
          <w:lang w:val="en-GB"/>
        </w:rPr>
        <w:t>implementing APS</w:t>
      </w:r>
      <w:r w:rsidR="00CD21FC" w:rsidRPr="0029511A">
        <w:rPr>
          <w:rFonts w:ascii="Calibri" w:hAnsi="Calibri" w:cs="Calibri"/>
          <w:color w:val="000000"/>
          <w:lang w:val="en-GB"/>
        </w:rPr>
        <w:t xml:space="preserve"> agencies</w:t>
      </w:r>
      <w:r w:rsidRPr="0029511A">
        <w:rPr>
          <w:rFonts w:ascii="Calibri" w:hAnsi="Calibri" w:cs="Calibri"/>
          <w:color w:val="000000"/>
          <w:lang w:val="en-GB"/>
        </w:rPr>
        <w:t xml:space="preserve"> can also impact implementation </w:t>
      </w:r>
      <w:r w:rsidR="00BE070C" w:rsidRPr="0029511A">
        <w:rPr>
          <w:rFonts w:ascii="Calibri" w:hAnsi="Calibri" w:cs="Calibri"/>
          <w:color w:val="000000"/>
          <w:lang w:val="en-GB"/>
        </w:rPr>
        <w:t>schedules and</w:t>
      </w:r>
      <w:r w:rsidRPr="0029511A">
        <w:rPr>
          <w:rFonts w:ascii="Calibri" w:hAnsi="Calibri" w:cs="Calibri"/>
          <w:color w:val="000000"/>
          <w:lang w:val="en-GB"/>
        </w:rPr>
        <w:t xml:space="preserve"> lead to delays if </w:t>
      </w:r>
      <w:r w:rsidR="00BE070C" w:rsidRPr="0029511A">
        <w:rPr>
          <w:rFonts w:ascii="Calibri" w:hAnsi="Calibri" w:cs="Calibri"/>
          <w:color w:val="000000"/>
          <w:lang w:val="en-GB"/>
        </w:rPr>
        <w:t xml:space="preserve">there </w:t>
      </w:r>
      <w:r w:rsidR="00025C59" w:rsidRPr="0029511A">
        <w:rPr>
          <w:rFonts w:ascii="Calibri" w:hAnsi="Calibri" w:cs="Calibri"/>
          <w:color w:val="000000"/>
          <w:lang w:val="en-GB"/>
        </w:rPr>
        <w:t>is</w:t>
      </w:r>
      <w:r w:rsidR="00BE070C" w:rsidRPr="0029511A">
        <w:rPr>
          <w:rFonts w:ascii="Calibri" w:hAnsi="Calibri" w:cs="Calibri"/>
          <w:color w:val="000000"/>
          <w:lang w:val="en-GB"/>
        </w:rPr>
        <w:t xml:space="preserve"> an inadequate internal handover process.</w:t>
      </w:r>
    </w:p>
    <w:p w14:paraId="0C0534AA" w14:textId="081915CB" w:rsidR="0001725B" w:rsidRPr="0029511A" w:rsidRDefault="0001725B" w:rsidP="00754F11">
      <w:pPr>
        <w:spacing w:after="199"/>
        <w:rPr>
          <w:rFonts w:ascii="Calibri" w:hAnsi="Calibri" w:cs="Calibri"/>
          <w:lang w:val="en-GB"/>
        </w:rPr>
      </w:pPr>
      <w:r w:rsidRPr="0029511A">
        <w:rPr>
          <w:rFonts w:ascii="Calibri" w:hAnsi="Calibri" w:cs="Calibri"/>
          <w:color w:val="000000"/>
          <w:lang w:val="en-GB"/>
        </w:rPr>
        <w:t>The AASP will need to continue to monitor this risk to the pipeline and</w:t>
      </w:r>
      <w:r w:rsidR="00437A43" w:rsidRPr="0029511A">
        <w:rPr>
          <w:rFonts w:ascii="Calibri" w:hAnsi="Calibri" w:cs="Calibri"/>
          <w:color w:val="000000"/>
          <w:lang w:val="en-GB"/>
        </w:rPr>
        <w:t>,</w:t>
      </w:r>
      <w:r w:rsidRPr="0029511A">
        <w:rPr>
          <w:rFonts w:ascii="Calibri" w:hAnsi="Calibri" w:cs="Calibri"/>
          <w:color w:val="000000"/>
          <w:lang w:val="en-GB"/>
        </w:rPr>
        <w:t xml:space="preserve"> where practicable</w:t>
      </w:r>
      <w:r w:rsidR="00437A43" w:rsidRPr="0029511A">
        <w:rPr>
          <w:rFonts w:ascii="Calibri" w:hAnsi="Calibri" w:cs="Calibri"/>
          <w:color w:val="000000"/>
          <w:lang w:val="en-GB"/>
        </w:rPr>
        <w:t>,</w:t>
      </w:r>
      <w:r w:rsidRPr="0029511A">
        <w:rPr>
          <w:rFonts w:ascii="Calibri" w:hAnsi="Calibri" w:cs="Calibri"/>
          <w:color w:val="000000"/>
          <w:lang w:val="en-GB"/>
        </w:rPr>
        <w:t xml:space="preserve"> </w:t>
      </w:r>
      <w:r w:rsidR="0019046E" w:rsidRPr="0029511A">
        <w:rPr>
          <w:rFonts w:ascii="Calibri" w:hAnsi="Calibri" w:cs="Calibri"/>
          <w:color w:val="000000"/>
          <w:lang w:val="en-GB"/>
        </w:rPr>
        <w:t xml:space="preserve">ensure </w:t>
      </w:r>
      <w:r w:rsidRPr="0029511A">
        <w:rPr>
          <w:rFonts w:ascii="Calibri" w:hAnsi="Calibri" w:cs="Calibri"/>
          <w:color w:val="000000"/>
          <w:lang w:val="en-GB"/>
        </w:rPr>
        <w:t xml:space="preserve">appropriate handover processes are in place to </w:t>
      </w:r>
      <w:r w:rsidR="0019046E" w:rsidRPr="0029511A">
        <w:rPr>
          <w:rFonts w:ascii="Calibri" w:hAnsi="Calibri" w:cs="Calibri"/>
          <w:color w:val="000000"/>
          <w:lang w:val="en-GB"/>
        </w:rPr>
        <w:t xml:space="preserve">prevent projects from being </w:t>
      </w:r>
      <w:r w:rsidRPr="0029511A">
        <w:rPr>
          <w:rFonts w:ascii="Calibri" w:hAnsi="Calibri" w:cs="Calibri"/>
          <w:color w:val="000000"/>
          <w:lang w:val="en-GB"/>
        </w:rPr>
        <w:t xml:space="preserve">delayed unnecessarily by staff turnover. </w:t>
      </w:r>
      <w:r w:rsidRPr="0029511A">
        <w:rPr>
          <w:rFonts w:ascii="Calibri" w:hAnsi="Calibri" w:cs="Calibri"/>
          <w:lang w:val="en-GB"/>
        </w:rPr>
        <w:t xml:space="preserve">The new design for the successor phase should be commenced in early 2025 and should be a key consideration for the </w:t>
      </w:r>
      <w:r w:rsidR="007F7B08" w:rsidRPr="0029511A">
        <w:rPr>
          <w:rFonts w:ascii="Calibri" w:hAnsi="Calibri" w:cs="Calibri"/>
          <w:lang w:val="en-GB"/>
        </w:rPr>
        <w:t>m</w:t>
      </w:r>
      <w:r w:rsidRPr="0029511A">
        <w:rPr>
          <w:rFonts w:ascii="Calibri" w:hAnsi="Calibri" w:cs="Calibri"/>
          <w:lang w:val="en-GB"/>
        </w:rPr>
        <w:t>anagement moving forward to avoid the risk of disruption of momentum between the two phases.</w:t>
      </w:r>
    </w:p>
    <w:p w14:paraId="6F9B4B1C" w14:textId="77777777" w:rsidR="0064652B" w:rsidRPr="0029511A" w:rsidRDefault="0064652B" w:rsidP="00754F11">
      <w:pPr>
        <w:spacing w:after="199"/>
        <w:rPr>
          <w:rFonts w:ascii="Calibri" w:hAnsi="Calibri" w:cs="Calibri"/>
          <w:color w:val="000000"/>
          <w:lang w:val="en-GB"/>
        </w:rPr>
        <w:sectPr w:rsidR="0064652B" w:rsidRPr="0029511A" w:rsidSect="00D229F4">
          <w:type w:val="continuous"/>
          <w:pgSz w:w="11900" w:h="16840"/>
          <w:pgMar w:top="1418" w:right="1440" w:bottom="1440" w:left="1440" w:header="709" w:footer="709" w:gutter="0"/>
          <w:cols w:space="708"/>
          <w:docGrid w:linePitch="360"/>
        </w:sectPr>
      </w:pPr>
    </w:p>
    <w:bookmarkEnd w:id="56"/>
    <w:p w14:paraId="580D5B27" w14:textId="1AE3EF43" w:rsidR="00B54109" w:rsidRPr="000242F8" w:rsidRDefault="00404AF3" w:rsidP="00F41E99">
      <w:pPr>
        <w:rPr>
          <w:rFonts w:asciiTheme="minorHAnsi" w:hAnsiTheme="minorHAnsi" w:cstheme="minorHAnsi"/>
          <w:b/>
          <w:bCs/>
          <w:color w:val="002060"/>
        </w:rPr>
      </w:pPr>
      <w:r w:rsidRPr="000242F8">
        <w:rPr>
          <w:rFonts w:asciiTheme="minorHAnsi" w:hAnsiTheme="minorHAnsi" w:cstheme="minorHAnsi"/>
          <w:b/>
          <w:bCs/>
          <w:color w:val="002060"/>
        </w:rPr>
        <w:lastRenderedPageBreak/>
        <w:t>Lessons Learnt</w:t>
      </w:r>
      <w:r w:rsidR="000242F8">
        <w:rPr>
          <w:rFonts w:asciiTheme="minorHAnsi" w:hAnsiTheme="minorHAnsi" w:cstheme="minorHAnsi"/>
          <w:b/>
          <w:bCs/>
          <w:color w:val="002060"/>
        </w:rPr>
        <w:t>:</w:t>
      </w:r>
    </w:p>
    <w:p w14:paraId="37AE75AD" w14:textId="2F6E2122" w:rsidR="00404AF3" w:rsidRPr="0029511A" w:rsidRDefault="00404AF3" w:rsidP="00CD34C2">
      <w:pPr>
        <w:rPr>
          <w:rFonts w:ascii="Calibri" w:hAnsi="Calibri" w:cs="Calibri"/>
          <w:lang w:val="en-GB"/>
        </w:rPr>
      </w:pPr>
      <w:r w:rsidRPr="0029511A">
        <w:rPr>
          <w:rFonts w:ascii="Calibri" w:hAnsi="Calibri" w:cs="Calibri"/>
          <w:lang w:val="en-GB"/>
        </w:rPr>
        <w:t xml:space="preserve">Drawing on the </w:t>
      </w:r>
      <w:r w:rsidR="007F7B08" w:rsidRPr="0029511A">
        <w:rPr>
          <w:rFonts w:ascii="Calibri" w:hAnsi="Calibri" w:cs="Calibri"/>
          <w:lang w:val="en-GB"/>
        </w:rPr>
        <w:t>c</w:t>
      </w:r>
      <w:r w:rsidRPr="0029511A">
        <w:rPr>
          <w:rFonts w:ascii="Calibri" w:hAnsi="Calibri" w:cs="Calibri"/>
          <w:lang w:val="en-GB"/>
        </w:rPr>
        <w:t xml:space="preserve">ase </w:t>
      </w:r>
      <w:r w:rsidR="007F7B08" w:rsidRPr="0029511A">
        <w:rPr>
          <w:rFonts w:ascii="Calibri" w:hAnsi="Calibri" w:cs="Calibri"/>
          <w:lang w:val="en-GB"/>
        </w:rPr>
        <w:t>s</w:t>
      </w:r>
      <w:r w:rsidRPr="0029511A">
        <w:rPr>
          <w:rFonts w:ascii="Calibri" w:hAnsi="Calibri" w:cs="Calibri"/>
          <w:lang w:val="en-GB"/>
        </w:rPr>
        <w:t>tudies (in addition to reviewing project completion reports and informed by interviews with participants)</w:t>
      </w:r>
      <w:r w:rsidR="00437A43" w:rsidRPr="0029511A">
        <w:rPr>
          <w:rFonts w:ascii="Calibri" w:hAnsi="Calibri" w:cs="Calibri"/>
          <w:lang w:val="en-GB"/>
        </w:rPr>
        <w:t>,</w:t>
      </w:r>
      <w:r w:rsidRPr="0029511A">
        <w:rPr>
          <w:rFonts w:ascii="Calibri" w:hAnsi="Calibri" w:cs="Calibri"/>
          <w:lang w:val="en-GB"/>
        </w:rPr>
        <w:t xml:space="preserve"> </w:t>
      </w:r>
      <w:r w:rsidR="00B154BE" w:rsidRPr="0029511A">
        <w:rPr>
          <w:rFonts w:ascii="Calibri" w:hAnsi="Calibri" w:cs="Calibri"/>
          <w:lang w:val="en-GB"/>
        </w:rPr>
        <w:t>several</w:t>
      </w:r>
      <w:r w:rsidRPr="0029511A">
        <w:rPr>
          <w:rFonts w:ascii="Calibri" w:hAnsi="Calibri" w:cs="Calibri"/>
          <w:lang w:val="en-GB"/>
        </w:rPr>
        <w:t xml:space="preserve"> lessons have been identified</w:t>
      </w:r>
      <w:r w:rsidR="00B154BE" w:rsidRPr="0029511A">
        <w:rPr>
          <w:rFonts w:ascii="Calibri" w:hAnsi="Calibri" w:cs="Calibri"/>
          <w:lang w:val="en-GB"/>
        </w:rPr>
        <w:t xml:space="preserve">, serving </w:t>
      </w:r>
      <w:r w:rsidRPr="0029511A">
        <w:rPr>
          <w:rFonts w:ascii="Calibri" w:hAnsi="Calibri" w:cs="Calibri"/>
          <w:lang w:val="en-GB"/>
        </w:rPr>
        <w:t xml:space="preserve">a dual purpose - illustrating what works (or doesn’t work) and </w:t>
      </w:r>
      <w:r w:rsidR="00437A43" w:rsidRPr="0029511A">
        <w:rPr>
          <w:rFonts w:ascii="Calibri" w:hAnsi="Calibri" w:cs="Calibri"/>
          <w:lang w:val="en-GB"/>
        </w:rPr>
        <w:t>informing</w:t>
      </w:r>
      <w:r w:rsidR="00B154BE" w:rsidRPr="0029511A">
        <w:rPr>
          <w:rFonts w:ascii="Calibri" w:hAnsi="Calibri" w:cs="Calibri"/>
          <w:lang w:val="en-GB"/>
        </w:rPr>
        <w:t xml:space="preserve"> the design of future projects under the AASP:</w:t>
      </w:r>
    </w:p>
    <w:p w14:paraId="6EE38AF4" w14:textId="0B42D06B" w:rsidR="00404AF3" w:rsidRPr="0029511A" w:rsidRDefault="00404AF3" w:rsidP="00D078C9">
      <w:pPr>
        <w:pStyle w:val="ListParagraph"/>
        <w:numPr>
          <w:ilvl w:val="0"/>
          <w:numId w:val="7"/>
        </w:numPr>
        <w:spacing w:before="120"/>
        <w:ind w:left="360" w:hanging="357"/>
        <w:contextualSpacing w:val="0"/>
        <w:rPr>
          <w:rFonts w:ascii="Calibri" w:hAnsi="Calibri" w:cs="Calibri"/>
          <w:lang w:val="en-GB"/>
        </w:rPr>
      </w:pPr>
      <w:r w:rsidRPr="0029511A">
        <w:rPr>
          <w:rFonts w:ascii="Calibri" w:hAnsi="Calibri" w:cs="Calibri"/>
          <w:b/>
          <w:bCs/>
          <w:lang w:val="en-GB"/>
        </w:rPr>
        <w:t>Responsiveness</w:t>
      </w:r>
      <w:r w:rsidRPr="0029511A">
        <w:rPr>
          <w:rFonts w:ascii="Calibri" w:hAnsi="Calibri" w:cs="Calibri"/>
          <w:lang w:val="en-GB"/>
        </w:rPr>
        <w:t>: As already noted, flexibility</w:t>
      </w:r>
      <w:r w:rsidR="00FC14C0" w:rsidRPr="0029511A">
        <w:rPr>
          <w:rFonts w:ascii="Calibri" w:hAnsi="Calibri" w:cs="Calibri"/>
          <w:lang w:val="en-GB"/>
        </w:rPr>
        <w:t xml:space="preserve"> and</w:t>
      </w:r>
      <w:r w:rsidR="00442269" w:rsidRPr="0029511A">
        <w:rPr>
          <w:rFonts w:ascii="Calibri" w:hAnsi="Calibri" w:cs="Calibri"/>
          <w:lang w:val="en-GB"/>
        </w:rPr>
        <w:t xml:space="preserve"> </w:t>
      </w:r>
      <w:r w:rsidRPr="0029511A">
        <w:rPr>
          <w:rFonts w:ascii="Calibri" w:hAnsi="Calibri" w:cs="Calibri"/>
          <w:lang w:val="en-GB"/>
        </w:rPr>
        <w:t>responsiveness to adapt projects</w:t>
      </w:r>
      <w:r w:rsidR="0087746D" w:rsidRPr="0029511A">
        <w:rPr>
          <w:rFonts w:ascii="Calibri" w:hAnsi="Calibri" w:cs="Calibri"/>
          <w:lang w:val="en-GB"/>
        </w:rPr>
        <w:t xml:space="preserve"> in response to changing contexts</w:t>
      </w:r>
      <w:r w:rsidRPr="0029511A">
        <w:rPr>
          <w:rFonts w:ascii="Calibri" w:hAnsi="Calibri" w:cs="Calibri"/>
          <w:lang w:val="en-GB"/>
        </w:rPr>
        <w:t xml:space="preserve"> ha</w:t>
      </w:r>
      <w:r w:rsidR="00025C59" w:rsidRPr="0029511A">
        <w:rPr>
          <w:rFonts w:ascii="Calibri" w:hAnsi="Calibri" w:cs="Calibri"/>
          <w:lang w:val="en-GB"/>
        </w:rPr>
        <w:t>ve</w:t>
      </w:r>
      <w:r w:rsidRPr="0029511A">
        <w:rPr>
          <w:rFonts w:ascii="Calibri" w:hAnsi="Calibri" w:cs="Calibri"/>
          <w:lang w:val="en-GB"/>
        </w:rPr>
        <w:t xml:space="preserve"> secured better outcomes</w:t>
      </w:r>
      <w:r w:rsidR="00011F43" w:rsidRPr="0029511A">
        <w:rPr>
          <w:rFonts w:ascii="Calibri" w:hAnsi="Calibri" w:cs="Calibri"/>
          <w:lang w:val="en-GB"/>
        </w:rPr>
        <w:t>.</w:t>
      </w:r>
    </w:p>
    <w:p w14:paraId="33EB039A" w14:textId="152B28CC" w:rsidR="00404AF3" w:rsidRPr="0029511A" w:rsidRDefault="00404AF3" w:rsidP="00D078C9">
      <w:pPr>
        <w:pStyle w:val="ListParagraph"/>
        <w:numPr>
          <w:ilvl w:val="0"/>
          <w:numId w:val="7"/>
        </w:numPr>
        <w:spacing w:before="120"/>
        <w:ind w:left="360" w:hanging="357"/>
        <w:contextualSpacing w:val="0"/>
        <w:rPr>
          <w:rFonts w:ascii="Calibri" w:hAnsi="Calibri" w:cs="Calibri"/>
          <w:lang w:val="en-GB"/>
        </w:rPr>
      </w:pPr>
      <w:r w:rsidRPr="0029511A">
        <w:rPr>
          <w:rFonts w:ascii="Calibri" w:hAnsi="Calibri" w:cs="Calibri"/>
          <w:b/>
          <w:bCs/>
          <w:lang w:val="en-GB"/>
        </w:rPr>
        <w:t>Relationships</w:t>
      </w:r>
      <w:r w:rsidRPr="0029511A">
        <w:rPr>
          <w:rFonts w:ascii="Calibri" w:hAnsi="Calibri" w:cs="Calibri"/>
          <w:lang w:val="en-GB"/>
        </w:rPr>
        <w:t xml:space="preserve">: Relationship </w:t>
      </w:r>
      <w:proofErr w:type="gramStart"/>
      <w:r w:rsidRPr="0029511A">
        <w:rPr>
          <w:rFonts w:ascii="Calibri" w:hAnsi="Calibri" w:cs="Calibri"/>
          <w:lang w:val="en-GB"/>
        </w:rPr>
        <w:t>building</w:t>
      </w:r>
      <w:proofErr w:type="gramEnd"/>
      <w:r w:rsidR="00FC14C0" w:rsidRPr="0029511A">
        <w:rPr>
          <w:rFonts w:ascii="Calibri" w:hAnsi="Calibri" w:cs="Calibri"/>
          <w:lang w:val="en-GB"/>
        </w:rPr>
        <w:t xml:space="preserve"> and the creation of</w:t>
      </w:r>
      <w:r w:rsidRPr="0029511A">
        <w:rPr>
          <w:rFonts w:ascii="Calibri" w:hAnsi="Calibri" w:cs="Calibri"/>
          <w:lang w:val="en-GB"/>
        </w:rPr>
        <w:t xml:space="preserve"> networks ha</w:t>
      </w:r>
      <w:r w:rsidR="00025C59" w:rsidRPr="0029511A">
        <w:rPr>
          <w:rFonts w:ascii="Calibri" w:hAnsi="Calibri" w:cs="Calibri"/>
          <w:lang w:val="en-GB"/>
        </w:rPr>
        <w:t>ve</w:t>
      </w:r>
      <w:r w:rsidRPr="0029511A">
        <w:rPr>
          <w:rFonts w:ascii="Calibri" w:hAnsi="Calibri" w:cs="Calibri"/>
          <w:lang w:val="en-GB"/>
        </w:rPr>
        <w:t xml:space="preserve"> enhanced </w:t>
      </w:r>
      <w:r w:rsidR="00437A43" w:rsidRPr="0029511A">
        <w:rPr>
          <w:rFonts w:ascii="Calibri" w:hAnsi="Calibri" w:cs="Calibri"/>
          <w:lang w:val="en-GB"/>
        </w:rPr>
        <w:t xml:space="preserve">the </w:t>
      </w:r>
      <w:r w:rsidRPr="0029511A">
        <w:rPr>
          <w:rFonts w:ascii="Calibri" w:hAnsi="Calibri" w:cs="Calibri"/>
          <w:lang w:val="en-GB"/>
        </w:rPr>
        <w:t>impact of small-scale projects</w:t>
      </w:r>
      <w:r w:rsidR="00011F43" w:rsidRPr="0029511A">
        <w:rPr>
          <w:rFonts w:ascii="Calibri" w:hAnsi="Calibri" w:cs="Calibri"/>
          <w:lang w:val="en-GB"/>
        </w:rPr>
        <w:t>.</w:t>
      </w:r>
    </w:p>
    <w:p w14:paraId="79CA150E" w14:textId="422EC79A" w:rsidR="00404AF3" w:rsidRPr="0029511A" w:rsidRDefault="00404AF3" w:rsidP="00D078C9">
      <w:pPr>
        <w:pStyle w:val="ListParagraph"/>
        <w:numPr>
          <w:ilvl w:val="1"/>
          <w:numId w:val="7"/>
        </w:numPr>
        <w:spacing w:before="120"/>
        <w:ind w:left="1080" w:hanging="357"/>
        <w:contextualSpacing w:val="0"/>
        <w:rPr>
          <w:rFonts w:ascii="Calibri" w:hAnsi="Calibri" w:cs="Calibri"/>
          <w:lang w:val="en-GB"/>
        </w:rPr>
      </w:pPr>
      <w:r w:rsidRPr="0029511A">
        <w:rPr>
          <w:rFonts w:ascii="Calibri" w:hAnsi="Calibri" w:cs="Calibri"/>
          <w:lang w:val="en-GB"/>
        </w:rPr>
        <w:t xml:space="preserve">Opportunities for peer-to-peer learning </w:t>
      </w:r>
      <w:r w:rsidR="00437A43" w:rsidRPr="0029511A">
        <w:rPr>
          <w:rFonts w:ascii="Calibri" w:hAnsi="Calibri" w:cs="Calibri"/>
          <w:lang w:val="en-GB"/>
        </w:rPr>
        <w:t xml:space="preserve">have </w:t>
      </w:r>
      <w:r w:rsidRPr="0029511A">
        <w:rPr>
          <w:rFonts w:ascii="Calibri" w:hAnsi="Calibri" w:cs="Calibri"/>
          <w:lang w:val="en-GB"/>
        </w:rPr>
        <w:t>proved invaluable for participants</w:t>
      </w:r>
      <w:r w:rsidR="00011F43" w:rsidRPr="0029511A">
        <w:rPr>
          <w:rFonts w:ascii="Calibri" w:hAnsi="Calibri" w:cs="Calibri"/>
          <w:lang w:val="en-GB"/>
        </w:rPr>
        <w:t>.</w:t>
      </w:r>
    </w:p>
    <w:p w14:paraId="63964ABA" w14:textId="2595D079" w:rsidR="00404AF3" w:rsidRPr="0029511A" w:rsidRDefault="00404AF3" w:rsidP="00D078C9">
      <w:pPr>
        <w:pStyle w:val="ListParagraph"/>
        <w:numPr>
          <w:ilvl w:val="0"/>
          <w:numId w:val="7"/>
        </w:numPr>
        <w:spacing w:before="120"/>
        <w:ind w:left="360" w:hanging="357"/>
        <w:contextualSpacing w:val="0"/>
        <w:rPr>
          <w:rFonts w:ascii="Calibri" w:hAnsi="Calibri" w:cs="Calibri"/>
          <w:lang w:val="en-GB"/>
        </w:rPr>
      </w:pPr>
      <w:r w:rsidRPr="0029511A">
        <w:rPr>
          <w:rFonts w:ascii="Calibri" w:hAnsi="Calibri" w:cs="Calibri"/>
          <w:b/>
          <w:bCs/>
          <w:lang w:val="en-GB"/>
        </w:rPr>
        <w:t>Quality of presenters</w:t>
      </w:r>
      <w:r w:rsidRPr="0029511A">
        <w:rPr>
          <w:rFonts w:ascii="Calibri" w:hAnsi="Calibri" w:cs="Calibri"/>
          <w:lang w:val="en-GB"/>
        </w:rPr>
        <w:t xml:space="preserve">: </w:t>
      </w:r>
      <w:r w:rsidR="002F7FCE" w:rsidRPr="0029511A">
        <w:rPr>
          <w:rFonts w:ascii="Calibri" w:hAnsi="Calibri" w:cs="Calibri"/>
          <w:lang w:val="en-GB"/>
        </w:rPr>
        <w:t>The often h</w:t>
      </w:r>
      <w:r w:rsidRPr="0029511A">
        <w:rPr>
          <w:rFonts w:ascii="Calibri" w:hAnsi="Calibri" w:cs="Calibri"/>
          <w:lang w:val="en-GB"/>
        </w:rPr>
        <w:t>ighly technical nature of topics</w:t>
      </w:r>
      <w:r w:rsidR="002F7FCE" w:rsidRPr="0029511A">
        <w:rPr>
          <w:rFonts w:ascii="Calibri" w:hAnsi="Calibri" w:cs="Calibri"/>
          <w:lang w:val="en-GB"/>
        </w:rPr>
        <w:t xml:space="preserve"> addressed in projects</w:t>
      </w:r>
      <w:r w:rsidRPr="0029511A">
        <w:rPr>
          <w:rFonts w:ascii="Calibri" w:hAnsi="Calibri" w:cs="Calibri"/>
          <w:lang w:val="en-GB"/>
        </w:rPr>
        <w:t xml:space="preserve"> has been made understandable through highly qualified and competent </w:t>
      </w:r>
      <w:r w:rsidR="002976D7" w:rsidRPr="0029511A">
        <w:rPr>
          <w:rFonts w:ascii="Calibri" w:hAnsi="Calibri" w:cs="Calibri"/>
          <w:lang w:val="en-GB"/>
        </w:rPr>
        <w:t xml:space="preserve">subject matter experts and/or </w:t>
      </w:r>
      <w:r w:rsidRPr="0029511A">
        <w:rPr>
          <w:rFonts w:ascii="Calibri" w:hAnsi="Calibri" w:cs="Calibri"/>
          <w:lang w:val="en-GB"/>
        </w:rPr>
        <w:t xml:space="preserve">speakers, </w:t>
      </w:r>
      <w:r w:rsidR="00025C59" w:rsidRPr="0029511A">
        <w:rPr>
          <w:rFonts w:ascii="Calibri" w:hAnsi="Calibri" w:cs="Calibri"/>
          <w:lang w:val="en-GB"/>
        </w:rPr>
        <w:t>often</w:t>
      </w:r>
      <w:r w:rsidRPr="0029511A">
        <w:rPr>
          <w:rFonts w:ascii="Calibri" w:hAnsi="Calibri" w:cs="Calibri"/>
          <w:lang w:val="en-GB"/>
        </w:rPr>
        <w:t xml:space="preserve"> using </w:t>
      </w:r>
      <w:r w:rsidR="00437A43" w:rsidRPr="0029511A">
        <w:rPr>
          <w:rFonts w:ascii="Calibri" w:hAnsi="Calibri" w:cs="Calibri"/>
          <w:lang w:val="en-GB"/>
        </w:rPr>
        <w:t>real-</w:t>
      </w:r>
      <w:r w:rsidRPr="0029511A">
        <w:rPr>
          <w:rFonts w:ascii="Calibri" w:hAnsi="Calibri" w:cs="Calibri"/>
          <w:lang w:val="en-GB"/>
        </w:rPr>
        <w:t xml:space="preserve">life examples to enhance </w:t>
      </w:r>
      <w:r w:rsidR="00025C59" w:rsidRPr="0029511A">
        <w:rPr>
          <w:rFonts w:ascii="Calibri" w:hAnsi="Calibri" w:cs="Calibri"/>
          <w:lang w:val="en-GB"/>
        </w:rPr>
        <w:t>participants' understanding</w:t>
      </w:r>
      <w:r w:rsidR="00011F43" w:rsidRPr="0029511A">
        <w:rPr>
          <w:rFonts w:ascii="Calibri" w:hAnsi="Calibri" w:cs="Calibri"/>
          <w:lang w:val="en-GB"/>
        </w:rPr>
        <w:t>.</w:t>
      </w:r>
    </w:p>
    <w:p w14:paraId="3F38EF57" w14:textId="2E1609D2" w:rsidR="00404AF3" w:rsidRPr="0029511A" w:rsidRDefault="00B154BE" w:rsidP="00D078C9">
      <w:pPr>
        <w:pStyle w:val="ListParagraph"/>
        <w:numPr>
          <w:ilvl w:val="0"/>
          <w:numId w:val="7"/>
        </w:numPr>
        <w:spacing w:before="120"/>
        <w:ind w:left="360" w:hanging="357"/>
        <w:contextualSpacing w:val="0"/>
        <w:rPr>
          <w:rFonts w:ascii="Calibri" w:hAnsi="Calibri" w:cs="Calibri"/>
          <w:lang w:val="en-GB"/>
        </w:rPr>
      </w:pPr>
      <w:r w:rsidRPr="0029511A">
        <w:rPr>
          <w:rFonts w:ascii="Calibri" w:hAnsi="Calibri" w:cs="Calibri"/>
          <w:b/>
          <w:bCs/>
          <w:lang w:val="en-GB"/>
        </w:rPr>
        <w:t>Participants</w:t>
      </w:r>
      <w:r w:rsidR="00404AF3" w:rsidRPr="0029511A">
        <w:rPr>
          <w:rFonts w:ascii="Calibri" w:hAnsi="Calibri" w:cs="Calibri"/>
          <w:lang w:val="en-GB"/>
        </w:rPr>
        <w:t>:</w:t>
      </w:r>
    </w:p>
    <w:p w14:paraId="4CFA2AD0" w14:textId="1BB98E89" w:rsidR="00404AF3" w:rsidRPr="0029511A" w:rsidRDefault="00404AF3" w:rsidP="00D078C9">
      <w:pPr>
        <w:pStyle w:val="ListParagraph"/>
        <w:numPr>
          <w:ilvl w:val="1"/>
          <w:numId w:val="7"/>
        </w:numPr>
        <w:spacing w:before="120"/>
        <w:ind w:left="1080" w:hanging="357"/>
        <w:contextualSpacing w:val="0"/>
        <w:rPr>
          <w:rFonts w:ascii="Calibri" w:hAnsi="Calibri" w:cs="Calibri"/>
          <w:lang w:val="en-GB"/>
        </w:rPr>
      </w:pPr>
      <w:r w:rsidRPr="0029511A">
        <w:rPr>
          <w:rFonts w:ascii="Calibri" w:hAnsi="Calibri" w:cs="Calibri"/>
          <w:lang w:val="en-GB"/>
        </w:rPr>
        <w:t>Ensuring the ‘right’ people attend events is critical for the realisation of the outcomes of projects</w:t>
      </w:r>
      <w:r w:rsidR="00B154BE" w:rsidRPr="0029511A">
        <w:rPr>
          <w:rFonts w:ascii="Calibri" w:hAnsi="Calibri" w:cs="Calibri"/>
          <w:lang w:val="en-GB"/>
        </w:rPr>
        <w:t xml:space="preserve"> (i.e. ensuring that the topic being addressed is of direct relevance to those attending and that those attending </w:t>
      </w:r>
      <w:r w:rsidR="003374ED" w:rsidRPr="0029511A">
        <w:rPr>
          <w:rFonts w:ascii="Calibri" w:hAnsi="Calibri" w:cs="Calibri"/>
          <w:lang w:val="en-GB"/>
        </w:rPr>
        <w:t>can</w:t>
      </w:r>
      <w:r w:rsidR="00B154BE" w:rsidRPr="0029511A">
        <w:rPr>
          <w:rFonts w:ascii="Calibri" w:hAnsi="Calibri" w:cs="Calibri"/>
          <w:lang w:val="en-GB"/>
        </w:rPr>
        <w:t xml:space="preserve"> utilise </w:t>
      </w:r>
      <w:r w:rsidR="002976D7" w:rsidRPr="0029511A">
        <w:rPr>
          <w:rFonts w:ascii="Calibri" w:hAnsi="Calibri" w:cs="Calibri"/>
          <w:lang w:val="en-GB"/>
        </w:rPr>
        <w:t xml:space="preserve">and apply </w:t>
      </w:r>
      <w:r w:rsidR="00B154BE" w:rsidRPr="0029511A">
        <w:rPr>
          <w:rFonts w:ascii="Calibri" w:hAnsi="Calibri" w:cs="Calibri"/>
          <w:lang w:val="en-GB"/>
        </w:rPr>
        <w:t>the knowledge gleaned from the project</w:t>
      </w:r>
      <w:r w:rsidR="002976D7" w:rsidRPr="0029511A">
        <w:rPr>
          <w:rFonts w:ascii="Calibri" w:hAnsi="Calibri" w:cs="Calibri"/>
          <w:lang w:val="en-GB"/>
        </w:rPr>
        <w:t xml:space="preserve"> in </w:t>
      </w:r>
      <w:r w:rsidR="007F7B08" w:rsidRPr="0029511A">
        <w:rPr>
          <w:rFonts w:ascii="Calibri" w:hAnsi="Calibri" w:cs="Calibri"/>
          <w:lang w:val="en-GB"/>
        </w:rPr>
        <w:t xml:space="preserve">a </w:t>
      </w:r>
      <w:r w:rsidR="002976D7" w:rsidRPr="0029511A">
        <w:rPr>
          <w:rFonts w:ascii="Calibri" w:hAnsi="Calibri" w:cs="Calibri"/>
          <w:lang w:val="en-GB"/>
        </w:rPr>
        <w:t>policy sense</w:t>
      </w:r>
      <w:r w:rsidR="00B154BE" w:rsidRPr="0029511A">
        <w:rPr>
          <w:rFonts w:ascii="Calibri" w:hAnsi="Calibri" w:cs="Calibri"/>
          <w:lang w:val="en-GB"/>
        </w:rPr>
        <w:t>).</w:t>
      </w:r>
      <w:r w:rsidR="00731AAF" w:rsidRPr="0029511A">
        <w:rPr>
          <w:rFonts w:ascii="Calibri" w:hAnsi="Calibri" w:cs="Calibri"/>
          <w:lang w:val="en-GB"/>
        </w:rPr>
        <w:t xml:space="preserve"> Feedback from participants suggests that when relevant discussions and conversations need to incorporate views from government officials from a wide range of ministries, it is helpful to have those ministries represented in the room. For instance, </w:t>
      </w:r>
      <w:proofErr w:type="gramStart"/>
      <w:r w:rsidR="00731AAF" w:rsidRPr="0029511A">
        <w:rPr>
          <w:rFonts w:ascii="Calibri" w:hAnsi="Calibri" w:cs="Calibri"/>
          <w:lang w:val="en-GB"/>
        </w:rPr>
        <w:t>in order to</w:t>
      </w:r>
      <w:proofErr w:type="gramEnd"/>
      <w:r w:rsidR="00731AAF" w:rsidRPr="0029511A">
        <w:rPr>
          <w:rFonts w:ascii="Calibri" w:hAnsi="Calibri" w:cs="Calibri"/>
          <w:lang w:val="en-GB"/>
        </w:rPr>
        <w:t xml:space="preserve"> develop policies and approaches to integrate women into economies more practically, it is necessary to invite speakers from Ministries of Labour or from Economic Ministries to discuss how they can advance this agenda pragmatically. </w:t>
      </w:r>
    </w:p>
    <w:p w14:paraId="00E734A6" w14:textId="44B0F3B7" w:rsidR="00B154BE" w:rsidRPr="0029511A" w:rsidRDefault="00404AF3" w:rsidP="00D078C9">
      <w:pPr>
        <w:pStyle w:val="ListParagraph"/>
        <w:numPr>
          <w:ilvl w:val="1"/>
          <w:numId w:val="7"/>
        </w:numPr>
        <w:spacing w:before="120"/>
        <w:ind w:left="1080" w:hanging="357"/>
        <w:contextualSpacing w:val="0"/>
        <w:rPr>
          <w:rFonts w:ascii="Calibri" w:hAnsi="Calibri" w:cs="Calibri"/>
          <w:lang w:val="en-GB"/>
        </w:rPr>
      </w:pPr>
      <w:r w:rsidRPr="0029511A">
        <w:rPr>
          <w:rFonts w:ascii="Calibri" w:hAnsi="Calibri" w:cs="Calibri"/>
          <w:lang w:val="en-GB"/>
        </w:rPr>
        <w:t xml:space="preserve">Recognition that cultural differences and differences in levels of experience and language (especially for those </w:t>
      </w:r>
      <w:r w:rsidR="003374ED" w:rsidRPr="0029511A">
        <w:rPr>
          <w:rFonts w:ascii="Calibri" w:hAnsi="Calibri" w:cs="Calibri"/>
          <w:lang w:val="en-GB"/>
        </w:rPr>
        <w:t xml:space="preserve">for </w:t>
      </w:r>
      <w:r w:rsidRPr="0029511A">
        <w:rPr>
          <w:rFonts w:ascii="Calibri" w:hAnsi="Calibri" w:cs="Calibri"/>
          <w:lang w:val="en-GB"/>
        </w:rPr>
        <w:t xml:space="preserve">whom English is a </w:t>
      </w:r>
      <w:r w:rsidR="007F7B08" w:rsidRPr="0029511A">
        <w:rPr>
          <w:rFonts w:ascii="Calibri" w:hAnsi="Calibri" w:cs="Calibri"/>
          <w:lang w:val="en-GB"/>
        </w:rPr>
        <w:t xml:space="preserve">second </w:t>
      </w:r>
      <w:r w:rsidR="000C3734" w:rsidRPr="0029511A">
        <w:rPr>
          <w:rFonts w:ascii="Calibri" w:hAnsi="Calibri" w:cs="Calibri"/>
          <w:lang w:val="en-GB"/>
        </w:rPr>
        <w:t>language</w:t>
      </w:r>
      <w:r w:rsidRPr="0029511A">
        <w:rPr>
          <w:rFonts w:ascii="Calibri" w:hAnsi="Calibri" w:cs="Calibri"/>
          <w:lang w:val="en-GB"/>
        </w:rPr>
        <w:t>) impact the experience of participants, and it is critical that projects acknowledge and make reasonable accommodation</w:t>
      </w:r>
      <w:r w:rsidR="006D7503" w:rsidRPr="0029511A">
        <w:rPr>
          <w:rFonts w:ascii="Calibri" w:hAnsi="Calibri" w:cs="Calibri"/>
          <w:lang w:val="en-GB"/>
        </w:rPr>
        <w:t>s</w:t>
      </w:r>
      <w:r w:rsidRPr="0029511A">
        <w:rPr>
          <w:rFonts w:ascii="Calibri" w:hAnsi="Calibri" w:cs="Calibri"/>
          <w:lang w:val="en-GB"/>
        </w:rPr>
        <w:t xml:space="preserve"> to ensure that these issues do not create barriers</w:t>
      </w:r>
      <w:r w:rsidR="003374ED" w:rsidRPr="0029511A">
        <w:rPr>
          <w:rFonts w:ascii="Calibri" w:hAnsi="Calibri" w:cs="Calibri"/>
          <w:lang w:val="en-GB"/>
        </w:rPr>
        <w:t>.</w:t>
      </w:r>
    </w:p>
    <w:p w14:paraId="15E3C0A2" w14:textId="19A4ED3C" w:rsidR="00404AF3" w:rsidRPr="0029511A" w:rsidRDefault="00404AF3" w:rsidP="00D078C9">
      <w:pPr>
        <w:pStyle w:val="ListParagraph"/>
        <w:numPr>
          <w:ilvl w:val="0"/>
          <w:numId w:val="7"/>
        </w:numPr>
        <w:spacing w:before="120"/>
        <w:ind w:left="360" w:hanging="357"/>
        <w:contextualSpacing w:val="0"/>
        <w:rPr>
          <w:rFonts w:ascii="Calibri" w:hAnsi="Calibri" w:cs="Calibri"/>
          <w:lang w:val="en-GB"/>
        </w:rPr>
      </w:pPr>
      <w:r w:rsidRPr="0029511A">
        <w:rPr>
          <w:rFonts w:ascii="Calibri" w:hAnsi="Calibri" w:cs="Calibri"/>
          <w:b/>
          <w:bCs/>
          <w:lang w:val="en-GB"/>
        </w:rPr>
        <w:t>Modality of instruction</w:t>
      </w:r>
      <w:r w:rsidRPr="0029511A">
        <w:rPr>
          <w:rFonts w:ascii="Calibri" w:hAnsi="Calibri" w:cs="Calibri"/>
          <w:lang w:val="en-GB"/>
        </w:rPr>
        <w:t>: In-person events</w:t>
      </w:r>
      <w:r w:rsidR="00C848A4" w:rsidRPr="0029511A">
        <w:rPr>
          <w:rFonts w:ascii="Calibri" w:hAnsi="Calibri" w:cs="Calibri"/>
          <w:lang w:val="en-GB"/>
        </w:rPr>
        <w:t xml:space="preserve"> have a greater impact on participant learning</w:t>
      </w:r>
      <w:r w:rsidRPr="0029511A">
        <w:rPr>
          <w:rFonts w:ascii="Calibri" w:hAnsi="Calibri" w:cs="Calibri"/>
          <w:lang w:val="en-GB"/>
        </w:rPr>
        <w:t>, notwithstanding that hybrid events (incorporating online participation) ensure greater access</w:t>
      </w:r>
      <w:r w:rsidR="003374ED" w:rsidRPr="0029511A">
        <w:rPr>
          <w:rFonts w:ascii="Calibri" w:hAnsi="Calibri" w:cs="Calibri"/>
          <w:lang w:val="en-GB"/>
        </w:rPr>
        <w:t>.</w:t>
      </w:r>
    </w:p>
    <w:p w14:paraId="5D61B9E0" w14:textId="169F16F1" w:rsidR="00404AF3" w:rsidRPr="0029511A" w:rsidRDefault="00404AF3" w:rsidP="00025C59">
      <w:pPr>
        <w:pStyle w:val="ListParagraph"/>
        <w:numPr>
          <w:ilvl w:val="1"/>
          <w:numId w:val="7"/>
        </w:numPr>
        <w:spacing w:before="120"/>
        <w:ind w:left="1080" w:hanging="357"/>
        <w:contextualSpacing w:val="0"/>
        <w:rPr>
          <w:rFonts w:ascii="Calibri" w:hAnsi="Calibri" w:cs="Calibri"/>
          <w:lang w:val="en-GB"/>
        </w:rPr>
      </w:pPr>
      <w:r w:rsidRPr="0029511A">
        <w:rPr>
          <w:rFonts w:ascii="Calibri" w:hAnsi="Calibri" w:cs="Calibri"/>
          <w:lang w:val="en-GB"/>
        </w:rPr>
        <w:t>Interactive group work/case studies enhance the experience of participants and secure better learning</w:t>
      </w:r>
      <w:r w:rsidR="003374ED" w:rsidRPr="0029511A">
        <w:rPr>
          <w:rFonts w:ascii="Calibri" w:hAnsi="Calibri" w:cs="Calibri"/>
          <w:lang w:val="en-GB"/>
        </w:rPr>
        <w:t>.</w:t>
      </w:r>
    </w:p>
    <w:p w14:paraId="738331B0" w14:textId="27164214" w:rsidR="00D53824" w:rsidRPr="0029511A" w:rsidRDefault="00404AF3" w:rsidP="00025C59">
      <w:pPr>
        <w:pStyle w:val="ListParagraph"/>
        <w:numPr>
          <w:ilvl w:val="1"/>
          <w:numId w:val="7"/>
        </w:numPr>
        <w:spacing w:before="120"/>
        <w:ind w:left="1080" w:hanging="357"/>
        <w:contextualSpacing w:val="0"/>
        <w:rPr>
          <w:rFonts w:ascii="Calibri" w:hAnsi="Calibri" w:cs="Calibri"/>
          <w:lang w:val="en-GB"/>
        </w:rPr>
      </w:pPr>
      <w:r w:rsidRPr="0029511A">
        <w:rPr>
          <w:rFonts w:ascii="Calibri" w:hAnsi="Calibri" w:cs="Calibri"/>
          <w:lang w:val="en-GB"/>
        </w:rPr>
        <w:t xml:space="preserve">Sharing of </w:t>
      </w:r>
      <w:r w:rsidR="002976D7" w:rsidRPr="0029511A">
        <w:rPr>
          <w:rFonts w:ascii="Calibri" w:hAnsi="Calibri" w:cs="Calibri"/>
          <w:lang w:val="en-GB"/>
        </w:rPr>
        <w:t xml:space="preserve">key </w:t>
      </w:r>
      <w:r w:rsidR="00022C7F" w:rsidRPr="0029511A">
        <w:rPr>
          <w:rFonts w:ascii="Calibri" w:hAnsi="Calibri" w:cs="Calibri"/>
          <w:lang w:val="en-GB"/>
        </w:rPr>
        <w:t xml:space="preserve">documents outlining the intent of the training/workshops and other </w:t>
      </w:r>
      <w:r w:rsidRPr="0029511A">
        <w:rPr>
          <w:rFonts w:ascii="Calibri" w:hAnsi="Calibri" w:cs="Calibri"/>
          <w:lang w:val="en-GB"/>
        </w:rPr>
        <w:t xml:space="preserve">materials prior to events has been found to ensure participants are often in a better position to participate in </w:t>
      </w:r>
      <w:r w:rsidR="006D7503" w:rsidRPr="0029511A">
        <w:rPr>
          <w:rFonts w:ascii="Calibri" w:hAnsi="Calibri" w:cs="Calibri"/>
          <w:lang w:val="en-GB"/>
        </w:rPr>
        <w:t xml:space="preserve">the </w:t>
      </w:r>
      <w:r w:rsidRPr="0029511A">
        <w:rPr>
          <w:rFonts w:ascii="Calibri" w:hAnsi="Calibri" w:cs="Calibri"/>
          <w:lang w:val="en-GB"/>
        </w:rPr>
        <w:t>discussion and, if applicable, aids in decision</w:t>
      </w:r>
      <w:r w:rsidR="006D7503" w:rsidRPr="0029511A">
        <w:rPr>
          <w:rFonts w:ascii="Calibri" w:hAnsi="Calibri" w:cs="Calibri"/>
          <w:lang w:val="en-GB"/>
        </w:rPr>
        <w:t>-</w:t>
      </w:r>
      <w:r w:rsidRPr="0029511A">
        <w:rPr>
          <w:rFonts w:ascii="Calibri" w:hAnsi="Calibri" w:cs="Calibri"/>
          <w:lang w:val="en-GB"/>
        </w:rPr>
        <w:t>making</w:t>
      </w:r>
      <w:r w:rsidR="00FD1ABB" w:rsidRPr="0029511A">
        <w:rPr>
          <w:rFonts w:ascii="Calibri" w:hAnsi="Calibri" w:cs="Calibri"/>
          <w:lang w:val="en-GB"/>
        </w:rPr>
        <w:t>.</w:t>
      </w:r>
    </w:p>
    <w:p w14:paraId="0CB31B21" w14:textId="6F7B12EB" w:rsidR="00BE070C" w:rsidRPr="0029511A" w:rsidRDefault="00BE070C" w:rsidP="00D078C9">
      <w:pPr>
        <w:pStyle w:val="ListParagraph"/>
        <w:numPr>
          <w:ilvl w:val="0"/>
          <w:numId w:val="7"/>
        </w:numPr>
        <w:spacing w:before="120"/>
        <w:ind w:left="360" w:hanging="357"/>
        <w:contextualSpacing w:val="0"/>
        <w:rPr>
          <w:rFonts w:ascii="Calibri" w:hAnsi="Calibri" w:cs="Calibri"/>
          <w:lang w:val="en-GB"/>
        </w:rPr>
      </w:pPr>
      <w:r w:rsidRPr="0029511A">
        <w:rPr>
          <w:rFonts w:ascii="Calibri" w:hAnsi="Calibri" w:cs="Calibri"/>
          <w:b/>
          <w:bCs/>
          <w:lang w:val="en-GB"/>
        </w:rPr>
        <w:t xml:space="preserve">Monitoring and </w:t>
      </w:r>
      <w:r w:rsidR="001905DF" w:rsidRPr="0029511A">
        <w:rPr>
          <w:rFonts w:ascii="Calibri" w:hAnsi="Calibri" w:cs="Calibri"/>
          <w:b/>
          <w:bCs/>
          <w:lang w:val="en-GB"/>
        </w:rPr>
        <w:t>e</w:t>
      </w:r>
      <w:r w:rsidRPr="0029511A">
        <w:rPr>
          <w:rFonts w:ascii="Calibri" w:hAnsi="Calibri" w:cs="Calibri"/>
          <w:b/>
          <w:bCs/>
          <w:lang w:val="en-GB"/>
        </w:rPr>
        <w:t>valuation</w:t>
      </w:r>
      <w:r w:rsidRPr="0029511A">
        <w:rPr>
          <w:rFonts w:ascii="Calibri" w:hAnsi="Calibri" w:cs="Calibri"/>
          <w:lang w:val="en-GB"/>
        </w:rPr>
        <w:t>: When projects have been designed without appropriate reference to the AASP’s Theory of Change (</w:t>
      </w:r>
      <w:proofErr w:type="spellStart"/>
      <w:r w:rsidRPr="0029511A">
        <w:rPr>
          <w:rFonts w:ascii="Calibri" w:hAnsi="Calibri" w:cs="Calibri"/>
          <w:lang w:val="en-GB"/>
        </w:rPr>
        <w:t>ToC</w:t>
      </w:r>
      <w:proofErr w:type="spellEnd"/>
      <w:r w:rsidRPr="0029511A">
        <w:rPr>
          <w:rFonts w:ascii="Calibri" w:hAnsi="Calibri" w:cs="Calibri"/>
          <w:lang w:val="en-GB"/>
        </w:rPr>
        <w:t>)</w:t>
      </w:r>
      <w:r w:rsidR="00F841C4" w:rsidRPr="0029511A">
        <w:rPr>
          <w:rFonts w:ascii="Calibri" w:hAnsi="Calibri" w:cs="Calibri"/>
          <w:lang w:val="en-GB"/>
        </w:rPr>
        <w:t>,</w:t>
      </w:r>
      <w:r w:rsidRPr="0029511A">
        <w:rPr>
          <w:rFonts w:ascii="Calibri" w:hAnsi="Calibri" w:cs="Calibri"/>
          <w:lang w:val="en-GB"/>
        </w:rPr>
        <w:t xml:space="preserve"> this has made it difficult to monitor progress against the objectives and outcomes of the AASP.</w:t>
      </w:r>
      <w:r w:rsidR="00C541C5" w:rsidRPr="0029511A">
        <w:rPr>
          <w:rFonts w:ascii="Calibri" w:hAnsi="Calibri" w:cs="Calibri"/>
          <w:lang w:val="en-GB"/>
        </w:rPr>
        <w:t xml:space="preserve"> It is vital to maintain the line of sight between the </w:t>
      </w:r>
      <w:r w:rsidR="0091229C" w:rsidRPr="0029511A">
        <w:rPr>
          <w:rFonts w:ascii="Calibri" w:hAnsi="Calibri" w:cs="Calibri"/>
          <w:lang w:val="en-GB"/>
        </w:rPr>
        <w:t>high-level</w:t>
      </w:r>
      <w:r w:rsidR="00C541C5" w:rsidRPr="0029511A">
        <w:rPr>
          <w:rFonts w:ascii="Calibri" w:hAnsi="Calibri" w:cs="Calibri"/>
          <w:lang w:val="en-GB"/>
        </w:rPr>
        <w:t xml:space="preserve"> objectives and outputs</w:t>
      </w:r>
      <w:r w:rsidR="00E35B60" w:rsidRPr="0029511A">
        <w:rPr>
          <w:rFonts w:ascii="Calibri" w:hAnsi="Calibri" w:cs="Calibri"/>
          <w:lang w:val="en-GB"/>
        </w:rPr>
        <w:t xml:space="preserve"> of the AASP (as</w:t>
      </w:r>
      <w:r w:rsidR="00C541C5" w:rsidRPr="0029511A">
        <w:rPr>
          <w:rFonts w:ascii="Calibri" w:hAnsi="Calibri" w:cs="Calibri"/>
          <w:lang w:val="en-GB"/>
        </w:rPr>
        <w:t xml:space="preserve"> outlined in the </w:t>
      </w:r>
      <w:proofErr w:type="spellStart"/>
      <w:r w:rsidR="00C541C5" w:rsidRPr="0029511A">
        <w:rPr>
          <w:rFonts w:ascii="Calibri" w:hAnsi="Calibri" w:cs="Calibri"/>
          <w:lang w:val="en-GB"/>
        </w:rPr>
        <w:t>ToC</w:t>
      </w:r>
      <w:proofErr w:type="spellEnd"/>
      <w:r w:rsidR="00E35B60" w:rsidRPr="0029511A">
        <w:rPr>
          <w:rFonts w:ascii="Calibri" w:hAnsi="Calibri" w:cs="Calibri"/>
          <w:lang w:val="en-GB"/>
        </w:rPr>
        <w:t>)</w:t>
      </w:r>
      <w:r w:rsidR="00C541C5" w:rsidRPr="0029511A">
        <w:rPr>
          <w:rFonts w:ascii="Calibri" w:hAnsi="Calibri" w:cs="Calibri"/>
          <w:lang w:val="en-GB"/>
        </w:rPr>
        <w:t xml:space="preserve"> </w:t>
      </w:r>
      <w:r w:rsidR="002D15CE" w:rsidRPr="0029511A">
        <w:rPr>
          <w:rFonts w:ascii="Calibri" w:hAnsi="Calibri" w:cs="Calibri"/>
          <w:lang w:val="en-GB"/>
        </w:rPr>
        <w:t xml:space="preserve">and </w:t>
      </w:r>
      <w:r w:rsidR="00E35B60" w:rsidRPr="0029511A">
        <w:rPr>
          <w:rFonts w:ascii="Calibri" w:hAnsi="Calibri" w:cs="Calibri"/>
          <w:lang w:val="en-GB"/>
        </w:rPr>
        <w:t>individual project</w:t>
      </w:r>
      <w:r w:rsidR="007F7B08" w:rsidRPr="0029511A">
        <w:rPr>
          <w:rFonts w:ascii="Calibri" w:hAnsi="Calibri" w:cs="Calibri"/>
          <w:lang w:val="en-GB"/>
        </w:rPr>
        <w:t>s’</w:t>
      </w:r>
      <w:r w:rsidR="00E35B60" w:rsidRPr="0029511A">
        <w:rPr>
          <w:rFonts w:ascii="Calibri" w:hAnsi="Calibri" w:cs="Calibri"/>
          <w:lang w:val="en-GB"/>
        </w:rPr>
        <w:t xml:space="preserve"> intended objectives. This also ensures better capturing of any risks and related mitigation.</w:t>
      </w:r>
    </w:p>
    <w:p w14:paraId="3FA583C4" w14:textId="6566572C" w:rsidR="006016AA" w:rsidRPr="0029511A" w:rsidRDefault="00BE070C" w:rsidP="00D078C9">
      <w:pPr>
        <w:pStyle w:val="ListParagraph"/>
        <w:numPr>
          <w:ilvl w:val="1"/>
          <w:numId w:val="7"/>
        </w:numPr>
        <w:spacing w:before="120"/>
        <w:ind w:left="1080" w:hanging="357"/>
        <w:contextualSpacing w:val="0"/>
        <w:rPr>
          <w:rFonts w:ascii="Calibri" w:hAnsi="Calibri" w:cs="Calibri"/>
          <w:lang w:val="en-GB"/>
        </w:rPr>
      </w:pPr>
      <w:r w:rsidRPr="0029511A">
        <w:rPr>
          <w:rFonts w:ascii="Calibri" w:hAnsi="Calibri" w:cs="Calibri"/>
          <w:lang w:val="en-GB"/>
        </w:rPr>
        <w:t xml:space="preserve">Online use of survey platforms (such as </w:t>
      </w:r>
      <w:proofErr w:type="spellStart"/>
      <w:r w:rsidRPr="0029511A">
        <w:rPr>
          <w:rFonts w:ascii="Calibri" w:hAnsi="Calibri" w:cs="Calibri"/>
          <w:lang w:val="en-GB"/>
        </w:rPr>
        <w:t>Mentimeter</w:t>
      </w:r>
      <w:proofErr w:type="spellEnd"/>
      <w:r w:rsidRPr="0029511A">
        <w:rPr>
          <w:rFonts w:ascii="Calibri" w:hAnsi="Calibri" w:cs="Calibri"/>
          <w:lang w:val="en-GB"/>
        </w:rPr>
        <w:t xml:space="preserve">) </w:t>
      </w:r>
      <w:r w:rsidR="002D15CE" w:rsidRPr="0029511A">
        <w:rPr>
          <w:rFonts w:ascii="Calibri" w:hAnsi="Calibri" w:cs="Calibri"/>
          <w:lang w:val="en-GB"/>
        </w:rPr>
        <w:t xml:space="preserve">has </w:t>
      </w:r>
      <w:r w:rsidRPr="0029511A">
        <w:rPr>
          <w:rFonts w:ascii="Calibri" w:hAnsi="Calibri" w:cs="Calibri"/>
          <w:lang w:val="en-GB"/>
        </w:rPr>
        <w:t>ensured significantly higher response rates and ensure</w:t>
      </w:r>
      <w:r w:rsidR="002D15CE" w:rsidRPr="0029511A">
        <w:rPr>
          <w:rFonts w:ascii="Calibri" w:hAnsi="Calibri" w:cs="Calibri"/>
          <w:lang w:val="en-GB"/>
        </w:rPr>
        <w:t>s</w:t>
      </w:r>
      <w:r w:rsidRPr="0029511A">
        <w:rPr>
          <w:rFonts w:ascii="Calibri" w:hAnsi="Calibri" w:cs="Calibri"/>
          <w:lang w:val="en-GB"/>
        </w:rPr>
        <w:t xml:space="preserve"> responses are collected in </w:t>
      </w:r>
      <w:r w:rsidR="007F7B08" w:rsidRPr="0029511A">
        <w:rPr>
          <w:rFonts w:ascii="Calibri" w:hAnsi="Calibri" w:cs="Calibri"/>
          <w:lang w:val="en-GB"/>
        </w:rPr>
        <w:t>real</w:t>
      </w:r>
      <w:r w:rsidR="002D15CE" w:rsidRPr="0029511A">
        <w:rPr>
          <w:rFonts w:ascii="Calibri" w:hAnsi="Calibri" w:cs="Calibri"/>
          <w:lang w:val="en-GB"/>
        </w:rPr>
        <w:t xml:space="preserve"> </w:t>
      </w:r>
      <w:r w:rsidRPr="0029511A">
        <w:rPr>
          <w:rFonts w:ascii="Calibri" w:hAnsi="Calibri" w:cs="Calibri"/>
          <w:lang w:val="en-GB"/>
        </w:rPr>
        <w:t xml:space="preserve">time to enable </w:t>
      </w:r>
      <w:r w:rsidR="00025C59" w:rsidRPr="0029511A">
        <w:rPr>
          <w:rFonts w:ascii="Calibri" w:hAnsi="Calibri" w:cs="Calibri"/>
          <w:lang w:val="en-GB"/>
        </w:rPr>
        <w:t>participant feedback</w:t>
      </w:r>
      <w:r w:rsidRPr="0029511A">
        <w:rPr>
          <w:rFonts w:ascii="Calibri" w:hAnsi="Calibri" w:cs="Calibri"/>
          <w:lang w:val="en-GB"/>
        </w:rPr>
        <w:t>.</w:t>
      </w:r>
    </w:p>
    <w:p w14:paraId="4ED49EFD" w14:textId="77777777" w:rsidR="00D229F4" w:rsidRPr="0029511A" w:rsidRDefault="00D229F4" w:rsidP="00BE5CCA">
      <w:pPr>
        <w:rPr>
          <w:rFonts w:ascii="Calibri" w:hAnsi="Calibri" w:cs="Calibri"/>
          <w:lang w:val="en-GB"/>
        </w:rPr>
        <w:sectPr w:rsidR="00D229F4" w:rsidRPr="0029511A" w:rsidSect="00D229F4">
          <w:pgSz w:w="11900" w:h="16840"/>
          <w:pgMar w:top="1418" w:right="1440" w:bottom="1440" w:left="1440" w:header="709" w:footer="709" w:gutter="0"/>
          <w:cols w:space="708"/>
          <w:docGrid w:linePitch="360"/>
        </w:sectPr>
      </w:pPr>
    </w:p>
    <w:p w14:paraId="384BB3FB" w14:textId="2158AC87" w:rsidR="00BE5CCA" w:rsidRPr="0029511A" w:rsidRDefault="00BE5CCA" w:rsidP="00BE5CCA">
      <w:pPr>
        <w:rPr>
          <w:rFonts w:ascii="Calibri" w:hAnsi="Calibri" w:cs="Calibri"/>
          <w:lang w:val="en-GB"/>
        </w:rPr>
      </w:pPr>
    </w:p>
    <w:p w14:paraId="5AE4222D" w14:textId="77777777" w:rsidR="00FB7C70" w:rsidRDefault="00FB7C70" w:rsidP="00BE5CCA">
      <w:pPr>
        <w:rPr>
          <w:rFonts w:ascii="Calibri" w:hAnsi="Calibri" w:cs="Calibri"/>
          <w:lang w:val="en-GB"/>
        </w:rPr>
      </w:pPr>
    </w:p>
    <w:p w14:paraId="5A550849" w14:textId="77777777" w:rsidR="000242F8" w:rsidRDefault="000242F8" w:rsidP="00BE5CCA">
      <w:pPr>
        <w:rPr>
          <w:rFonts w:ascii="Calibri" w:hAnsi="Calibri" w:cs="Calibri"/>
          <w:lang w:val="en-GB"/>
        </w:rPr>
      </w:pPr>
    </w:p>
    <w:p w14:paraId="12B8C4BA" w14:textId="446D2B6A" w:rsidR="000242F8" w:rsidRPr="0029511A" w:rsidRDefault="000242F8" w:rsidP="00BE5CCA">
      <w:pPr>
        <w:rPr>
          <w:rFonts w:ascii="Calibri" w:hAnsi="Calibri" w:cs="Calibri"/>
          <w:lang w:val="en-GB"/>
        </w:rPr>
        <w:sectPr w:rsidR="000242F8" w:rsidRPr="0029511A" w:rsidSect="00D229F4">
          <w:type w:val="continuous"/>
          <w:pgSz w:w="11900" w:h="16840"/>
          <w:pgMar w:top="1418" w:right="1440" w:bottom="1440" w:left="1440" w:header="709" w:footer="709" w:gutter="0"/>
          <w:cols w:num="2" w:space="708"/>
          <w:docGrid w:linePitch="360"/>
        </w:sectPr>
      </w:pPr>
    </w:p>
    <w:p w14:paraId="4E9404B3" w14:textId="4942D47F" w:rsidR="00FB2C3C" w:rsidRPr="0029511A" w:rsidRDefault="00404AF3" w:rsidP="00881A99">
      <w:pPr>
        <w:pStyle w:val="Heading1"/>
        <w:rPr>
          <w:rFonts w:ascii="Calibri" w:hAnsi="Calibri" w:cs="Calibri"/>
          <w:sz w:val="22"/>
          <w:szCs w:val="22"/>
          <w:lang w:val="en-GB"/>
        </w:rPr>
      </w:pPr>
      <w:bookmarkStart w:id="57" w:name="_Ref184888750"/>
      <w:bookmarkStart w:id="58" w:name="_Toc190934894"/>
      <w:r w:rsidRPr="0029511A">
        <w:rPr>
          <w:rFonts w:ascii="Calibri" w:hAnsi="Calibri" w:cs="Calibri"/>
          <w:sz w:val="22"/>
          <w:szCs w:val="22"/>
          <w:lang w:val="en-GB"/>
        </w:rPr>
        <w:lastRenderedPageBreak/>
        <w:t>Conclusion and Recommendations</w:t>
      </w:r>
      <w:bookmarkEnd w:id="57"/>
      <w:bookmarkEnd w:id="58"/>
      <w:r w:rsidRPr="0029511A">
        <w:rPr>
          <w:rFonts w:ascii="Calibri" w:hAnsi="Calibri" w:cs="Calibri"/>
          <w:sz w:val="22"/>
          <w:szCs w:val="22"/>
          <w:lang w:val="en-GB"/>
        </w:rPr>
        <w:t xml:space="preserve"> </w:t>
      </w:r>
      <w:bookmarkEnd w:id="52"/>
    </w:p>
    <w:p w14:paraId="273B2B57" w14:textId="77777777" w:rsidR="005D53AA" w:rsidRPr="0029511A" w:rsidRDefault="005D53AA" w:rsidP="00103054">
      <w:pPr>
        <w:pStyle w:val="Subheading"/>
        <w:rPr>
          <w:rFonts w:ascii="Calibri" w:hAnsi="Calibri" w:cs="Calibri"/>
          <w:lang w:val="en-GB"/>
        </w:rPr>
        <w:sectPr w:rsidR="005D53AA" w:rsidRPr="0029511A" w:rsidSect="00D229F4">
          <w:type w:val="continuous"/>
          <w:pgSz w:w="11900" w:h="16840"/>
          <w:pgMar w:top="1418" w:right="1440" w:bottom="1440" w:left="1440" w:header="709" w:footer="709" w:gutter="0"/>
          <w:cols w:space="708"/>
          <w:docGrid w:linePitch="360"/>
        </w:sectPr>
      </w:pPr>
      <w:bookmarkStart w:id="59" w:name="_Toc520113657"/>
      <w:bookmarkStart w:id="60" w:name="_Toc520113947"/>
      <w:bookmarkStart w:id="61" w:name="_Toc520292699"/>
    </w:p>
    <w:p w14:paraId="08FDB2E3" w14:textId="51185806" w:rsidR="00691948" w:rsidRPr="000242F8" w:rsidRDefault="00103054" w:rsidP="00103054">
      <w:pPr>
        <w:pStyle w:val="Subheading"/>
        <w:rPr>
          <w:rFonts w:ascii="Calibri" w:hAnsi="Calibri" w:cs="Calibri"/>
          <w:color w:val="002060"/>
          <w:lang w:val="en-GB"/>
        </w:rPr>
      </w:pPr>
      <w:r w:rsidRPr="000242F8">
        <w:rPr>
          <w:rFonts w:ascii="Calibri" w:hAnsi="Calibri" w:cs="Calibri"/>
          <w:color w:val="002060"/>
          <w:lang w:val="en-GB"/>
        </w:rPr>
        <w:t>Conclusions</w:t>
      </w:r>
    </w:p>
    <w:p w14:paraId="19CF2FA5" w14:textId="53059187" w:rsidR="00D82C69" w:rsidRPr="0029511A" w:rsidRDefault="00432CAD" w:rsidP="00873346">
      <w:pPr>
        <w:spacing w:after="160" w:line="252" w:lineRule="auto"/>
        <w:rPr>
          <w:rFonts w:ascii="Calibri" w:hAnsi="Calibri" w:cs="Calibri"/>
          <w:lang w:val="en-GB"/>
        </w:rPr>
      </w:pPr>
      <w:r w:rsidRPr="0029511A">
        <w:rPr>
          <w:rFonts w:ascii="Calibri" w:hAnsi="Calibri" w:cs="Calibri"/>
          <w:lang w:val="en-GB"/>
        </w:rPr>
        <w:t>The overall conclusion of the MTR is that the AASP is making strong progress towards its expected outcomes and that the management and implementation of the projects the AASP supports have been largely effective and efficient.</w:t>
      </w:r>
      <w:r w:rsidR="00774B14" w:rsidRPr="0029511A">
        <w:rPr>
          <w:rFonts w:ascii="Calibri" w:hAnsi="Calibri" w:cs="Calibri"/>
          <w:lang w:val="en-GB"/>
        </w:rPr>
        <w:t xml:space="preserve"> The AASP has supported a growing body of work to help progress </w:t>
      </w:r>
      <w:r w:rsidR="00873346" w:rsidRPr="0029511A">
        <w:rPr>
          <w:rFonts w:ascii="Calibri" w:hAnsi="Calibri" w:cs="Calibri"/>
          <w:lang w:val="en-GB"/>
        </w:rPr>
        <w:t>regional economic integration and structural reform that</w:t>
      </w:r>
      <w:r w:rsidR="00774B14" w:rsidRPr="0029511A">
        <w:rPr>
          <w:rStyle w:val="cf21"/>
          <w:rFonts w:ascii="Calibri" w:hAnsi="Calibri"/>
        </w:rPr>
        <w:t xml:space="preserve"> </w:t>
      </w:r>
      <w:r w:rsidR="007F7B08" w:rsidRPr="0029511A">
        <w:rPr>
          <w:rStyle w:val="cf21"/>
          <w:rFonts w:ascii="Calibri" w:hAnsi="Calibri"/>
        </w:rPr>
        <w:t>is</w:t>
      </w:r>
      <w:r w:rsidR="00774B14" w:rsidRPr="0029511A">
        <w:rPr>
          <w:rStyle w:val="cf21"/>
          <w:rFonts w:ascii="Calibri" w:hAnsi="Calibri"/>
        </w:rPr>
        <w:t xml:space="preserve"> consistent with Australia’s broader trade and investment agenda</w:t>
      </w:r>
      <w:r w:rsidR="00873346" w:rsidRPr="0029511A">
        <w:rPr>
          <w:rStyle w:val="cf21"/>
          <w:rFonts w:ascii="Calibri" w:hAnsi="Calibri"/>
        </w:rPr>
        <w:t xml:space="preserve"> to maximise inclusive growth for APEC developing economies</w:t>
      </w:r>
      <w:r w:rsidR="00774B14" w:rsidRPr="0029511A">
        <w:rPr>
          <w:rStyle w:val="cf21"/>
          <w:rFonts w:ascii="Calibri" w:hAnsi="Calibri"/>
        </w:rPr>
        <w:t xml:space="preserve">. </w:t>
      </w:r>
      <w:r w:rsidR="00873346" w:rsidRPr="0029511A">
        <w:rPr>
          <w:rStyle w:val="cf21"/>
          <w:rFonts w:ascii="Calibri" w:hAnsi="Calibri"/>
        </w:rPr>
        <w:t>The AASP has contributed to enhancing Australia’s influence within APEC and across the region to support open and free rules-based trading systems that bring mutual benefit to participating economies</w:t>
      </w:r>
      <w:r w:rsidR="00774B14" w:rsidRPr="0029511A">
        <w:rPr>
          <w:rFonts w:ascii="Calibri" w:hAnsi="Calibri" w:cs="Calibri"/>
          <w:lang w:val="en-GB"/>
        </w:rPr>
        <w:t>.</w:t>
      </w:r>
      <w:r w:rsidR="00D82C69" w:rsidRPr="0029511A">
        <w:rPr>
          <w:rFonts w:ascii="Calibri" w:hAnsi="Calibri" w:cs="Calibri"/>
          <w:lang w:val="en-GB"/>
        </w:rPr>
        <w:t xml:space="preserve"> </w:t>
      </w:r>
    </w:p>
    <w:p w14:paraId="6F6D4E1E" w14:textId="01D66593" w:rsidR="00432CAD" w:rsidRPr="0029511A" w:rsidRDefault="00D82C69" w:rsidP="004670BE">
      <w:pPr>
        <w:spacing w:after="160" w:line="252" w:lineRule="auto"/>
        <w:rPr>
          <w:rFonts w:ascii="Calibri" w:hAnsi="Calibri" w:cs="Calibri"/>
          <w:lang w:val="en-GB"/>
        </w:rPr>
      </w:pPr>
      <w:r w:rsidRPr="0029511A">
        <w:rPr>
          <w:rFonts w:ascii="Calibri" w:hAnsi="Calibri" w:cs="Calibri"/>
          <w:lang w:val="en-GB"/>
        </w:rPr>
        <w:t>Australia has played a pivotal role in working constructively with APEC economies to support increasing prioritisation of gender equality in APEC, expanding APEC’s work program on Indigenous trade and investment, and promoting discussion of disability equity.</w:t>
      </w:r>
    </w:p>
    <w:p w14:paraId="4C9C1233" w14:textId="7EFE868F" w:rsidR="00432CAD" w:rsidRPr="0029511A" w:rsidRDefault="00432CAD" w:rsidP="004670BE">
      <w:pPr>
        <w:spacing w:after="160" w:line="252" w:lineRule="auto"/>
        <w:rPr>
          <w:rFonts w:ascii="Calibri" w:hAnsi="Calibri" w:cs="Calibri"/>
          <w:lang w:val="en-GB"/>
        </w:rPr>
      </w:pPr>
      <w:r w:rsidRPr="0029511A">
        <w:rPr>
          <w:rFonts w:ascii="Calibri" w:hAnsi="Calibri" w:cs="Calibri"/>
          <w:lang w:val="en-GB"/>
        </w:rPr>
        <w:t>Factors for the ongoing success of the AASP include the efficacy of the program management team</w:t>
      </w:r>
      <w:r w:rsidR="00103054" w:rsidRPr="0029511A">
        <w:rPr>
          <w:rFonts w:ascii="Calibri" w:hAnsi="Calibri" w:cs="Calibri"/>
          <w:lang w:val="en-GB"/>
        </w:rPr>
        <w:t xml:space="preserve"> (aided by the robust systems in place to ensure </w:t>
      </w:r>
      <w:r w:rsidR="009B0278" w:rsidRPr="0029511A">
        <w:rPr>
          <w:rFonts w:ascii="Calibri" w:hAnsi="Calibri" w:cs="Calibri"/>
          <w:lang w:val="en-GB"/>
        </w:rPr>
        <w:t xml:space="preserve">the </w:t>
      </w:r>
      <w:r w:rsidR="00103054" w:rsidRPr="0029511A">
        <w:rPr>
          <w:rFonts w:ascii="Calibri" w:hAnsi="Calibri" w:cs="Calibri"/>
          <w:lang w:val="en-GB"/>
        </w:rPr>
        <w:t xml:space="preserve">rigorous design of </w:t>
      </w:r>
      <w:r w:rsidR="00F964AD" w:rsidRPr="0029511A">
        <w:rPr>
          <w:rFonts w:ascii="Calibri" w:hAnsi="Calibri" w:cs="Calibri"/>
          <w:lang w:val="en-GB"/>
        </w:rPr>
        <w:t xml:space="preserve">each </w:t>
      </w:r>
      <w:r w:rsidR="00103054" w:rsidRPr="0029511A">
        <w:rPr>
          <w:rFonts w:ascii="Calibri" w:hAnsi="Calibri" w:cs="Calibri"/>
          <w:lang w:val="en-GB"/>
        </w:rPr>
        <w:t xml:space="preserve">project), the use of highly competent implementing partners, and the fact that projects are responding to the specific needs of developing economies within APEC. Feedback from participants and partners was positive </w:t>
      </w:r>
      <w:r w:rsidR="007F7B08" w:rsidRPr="0029511A">
        <w:rPr>
          <w:rFonts w:ascii="Calibri" w:hAnsi="Calibri" w:cs="Calibri"/>
          <w:lang w:val="en-GB"/>
        </w:rPr>
        <w:t xml:space="preserve">on </w:t>
      </w:r>
      <w:r w:rsidR="00103054" w:rsidRPr="0029511A">
        <w:rPr>
          <w:rFonts w:ascii="Calibri" w:hAnsi="Calibri" w:cs="Calibri"/>
          <w:lang w:val="en-GB"/>
        </w:rPr>
        <w:t xml:space="preserve">the utility of the outputs of the AASP, the </w:t>
      </w:r>
      <w:proofErr w:type="gramStart"/>
      <w:r w:rsidR="00103054" w:rsidRPr="0029511A">
        <w:rPr>
          <w:rFonts w:ascii="Calibri" w:hAnsi="Calibri" w:cs="Calibri"/>
          <w:lang w:val="en-GB"/>
        </w:rPr>
        <w:t>manner in which</w:t>
      </w:r>
      <w:proofErr w:type="gramEnd"/>
      <w:r w:rsidR="00103054" w:rsidRPr="0029511A">
        <w:rPr>
          <w:rFonts w:ascii="Calibri" w:hAnsi="Calibri" w:cs="Calibri"/>
          <w:lang w:val="en-GB"/>
        </w:rPr>
        <w:t xml:space="preserve"> projects are delivered, and the quality of subject experts used in projects. Representatives from different economies provided a range of different examples of how the different projects have contributed to improved capacity. Key informants also acknowledged the importance that the program has placed on both gender </w:t>
      </w:r>
      <w:r w:rsidR="00EF77EB" w:rsidRPr="0029511A">
        <w:rPr>
          <w:rFonts w:ascii="Calibri" w:hAnsi="Calibri" w:cs="Calibri"/>
          <w:lang w:val="en-GB"/>
        </w:rPr>
        <w:t>equality</w:t>
      </w:r>
      <w:r w:rsidR="00103054" w:rsidRPr="0029511A">
        <w:rPr>
          <w:rFonts w:ascii="Calibri" w:hAnsi="Calibri" w:cs="Calibri"/>
          <w:lang w:val="en-GB"/>
        </w:rPr>
        <w:t xml:space="preserve"> and social inclusion.</w:t>
      </w:r>
    </w:p>
    <w:p w14:paraId="50337AE9" w14:textId="4397D4E7" w:rsidR="00103054" w:rsidRPr="0029511A" w:rsidRDefault="003B7C57" w:rsidP="004670BE">
      <w:pPr>
        <w:spacing w:after="160" w:line="252" w:lineRule="auto"/>
        <w:rPr>
          <w:rFonts w:ascii="Calibri" w:hAnsi="Calibri" w:cs="Calibri"/>
          <w:lang w:val="en-GB"/>
        </w:rPr>
      </w:pPr>
      <w:bookmarkStart w:id="62" w:name="OLE_LINK5"/>
      <w:r w:rsidRPr="0029511A">
        <w:rPr>
          <w:rFonts w:ascii="Calibri" w:hAnsi="Calibri" w:cs="Calibri"/>
          <w:lang w:val="en-GB"/>
        </w:rPr>
        <w:t>While the program has achieved its intermediate outcomes thus far, it has not been without a few challenges that require monitoring throughout the remaining implementation period. This includes the finding that not all whole-of-government partners are structured or resourced adequately to undertake AASP projects, which involve burdensome procurement activities related to implementation. Additionally, staff turnover within APS agencies can impact the momentum of projects.</w:t>
      </w:r>
    </w:p>
    <w:bookmarkEnd w:id="62"/>
    <w:p w14:paraId="561178AD" w14:textId="00F8EACB" w:rsidR="00103054" w:rsidRPr="0029511A" w:rsidRDefault="00103054" w:rsidP="004670BE">
      <w:pPr>
        <w:spacing w:after="160" w:line="252" w:lineRule="auto"/>
        <w:rPr>
          <w:rFonts w:ascii="Calibri" w:hAnsi="Calibri" w:cs="Calibri"/>
          <w:lang w:val="en-GB"/>
        </w:rPr>
      </w:pPr>
      <w:r w:rsidRPr="0029511A">
        <w:rPr>
          <w:rFonts w:ascii="Calibri" w:hAnsi="Calibri" w:cs="Calibri"/>
          <w:lang w:val="en-GB"/>
        </w:rPr>
        <w:t xml:space="preserve">The program is seen to be efficient, expenditure is on track, and the program has continuously incorporated measures to enhance </w:t>
      </w:r>
      <w:r w:rsidR="009B0278" w:rsidRPr="0029511A">
        <w:rPr>
          <w:rFonts w:ascii="Calibri" w:hAnsi="Calibri" w:cs="Calibri"/>
          <w:lang w:val="en-GB"/>
        </w:rPr>
        <w:t xml:space="preserve">the </w:t>
      </w:r>
      <w:r w:rsidRPr="0029511A">
        <w:rPr>
          <w:rFonts w:ascii="Calibri" w:hAnsi="Calibri" w:cs="Calibri"/>
          <w:lang w:val="en-GB"/>
        </w:rPr>
        <w:t>efficient delivery of projects.</w:t>
      </w:r>
      <w:r w:rsidR="00537A19" w:rsidRPr="0029511A">
        <w:rPr>
          <w:rFonts w:ascii="Calibri" w:hAnsi="Calibri" w:cs="Calibri"/>
          <w:lang w:val="en-GB"/>
        </w:rPr>
        <w:t xml:space="preserve"> The AASP has ensured a relatively balanced portfolio across the key priorities of the program</w:t>
      </w:r>
      <w:r w:rsidR="00C848A4" w:rsidRPr="0029511A">
        <w:rPr>
          <w:rFonts w:ascii="Calibri" w:hAnsi="Calibri" w:cs="Calibri"/>
          <w:lang w:val="en-GB"/>
        </w:rPr>
        <w:t xml:space="preserve">. </w:t>
      </w:r>
      <w:r w:rsidR="00537A19" w:rsidRPr="0029511A">
        <w:rPr>
          <w:rFonts w:ascii="Calibri" w:hAnsi="Calibri" w:cs="Calibri"/>
          <w:lang w:val="en-GB"/>
        </w:rPr>
        <w:t>The program will need to be continually proactive in ensuring that the pipeline continues to maintain a balanced portfolio of projects</w:t>
      </w:r>
      <w:r w:rsidR="00C848A4" w:rsidRPr="0029511A">
        <w:rPr>
          <w:rFonts w:ascii="Calibri" w:hAnsi="Calibri" w:cs="Calibri"/>
          <w:lang w:val="en-GB"/>
        </w:rPr>
        <w:t xml:space="preserve"> </w:t>
      </w:r>
      <w:r w:rsidR="00660C7C" w:rsidRPr="0029511A">
        <w:rPr>
          <w:rFonts w:ascii="Calibri" w:hAnsi="Calibri" w:cs="Calibri"/>
          <w:lang w:val="en-GB"/>
        </w:rPr>
        <w:t xml:space="preserve">to </w:t>
      </w:r>
      <w:r w:rsidR="00FF07B8" w:rsidRPr="0029511A">
        <w:rPr>
          <w:rFonts w:ascii="Calibri" w:hAnsi="Calibri" w:cs="Calibri"/>
          <w:lang w:val="en-GB"/>
        </w:rPr>
        <w:t>amplify the benefits and impact.</w:t>
      </w:r>
    </w:p>
    <w:p w14:paraId="04968CE4" w14:textId="77777777" w:rsidR="00D229F4" w:rsidRPr="0029511A" w:rsidRDefault="00D229F4" w:rsidP="00103054">
      <w:pPr>
        <w:pStyle w:val="Subheading"/>
        <w:rPr>
          <w:rFonts w:ascii="Calibri" w:hAnsi="Calibri" w:cs="Calibri"/>
          <w:lang w:val="en-GB"/>
        </w:rPr>
        <w:sectPr w:rsidR="00D229F4" w:rsidRPr="0029511A" w:rsidSect="00D229F4">
          <w:type w:val="continuous"/>
          <w:pgSz w:w="11900" w:h="16840"/>
          <w:pgMar w:top="1418" w:right="1440" w:bottom="1440" w:left="1440" w:header="709" w:footer="709" w:gutter="0"/>
          <w:cols w:space="708"/>
          <w:docGrid w:linePitch="360"/>
        </w:sectPr>
      </w:pPr>
    </w:p>
    <w:p w14:paraId="67CEF9BB" w14:textId="77777777" w:rsidR="0054289A" w:rsidRDefault="0054289A" w:rsidP="00103054">
      <w:pPr>
        <w:pStyle w:val="Subheading"/>
        <w:rPr>
          <w:rFonts w:ascii="Calibri" w:hAnsi="Calibri" w:cs="Calibri"/>
          <w:color w:val="002060"/>
          <w:lang w:val="en-GB"/>
        </w:rPr>
      </w:pPr>
      <w:r>
        <w:rPr>
          <w:rFonts w:ascii="Calibri" w:hAnsi="Calibri" w:cs="Calibri"/>
          <w:color w:val="002060"/>
          <w:lang w:val="en-GB"/>
        </w:rPr>
        <w:br w:type="page"/>
      </w:r>
    </w:p>
    <w:p w14:paraId="44FDBC5F" w14:textId="478F8430" w:rsidR="00103054" w:rsidRPr="000242F8" w:rsidRDefault="00103054" w:rsidP="00103054">
      <w:pPr>
        <w:pStyle w:val="Subheading"/>
        <w:rPr>
          <w:rFonts w:ascii="Calibri" w:hAnsi="Calibri" w:cs="Calibri"/>
          <w:color w:val="002060"/>
          <w:lang w:val="en-GB"/>
        </w:rPr>
      </w:pPr>
      <w:r w:rsidRPr="000242F8">
        <w:rPr>
          <w:rFonts w:ascii="Calibri" w:hAnsi="Calibri" w:cs="Calibri"/>
          <w:color w:val="002060"/>
          <w:lang w:val="en-GB"/>
        </w:rPr>
        <w:lastRenderedPageBreak/>
        <w:t>Recommendations</w:t>
      </w:r>
    </w:p>
    <w:p w14:paraId="1219A14E" w14:textId="210D8F13" w:rsidR="00691948" w:rsidRPr="009A6893" w:rsidRDefault="00103054" w:rsidP="004670BE">
      <w:pPr>
        <w:spacing w:after="160" w:line="252" w:lineRule="auto"/>
        <w:rPr>
          <w:rFonts w:ascii="Calibri" w:hAnsi="Calibri" w:cs="Calibri"/>
          <w:lang w:val="en-GB"/>
        </w:rPr>
      </w:pPr>
      <w:r w:rsidRPr="009A6893">
        <w:rPr>
          <w:rFonts w:ascii="Calibri" w:hAnsi="Calibri" w:cs="Calibri"/>
          <w:lang w:val="en-GB"/>
        </w:rPr>
        <w:t>Based on the findings and conclusion of this review, the recommendations for the remaining period of the program are as follows:</w:t>
      </w:r>
      <w:r w:rsidR="00AB2706" w:rsidRPr="009A6893">
        <w:rPr>
          <w:rFonts w:ascii="Calibri" w:hAnsi="Calibri" w:cs="Calibri"/>
          <w:lang w:val="en-GB"/>
        </w:rPr>
        <w:t xml:space="preserve"> </w:t>
      </w:r>
    </w:p>
    <w:p w14:paraId="7CA9B75D" w14:textId="77777777" w:rsidR="001B2FD3" w:rsidRPr="009A6893" w:rsidRDefault="001B2FD3" w:rsidP="0046079D">
      <w:pPr>
        <w:rPr>
          <w:rFonts w:ascii="Calibri" w:hAnsi="Calibri" w:cs="Calibri"/>
          <w:b/>
          <w:bCs/>
          <w:color w:val="FFFFFF" w:themeColor="background1"/>
        </w:rPr>
        <w:sectPr w:rsidR="001B2FD3" w:rsidRPr="009A6893" w:rsidSect="00487441">
          <w:type w:val="continuous"/>
          <w:pgSz w:w="11900" w:h="16840"/>
          <w:pgMar w:top="1418" w:right="1440" w:bottom="1440" w:left="1440" w:header="709" w:footer="709" w:gutter="0"/>
          <w:cols w:space="708"/>
          <w:docGrid w:linePitch="360"/>
        </w:sectPr>
      </w:pPr>
    </w:p>
    <w:p w14:paraId="1FF33F8B" w14:textId="79308DD4" w:rsidR="00DC49F8" w:rsidRPr="009A6893" w:rsidRDefault="00DC49F8" w:rsidP="00674830">
      <w:pPr>
        <w:spacing w:after="0"/>
        <w:rPr>
          <w:rFonts w:ascii="Calibri" w:hAnsi="Calibri" w:cs="Calibri"/>
          <w:b/>
          <w:bCs/>
          <w:lang w:val="en-GB"/>
        </w:rPr>
        <w:sectPr w:rsidR="00DC49F8" w:rsidRPr="009A6893" w:rsidSect="00D06192">
          <w:type w:val="continuous"/>
          <w:pgSz w:w="11900" w:h="16840"/>
          <w:pgMar w:top="1418" w:right="1440" w:bottom="1440" w:left="1440" w:header="709" w:footer="709" w:gutter="0"/>
          <w:cols w:space="708"/>
          <w:docGrid w:linePitch="360"/>
        </w:sectPr>
      </w:pPr>
    </w:p>
    <w:p w14:paraId="3185DEFD" w14:textId="77777777" w:rsidR="001B650A" w:rsidRPr="001B650A" w:rsidRDefault="001B650A" w:rsidP="001B650A">
      <w:pPr>
        <w:spacing w:after="160" w:line="252" w:lineRule="auto"/>
        <w:rPr>
          <w:rFonts w:ascii="Calibri" w:hAnsi="Calibri" w:cs="Calibri"/>
          <w:b/>
          <w:bCs/>
          <w:kern w:val="2"/>
          <w14:ligatures w14:val="standardContextual"/>
        </w:rPr>
      </w:pPr>
      <w:r w:rsidRPr="001B650A">
        <w:rPr>
          <w:rFonts w:ascii="Calibri" w:hAnsi="Calibri" w:cs="Calibri"/>
          <w:b/>
          <w:bCs/>
          <w:iCs/>
          <w:kern w:val="2"/>
          <w14:ligatures w14:val="standardContextual"/>
        </w:rPr>
        <w:t xml:space="preserve">STRATEGIC LEVEL RECOMMENDATION 1: </w:t>
      </w:r>
      <w:r w:rsidRPr="001B650A">
        <w:rPr>
          <w:rFonts w:ascii="Calibri" w:hAnsi="Calibri" w:cs="Calibri"/>
          <w:b/>
          <w:bCs/>
          <w:kern w:val="2"/>
          <w14:ligatures w14:val="standardContextual"/>
        </w:rPr>
        <w:t xml:space="preserve">The design for the successor phase of AASP should be commenced in early 2025. </w:t>
      </w:r>
      <w:r w:rsidRPr="001B650A">
        <w:rPr>
          <w:rFonts w:ascii="Calibri" w:hAnsi="Calibri" w:cs="Calibri"/>
          <w:kern w:val="2"/>
          <w14:ligatures w14:val="standardContextual"/>
        </w:rPr>
        <w:t>This is an important step to ensure that AASP continues to maintain the momentum it has generated to date. Management should consider this a key consideration moving forward to avoid the risk of disruption of momentum between the two phases.</w:t>
      </w:r>
    </w:p>
    <w:p w14:paraId="1FF496DF" w14:textId="43E32E35" w:rsidR="001B650A" w:rsidRPr="001B650A" w:rsidRDefault="001B650A" w:rsidP="001B650A">
      <w:pPr>
        <w:spacing w:after="160" w:line="252" w:lineRule="auto"/>
        <w:rPr>
          <w:rFonts w:ascii="Calibri" w:hAnsi="Calibri" w:cs="Calibri"/>
          <w:b/>
          <w:bCs/>
          <w:kern w:val="2"/>
          <w14:ligatures w14:val="standardContextual"/>
        </w:rPr>
      </w:pPr>
      <w:r w:rsidRPr="001B650A">
        <w:rPr>
          <w:rFonts w:ascii="Calibri" w:hAnsi="Calibri" w:cs="Calibri"/>
          <w:b/>
          <w:bCs/>
          <w:iCs/>
          <w:kern w:val="2"/>
          <w14:ligatures w14:val="standardContextual"/>
        </w:rPr>
        <w:t xml:space="preserve">STRATEGIC LEVEL RECOMMENDATION 2: </w:t>
      </w:r>
      <w:r w:rsidRPr="001B650A">
        <w:rPr>
          <w:rFonts w:ascii="Calibri" w:hAnsi="Calibri" w:cs="Calibri"/>
          <w:b/>
          <w:bCs/>
          <w:kern w:val="2"/>
          <w14:ligatures w14:val="standardContextual"/>
        </w:rPr>
        <w:t xml:space="preserve">Multi-year funding options need to be considered in the next iteration of the program, within the overall investment timeframe and budget envelope. </w:t>
      </w:r>
      <w:r w:rsidRPr="001B650A">
        <w:rPr>
          <w:rFonts w:ascii="Calibri" w:hAnsi="Calibri" w:cs="Calibri"/>
          <w:kern w:val="2"/>
          <w14:ligatures w14:val="standardContextual"/>
        </w:rPr>
        <w:t>This requires sensible allocation of finite funds for the capacity building work to a small number of Australia’s APEC priorities to avoid risking fragmentation of efforts to multiple small one-off events. This would involve continuing to provide finance to Sub-Funds (such as the Women and the Economy; EAASR and its successor) managed by the APEC Secretariat and supporting PMU to administer those funds. For the design of the next phase, to consider funding a few large multi-year projects, rather than multiple small-value, one-off projects, which are often low-impact and cannot be sustained. For example, the AASP currently has 20 individual active agreements, most of which involve one-off small outputs that require complex procurement processes, which APS agencies find challenging.</w:t>
      </w:r>
    </w:p>
    <w:p w14:paraId="054CB478" w14:textId="77777777" w:rsidR="001B650A" w:rsidRPr="001B650A" w:rsidRDefault="001B650A" w:rsidP="001B650A">
      <w:pPr>
        <w:spacing w:after="160" w:line="252" w:lineRule="auto"/>
        <w:rPr>
          <w:rFonts w:ascii="Calibri" w:hAnsi="Calibri" w:cs="Calibri"/>
          <w:b/>
          <w:bCs/>
          <w:kern w:val="2"/>
          <w14:ligatures w14:val="standardContextual"/>
        </w:rPr>
      </w:pPr>
      <w:r w:rsidRPr="001B650A">
        <w:rPr>
          <w:rFonts w:ascii="Calibri" w:hAnsi="Calibri" w:cs="Calibri"/>
          <w:b/>
          <w:bCs/>
          <w:iCs/>
          <w:kern w:val="2"/>
          <w14:ligatures w14:val="standardContextual"/>
        </w:rPr>
        <w:t xml:space="preserve">STRATEGIC LEVEL RECOMMENDATION 3: </w:t>
      </w:r>
      <w:r w:rsidRPr="001B650A">
        <w:rPr>
          <w:rFonts w:ascii="Calibri" w:hAnsi="Calibri" w:cs="Calibri"/>
          <w:b/>
          <w:bCs/>
          <w:kern w:val="2"/>
          <w14:ligatures w14:val="standardContextual"/>
        </w:rPr>
        <w:t xml:space="preserve">In the design of the next phase, thought should be given to how to involve new partners and stakeholders with ‘capacity, expertise and interest’, to avoid reliance on existing whole-of-government partners. </w:t>
      </w:r>
      <w:r w:rsidRPr="001B650A">
        <w:rPr>
          <w:rFonts w:ascii="Calibri" w:hAnsi="Calibri" w:cs="Calibri"/>
          <w:kern w:val="2"/>
          <w14:ligatures w14:val="standardContextual"/>
        </w:rPr>
        <w:t>It might be desirable to establish a small grant program (noting that it would need to be carefully designed so as not to overburden the AASP’s very small program management team) for stakeholders from industry, private sector, and academia who would be keen to access DFAT funds and are better resourced and equipped to implement an initiative in line with their expertise. Noting the recent reduced interest from current whole-of-government partners on leading projects in APEC due to resource constraints, this might be a fresh way of choosing the right delivery partners. This also fits in neatly with DFAT’s ongoing attempt to have an increased online presence, be more transparent, and have a robust communication strategy for APEC.</w:t>
      </w:r>
    </w:p>
    <w:p w14:paraId="07016313" w14:textId="0B6C8172" w:rsidR="001B650A" w:rsidRPr="001B650A" w:rsidRDefault="001B650A" w:rsidP="00A30885">
      <w:pPr>
        <w:spacing w:after="160" w:line="252" w:lineRule="auto"/>
        <w:rPr>
          <w:rFonts w:ascii="Calibri" w:hAnsi="Calibri" w:cs="Calibri"/>
          <w:b/>
          <w:bCs/>
          <w:kern w:val="2"/>
          <w14:ligatures w14:val="standardContextual"/>
        </w:rPr>
      </w:pPr>
      <w:r w:rsidRPr="001B650A">
        <w:rPr>
          <w:rFonts w:ascii="Calibri" w:hAnsi="Calibri" w:cs="Calibri"/>
          <w:b/>
          <w:bCs/>
          <w:iCs/>
          <w:kern w:val="2"/>
          <w14:ligatures w14:val="standardContextual"/>
        </w:rPr>
        <w:t xml:space="preserve">STRATEGIC LEVEL RECOMMENDATION 4: </w:t>
      </w:r>
      <w:r w:rsidRPr="001B650A">
        <w:rPr>
          <w:rFonts w:ascii="Calibri" w:hAnsi="Calibri" w:cs="Calibri"/>
          <w:b/>
          <w:bCs/>
          <w:kern w:val="2"/>
          <w14:ligatures w14:val="standardContextual"/>
        </w:rPr>
        <w:t>Support the creation of Community of Practices, where practical, for individual projects.</w:t>
      </w:r>
      <w:r w:rsidRPr="001B650A">
        <w:rPr>
          <w:rFonts w:ascii="Calibri" w:hAnsi="Calibri" w:cs="Calibri"/>
          <w:kern w:val="2"/>
          <w14:ligatures w14:val="standardContextual"/>
        </w:rPr>
        <w:t xml:space="preserve"> The AASP’s projects have engaged with more than 4,000 participants, the vast majority of whom have been highly enthusiastic about the experience, have appreciated the value of the events, and have often drawn on the outputs of projects to influence change within their own economies. Consideration should be given as how to leverage this informal network of participants in a more coherent and coordinated fashion, noting that several projects are already doing this, and could provide guidance (including lessons learnt) to inform the design of projects in the future, and should be a considered as part of the design and planning for the successor phase of the AASP.</w:t>
      </w:r>
    </w:p>
    <w:p w14:paraId="5B428DF1" w14:textId="77777777" w:rsidR="001B650A" w:rsidRPr="001B650A" w:rsidRDefault="001B650A" w:rsidP="001B650A">
      <w:pPr>
        <w:spacing w:after="160" w:line="252" w:lineRule="auto"/>
        <w:rPr>
          <w:rFonts w:ascii="Calibri" w:hAnsi="Calibri" w:cs="Calibri"/>
          <w:b/>
          <w:bCs/>
          <w:kern w:val="2"/>
          <w14:ligatures w14:val="standardContextual"/>
        </w:rPr>
      </w:pPr>
      <w:r w:rsidRPr="001B650A">
        <w:rPr>
          <w:rFonts w:ascii="Calibri" w:hAnsi="Calibri" w:cs="Calibri"/>
          <w:b/>
          <w:bCs/>
          <w:iCs/>
          <w:kern w:val="2"/>
          <w14:ligatures w14:val="standardContextual"/>
        </w:rPr>
        <w:t xml:space="preserve">OPERATIONAL LEVEL RECOMMENDATION 5: </w:t>
      </w:r>
      <w:r w:rsidRPr="001B650A">
        <w:rPr>
          <w:rFonts w:ascii="Calibri" w:hAnsi="Calibri" w:cs="Calibri"/>
          <w:b/>
          <w:bCs/>
          <w:kern w:val="2"/>
          <w14:ligatures w14:val="standardContextual"/>
        </w:rPr>
        <w:t xml:space="preserve"> DFAT to continue support through the AASP of APEC’s Project Management Unit (PMU) and the Policy Support Unit (PSU).</w:t>
      </w:r>
      <w:r w:rsidRPr="001B650A">
        <w:rPr>
          <w:rFonts w:ascii="Calibri" w:hAnsi="Calibri" w:cs="Calibri"/>
          <w:kern w:val="2"/>
          <w14:ligatures w14:val="standardContextual"/>
        </w:rPr>
        <w:t xml:space="preserve"> Supporting a DFAT officer in the Secretariat who oversees all projects managed by the APEC Secretariat enhances effectiveness and reduces risk. The PMU has implemented various approaches to improve efficiency, including the introduction of new online tools for project management and training.</w:t>
      </w:r>
    </w:p>
    <w:p w14:paraId="263C7977" w14:textId="77777777" w:rsidR="001B650A" w:rsidRPr="001B650A" w:rsidRDefault="001B650A" w:rsidP="001B650A">
      <w:pPr>
        <w:spacing w:after="160" w:line="252" w:lineRule="auto"/>
        <w:rPr>
          <w:rFonts w:ascii="Calibri" w:hAnsi="Calibri" w:cs="Calibri"/>
          <w:b/>
          <w:bCs/>
          <w:kern w:val="2"/>
          <w14:ligatures w14:val="standardContextual"/>
        </w:rPr>
      </w:pPr>
      <w:r w:rsidRPr="001B650A">
        <w:rPr>
          <w:rFonts w:ascii="Calibri" w:hAnsi="Calibri" w:cs="Calibri"/>
          <w:b/>
          <w:bCs/>
          <w:iCs/>
          <w:kern w:val="2"/>
          <w14:ligatures w14:val="standardContextual"/>
        </w:rPr>
        <w:lastRenderedPageBreak/>
        <w:t xml:space="preserve">OPERATIONAL LEVEL RECOMMENDATION 6: </w:t>
      </w:r>
      <w:r w:rsidRPr="001B650A">
        <w:rPr>
          <w:rFonts w:ascii="Calibri" w:hAnsi="Calibri" w:cs="Calibri"/>
          <w:b/>
          <w:bCs/>
          <w:kern w:val="2"/>
          <w14:ligatures w14:val="standardContextual"/>
        </w:rPr>
        <w:t xml:space="preserve"> AASP must continue to proactively manage its pipeline, including:</w:t>
      </w:r>
    </w:p>
    <w:p w14:paraId="790C9767" w14:textId="77777777" w:rsidR="001B650A" w:rsidRPr="001B650A" w:rsidRDefault="001B650A" w:rsidP="001B650A">
      <w:pPr>
        <w:numPr>
          <w:ilvl w:val="0"/>
          <w:numId w:val="35"/>
        </w:numPr>
        <w:spacing w:after="160" w:line="252" w:lineRule="auto"/>
        <w:contextualSpacing/>
        <w:rPr>
          <w:rFonts w:ascii="Calibri" w:hAnsi="Calibri" w:cs="Calibri"/>
          <w:b/>
          <w:bCs/>
        </w:rPr>
      </w:pPr>
      <w:r w:rsidRPr="001B650A">
        <w:rPr>
          <w:rFonts w:ascii="Calibri" w:hAnsi="Calibri" w:cs="Calibri"/>
          <w:b/>
          <w:bCs/>
        </w:rPr>
        <w:t>Designing and implementing projects that promote disability equity and inclusion in trade</w:t>
      </w:r>
      <w:r w:rsidRPr="001B650A">
        <w:rPr>
          <w:rFonts w:ascii="Calibri" w:hAnsi="Calibri" w:cs="Calibri"/>
        </w:rPr>
        <w:t>, which involves collaborating with people with disabilities and/or organisations of persons with disabilities (OPDs) during the planning and execution phases. Conducting in-house scoping of such a project with the support of the managing contractor would provide a useful starting point.</w:t>
      </w:r>
    </w:p>
    <w:p w14:paraId="73194E10" w14:textId="77777777" w:rsidR="001B650A" w:rsidRPr="001B650A" w:rsidRDefault="001B650A" w:rsidP="001B650A">
      <w:pPr>
        <w:numPr>
          <w:ilvl w:val="0"/>
          <w:numId w:val="35"/>
        </w:numPr>
        <w:spacing w:after="160" w:line="252" w:lineRule="auto"/>
        <w:contextualSpacing/>
        <w:rPr>
          <w:rFonts w:ascii="Calibri" w:hAnsi="Calibri" w:cs="Calibri"/>
        </w:rPr>
      </w:pPr>
      <w:r w:rsidRPr="001B650A">
        <w:rPr>
          <w:rFonts w:ascii="Calibri" w:hAnsi="Calibri" w:cs="Calibri"/>
          <w:b/>
          <w:bCs/>
        </w:rPr>
        <w:t>Encouraging project overseers to design innovative approaches to project delivery</w:t>
      </w:r>
      <w:r w:rsidRPr="001B650A">
        <w:rPr>
          <w:rFonts w:ascii="Calibri" w:hAnsi="Calibri" w:cs="Calibri"/>
        </w:rPr>
        <w:t xml:space="preserve"> that move beyond simply conducting a workshop and preparing a report. Such outputs could include video content, interactive databases and web resources, communities of practice and more. In designing new activities, project overseers can draw on a growing portfolio of projects that have already been delivered by AASP, which incorporate creative and imaginative ways to transfer knowledge and build capacity.</w:t>
      </w:r>
    </w:p>
    <w:p w14:paraId="2CD4C190" w14:textId="77777777" w:rsidR="001B650A" w:rsidRPr="001B650A" w:rsidRDefault="001B650A" w:rsidP="001B650A">
      <w:pPr>
        <w:numPr>
          <w:ilvl w:val="0"/>
          <w:numId w:val="35"/>
        </w:numPr>
        <w:spacing w:after="160" w:line="252" w:lineRule="auto"/>
        <w:contextualSpacing/>
        <w:rPr>
          <w:rFonts w:ascii="Calibri" w:hAnsi="Calibri" w:cs="Calibri"/>
        </w:rPr>
      </w:pPr>
      <w:r w:rsidRPr="001B650A">
        <w:rPr>
          <w:rFonts w:ascii="Calibri" w:hAnsi="Calibri" w:cs="Calibri"/>
          <w:b/>
          <w:bCs/>
        </w:rPr>
        <w:t>Finalising and implementing a coordinated Communication Plan for the AASP</w:t>
      </w:r>
      <w:r w:rsidRPr="001B650A">
        <w:rPr>
          <w:rFonts w:ascii="Calibri" w:hAnsi="Calibri" w:cs="Calibri"/>
        </w:rPr>
        <w:t>. Such a plan should also include additional resourcing to share social media content generated by individual projects to continue to increase the awareness of the AASP, highlight successes, and share lessons.</w:t>
      </w:r>
    </w:p>
    <w:p w14:paraId="5D9265FA" w14:textId="77777777" w:rsidR="001B650A" w:rsidRPr="001B650A" w:rsidRDefault="001B650A" w:rsidP="001B650A">
      <w:pPr>
        <w:spacing w:after="160" w:line="252" w:lineRule="auto"/>
        <w:rPr>
          <w:rFonts w:ascii="Calibri" w:hAnsi="Calibri" w:cs="Calibri"/>
          <w:b/>
          <w:bCs/>
          <w:iCs/>
          <w:kern w:val="2"/>
          <w14:ligatures w14:val="standardContextual"/>
        </w:rPr>
      </w:pPr>
    </w:p>
    <w:p w14:paraId="545F1D4F" w14:textId="77777777" w:rsidR="001B650A" w:rsidRPr="001B650A" w:rsidRDefault="001B650A" w:rsidP="001B650A">
      <w:pPr>
        <w:spacing w:after="160" w:line="252" w:lineRule="auto"/>
        <w:rPr>
          <w:rFonts w:ascii="Calibri" w:hAnsi="Calibri" w:cs="Calibri"/>
          <w:b/>
          <w:bCs/>
          <w:kern w:val="2"/>
          <w14:ligatures w14:val="standardContextual"/>
        </w:rPr>
      </w:pPr>
      <w:r w:rsidRPr="001B650A">
        <w:rPr>
          <w:rFonts w:ascii="Calibri" w:hAnsi="Calibri" w:cs="Calibri"/>
          <w:b/>
          <w:bCs/>
          <w:iCs/>
          <w:kern w:val="2"/>
          <w14:ligatures w14:val="standardContextual"/>
        </w:rPr>
        <w:t xml:space="preserve">OPERATIONAL LEVEL RECOMMENDATION 7: </w:t>
      </w:r>
      <w:r w:rsidRPr="001B650A">
        <w:rPr>
          <w:rFonts w:ascii="Calibri" w:hAnsi="Calibri" w:cs="Calibri"/>
          <w:b/>
          <w:bCs/>
          <w:kern w:val="2"/>
          <w14:ligatures w14:val="standardContextual"/>
        </w:rPr>
        <w:t xml:space="preserve"> Project Overseers must ensure outputs are publicly available, including ensuring that:</w:t>
      </w:r>
    </w:p>
    <w:p w14:paraId="5FF43258" w14:textId="77777777" w:rsidR="001B650A" w:rsidRPr="001B650A" w:rsidRDefault="001B650A" w:rsidP="001B650A">
      <w:pPr>
        <w:numPr>
          <w:ilvl w:val="0"/>
          <w:numId w:val="36"/>
        </w:numPr>
        <w:spacing w:after="160" w:line="252" w:lineRule="auto"/>
        <w:contextualSpacing/>
        <w:rPr>
          <w:rFonts w:ascii="Calibri" w:hAnsi="Calibri" w:cs="Calibri"/>
          <w:b/>
          <w:bCs/>
        </w:rPr>
      </w:pPr>
      <w:r w:rsidRPr="001B650A">
        <w:rPr>
          <w:rFonts w:ascii="Calibri" w:hAnsi="Calibri" w:cs="Calibri"/>
          <w:b/>
          <w:bCs/>
        </w:rPr>
        <w:t>All AASP Projects routinely upload outputs onto accessible/online repositories</w:t>
      </w:r>
      <w:r w:rsidRPr="001B650A">
        <w:rPr>
          <w:rFonts w:ascii="Calibri" w:hAnsi="Calibri" w:cs="Calibri"/>
        </w:rPr>
        <w:t>. Several economies requested summaries, handouts, or policy briefs immediately after workshops to share with domestic stakeholders.</w:t>
      </w:r>
    </w:p>
    <w:p w14:paraId="363C4139" w14:textId="77777777" w:rsidR="001B650A" w:rsidRPr="009A6893" w:rsidRDefault="001B650A" w:rsidP="001B650A">
      <w:pPr>
        <w:numPr>
          <w:ilvl w:val="0"/>
          <w:numId w:val="36"/>
        </w:numPr>
        <w:spacing w:after="160" w:line="252" w:lineRule="auto"/>
        <w:contextualSpacing/>
        <w:rPr>
          <w:rFonts w:ascii="Calibri" w:hAnsi="Calibri" w:cs="Calibri"/>
          <w:b/>
          <w:bCs/>
        </w:rPr>
      </w:pPr>
      <w:r w:rsidRPr="001B650A">
        <w:rPr>
          <w:rFonts w:ascii="Calibri" w:hAnsi="Calibri" w:cs="Calibri"/>
          <w:b/>
          <w:bCs/>
        </w:rPr>
        <w:t xml:space="preserve">All AASP projects </w:t>
      </w:r>
      <w:proofErr w:type="gramStart"/>
      <w:r w:rsidRPr="001B650A">
        <w:rPr>
          <w:rFonts w:ascii="Calibri" w:hAnsi="Calibri" w:cs="Calibri"/>
          <w:b/>
          <w:bCs/>
        </w:rPr>
        <w:t>finalise</w:t>
      </w:r>
      <w:proofErr w:type="gramEnd"/>
      <w:r w:rsidRPr="001B650A">
        <w:rPr>
          <w:rFonts w:ascii="Calibri" w:hAnsi="Calibri" w:cs="Calibri"/>
          <w:b/>
          <w:bCs/>
        </w:rPr>
        <w:t xml:space="preserve"> and upload completion reports to APEC’s project database</w:t>
      </w:r>
      <w:r w:rsidRPr="001B650A">
        <w:rPr>
          <w:rFonts w:ascii="Calibri" w:hAnsi="Calibri" w:cs="Calibri"/>
        </w:rPr>
        <w:t xml:space="preserve"> to report back on how the project achieved its intended objectives, what the learnings and lessons were, and to raise AASP’s profile as an organisation implementing effective capacity building projects.</w:t>
      </w:r>
    </w:p>
    <w:p w14:paraId="405F0171" w14:textId="77777777" w:rsidR="00A30885" w:rsidRPr="001B650A" w:rsidRDefault="00A30885" w:rsidP="00A30885">
      <w:pPr>
        <w:spacing w:after="160" w:line="252" w:lineRule="auto"/>
        <w:contextualSpacing/>
        <w:rPr>
          <w:rFonts w:ascii="Calibri" w:hAnsi="Calibri" w:cs="Calibri"/>
          <w:b/>
          <w:bCs/>
        </w:rPr>
      </w:pPr>
    </w:p>
    <w:p w14:paraId="271B8200" w14:textId="77777777" w:rsidR="001B650A" w:rsidRPr="001B650A" w:rsidRDefault="001B650A" w:rsidP="001B650A">
      <w:pPr>
        <w:spacing w:after="160" w:line="252" w:lineRule="auto"/>
        <w:rPr>
          <w:rFonts w:ascii="Calibri" w:hAnsi="Calibri" w:cs="Calibri"/>
          <w:b/>
          <w:bCs/>
          <w:kern w:val="2"/>
          <w14:ligatures w14:val="standardContextual"/>
        </w:rPr>
      </w:pPr>
      <w:r w:rsidRPr="001B650A">
        <w:rPr>
          <w:rFonts w:ascii="Calibri" w:hAnsi="Calibri" w:cs="Calibri"/>
          <w:b/>
          <w:bCs/>
          <w:iCs/>
          <w:kern w:val="2"/>
          <w14:ligatures w14:val="standardContextual"/>
        </w:rPr>
        <w:t xml:space="preserve">OPERATIONAL LEVEL RECOMMENDATION 8: </w:t>
      </w:r>
      <w:r w:rsidRPr="001B650A">
        <w:rPr>
          <w:rFonts w:ascii="Calibri" w:hAnsi="Calibri" w:cs="Calibri"/>
          <w:b/>
          <w:bCs/>
          <w:kern w:val="2"/>
          <w14:ligatures w14:val="standardContextual"/>
        </w:rPr>
        <w:t xml:space="preserve"> Continue to build a portfolio of Case Studies highlighting successful projects</w:t>
      </w:r>
      <w:r w:rsidRPr="001B650A">
        <w:rPr>
          <w:rFonts w:ascii="Calibri" w:hAnsi="Calibri" w:cs="Calibri"/>
          <w:kern w:val="2"/>
          <w14:ligatures w14:val="standardContextual"/>
        </w:rPr>
        <w:t xml:space="preserve"> </w:t>
      </w:r>
      <w:proofErr w:type="gramStart"/>
      <w:r w:rsidRPr="001B650A">
        <w:rPr>
          <w:rFonts w:ascii="Calibri" w:hAnsi="Calibri" w:cs="Calibri"/>
          <w:kern w:val="2"/>
          <w14:ligatures w14:val="standardContextual"/>
        </w:rPr>
        <w:t>in order to</w:t>
      </w:r>
      <w:proofErr w:type="gramEnd"/>
      <w:r w:rsidRPr="001B650A">
        <w:rPr>
          <w:rFonts w:ascii="Calibri" w:hAnsi="Calibri" w:cs="Calibri"/>
          <w:kern w:val="2"/>
          <w14:ligatures w14:val="standardContextual"/>
        </w:rPr>
        <w:t xml:space="preserve"> convey a powerful narrative about the effectiveness of the AASP and to strengthen the argument for the next phase of the investment.</w:t>
      </w:r>
    </w:p>
    <w:p w14:paraId="309B0547" w14:textId="77777777" w:rsidR="001B650A" w:rsidRDefault="001B650A" w:rsidP="001B650A">
      <w:pPr>
        <w:spacing w:after="160" w:line="259" w:lineRule="auto"/>
        <w:rPr>
          <w:rFonts w:asciiTheme="minorHAnsi" w:hAnsiTheme="minorHAnsi" w:cstheme="minorHAnsi"/>
          <w:kern w:val="2"/>
          <w14:ligatures w14:val="standardContextual"/>
        </w:rPr>
        <w:sectPr w:rsidR="001B650A" w:rsidSect="001B650A">
          <w:type w:val="continuous"/>
          <w:pgSz w:w="11900" w:h="16840"/>
          <w:pgMar w:top="1418" w:right="1440" w:bottom="1440" w:left="1440" w:header="709" w:footer="709" w:gutter="0"/>
          <w:cols w:space="708"/>
          <w:docGrid w:linePitch="360"/>
        </w:sectPr>
      </w:pPr>
    </w:p>
    <w:p w14:paraId="5C114A85" w14:textId="77777777" w:rsidR="001B650A" w:rsidRPr="001B650A" w:rsidRDefault="001B650A" w:rsidP="001B650A">
      <w:pPr>
        <w:spacing w:after="160" w:line="259" w:lineRule="auto"/>
        <w:rPr>
          <w:rFonts w:asciiTheme="minorHAnsi" w:hAnsiTheme="minorHAnsi" w:cstheme="minorHAnsi"/>
          <w:kern w:val="2"/>
          <w14:ligatures w14:val="standardContextual"/>
        </w:rPr>
      </w:pPr>
    </w:p>
    <w:p w14:paraId="6811E899" w14:textId="7E099C40" w:rsidR="00747A66" w:rsidRPr="0029511A" w:rsidRDefault="00C20728" w:rsidP="001B2FD3">
      <w:pPr>
        <w:spacing w:after="0"/>
        <w:rPr>
          <w:rFonts w:ascii="Calibri" w:hAnsi="Calibri" w:cs="Calibri"/>
          <w:lang w:val="en-GB"/>
        </w:rPr>
        <w:sectPr w:rsidR="00747A66" w:rsidRPr="0029511A" w:rsidSect="00D06192">
          <w:type w:val="continuous"/>
          <w:pgSz w:w="11900" w:h="16840"/>
          <w:pgMar w:top="1418" w:right="1440" w:bottom="1440" w:left="1440" w:header="709" w:footer="709" w:gutter="0"/>
          <w:cols w:num="2" w:space="708"/>
          <w:docGrid w:linePitch="360"/>
        </w:sectPr>
      </w:pPr>
      <w:r w:rsidRPr="0029511A">
        <w:rPr>
          <w:rFonts w:ascii="Calibri" w:hAnsi="Calibri" w:cs="Calibri"/>
          <w:b/>
          <w:bCs/>
          <w:lang w:val="en-GB"/>
        </w:rPr>
        <w:br w:type="page"/>
      </w:r>
    </w:p>
    <w:p w14:paraId="6B31E5B0" w14:textId="5E7ED7C6" w:rsidR="00D31AD2" w:rsidRPr="00E2163D" w:rsidRDefault="00884C0D" w:rsidP="000659F4">
      <w:pPr>
        <w:pStyle w:val="Heading1"/>
        <w:numPr>
          <w:ilvl w:val="0"/>
          <w:numId w:val="0"/>
        </w:numPr>
        <w:ind w:left="567" w:hanging="567"/>
        <w:rPr>
          <w:rStyle w:val="Heading"/>
          <w:rFonts w:ascii="Calibri" w:hAnsi="Calibri" w:cs="Calibri"/>
          <w:color w:val="auto"/>
          <w:sz w:val="22"/>
          <w:szCs w:val="22"/>
          <w:lang w:val="en-GB"/>
        </w:rPr>
      </w:pPr>
      <w:bookmarkStart w:id="63" w:name="_Toc156506668"/>
      <w:bookmarkStart w:id="64" w:name="_Toc190934895"/>
      <w:bookmarkEnd w:id="59"/>
      <w:bookmarkEnd w:id="60"/>
      <w:bookmarkEnd w:id="61"/>
      <w:r w:rsidRPr="00E2163D">
        <w:rPr>
          <w:rStyle w:val="Heading"/>
          <w:rFonts w:ascii="Calibri" w:hAnsi="Calibri" w:cs="Calibri"/>
          <w:color w:val="auto"/>
          <w:sz w:val="22"/>
          <w:szCs w:val="22"/>
          <w:lang w:val="en-GB"/>
        </w:rPr>
        <w:lastRenderedPageBreak/>
        <w:t>Annex 1 – Evaluation Questions</w:t>
      </w:r>
      <w:bookmarkEnd w:id="63"/>
      <w:bookmarkEnd w:id="64"/>
    </w:p>
    <w:p w14:paraId="4CE2F9FE" w14:textId="77777777" w:rsidR="00D31AD2" w:rsidRPr="0029511A" w:rsidRDefault="00D31AD2" w:rsidP="00370438">
      <w:pPr>
        <w:rPr>
          <w:rFonts w:ascii="Calibri" w:hAnsi="Calibri" w:cs="Calibri"/>
          <w:lang w:val="en-GB"/>
        </w:rPr>
      </w:pPr>
    </w:p>
    <w:p w14:paraId="1976A41A" w14:textId="77777777" w:rsidR="00300F72" w:rsidRPr="0029511A" w:rsidRDefault="00300F72" w:rsidP="00300F72">
      <w:pPr>
        <w:spacing w:after="160" w:line="259" w:lineRule="auto"/>
        <w:jc w:val="center"/>
        <w:rPr>
          <w:rFonts w:ascii="Calibri" w:hAnsi="Calibri" w:cs="Calibri"/>
          <w:b/>
          <w:bCs/>
          <w:kern w:val="2"/>
          <w:lang w:val="en-GB"/>
          <w14:ligatures w14:val="standardContextual"/>
        </w:rPr>
      </w:pPr>
      <w:bookmarkStart w:id="65" w:name="_Toc156506669"/>
      <w:r w:rsidRPr="0029511A">
        <w:rPr>
          <w:rFonts w:ascii="Calibri" w:hAnsi="Calibri" w:cs="Calibri"/>
          <w:b/>
          <w:bCs/>
          <w:kern w:val="2"/>
          <w:lang w:val="en-GB"/>
          <w14:ligatures w14:val="standardContextual"/>
        </w:rPr>
        <w:t xml:space="preserve">Australia’s APEC Support Program (AASP) </w:t>
      </w:r>
    </w:p>
    <w:p w14:paraId="778227F9" w14:textId="6E84F655" w:rsidR="00300F72" w:rsidRPr="0029511A" w:rsidRDefault="00300F72" w:rsidP="00300F72">
      <w:pPr>
        <w:spacing w:after="160" w:line="259" w:lineRule="auto"/>
        <w:jc w:val="center"/>
        <w:rPr>
          <w:rFonts w:ascii="Calibri" w:hAnsi="Calibri" w:cs="Calibri"/>
          <w:b/>
          <w:bCs/>
          <w:kern w:val="2"/>
          <w:lang w:val="en-GB"/>
          <w14:ligatures w14:val="standardContextual"/>
        </w:rPr>
      </w:pPr>
      <w:r w:rsidRPr="0029511A">
        <w:rPr>
          <w:rFonts w:ascii="Calibri" w:hAnsi="Calibri" w:cs="Calibri"/>
          <w:b/>
          <w:bCs/>
          <w:kern w:val="2"/>
          <w:lang w:val="en-GB"/>
          <w14:ligatures w14:val="standardContextual"/>
        </w:rPr>
        <w:t>Mid-Term Review (MTR) Interview Questions</w:t>
      </w:r>
      <w:r w:rsidR="00442269" w:rsidRPr="0029511A">
        <w:rPr>
          <w:rFonts w:ascii="Calibri" w:hAnsi="Calibri" w:cs="Calibri"/>
          <w:b/>
          <w:bCs/>
          <w:kern w:val="2"/>
          <w:lang w:val="en-GB"/>
          <w14:ligatures w14:val="standardContextual"/>
        </w:rPr>
        <w:t xml:space="preserve"> </w:t>
      </w:r>
    </w:p>
    <w:p w14:paraId="574473F1" w14:textId="7DEB0E57" w:rsidR="00300F72" w:rsidRDefault="00AA3F82" w:rsidP="00300F72">
      <w:pPr>
        <w:spacing w:after="160" w:line="259" w:lineRule="auto"/>
        <w:jc w:val="center"/>
        <w:rPr>
          <w:rFonts w:ascii="Calibri" w:hAnsi="Calibri" w:cs="Calibri"/>
          <w:kern w:val="2"/>
          <w:lang w:val="en-GB"/>
          <w14:ligatures w14:val="standardContextual"/>
        </w:rPr>
      </w:pPr>
      <w:r w:rsidRPr="0029511A">
        <w:rPr>
          <w:rFonts w:ascii="Calibri" w:hAnsi="Calibri" w:cs="Calibri"/>
          <w:kern w:val="2"/>
          <w:lang w:val="en-GB"/>
          <w14:ligatures w14:val="standardContextual"/>
        </w:rPr>
        <w:t>D</w:t>
      </w:r>
      <w:r w:rsidR="00300F72" w:rsidRPr="0029511A">
        <w:rPr>
          <w:rFonts w:ascii="Calibri" w:hAnsi="Calibri" w:cs="Calibri"/>
          <w:kern w:val="2"/>
          <w:lang w:val="en-GB"/>
          <w14:ligatures w14:val="standardContextual"/>
        </w:rPr>
        <w:t>esigned for interviewees who will be participating (or have participated) in Australian self-funded hosted events/workshops</w:t>
      </w:r>
      <w:r w:rsidRPr="0029511A">
        <w:rPr>
          <w:rFonts w:ascii="Calibri" w:hAnsi="Calibri" w:cs="Calibri"/>
          <w:kern w:val="2"/>
          <w:lang w:val="en-GB"/>
          <w14:ligatures w14:val="standardContextual"/>
        </w:rPr>
        <w:t>.</w:t>
      </w:r>
    </w:p>
    <w:p w14:paraId="24FCA11E" w14:textId="33DD46A7" w:rsidR="00356C11" w:rsidRPr="00356C11" w:rsidRDefault="00356C11" w:rsidP="00356C11">
      <w:pPr>
        <w:spacing w:after="160" w:line="259" w:lineRule="auto"/>
        <w:rPr>
          <w:rFonts w:ascii="Calibri" w:hAnsi="Calibri" w:cs="Calibri"/>
          <w:b/>
          <w:bCs/>
          <w:kern w:val="2"/>
          <w:lang w:val="en-GB"/>
          <w14:ligatures w14:val="standardContextual"/>
        </w:rPr>
      </w:pPr>
      <w:r w:rsidRPr="00356C11">
        <w:rPr>
          <w:rFonts w:ascii="Calibri" w:hAnsi="Calibri" w:cs="Calibri"/>
          <w:b/>
          <w:bCs/>
          <w:kern w:val="2"/>
          <w:lang w:val="en-GB"/>
          <w14:ligatures w14:val="standardContextual"/>
        </w:rPr>
        <w:t>Contribution of AASP as being valuable</w:t>
      </w:r>
    </w:p>
    <w:p w14:paraId="1BA7CED4" w14:textId="77777777" w:rsidR="00300F72" w:rsidRPr="0029511A" w:rsidRDefault="00300F72" w:rsidP="00D078C9">
      <w:pPr>
        <w:numPr>
          <w:ilvl w:val="0"/>
          <w:numId w:val="14"/>
        </w:numPr>
        <w:spacing w:after="0" w:line="259" w:lineRule="auto"/>
        <w:contextualSpacing/>
        <w:rPr>
          <w:rFonts w:ascii="Calibri" w:eastAsia="MS Mincho" w:hAnsi="Calibri" w:cs="Calibri"/>
          <w:color w:val="000000"/>
          <w:lang w:val="en-GB"/>
        </w:rPr>
      </w:pPr>
      <w:r w:rsidRPr="0029511A">
        <w:rPr>
          <w:rFonts w:ascii="Calibri" w:eastAsia="MS Mincho" w:hAnsi="Calibri" w:cs="Calibri"/>
          <w:color w:val="000000"/>
          <w:lang w:val="en-GB"/>
        </w:rPr>
        <w:t>Please provide your name, your agency/economy, and your role?</w:t>
      </w:r>
    </w:p>
    <w:p w14:paraId="0FB6692B" w14:textId="77777777" w:rsidR="00300F72" w:rsidRPr="0029511A" w:rsidRDefault="00300F72" w:rsidP="00300F72">
      <w:pPr>
        <w:spacing w:after="0"/>
        <w:ind w:left="360"/>
        <w:contextualSpacing/>
        <w:rPr>
          <w:rFonts w:ascii="Calibri" w:eastAsia="MS Mincho" w:hAnsi="Calibri" w:cs="Calibri"/>
          <w:color w:val="000000"/>
          <w:lang w:val="en-GB"/>
        </w:rPr>
      </w:pPr>
    </w:p>
    <w:p w14:paraId="63ED5B67" w14:textId="77777777" w:rsidR="00300F72" w:rsidRPr="0029511A" w:rsidRDefault="00300F72" w:rsidP="00D078C9">
      <w:pPr>
        <w:numPr>
          <w:ilvl w:val="0"/>
          <w:numId w:val="14"/>
        </w:numPr>
        <w:spacing w:after="0" w:line="259" w:lineRule="auto"/>
        <w:contextualSpacing/>
        <w:rPr>
          <w:rFonts w:ascii="Calibri" w:eastAsia="MS Mincho" w:hAnsi="Calibri" w:cs="Calibri"/>
          <w:color w:val="000000"/>
          <w:lang w:val="en-GB"/>
        </w:rPr>
      </w:pPr>
      <w:r w:rsidRPr="0029511A">
        <w:rPr>
          <w:rFonts w:ascii="Calibri" w:eastAsia="MS Mincho" w:hAnsi="Calibri" w:cs="Calibri"/>
          <w:color w:val="000000" w:themeColor="text1"/>
          <w:kern w:val="2"/>
          <w:lang w:val="en-GB"/>
          <w14:ligatures w14:val="standardContextual"/>
        </w:rPr>
        <w:t xml:space="preserve">Have you previously attended an AUS workshop in 2022, 2023 or 2024? </w:t>
      </w:r>
    </w:p>
    <w:p w14:paraId="23D874E2" w14:textId="77777777" w:rsidR="00300F72" w:rsidRPr="0029511A" w:rsidRDefault="00300F72" w:rsidP="00300F72">
      <w:pPr>
        <w:spacing w:after="0"/>
        <w:ind w:left="6"/>
        <w:contextualSpacing/>
        <w:rPr>
          <w:rFonts w:ascii="Calibri" w:eastAsia="MS Mincho" w:hAnsi="Calibri" w:cs="Calibri"/>
          <w:color w:val="000000"/>
          <w:lang w:val="en-GB"/>
        </w:rPr>
      </w:pPr>
    </w:p>
    <w:p w14:paraId="4208BC3F" w14:textId="77777777" w:rsidR="00300F72" w:rsidRPr="0029511A" w:rsidRDefault="00300F72" w:rsidP="00D078C9">
      <w:pPr>
        <w:numPr>
          <w:ilvl w:val="1"/>
          <w:numId w:val="15"/>
        </w:numPr>
        <w:spacing w:after="0" w:line="259" w:lineRule="auto"/>
        <w:ind w:left="720"/>
        <w:contextualSpacing/>
        <w:rPr>
          <w:rFonts w:ascii="Calibri" w:eastAsia="MS Mincho" w:hAnsi="Calibri" w:cs="Calibri"/>
          <w:color w:val="000000"/>
          <w:lang w:val="en-GB"/>
        </w:rPr>
      </w:pPr>
      <w:r w:rsidRPr="0029511A">
        <w:rPr>
          <w:rFonts w:ascii="Calibri" w:eastAsia="MS Mincho" w:hAnsi="Calibri" w:cs="Calibri"/>
          <w:color w:val="000000"/>
          <w:lang w:val="en-GB"/>
        </w:rPr>
        <w:t>If</w:t>
      </w:r>
      <w:r w:rsidRPr="0029511A">
        <w:rPr>
          <w:rFonts w:ascii="Calibri" w:eastAsia="MS Mincho" w:hAnsi="Calibri" w:cs="Calibri"/>
          <w:color w:val="000000" w:themeColor="text1"/>
          <w:kern w:val="2"/>
          <w:lang w:val="en-GB"/>
          <w14:ligatures w14:val="standardContextual"/>
        </w:rPr>
        <w:t xml:space="preserve"> so, how many/what? </w:t>
      </w:r>
    </w:p>
    <w:p w14:paraId="642A94ED" w14:textId="77777777" w:rsidR="00300F72" w:rsidRPr="0029511A" w:rsidRDefault="00300F72" w:rsidP="00300F72">
      <w:pPr>
        <w:spacing w:after="0"/>
        <w:ind w:left="720"/>
        <w:contextualSpacing/>
        <w:rPr>
          <w:rFonts w:ascii="Calibri" w:eastAsia="MS Mincho" w:hAnsi="Calibri" w:cs="Calibri"/>
          <w:color w:val="000000"/>
          <w:lang w:val="en-GB"/>
        </w:rPr>
      </w:pPr>
    </w:p>
    <w:p w14:paraId="50A03258" w14:textId="77777777" w:rsidR="00300F72" w:rsidRPr="0029511A" w:rsidRDefault="00300F72" w:rsidP="00D078C9">
      <w:pPr>
        <w:numPr>
          <w:ilvl w:val="1"/>
          <w:numId w:val="15"/>
        </w:numPr>
        <w:spacing w:after="0" w:line="259" w:lineRule="auto"/>
        <w:ind w:left="720"/>
        <w:contextualSpacing/>
        <w:rPr>
          <w:rFonts w:ascii="Calibri" w:eastAsia="MS Mincho" w:hAnsi="Calibri" w:cs="Calibri"/>
          <w:color w:val="000000"/>
          <w:lang w:val="en-GB"/>
        </w:rPr>
      </w:pPr>
      <w:r w:rsidRPr="0029511A">
        <w:rPr>
          <w:rFonts w:ascii="Calibri" w:eastAsia="MS Mincho" w:hAnsi="Calibri" w:cs="Calibri"/>
          <w:color w:val="000000"/>
          <w:lang w:val="en-GB"/>
        </w:rPr>
        <w:t>Could you explain how the project/workshop is or was relevant to the needs of your economy?</w:t>
      </w:r>
    </w:p>
    <w:p w14:paraId="2CB8498A" w14:textId="77777777" w:rsidR="00300F72" w:rsidRPr="0029511A" w:rsidRDefault="00300F72" w:rsidP="00300F72">
      <w:pPr>
        <w:spacing w:after="0"/>
        <w:ind w:left="6"/>
        <w:contextualSpacing/>
        <w:rPr>
          <w:rFonts w:ascii="Calibri" w:eastAsia="MS Mincho" w:hAnsi="Calibri" w:cs="Calibri"/>
          <w:color w:val="000000"/>
          <w:lang w:val="en-GB"/>
        </w:rPr>
      </w:pPr>
    </w:p>
    <w:p w14:paraId="34E9F85E" w14:textId="77777777" w:rsidR="00300F72" w:rsidRPr="0029511A" w:rsidRDefault="00300F72" w:rsidP="00D078C9">
      <w:pPr>
        <w:numPr>
          <w:ilvl w:val="0"/>
          <w:numId w:val="14"/>
        </w:numPr>
        <w:spacing w:after="0" w:line="259" w:lineRule="auto"/>
        <w:contextualSpacing/>
        <w:rPr>
          <w:rFonts w:ascii="Calibri" w:eastAsia="MS Mincho" w:hAnsi="Calibri" w:cs="Calibri"/>
          <w:color w:val="000000"/>
          <w:lang w:val="en-GB"/>
        </w:rPr>
      </w:pPr>
      <w:r w:rsidRPr="0029511A">
        <w:rPr>
          <w:rFonts w:ascii="Calibri" w:eastAsia="MS Mincho" w:hAnsi="Calibri" w:cs="Calibri"/>
          <w:color w:val="000000"/>
          <w:lang w:val="en-GB"/>
        </w:rPr>
        <w:t>What was the highlight of the project/workshop? What most did you get out of it?</w:t>
      </w:r>
    </w:p>
    <w:p w14:paraId="0EEA01B2" w14:textId="77777777" w:rsidR="00300F72" w:rsidRPr="0029511A" w:rsidRDefault="00300F72" w:rsidP="00300F72">
      <w:pPr>
        <w:spacing w:after="0"/>
        <w:ind w:left="360"/>
        <w:contextualSpacing/>
        <w:rPr>
          <w:rFonts w:ascii="Calibri" w:eastAsia="MS Mincho" w:hAnsi="Calibri" w:cs="Calibri"/>
          <w:color w:val="000000"/>
          <w:lang w:val="en-GB"/>
        </w:rPr>
      </w:pPr>
    </w:p>
    <w:p w14:paraId="424FD172" w14:textId="77777777" w:rsidR="00300F72" w:rsidRPr="0029511A" w:rsidRDefault="00300F72" w:rsidP="00D078C9">
      <w:pPr>
        <w:numPr>
          <w:ilvl w:val="0"/>
          <w:numId w:val="14"/>
        </w:numPr>
        <w:spacing w:after="0" w:line="259" w:lineRule="auto"/>
        <w:contextualSpacing/>
        <w:rPr>
          <w:rFonts w:ascii="Calibri" w:eastAsia="MS Mincho" w:hAnsi="Calibri" w:cs="Calibri"/>
          <w:color w:val="000000"/>
          <w:lang w:val="en-GB"/>
        </w:rPr>
      </w:pPr>
      <w:r w:rsidRPr="0029511A">
        <w:rPr>
          <w:rFonts w:ascii="Calibri" w:eastAsia="MS Mincho" w:hAnsi="Calibri" w:cs="Calibri"/>
          <w:color w:val="000000"/>
          <w:lang w:val="en-GB"/>
        </w:rPr>
        <w:t xml:space="preserve">To what extent do you think projects/workshops supported by the Australian Government are enhancing Australia’s influence or its perception as a partner within APEC? </w:t>
      </w:r>
    </w:p>
    <w:p w14:paraId="0B22DCB5" w14:textId="77777777" w:rsidR="00300F72" w:rsidRPr="0029511A" w:rsidRDefault="00300F72" w:rsidP="00300F72">
      <w:pPr>
        <w:spacing w:after="0"/>
        <w:ind w:left="6"/>
        <w:contextualSpacing/>
        <w:rPr>
          <w:rFonts w:ascii="Calibri" w:eastAsia="MS Mincho" w:hAnsi="Calibri" w:cs="Calibri"/>
          <w:color w:val="000000"/>
          <w:lang w:val="en-GB"/>
        </w:rPr>
      </w:pPr>
    </w:p>
    <w:p w14:paraId="5379BA82" w14:textId="77777777" w:rsidR="00300F72" w:rsidRPr="0029511A" w:rsidRDefault="00300F72" w:rsidP="00D078C9">
      <w:pPr>
        <w:numPr>
          <w:ilvl w:val="0"/>
          <w:numId w:val="14"/>
        </w:numPr>
        <w:spacing w:after="0" w:line="259" w:lineRule="auto"/>
        <w:contextualSpacing/>
        <w:rPr>
          <w:rFonts w:ascii="Calibri" w:eastAsia="MS Mincho" w:hAnsi="Calibri" w:cs="Calibri"/>
          <w:color w:val="000000"/>
          <w:lang w:val="en-GB"/>
        </w:rPr>
      </w:pPr>
      <w:r w:rsidRPr="0029511A">
        <w:rPr>
          <w:rFonts w:ascii="Calibri" w:eastAsia="MS Mincho" w:hAnsi="Calibri" w:cs="Calibri"/>
          <w:color w:val="000000"/>
          <w:lang w:val="en-GB"/>
        </w:rPr>
        <w:t>How can Australia improve its projects/workshops in the future? Do you have any specific feedback?</w:t>
      </w:r>
    </w:p>
    <w:p w14:paraId="7FF4F440" w14:textId="77777777" w:rsidR="00300F72" w:rsidRPr="0029511A" w:rsidRDefault="00300F72" w:rsidP="00300F72">
      <w:pPr>
        <w:spacing w:after="0"/>
        <w:ind w:left="6"/>
        <w:contextualSpacing/>
        <w:rPr>
          <w:rFonts w:ascii="Calibri" w:eastAsia="MS Mincho" w:hAnsi="Calibri" w:cs="Calibri"/>
          <w:color w:val="000000"/>
          <w:lang w:val="en-GB"/>
        </w:rPr>
      </w:pPr>
    </w:p>
    <w:p w14:paraId="26CD5321" w14:textId="5C098A4F" w:rsidR="00300F72" w:rsidRPr="00356C11" w:rsidRDefault="00356C11" w:rsidP="00300F72">
      <w:pPr>
        <w:spacing w:after="0"/>
        <w:ind w:left="6"/>
        <w:contextualSpacing/>
        <w:rPr>
          <w:rFonts w:ascii="Calibri" w:eastAsia="MS Mincho" w:hAnsi="Calibri" w:cs="Calibri"/>
          <w:b/>
          <w:bCs/>
          <w:color w:val="000000"/>
          <w:lang w:val="en-GB"/>
        </w:rPr>
      </w:pPr>
      <w:r w:rsidRPr="00356C11">
        <w:rPr>
          <w:rFonts w:ascii="Calibri" w:eastAsia="MS Mincho" w:hAnsi="Calibri" w:cs="Calibri"/>
          <w:b/>
          <w:bCs/>
          <w:color w:val="000000"/>
          <w:lang w:val="en-GB"/>
        </w:rPr>
        <w:t>Progressing implementation of an open and rules-based trade and investment environment by 2026</w:t>
      </w:r>
    </w:p>
    <w:p w14:paraId="6156ACC7" w14:textId="77777777" w:rsidR="00356C11" w:rsidRPr="0029511A" w:rsidRDefault="00356C11" w:rsidP="00300F72">
      <w:pPr>
        <w:spacing w:after="0"/>
        <w:ind w:left="6"/>
        <w:contextualSpacing/>
        <w:rPr>
          <w:rFonts w:ascii="Calibri" w:eastAsia="MS Mincho" w:hAnsi="Calibri" w:cs="Calibri"/>
          <w:color w:val="000000"/>
          <w:lang w:val="en-GB"/>
        </w:rPr>
      </w:pPr>
    </w:p>
    <w:p w14:paraId="2DFAEA70" w14:textId="3D921C5D" w:rsidR="00300F72" w:rsidRPr="0029511A" w:rsidRDefault="00300F72" w:rsidP="00D078C9">
      <w:pPr>
        <w:numPr>
          <w:ilvl w:val="0"/>
          <w:numId w:val="14"/>
        </w:numPr>
        <w:spacing w:after="0" w:line="259" w:lineRule="auto"/>
        <w:contextualSpacing/>
        <w:rPr>
          <w:rFonts w:ascii="Calibri" w:eastAsia="MS Mincho" w:hAnsi="Calibri" w:cs="Calibri"/>
          <w:color w:val="000000"/>
          <w:lang w:val="en-GB"/>
        </w:rPr>
      </w:pPr>
      <w:r w:rsidRPr="0029511A">
        <w:rPr>
          <w:rFonts w:ascii="Calibri" w:eastAsia="MS Mincho" w:hAnsi="Calibri" w:cs="Calibri"/>
          <w:color w:val="000000"/>
          <w:lang w:val="en-GB"/>
        </w:rPr>
        <w:t xml:space="preserve">To what extent did the project/workshop generate ideas or inform new approaches within your economy to effectively progress an open and rules-based trade and investment environment? </w:t>
      </w:r>
    </w:p>
    <w:p w14:paraId="0E008F2D" w14:textId="77777777" w:rsidR="00300F72" w:rsidRPr="0029511A" w:rsidRDefault="00300F72" w:rsidP="00300F72">
      <w:pPr>
        <w:spacing w:after="0"/>
        <w:ind w:left="360"/>
        <w:contextualSpacing/>
        <w:rPr>
          <w:rFonts w:ascii="Calibri" w:eastAsia="MS Mincho" w:hAnsi="Calibri" w:cs="Calibri"/>
          <w:color w:val="000000"/>
          <w:lang w:val="en-GB"/>
        </w:rPr>
      </w:pPr>
    </w:p>
    <w:p w14:paraId="46816593" w14:textId="04D8324E" w:rsidR="00300F72" w:rsidRPr="0029511A" w:rsidRDefault="00300F72" w:rsidP="00D078C9">
      <w:pPr>
        <w:numPr>
          <w:ilvl w:val="0"/>
          <w:numId w:val="14"/>
        </w:numPr>
        <w:spacing w:after="0" w:line="259" w:lineRule="auto"/>
        <w:contextualSpacing/>
        <w:rPr>
          <w:rFonts w:ascii="Calibri" w:eastAsia="MS Mincho" w:hAnsi="Calibri" w:cs="Calibri"/>
          <w:color w:val="000000"/>
          <w:lang w:val="en-GB"/>
        </w:rPr>
      </w:pPr>
      <w:r w:rsidRPr="0029511A">
        <w:rPr>
          <w:rFonts w:ascii="Calibri" w:eastAsia="MS Mincho" w:hAnsi="Calibri" w:cs="Calibri"/>
          <w:color w:val="000000"/>
          <w:lang w:val="en-GB"/>
        </w:rPr>
        <w:t xml:space="preserve">To what extent </w:t>
      </w:r>
      <w:r w:rsidR="002D15CE" w:rsidRPr="0029511A">
        <w:rPr>
          <w:rFonts w:ascii="Calibri" w:eastAsia="MS Mincho" w:hAnsi="Calibri" w:cs="Calibri"/>
          <w:color w:val="000000"/>
          <w:lang w:val="en-GB"/>
        </w:rPr>
        <w:t>were ideas</w:t>
      </w:r>
      <w:r w:rsidRPr="0029511A">
        <w:rPr>
          <w:rFonts w:ascii="Calibri" w:eastAsia="MS Mincho" w:hAnsi="Calibri" w:cs="Calibri"/>
          <w:color w:val="000000"/>
          <w:lang w:val="en-GB"/>
        </w:rPr>
        <w:t xml:space="preserve"> generated that have assisted with: </w:t>
      </w:r>
    </w:p>
    <w:p w14:paraId="6D228307" w14:textId="77777777" w:rsidR="00300F72" w:rsidRPr="0029511A" w:rsidRDefault="00300F72" w:rsidP="00300F72">
      <w:pPr>
        <w:spacing w:after="0"/>
        <w:ind w:left="6"/>
        <w:contextualSpacing/>
        <w:rPr>
          <w:rFonts w:ascii="Calibri" w:eastAsia="MS Mincho" w:hAnsi="Calibri" w:cs="Calibri"/>
          <w:color w:val="000000"/>
          <w:lang w:val="en-GB"/>
        </w:rPr>
      </w:pPr>
    </w:p>
    <w:p w14:paraId="6009A072" w14:textId="77777777" w:rsidR="00300F72" w:rsidRPr="0029511A" w:rsidRDefault="00300F72" w:rsidP="00D078C9">
      <w:pPr>
        <w:numPr>
          <w:ilvl w:val="1"/>
          <w:numId w:val="16"/>
        </w:numPr>
        <w:spacing w:after="0" w:line="259" w:lineRule="auto"/>
        <w:ind w:left="720"/>
        <w:contextualSpacing/>
        <w:rPr>
          <w:rFonts w:ascii="Calibri" w:eastAsia="MS Mincho" w:hAnsi="Calibri" w:cs="Calibri"/>
          <w:color w:val="000000"/>
          <w:lang w:val="en-GB"/>
        </w:rPr>
      </w:pPr>
      <w:r w:rsidRPr="0029511A">
        <w:rPr>
          <w:rFonts w:ascii="Calibri" w:eastAsia="MS Mincho" w:hAnsi="Calibri" w:cs="Calibri"/>
          <w:color w:val="000000"/>
          <w:lang w:val="en-GB"/>
        </w:rPr>
        <w:t>negotiation and implementation of trade, investment, and economic agreements,</w:t>
      </w:r>
    </w:p>
    <w:p w14:paraId="6C5D2DD2" w14:textId="77777777" w:rsidR="00300F72" w:rsidRPr="0029511A" w:rsidRDefault="00300F72" w:rsidP="00300F72">
      <w:pPr>
        <w:spacing w:after="0"/>
        <w:ind w:left="720"/>
        <w:contextualSpacing/>
        <w:rPr>
          <w:rFonts w:ascii="Calibri" w:eastAsia="MS Mincho" w:hAnsi="Calibri" w:cs="Calibri"/>
          <w:color w:val="000000"/>
          <w:lang w:val="en-GB"/>
        </w:rPr>
      </w:pPr>
    </w:p>
    <w:p w14:paraId="4DB3CD85" w14:textId="77777777" w:rsidR="00300F72" w:rsidRPr="0029511A" w:rsidRDefault="00300F72" w:rsidP="00D078C9">
      <w:pPr>
        <w:numPr>
          <w:ilvl w:val="1"/>
          <w:numId w:val="16"/>
        </w:numPr>
        <w:spacing w:after="0" w:line="259" w:lineRule="auto"/>
        <w:ind w:left="720"/>
        <w:contextualSpacing/>
        <w:rPr>
          <w:rFonts w:ascii="Calibri" w:eastAsia="MS Mincho" w:hAnsi="Calibri" w:cs="Calibri"/>
          <w:color w:val="000000"/>
          <w:lang w:val="en-GB"/>
        </w:rPr>
      </w:pPr>
      <w:r w:rsidRPr="0029511A">
        <w:rPr>
          <w:rFonts w:ascii="Calibri" w:eastAsia="MS Mincho" w:hAnsi="Calibri" w:cs="Calibri"/>
          <w:color w:val="000000"/>
          <w:lang w:val="en-GB"/>
        </w:rPr>
        <w:t xml:space="preserve">formulation and implementation of trade and economic policies and strategies, </w:t>
      </w:r>
    </w:p>
    <w:p w14:paraId="05E04774" w14:textId="77777777" w:rsidR="00300F72" w:rsidRPr="0029511A" w:rsidRDefault="00300F72" w:rsidP="00300F72">
      <w:pPr>
        <w:spacing w:after="0"/>
        <w:ind w:left="6"/>
        <w:contextualSpacing/>
        <w:rPr>
          <w:rFonts w:ascii="Calibri" w:eastAsia="MS Mincho" w:hAnsi="Calibri" w:cs="Calibri"/>
          <w:color w:val="000000"/>
          <w:lang w:val="en-GB"/>
        </w:rPr>
      </w:pPr>
    </w:p>
    <w:p w14:paraId="0821E258" w14:textId="77777777" w:rsidR="00300F72" w:rsidRPr="0029511A" w:rsidRDefault="00300F72" w:rsidP="00D078C9">
      <w:pPr>
        <w:numPr>
          <w:ilvl w:val="1"/>
          <w:numId w:val="16"/>
        </w:numPr>
        <w:spacing w:after="0" w:line="259" w:lineRule="auto"/>
        <w:ind w:left="720"/>
        <w:contextualSpacing/>
        <w:rPr>
          <w:rFonts w:ascii="Calibri" w:eastAsia="MS Mincho" w:hAnsi="Calibri" w:cs="Calibri"/>
          <w:color w:val="000000"/>
          <w:lang w:val="en-GB"/>
        </w:rPr>
      </w:pPr>
      <w:r w:rsidRPr="0029511A">
        <w:rPr>
          <w:rFonts w:ascii="Calibri" w:eastAsia="MS Mincho" w:hAnsi="Calibri" w:cs="Calibri"/>
          <w:color w:val="000000"/>
          <w:lang w:val="en-GB"/>
        </w:rPr>
        <w:t>legislation and regulatory reform to improve transparency or predictability in trade policy/frameworks/enabling environment.</w:t>
      </w:r>
    </w:p>
    <w:p w14:paraId="16F4FC19" w14:textId="77777777" w:rsidR="00300F72" w:rsidRDefault="00300F72" w:rsidP="00300F72">
      <w:pPr>
        <w:spacing w:after="160" w:line="259" w:lineRule="auto"/>
        <w:rPr>
          <w:rFonts w:ascii="Calibri" w:hAnsi="Calibri" w:cs="Calibri"/>
          <w:kern w:val="2"/>
          <w:lang w:val="en-GB"/>
          <w14:ligatures w14:val="standardContextual"/>
        </w:rPr>
      </w:pPr>
    </w:p>
    <w:p w14:paraId="56317F26" w14:textId="09622E96" w:rsidR="00356C11" w:rsidRPr="00C56469" w:rsidRDefault="00356C11" w:rsidP="00300F72">
      <w:pPr>
        <w:spacing w:after="160" w:line="259" w:lineRule="auto"/>
        <w:rPr>
          <w:rFonts w:ascii="Calibri" w:hAnsi="Calibri" w:cs="Calibri"/>
          <w:b/>
          <w:bCs/>
          <w:kern w:val="2"/>
          <w:lang w:val="en-GB"/>
          <w14:ligatures w14:val="standardContextual"/>
        </w:rPr>
      </w:pPr>
      <w:r w:rsidRPr="00C56469">
        <w:rPr>
          <w:rFonts w:ascii="Calibri" w:hAnsi="Calibri" w:cs="Calibri"/>
          <w:b/>
          <w:bCs/>
          <w:kern w:val="2"/>
          <w:lang w:val="en-GB"/>
          <w14:ligatures w14:val="standardContextual"/>
        </w:rPr>
        <w:t>Progressing implementation of measures to promote regional integration and domestic structural reforms by 202</w:t>
      </w:r>
      <w:r w:rsidR="00C56469" w:rsidRPr="00C56469">
        <w:rPr>
          <w:rFonts w:ascii="Calibri" w:hAnsi="Calibri" w:cs="Calibri"/>
          <w:b/>
          <w:bCs/>
          <w:kern w:val="2"/>
          <w:lang w:val="en-GB"/>
          <w14:ligatures w14:val="standardContextual"/>
        </w:rPr>
        <w:t>6</w:t>
      </w:r>
    </w:p>
    <w:p w14:paraId="308F9B2E" w14:textId="77777777" w:rsidR="00300F72" w:rsidRPr="0029511A" w:rsidRDefault="00300F72" w:rsidP="00D078C9">
      <w:pPr>
        <w:numPr>
          <w:ilvl w:val="0"/>
          <w:numId w:val="14"/>
        </w:numPr>
        <w:spacing w:after="0" w:line="259" w:lineRule="auto"/>
        <w:contextualSpacing/>
        <w:rPr>
          <w:rFonts w:ascii="Calibri" w:eastAsia="Calibri Light" w:hAnsi="Calibri" w:cs="Calibri"/>
          <w:color w:val="000000"/>
          <w:lang w:val="en-GB"/>
        </w:rPr>
      </w:pPr>
      <w:r w:rsidRPr="0029511A">
        <w:rPr>
          <w:rFonts w:ascii="Calibri" w:eastAsia="MS Mincho" w:hAnsi="Calibri" w:cs="Calibri"/>
          <w:color w:val="000000"/>
          <w:lang w:val="en-GB"/>
        </w:rPr>
        <w:lastRenderedPageBreak/>
        <w:t>To what extent did the project/workshop generate ideas or new approaches within your economy to effectively promote</w:t>
      </w:r>
      <w:r w:rsidRPr="0029511A">
        <w:rPr>
          <w:rFonts w:ascii="Calibri" w:eastAsia="Calibri Light" w:hAnsi="Calibri" w:cs="Calibri"/>
          <w:color w:val="000000"/>
          <w:lang w:val="en-GB"/>
        </w:rPr>
        <w:t xml:space="preserve"> regional integration and domestic structural reforms? </w:t>
      </w:r>
    </w:p>
    <w:p w14:paraId="1040F221" w14:textId="77777777" w:rsidR="00300F72" w:rsidRPr="0029511A" w:rsidRDefault="00300F72" w:rsidP="00300F72">
      <w:pPr>
        <w:spacing w:after="0"/>
        <w:ind w:left="360"/>
        <w:contextualSpacing/>
        <w:rPr>
          <w:rFonts w:ascii="Calibri" w:eastAsia="Calibri Light" w:hAnsi="Calibri" w:cs="Calibri"/>
          <w:color w:val="000000"/>
          <w:lang w:val="en-GB"/>
        </w:rPr>
      </w:pPr>
    </w:p>
    <w:p w14:paraId="26959B3B" w14:textId="4B322CEC" w:rsidR="00300F72" w:rsidRPr="0029511A" w:rsidRDefault="00300F72" w:rsidP="00D078C9">
      <w:pPr>
        <w:numPr>
          <w:ilvl w:val="0"/>
          <w:numId w:val="14"/>
        </w:numPr>
        <w:spacing w:after="0" w:line="259" w:lineRule="auto"/>
        <w:contextualSpacing/>
        <w:rPr>
          <w:rFonts w:ascii="Calibri" w:eastAsia="MS Mincho" w:hAnsi="Calibri" w:cs="Calibri"/>
          <w:color w:val="000000"/>
          <w:lang w:val="en-GB"/>
        </w:rPr>
      </w:pPr>
      <w:r w:rsidRPr="0029511A">
        <w:rPr>
          <w:rFonts w:ascii="Calibri" w:eastAsia="MS Mincho" w:hAnsi="Calibri" w:cs="Calibri"/>
          <w:color w:val="000000"/>
          <w:lang w:val="en-GB"/>
        </w:rPr>
        <w:t xml:space="preserve">To what extent </w:t>
      </w:r>
      <w:r w:rsidR="002D15CE" w:rsidRPr="0029511A">
        <w:rPr>
          <w:rFonts w:ascii="Calibri" w:eastAsia="MS Mincho" w:hAnsi="Calibri" w:cs="Calibri"/>
          <w:color w:val="000000"/>
          <w:lang w:val="en-GB"/>
        </w:rPr>
        <w:t>were ideas</w:t>
      </w:r>
      <w:r w:rsidRPr="0029511A">
        <w:rPr>
          <w:rFonts w:ascii="Calibri" w:eastAsia="MS Mincho" w:hAnsi="Calibri" w:cs="Calibri"/>
          <w:color w:val="000000"/>
          <w:lang w:val="en-GB"/>
        </w:rPr>
        <w:t xml:space="preserve"> generated that have assisted with: </w:t>
      </w:r>
    </w:p>
    <w:p w14:paraId="5470E599" w14:textId="77777777" w:rsidR="00300F72" w:rsidRPr="0029511A" w:rsidRDefault="00300F72" w:rsidP="00D078C9">
      <w:pPr>
        <w:numPr>
          <w:ilvl w:val="1"/>
          <w:numId w:val="17"/>
        </w:numPr>
        <w:spacing w:after="0" w:line="259" w:lineRule="auto"/>
        <w:ind w:left="720"/>
        <w:contextualSpacing/>
        <w:rPr>
          <w:rFonts w:ascii="Calibri" w:eastAsia="MS Mincho" w:hAnsi="Calibri" w:cs="Calibri"/>
          <w:color w:val="000000"/>
          <w:lang w:val="en-GB"/>
        </w:rPr>
      </w:pPr>
      <w:r w:rsidRPr="0029511A">
        <w:rPr>
          <w:rFonts w:ascii="Calibri" w:eastAsia="MS Mincho" w:hAnsi="Calibri" w:cs="Calibri"/>
          <w:color w:val="000000"/>
          <w:lang w:val="en-GB"/>
        </w:rPr>
        <w:t xml:space="preserve">cooperation with other economies (APEC or other) in trade, investment and domestic regulation </w:t>
      </w:r>
    </w:p>
    <w:p w14:paraId="0A24FD25" w14:textId="77777777" w:rsidR="00300F72" w:rsidRPr="0029511A" w:rsidRDefault="00300F72" w:rsidP="00300F72">
      <w:pPr>
        <w:spacing w:after="0"/>
        <w:ind w:left="720"/>
        <w:contextualSpacing/>
        <w:rPr>
          <w:rFonts w:ascii="Calibri" w:eastAsia="MS Mincho" w:hAnsi="Calibri" w:cs="Calibri"/>
          <w:color w:val="000000"/>
          <w:lang w:val="en-GB"/>
        </w:rPr>
      </w:pPr>
    </w:p>
    <w:p w14:paraId="481030C2" w14:textId="77777777" w:rsidR="00300F72" w:rsidRPr="0029511A" w:rsidRDefault="00300F72" w:rsidP="00D078C9">
      <w:pPr>
        <w:numPr>
          <w:ilvl w:val="1"/>
          <w:numId w:val="17"/>
        </w:numPr>
        <w:spacing w:after="0" w:line="259" w:lineRule="auto"/>
        <w:ind w:left="720"/>
        <w:contextualSpacing/>
        <w:rPr>
          <w:rFonts w:ascii="Calibri" w:eastAsia="MS Mincho" w:hAnsi="Calibri" w:cs="Calibri"/>
          <w:color w:val="000000"/>
          <w:lang w:val="en-GB"/>
        </w:rPr>
      </w:pPr>
      <w:r w:rsidRPr="0029511A">
        <w:rPr>
          <w:rFonts w:ascii="Calibri" w:eastAsia="MS Mincho" w:hAnsi="Calibri" w:cs="Calibri"/>
          <w:color w:val="000000"/>
          <w:lang w:val="en-GB"/>
        </w:rPr>
        <w:t>implementation of structural reforms that are inclusive and where environmental, social and governance risks are managed.</w:t>
      </w:r>
    </w:p>
    <w:p w14:paraId="302B64C9" w14:textId="77777777" w:rsidR="00300F72" w:rsidRDefault="00300F72" w:rsidP="00300F72">
      <w:pPr>
        <w:spacing w:after="160" w:line="259" w:lineRule="auto"/>
        <w:rPr>
          <w:rFonts w:ascii="Calibri" w:hAnsi="Calibri" w:cs="Calibri"/>
          <w:kern w:val="2"/>
          <w:lang w:val="en-GB"/>
          <w14:ligatures w14:val="standardContextual"/>
        </w:rPr>
      </w:pPr>
    </w:p>
    <w:p w14:paraId="3B12D71D" w14:textId="3A2D4AB6" w:rsidR="00C56469" w:rsidRPr="00C56469" w:rsidRDefault="00C56469" w:rsidP="00300F72">
      <w:pPr>
        <w:spacing w:after="160" w:line="259" w:lineRule="auto"/>
        <w:rPr>
          <w:rFonts w:ascii="Calibri" w:hAnsi="Calibri" w:cs="Calibri"/>
          <w:b/>
          <w:bCs/>
          <w:kern w:val="2"/>
          <w:lang w:val="en-GB"/>
          <w14:ligatures w14:val="standardContextual"/>
        </w:rPr>
      </w:pPr>
      <w:r w:rsidRPr="00C56469">
        <w:rPr>
          <w:rFonts w:ascii="Calibri" w:hAnsi="Calibri" w:cs="Calibri"/>
          <w:b/>
          <w:bCs/>
          <w:kern w:val="2"/>
          <w:lang w:val="en-GB"/>
          <w14:ligatures w14:val="standardContextual"/>
        </w:rPr>
        <w:t>Progressing implementation of efforts within APEC to promote international standards, norms and rules on digital trade by 2026</w:t>
      </w:r>
    </w:p>
    <w:p w14:paraId="7E97B817" w14:textId="77777777" w:rsidR="00300F72" w:rsidRPr="0029511A" w:rsidRDefault="00300F72" w:rsidP="00D078C9">
      <w:pPr>
        <w:numPr>
          <w:ilvl w:val="0"/>
          <w:numId w:val="14"/>
        </w:numPr>
        <w:spacing w:after="0" w:line="259" w:lineRule="auto"/>
        <w:contextualSpacing/>
        <w:rPr>
          <w:rFonts w:ascii="Calibri" w:eastAsia="MS Mincho" w:hAnsi="Calibri" w:cs="Calibri"/>
          <w:color w:val="000000"/>
          <w:lang w:val="en-GB"/>
        </w:rPr>
      </w:pPr>
      <w:r w:rsidRPr="0029511A">
        <w:rPr>
          <w:rFonts w:ascii="Calibri" w:eastAsia="MS Mincho" w:hAnsi="Calibri" w:cs="Calibri"/>
          <w:color w:val="000000"/>
          <w:lang w:val="en-GB"/>
        </w:rPr>
        <w:t xml:space="preserve">To what extent have Australia’s workshops helped your economy with ideas and approaches to shape an international environment (within APEC or outside) that enables digital trade and reinforces the rules-based trading system, especially digital trade rules? </w:t>
      </w:r>
    </w:p>
    <w:p w14:paraId="1D7E5487" w14:textId="77777777" w:rsidR="00300F72" w:rsidRPr="0029511A" w:rsidRDefault="00300F72" w:rsidP="00300F72">
      <w:pPr>
        <w:spacing w:after="0"/>
        <w:ind w:left="360"/>
        <w:contextualSpacing/>
        <w:rPr>
          <w:rFonts w:ascii="Calibri" w:eastAsia="MS Mincho" w:hAnsi="Calibri" w:cs="Calibri"/>
          <w:color w:val="000000"/>
          <w:lang w:val="en-GB"/>
        </w:rPr>
      </w:pPr>
    </w:p>
    <w:p w14:paraId="127D706C" w14:textId="77777777" w:rsidR="00300F72" w:rsidRPr="0029511A" w:rsidRDefault="00300F72" w:rsidP="00D078C9">
      <w:pPr>
        <w:numPr>
          <w:ilvl w:val="0"/>
          <w:numId w:val="14"/>
        </w:numPr>
        <w:spacing w:after="0" w:line="259" w:lineRule="auto"/>
        <w:contextualSpacing/>
        <w:rPr>
          <w:rFonts w:ascii="Calibri" w:eastAsia="MS Mincho" w:hAnsi="Calibri" w:cs="Calibri"/>
          <w:color w:val="000000"/>
          <w:lang w:val="en-GB"/>
        </w:rPr>
      </w:pPr>
      <w:r w:rsidRPr="0029511A">
        <w:rPr>
          <w:rFonts w:ascii="Calibri" w:eastAsia="MS Mincho" w:hAnsi="Calibri" w:cs="Calibri"/>
          <w:color w:val="000000"/>
          <w:lang w:val="en-GB"/>
        </w:rPr>
        <w:t xml:space="preserve">How did our workshop succeed in advocating for liberalisation and facilitation of digital trade? </w:t>
      </w:r>
    </w:p>
    <w:p w14:paraId="714EAD9B" w14:textId="77777777" w:rsidR="00300F72" w:rsidRPr="0029511A" w:rsidRDefault="00300F72" w:rsidP="00300F72">
      <w:pPr>
        <w:spacing w:after="0"/>
        <w:ind w:left="6"/>
        <w:contextualSpacing/>
        <w:rPr>
          <w:rFonts w:ascii="Calibri" w:eastAsia="MS Mincho" w:hAnsi="Calibri" w:cs="Calibri"/>
          <w:color w:val="000000"/>
          <w:lang w:val="en-GB"/>
        </w:rPr>
      </w:pPr>
    </w:p>
    <w:p w14:paraId="7267135C" w14:textId="77777777" w:rsidR="00300F72" w:rsidRDefault="00300F72" w:rsidP="00D078C9">
      <w:pPr>
        <w:numPr>
          <w:ilvl w:val="0"/>
          <w:numId w:val="14"/>
        </w:numPr>
        <w:spacing w:after="0" w:line="259" w:lineRule="auto"/>
        <w:contextualSpacing/>
        <w:rPr>
          <w:rFonts w:ascii="Calibri" w:eastAsia="MS Mincho" w:hAnsi="Calibri" w:cs="Calibri"/>
          <w:color w:val="000000"/>
          <w:lang w:val="en-GB"/>
        </w:rPr>
      </w:pPr>
      <w:r w:rsidRPr="0029511A">
        <w:rPr>
          <w:rFonts w:ascii="Calibri" w:eastAsia="MS Mincho" w:hAnsi="Calibri" w:cs="Calibri"/>
          <w:color w:val="000000"/>
          <w:lang w:val="en-GB"/>
        </w:rPr>
        <w:t>How did our workshop encourage domestic discussion and reforms in the areas of privacy, consumer and data protection?</w:t>
      </w:r>
    </w:p>
    <w:p w14:paraId="64F74493" w14:textId="77777777" w:rsidR="00C56469" w:rsidRDefault="00C56469" w:rsidP="00C56469">
      <w:pPr>
        <w:pStyle w:val="ListParagraph"/>
        <w:rPr>
          <w:rFonts w:ascii="Calibri" w:eastAsia="MS Mincho" w:hAnsi="Calibri" w:cs="Calibri"/>
          <w:color w:val="000000"/>
          <w:lang w:val="en-GB"/>
        </w:rPr>
      </w:pPr>
    </w:p>
    <w:p w14:paraId="0211A1A4" w14:textId="1DA6064A" w:rsidR="00C56469" w:rsidRPr="00C56469" w:rsidRDefault="00C56469" w:rsidP="00C56469">
      <w:pPr>
        <w:spacing w:after="0" w:line="259" w:lineRule="auto"/>
        <w:contextualSpacing/>
        <w:rPr>
          <w:rFonts w:ascii="Calibri" w:eastAsia="MS Mincho" w:hAnsi="Calibri" w:cs="Calibri"/>
          <w:b/>
          <w:bCs/>
          <w:color w:val="000000"/>
          <w:lang w:val="en-GB"/>
        </w:rPr>
      </w:pPr>
      <w:r w:rsidRPr="00C56469">
        <w:rPr>
          <w:rFonts w:ascii="Calibri" w:eastAsia="MS Mincho" w:hAnsi="Calibri" w:cs="Calibri"/>
          <w:b/>
          <w:bCs/>
          <w:color w:val="000000"/>
          <w:lang w:val="en-GB"/>
        </w:rPr>
        <w:t>Gender equality and disability inclusion are integrated in AASP plans, projects, monitoring &amp; evaluation, and analysis</w:t>
      </w:r>
    </w:p>
    <w:p w14:paraId="775E9A98" w14:textId="77777777" w:rsidR="00300F72" w:rsidRPr="0029511A" w:rsidRDefault="00300F72" w:rsidP="00300F72">
      <w:pPr>
        <w:spacing w:after="0"/>
        <w:ind w:left="360"/>
        <w:contextualSpacing/>
        <w:rPr>
          <w:rFonts w:ascii="Calibri" w:eastAsia="MS Mincho" w:hAnsi="Calibri" w:cs="Calibri"/>
          <w:color w:val="000000"/>
          <w:lang w:val="en-GB"/>
        </w:rPr>
      </w:pPr>
    </w:p>
    <w:p w14:paraId="3A189E97" w14:textId="77777777" w:rsidR="00300F72" w:rsidRPr="0029511A" w:rsidRDefault="00300F72" w:rsidP="00300F72">
      <w:pPr>
        <w:suppressAutoHyphens/>
        <w:snapToGrid w:val="0"/>
        <w:spacing w:before="120" w:line="260" w:lineRule="atLeast"/>
        <w:contextualSpacing/>
        <w:rPr>
          <w:rFonts w:ascii="Calibri" w:eastAsia="Calibri Light" w:hAnsi="Calibri" w:cs="Calibri"/>
          <w:b/>
          <w:bCs/>
          <w:color w:val="000000"/>
          <w:lang w:val="en-GB"/>
        </w:rPr>
      </w:pPr>
    </w:p>
    <w:p w14:paraId="5D88DCDF" w14:textId="77777777" w:rsidR="00300F72" w:rsidRPr="0029511A" w:rsidRDefault="00300F72" w:rsidP="00D078C9">
      <w:pPr>
        <w:numPr>
          <w:ilvl w:val="0"/>
          <w:numId w:val="14"/>
        </w:numPr>
        <w:spacing w:after="0" w:line="259" w:lineRule="auto"/>
        <w:contextualSpacing/>
        <w:rPr>
          <w:rFonts w:ascii="Calibri" w:eastAsia="MS Mincho" w:hAnsi="Calibri" w:cs="Calibri"/>
          <w:color w:val="000000"/>
          <w:lang w:val="en-GB"/>
        </w:rPr>
      </w:pPr>
      <w:r w:rsidRPr="0029511A">
        <w:rPr>
          <w:rFonts w:ascii="Calibri" w:eastAsia="MS Mincho" w:hAnsi="Calibri" w:cs="Calibri"/>
          <w:color w:val="000000"/>
          <w:lang w:val="en-GB"/>
        </w:rPr>
        <w:t>To what extent have Australia’s projects/workshops led to improved capacities or knowledge that are resulting in trade outcomes for marginalised groups, i.e., MSMEs, women, Indigenous Peoples, persons with disabilities, and those in rural/remote areas? Could you provide an example?</w:t>
      </w:r>
    </w:p>
    <w:p w14:paraId="668E44EE" w14:textId="77777777" w:rsidR="00300F72" w:rsidRPr="0029511A" w:rsidRDefault="00300F72" w:rsidP="00300F72">
      <w:pPr>
        <w:spacing w:after="0"/>
        <w:ind w:left="360"/>
        <w:contextualSpacing/>
        <w:rPr>
          <w:rFonts w:ascii="Calibri" w:eastAsia="MS Mincho" w:hAnsi="Calibri" w:cs="Calibri"/>
          <w:color w:val="000000"/>
          <w:lang w:val="en-GB"/>
        </w:rPr>
      </w:pPr>
    </w:p>
    <w:p w14:paraId="7AF74A34" w14:textId="77777777" w:rsidR="00300F72" w:rsidRPr="0029511A" w:rsidRDefault="00300F72" w:rsidP="00D078C9">
      <w:pPr>
        <w:numPr>
          <w:ilvl w:val="0"/>
          <w:numId w:val="14"/>
        </w:numPr>
        <w:spacing w:after="0" w:line="259" w:lineRule="auto"/>
        <w:contextualSpacing/>
        <w:rPr>
          <w:rFonts w:ascii="Calibri" w:eastAsia="MS Mincho" w:hAnsi="Calibri" w:cs="Calibri"/>
          <w:color w:val="000000"/>
          <w:lang w:val="en-GB"/>
        </w:rPr>
      </w:pPr>
      <w:r w:rsidRPr="0029511A">
        <w:rPr>
          <w:rFonts w:ascii="Calibri" w:eastAsia="MS Mincho" w:hAnsi="Calibri" w:cs="Calibri"/>
          <w:color w:val="000000"/>
          <w:lang w:val="en-GB"/>
        </w:rPr>
        <w:t xml:space="preserve">What reforms or policy changes were you able to promote or instigate within your economy with the acquired knowledge? </w:t>
      </w:r>
    </w:p>
    <w:p w14:paraId="7BE6B4BB" w14:textId="77777777" w:rsidR="00300F72" w:rsidRPr="0029511A" w:rsidRDefault="00300F72" w:rsidP="00300F72">
      <w:pPr>
        <w:spacing w:after="0"/>
        <w:ind w:left="6"/>
        <w:contextualSpacing/>
        <w:rPr>
          <w:rFonts w:ascii="Calibri" w:eastAsia="MS Mincho" w:hAnsi="Calibri" w:cs="Calibri"/>
          <w:color w:val="000000"/>
          <w:lang w:val="en-GB"/>
        </w:rPr>
      </w:pPr>
    </w:p>
    <w:p w14:paraId="02629B84" w14:textId="7C1613D9" w:rsidR="00300F72" w:rsidRPr="0029511A" w:rsidRDefault="00300F72" w:rsidP="00D078C9">
      <w:pPr>
        <w:numPr>
          <w:ilvl w:val="0"/>
          <w:numId w:val="14"/>
        </w:numPr>
        <w:spacing w:after="0" w:line="259" w:lineRule="auto"/>
        <w:contextualSpacing/>
        <w:rPr>
          <w:rFonts w:ascii="Calibri" w:eastAsia="MS Mincho" w:hAnsi="Calibri" w:cs="Calibri"/>
          <w:color w:val="000000"/>
          <w:lang w:val="en-GB"/>
        </w:rPr>
      </w:pPr>
      <w:r w:rsidRPr="0029511A">
        <w:rPr>
          <w:rFonts w:ascii="Calibri" w:eastAsia="MS Mincho" w:hAnsi="Calibri" w:cs="Calibri"/>
          <w:color w:val="000000"/>
          <w:lang w:val="en-GB"/>
        </w:rPr>
        <w:t>Is there anything</w:t>
      </w:r>
      <w:r w:rsidRPr="0029511A">
        <w:rPr>
          <w:rFonts w:ascii="Calibri" w:hAnsi="Calibri" w:cs="Calibri"/>
          <w:kern w:val="2"/>
          <w:lang w:val="en-GB"/>
          <w14:ligatures w14:val="standardContextual"/>
        </w:rPr>
        <w:t xml:space="preserve"> else you would like to tell us?</w:t>
      </w:r>
    </w:p>
    <w:p w14:paraId="63F17862" w14:textId="77777777" w:rsidR="00E318E1" w:rsidRPr="0029511A" w:rsidRDefault="00E318E1" w:rsidP="00300F72">
      <w:pPr>
        <w:spacing w:after="0"/>
        <w:rPr>
          <w:rStyle w:val="Heading"/>
          <w:rFonts w:ascii="Calibri" w:hAnsi="Calibri" w:cs="Calibri"/>
          <w:sz w:val="22"/>
          <w:szCs w:val="22"/>
          <w:lang w:val="en-GB"/>
        </w:rPr>
        <w:sectPr w:rsidR="00E318E1" w:rsidRPr="0029511A" w:rsidSect="00D06192">
          <w:type w:val="continuous"/>
          <w:pgSz w:w="11900" w:h="16840"/>
          <w:pgMar w:top="1418" w:right="1440" w:bottom="1440" w:left="1440" w:header="709" w:footer="709" w:gutter="0"/>
          <w:cols w:space="708"/>
          <w:docGrid w:linePitch="360"/>
        </w:sectPr>
      </w:pPr>
    </w:p>
    <w:p w14:paraId="356844E9" w14:textId="7903E4A7" w:rsidR="00D31AD2" w:rsidRPr="0029511A" w:rsidRDefault="00CD34C2" w:rsidP="00300F72">
      <w:pPr>
        <w:spacing w:after="0"/>
        <w:rPr>
          <w:rStyle w:val="Heading"/>
          <w:rFonts w:ascii="Calibri" w:hAnsi="Calibri" w:cs="Calibri"/>
          <w:sz w:val="22"/>
          <w:szCs w:val="22"/>
          <w:lang w:val="en-GB"/>
        </w:rPr>
      </w:pPr>
      <w:r w:rsidRPr="0029511A">
        <w:rPr>
          <w:rStyle w:val="Heading"/>
          <w:rFonts w:ascii="Calibri" w:hAnsi="Calibri" w:cs="Calibri"/>
          <w:sz w:val="22"/>
          <w:szCs w:val="22"/>
          <w:lang w:val="en-GB"/>
        </w:rPr>
        <w:br w:type="page"/>
      </w:r>
      <w:r w:rsidR="00884C0D" w:rsidRPr="0029511A">
        <w:rPr>
          <w:rStyle w:val="Heading"/>
          <w:rFonts w:ascii="Calibri" w:hAnsi="Calibri" w:cs="Calibri"/>
          <w:sz w:val="22"/>
          <w:szCs w:val="22"/>
          <w:lang w:val="en-GB"/>
        </w:rPr>
        <w:lastRenderedPageBreak/>
        <w:t>Annex 2 – Stakeholder Consultations</w:t>
      </w:r>
      <w:bookmarkEnd w:id="65"/>
    </w:p>
    <w:p w14:paraId="0AE90031" w14:textId="2B25349B" w:rsidR="00C0280A" w:rsidRDefault="001C3ACA" w:rsidP="00370438">
      <w:pPr>
        <w:rPr>
          <w:rFonts w:ascii="Calibri" w:hAnsi="Calibri" w:cs="Calibri"/>
          <w:b/>
          <w:bCs/>
          <w:lang w:val="en-GB"/>
        </w:rPr>
      </w:pPr>
      <w:r w:rsidRPr="0029511A">
        <w:rPr>
          <w:rFonts w:ascii="Calibri" w:hAnsi="Calibri" w:cs="Calibri"/>
          <w:b/>
          <w:bCs/>
          <w:lang w:val="en-GB"/>
        </w:rPr>
        <w:t xml:space="preserve">List of Key Informant Interviews (KIIs) undertaken </w:t>
      </w:r>
    </w:p>
    <w:p w14:paraId="6110474C" w14:textId="77FDC2C4" w:rsidR="0028011C" w:rsidRDefault="0028011C" w:rsidP="00370438">
      <w:pPr>
        <w:rPr>
          <w:rFonts w:ascii="Calibri" w:hAnsi="Calibri" w:cs="Calibri"/>
          <w:b/>
          <w:bCs/>
          <w:lang w:val="en-GB"/>
        </w:rPr>
      </w:pPr>
      <w:r>
        <w:rPr>
          <w:rFonts w:ascii="Calibri" w:hAnsi="Calibri" w:cs="Calibri"/>
          <w:b/>
          <w:bCs/>
          <w:lang w:val="en-GB"/>
        </w:rPr>
        <w:t>Organisation</w:t>
      </w:r>
    </w:p>
    <w:p w14:paraId="69A53F53" w14:textId="77777777" w:rsidR="0028011C" w:rsidRPr="0028011C" w:rsidRDefault="0028011C" w:rsidP="0028011C">
      <w:pPr>
        <w:rPr>
          <w:rFonts w:ascii="Calibri" w:hAnsi="Calibri" w:cs="Calibri"/>
          <w:lang w:val="en-GB"/>
        </w:rPr>
      </w:pPr>
      <w:r w:rsidRPr="0028011C">
        <w:rPr>
          <w:rFonts w:ascii="Calibri" w:hAnsi="Calibri" w:cs="Calibri"/>
          <w:lang w:val="en-GB"/>
        </w:rPr>
        <w:t>Section Chief, Multilateral Trade Affairs Division</w:t>
      </w:r>
    </w:p>
    <w:p w14:paraId="037B42E0" w14:textId="77777777" w:rsidR="0028011C" w:rsidRPr="0028011C" w:rsidRDefault="0028011C" w:rsidP="0028011C">
      <w:pPr>
        <w:rPr>
          <w:rFonts w:ascii="Calibri" w:hAnsi="Calibri" w:cs="Calibri"/>
          <w:lang w:val="en-GB"/>
        </w:rPr>
      </w:pPr>
      <w:r w:rsidRPr="0028011C">
        <w:rPr>
          <w:rFonts w:ascii="Calibri" w:hAnsi="Calibri" w:cs="Calibri"/>
          <w:lang w:val="en-GB"/>
        </w:rPr>
        <w:t>International Trade Administration, MOEA, Chinese Taipei</w:t>
      </w:r>
    </w:p>
    <w:p w14:paraId="2AC1382F" w14:textId="77777777" w:rsidR="0028011C" w:rsidRPr="0028011C" w:rsidRDefault="0028011C" w:rsidP="0028011C">
      <w:pPr>
        <w:rPr>
          <w:rFonts w:ascii="Calibri" w:hAnsi="Calibri" w:cs="Calibri"/>
          <w:lang w:val="en-GB"/>
        </w:rPr>
      </w:pPr>
      <w:r w:rsidRPr="0028011C">
        <w:rPr>
          <w:rFonts w:ascii="Calibri" w:hAnsi="Calibri" w:cs="Calibri"/>
          <w:lang w:val="en-GB"/>
        </w:rPr>
        <w:t>Food Standards Australia New Zealand</w:t>
      </w:r>
    </w:p>
    <w:p w14:paraId="51952E60" w14:textId="77777777" w:rsidR="0028011C" w:rsidRPr="0028011C" w:rsidRDefault="0028011C" w:rsidP="0028011C">
      <w:pPr>
        <w:rPr>
          <w:rFonts w:ascii="Calibri" w:hAnsi="Calibri" w:cs="Calibri"/>
          <w:lang w:val="en-GB"/>
        </w:rPr>
      </w:pPr>
      <w:r w:rsidRPr="0028011C">
        <w:rPr>
          <w:rFonts w:ascii="Calibri" w:hAnsi="Calibri" w:cs="Calibri"/>
          <w:lang w:val="en-GB"/>
        </w:rPr>
        <w:t>DAFF</w:t>
      </w:r>
    </w:p>
    <w:p w14:paraId="632107C4" w14:textId="77777777" w:rsidR="0028011C" w:rsidRPr="0028011C" w:rsidRDefault="0028011C" w:rsidP="0028011C">
      <w:pPr>
        <w:rPr>
          <w:rFonts w:ascii="Calibri" w:hAnsi="Calibri" w:cs="Calibri"/>
          <w:lang w:val="en-GB"/>
        </w:rPr>
      </w:pPr>
      <w:r w:rsidRPr="0028011C">
        <w:rPr>
          <w:rFonts w:ascii="Calibri" w:hAnsi="Calibri" w:cs="Calibri"/>
          <w:lang w:val="en-GB"/>
        </w:rPr>
        <w:t>Department of General Economic Issues and Integration Studies, Viet Nam</w:t>
      </w:r>
    </w:p>
    <w:p w14:paraId="0533E3D1" w14:textId="77777777" w:rsidR="0028011C" w:rsidRPr="0028011C" w:rsidRDefault="0028011C" w:rsidP="0028011C">
      <w:pPr>
        <w:rPr>
          <w:rFonts w:ascii="Calibri" w:hAnsi="Calibri" w:cs="Calibri"/>
          <w:lang w:val="en-GB"/>
        </w:rPr>
      </w:pPr>
      <w:r w:rsidRPr="0028011C">
        <w:rPr>
          <w:rFonts w:ascii="Calibri" w:hAnsi="Calibri" w:cs="Calibri"/>
          <w:lang w:val="en-GB"/>
        </w:rPr>
        <w:t>OECD</w:t>
      </w:r>
    </w:p>
    <w:p w14:paraId="32B774D6" w14:textId="77777777" w:rsidR="0028011C" w:rsidRPr="0028011C" w:rsidRDefault="0028011C" w:rsidP="0028011C">
      <w:pPr>
        <w:rPr>
          <w:rFonts w:ascii="Calibri" w:hAnsi="Calibri" w:cs="Calibri"/>
          <w:lang w:val="en-GB"/>
        </w:rPr>
      </w:pPr>
      <w:r w:rsidRPr="0028011C">
        <w:rPr>
          <w:rFonts w:ascii="Calibri" w:hAnsi="Calibri" w:cs="Calibri"/>
          <w:lang w:val="en-GB"/>
        </w:rPr>
        <w:t>Crawford School of Public Policy, ANU, Australia</w:t>
      </w:r>
    </w:p>
    <w:p w14:paraId="4309FA27" w14:textId="77777777" w:rsidR="0028011C" w:rsidRPr="0028011C" w:rsidRDefault="0028011C" w:rsidP="0028011C">
      <w:pPr>
        <w:rPr>
          <w:rFonts w:ascii="Calibri" w:hAnsi="Calibri" w:cs="Calibri"/>
          <w:lang w:val="en-GB"/>
        </w:rPr>
      </w:pPr>
      <w:r w:rsidRPr="0028011C">
        <w:rPr>
          <w:rFonts w:ascii="Calibri" w:hAnsi="Calibri" w:cs="Calibri"/>
          <w:lang w:val="en-GB"/>
        </w:rPr>
        <w:t>DFAT</w:t>
      </w:r>
    </w:p>
    <w:p w14:paraId="70CE7DC9" w14:textId="77777777" w:rsidR="0028011C" w:rsidRPr="0028011C" w:rsidRDefault="0028011C" w:rsidP="0028011C">
      <w:pPr>
        <w:rPr>
          <w:rFonts w:ascii="Calibri" w:hAnsi="Calibri" w:cs="Calibri"/>
          <w:lang w:val="en-GB"/>
        </w:rPr>
      </w:pPr>
      <w:r w:rsidRPr="0028011C">
        <w:rPr>
          <w:rFonts w:ascii="Calibri" w:hAnsi="Calibri" w:cs="Calibri"/>
          <w:lang w:val="en-GB"/>
        </w:rPr>
        <w:t>DAFF</w:t>
      </w:r>
    </w:p>
    <w:p w14:paraId="3CBC7D22" w14:textId="77777777" w:rsidR="0028011C" w:rsidRPr="0028011C" w:rsidRDefault="0028011C" w:rsidP="0028011C">
      <w:pPr>
        <w:rPr>
          <w:rFonts w:ascii="Calibri" w:hAnsi="Calibri" w:cs="Calibri"/>
          <w:lang w:val="en-GB"/>
        </w:rPr>
      </w:pPr>
      <w:r w:rsidRPr="0028011C">
        <w:rPr>
          <w:rFonts w:ascii="Calibri" w:hAnsi="Calibri" w:cs="Calibri"/>
          <w:lang w:val="en-GB"/>
        </w:rPr>
        <w:t>DAFF</w:t>
      </w:r>
    </w:p>
    <w:p w14:paraId="26195799" w14:textId="77777777" w:rsidR="0028011C" w:rsidRPr="0028011C" w:rsidRDefault="0028011C" w:rsidP="0028011C">
      <w:pPr>
        <w:rPr>
          <w:rFonts w:ascii="Calibri" w:hAnsi="Calibri" w:cs="Calibri"/>
          <w:lang w:val="en-GB"/>
        </w:rPr>
      </w:pPr>
      <w:r w:rsidRPr="0028011C">
        <w:rPr>
          <w:rFonts w:ascii="Calibri" w:hAnsi="Calibri" w:cs="Calibri"/>
          <w:lang w:val="en-GB"/>
        </w:rPr>
        <w:t>Ministry of Finance and Economy, Brunei</w:t>
      </w:r>
    </w:p>
    <w:p w14:paraId="35423EAE" w14:textId="77777777" w:rsidR="0028011C" w:rsidRPr="0028011C" w:rsidRDefault="0028011C" w:rsidP="0028011C">
      <w:pPr>
        <w:rPr>
          <w:rFonts w:ascii="Calibri" w:hAnsi="Calibri" w:cs="Calibri"/>
          <w:lang w:val="en-GB"/>
        </w:rPr>
      </w:pPr>
      <w:r w:rsidRPr="0028011C">
        <w:rPr>
          <w:rFonts w:ascii="Calibri" w:hAnsi="Calibri" w:cs="Calibri"/>
          <w:lang w:val="en-GB"/>
        </w:rPr>
        <w:t>Food Standards Australia New Zealand</w:t>
      </w:r>
    </w:p>
    <w:p w14:paraId="496B7898" w14:textId="77777777" w:rsidR="0028011C" w:rsidRPr="0028011C" w:rsidRDefault="0028011C" w:rsidP="0028011C">
      <w:pPr>
        <w:rPr>
          <w:rFonts w:ascii="Calibri" w:hAnsi="Calibri" w:cs="Calibri"/>
          <w:lang w:val="en-GB"/>
        </w:rPr>
      </w:pPr>
      <w:r w:rsidRPr="0028011C">
        <w:rPr>
          <w:rFonts w:ascii="Calibri" w:hAnsi="Calibri" w:cs="Calibri"/>
          <w:lang w:val="en-GB"/>
        </w:rPr>
        <w:t>DFAT</w:t>
      </w:r>
    </w:p>
    <w:p w14:paraId="3AFE41D3" w14:textId="77777777" w:rsidR="0028011C" w:rsidRPr="0028011C" w:rsidRDefault="0028011C" w:rsidP="0028011C">
      <w:pPr>
        <w:rPr>
          <w:rFonts w:ascii="Calibri" w:hAnsi="Calibri" w:cs="Calibri"/>
          <w:lang w:val="en-GB"/>
        </w:rPr>
      </w:pPr>
      <w:r w:rsidRPr="0028011C">
        <w:rPr>
          <w:rFonts w:ascii="Calibri" w:hAnsi="Calibri" w:cs="Calibri"/>
          <w:lang w:val="en-GB"/>
        </w:rPr>
        <w:t>Coordinator and Negotiator for Customs and Trade Facilitation at the Ministry of Foreign Trade and Tourism</w:t>
      </w:r>
    </w:p>
    <w:p w14:paraId="473016FD" w14:textId="77777777" w:rsidR="0028011C" w:rsidRPr="0028011C" w:rsidRDefault="0028011C" w:rsidP="0028011C">
      <w:pPr>
        <w:rPr>
          <w:rFonts w:ascii="Calibri" w:hAnsi="Calibri" w:cs="Calibri"/>
          <w:lang w:val="en-GB"/>
        </w:rPr>
      </w:pPr>
      <w:r w:rsidRPr="0028011C">
        <w:rPr>
          <w:rFonts w:ascii="Calibri" w:hAnsi="Calibri" w:cs="Calibri"/>
          <w:lang w:val="en-GB"/>
        </w:rPr>
        <w:t>Committee on Trade and Investment (CTI) Representative, Indonesia</w:t>
      </w:r>
    </w:p>
    <w:p w14:paraId="1AEED1DD" w14:textId="77777777" w:rsidR="0028011C" w:rsidRPr="0028011C" w:rsidRDefault="0028011C" w:rsidP="0028011C">
      <w:pPr>
        <w:rPr>
          <w:rFonts w:ascii="Calibri" w:hAnsi="Calibri" w:cs="Calibri"/>
          <w:lang w:val="en-GB"/>
        </w:rPr>
      </w:pPr>
      <w:r w:rsidRPr="0028011C">
        <w:rPr>
          <w:rFonts w:ascii="Calibri" w:hAnsi="Calibri" w:cs="Calibri"/>
          <w:lang w:val="en-GB"/>
        </w:rPr>
        <w:t>DAFF</w:t>
      </w:r>
    </w:p>
    <w:p w14:paraId="56F5B89E" w14:textId="77777777" w:rsidR="0028011C" w:rsidRPr="0028011C" w:rsidRDefault="0028011C" w:rsidP="0028011C">
      <w:pPr>
        <w:rPr>
          <w:rFonts w:ascii="Calibri" w:hAnsi="Calibri" w:cs="Calibri"/>
          <w:lang w:val="en-GB"/>
        </w:rPr>
      </w:pPr>
      <w:r w:rsidRPr="0028011C">
        <w:rPr>
          <w:rFonts w:ascii="Calibri" w:hAnsi="Calibri" w:cs="Calibri"/>
          <w:lang w:val="en-GB"/>
        </w:rPr>
        <w:t xml:space="preserve">Senior Executive, APMEN Operational </w:t>
      </w:r>
      <w:proofErr w:type="spellStart"/>
      <w:r w:rsidRPr="0028011C">
        <w:rPr>
          <w:rFonts w:ascii="Calibri" w:hAnsi="Calibri" w:cs="Calibri"/>
          <w:lang w:val="en-GB"/>
        </w:rPr>
        <w:t>Center</w:t>
      </w:r>
      <w:proofErr w:type="spellEnd"/>
      <w:r w:rsidRPr="0028011C">
        <w:rPr>
          <w:rFonts w:ascii="Calibri" w:hAnsi="Calibri" w:cs="Calibri"/>
          <w:lang w:val="en-GB"/>
        </w:rPr>
        <w:t xml:space="preserve">, Shanghai e-Port, People’s Republic of China </w:t>
      </w:r>
    </w:p>
    <w:p w14:paraId="2BB85B1E" w14:textId="77777777" w:rsidR="0028011C" w:rsidRPr="0028011C" w:rsidRDefault="0028011C" w:rsidP="0028011C">
      <w:pPr>
        <w:rPr>
          <w:rFonts w:ascii="Calibri" w:hAnsi="Calibri" w:cs="Calibri"/>
          <w:lang w:val="en-GB"/>
        </w:rPr>
      </w:pPr>
      <w:r w:rsidRPr="0028011C">
        <w:rPr>
          <w:rFonts w:ascii="Calibri" w:hAnsi="Calibri" w:cs="Calibri"/>
          <w:lang w:val="en-GB"/>
        </w:rPr>
        <w:t>Export Council of Australia New Zealand</w:t>
      </w:r>
    </w:p>
    <w:p w14:paraId="5A8C5FF2" w14:textId="77777777" w:rsidR="0028011C" w:rsidRPr="0028011C" w:rsidRDefault="0028011C" w:rsidP="0028011C">
      <w:pPr>
        <w:rPr>
          <w:rFonts w:ascii="Calibri" w:hAnsi="Calibri" w:cs="Calibri"/>
          <w:lang w:val="en-GB"/>
        </w:rPr>
      </w:pPr>
      <w:r w:rsidRPr="0028011C">
        <w:rPr>
          <w:rFonts w:ascii="Calibri" w:hAnsi="Calibri" w:cs="Calibri"/>
          <w:lang w:val="en-GB"/>
        </w:rPr>
        <w:t>Department of Education, Australia</w:t>
      </w:r>
    </w:p>
    <w:p w14:paraId="56499CC8" w14:textId="77777777" w:rsidR="0028011C" w:rsidRPr="0028011C" w:rsidRDefault="0028011C" w:rsidP="0028011C">
      <w:pPr>
        <w:rPr>
          <w:rFonts w:ascii="Calibri" w:hAnsi="Calibri" w:cs="Calibri"/>
          <w:lang w:val="en-GB"/>
        </w:rPr>
      </w:pPr>
      <w:r w:rsidRPr="0028011C">
        <w:rPr>
          <w:rFonts w:ascii="Calibri" w:hAnsi="Calibri" w:cs="Calibri"/>
          <w:lang w:val="en-GB"/>
        </w:rPr>
        <w:t>DFAT</w:t>
      </w:r>
    </w:p>
    <w:p w14:paraId="611084A3" w14:textId="77777777" w:rsidR="0028011C" w:rsidRPr="0028011C" w:rsidRDefault="0028011C" w:rsidP="0028011C">
      <w:pPr>
        <w:rPr>
          <w:rFonts w:ascii="Calibri" w:hAnsi="Calibri" w:cs="Calibri"/>
          <w:lang w:val="en-GB"/>
        </w:rPr>
      </w:pPr>
      <w:r w:rsidRPr="0028011C">
        <w:rPr>
          <w:rFonts w:ascii="Calibri" w:hAnsi="Calibri" w:cs="Calibri"/>
          <w:lang w:val="en-GB"/>
        </w:rPr>
        <w:t>Ministry of Trade and Industry, Malaysia</w:t>
      </w:r>
    </w:p>
    <w:p w14:paraId="51BD5534" w14:textId="77777777" w:rsidR="0028011C" w:rsidRPr="0028011C" w:rsidRDefault="0028011C" w:rsidP="0028011C">
      <w:pPr>
        <w:rPr>
          <w:rFonts w:ascii="Calibri" w:hAnsi="Calibri" w:cs="Calibri"/>
          <w:lang w:val="en-GB"/>
        </w:rPr>
      </w:pPr>
      <w:r w:rsidRPr="0028011C">
        <w:rPr>
          <w:rFonts w:ascii="Calibri" w:hAnsi="Calibri" w:cs="Calibri"/>
          <w:lang w:val="en-GB"/>
        </w:rPr>
        <w:t xml:space="preserve">Deputy Director General, APEC National Secretariat, Office of the Undersecretary for Multilateral Affairs and International Economic Relations, DFA, the Philippines </w:t>
      </w:r>
    </w:p>
    <w:p w14:paraId="677A8C9F" w14:textId="77777777" w:rsidR="0028011C" w:rsidRPr="0028011C" w:rsidRDefault="0028011C" w:rsidP="0028011C">
      <w:pPr>
        <w:rPr>
          <w:rFonts w:ascii="Calibri" w:hAnsi="Calibri" w:cs="Calibri"/>
          <w:lang w:val="en-GB"/>
        </w:rPr>
      </w:pPr>
      <w:r w:rsidRPr="0028011C">
        <w:rPr>
          <w:rFonts w:ascii="Calibri" w:hAnsi="Calibri" w:cs="Calibri"/>
          <w:lang w:val="en-GB"/>
        </w:rPr>
        <w:t>Gender Expert, Mexico</w:t>
      </w:r>
    </w:p>
    <w:p w14:paraId="63719CB5" w14:textId="77777777" w:rsidR="0028011C" w:rsidRPr="0028011C" w:rsidRDefault="0028011C" w:rsidP="0028011C">
      <w:pPr>
        <w:rPr>
          <w:rFonts w:ascii="Calibri" w:hAnsi="Calibri" w:cs="Calibri"/>
          <w:lang w:val="en-GB"/>
        </w:rPr>
      </w:pPr>
      <w:r w:rsidRPr="0028011C">
        <w:rPr>
          <w:rFonts w:ascii="Calibri" w:hAnsi="Calibri" w:cs="Calibri"/>
          <w:lang w:val="en-GB"/>
        </w:rPr>
        <w:t>Trade Officer, Hong Kong Ministry of Foreign Affairs</w:t>
      </w:r>
    </w:p>
    <w:p w14:paraId="1895A9A4" w14:textId="77777777" w:rsidR="0028011C" w:rsidRPr="0028011C" w:rsidRDefault="0028011C" w:rsidP="0028011C">
      <w:pPr>
        <w:rPr>
          <w:rFonts w:ascii="Calibri" w:hAnsi="Calibri" w:cs="Calibri"/>
          <w:lang w:val="en-GB"/>
        </w:rPr>
      </w:pPr>
      <w:r w:rsidRPr="0028011C">
        <w:rPr>
          <w:rFonts w:ascii="Calibri" w:hAnsi="Calibri" w:cs="Calibri"/>
          <w:lang w:val="en-GB"/>
        </w:rPr>
        <w:t>United States Trade Representative, USA</w:t>
      </w:r>
    </w:p>
    <w:p w14:paraId="4099C2E8" w14:textId="77777777" w:rsidR="0028011C" w:rsidRPr="0028011C" w:rsidRDefault="0028011C" w:rsidP="0028011C">
      <w:pPr>
        <w:rPr>
          <w:rFonts w:ascii="Calibri" w:hAnsi="Calibri" w:cs="Calibri"/>
          <w:lang w:val="en-GB"/>
        </w:rPr>
      </w:pPr>
      <w:r w:rsidRPr="0028011C">
        <w:rPr>
          <w:rFonts w:ascii="Calibri" w:hAnsi="Calibri" w:cs="Calibri"/>
          <w:lang w:val="en-GB"/>
        </w:rPr>
        <w:t>Secretary General of the Pacific Economic Cooperation Council (PECC)</w:t>
      </w:r>
    </w:p>
    <w:p w14:paraId="65D71F50" w14:textId="77777777" w:rsidR="0028011C" w:rsidRPr="0028011C" w:rsidRDefault="0028011C" w:rsidP="0028011C">
      <w:pPr>
        <w:rPr>
          <w:rFonts w:ascii="Calibri" w:hAnsi="Calibri" w:cs="Calibri"/>
          <w:lang w:val="en-GB"/>
        </w:rPr>
      </w:pPr>
      <w:r w:rsidRPr="0028011C">
        <w:rPr>
          <w:rFonts w:ascii="Calibri" w:hAnsi="Calibri" w:cs="Calibri"/>
          <w:lang w:val="en-GB"/>
        </w:rPr>
        <w:t>Director, Investment Servicing &amp; Promotion Division, IPA, PNG</w:t>
      </w:r>
    </w:p>
    <w:p w14:paraId="08D92286" w14:textId="77777777" w:rsidR="0028011C" w:rsidRPr="0028011C" w:rsidRDefault="0028011C" w:rsidP="0028011C">
      <w:pPr>
        <w:rPr>
          <w:rFonts w:ascii="Calibri" w:hAnsi="Calibri" w:cs="Calibri"/>
          <w:lang w:val="en-GB"/>
        </w:rPr>
      </w:pPr>
      <w:r w:rsidRPr="0028011C">
        <w:rPr>
          <w:rFonts w:ascii="Calibri" w:hAnsi="Calibri" w:cs="Calibri"/>
          <w:lang w:val="en-GB"/>
        </w:rPr>
        <w:t>Global Affairs Canada, Canada</w:t>
      </w:r>
    </w:p>
    <w:p w14:paraId="0D0E15B9" w14:textId="77777777" w:rsidR="0028011C" w:rsidRPr="0028011C" w:rsidRDefault="0028011C" w:rsidP="0028011C">
      <w:pPr>
        <w:rPr>
          <w:rFonts w:ascii="Calibri" w:hAnsi="Calibri" w:cs="Calibri"/>
          <w:lang w:val="en-GB"/>
        </w:rPr>
      </w:pPr>
      <w:r w:rsidRPr="0028011C">
        <w:rPr>
          <w:rFonts w:ascii="Calibri" w:hAnsi="Calibri" w:cs="Calibri"/>
          <w:lang w:val="en-GB"/>
        </w:rPr>
        <w:t>Royal Melbourne Institute of Technology (RMIT), Australia</w:t>
      </w:r>
    </w:p>
    <w:p w14:paraId="7063FFAB" w14:textId="77777777" w:rsidR="0028011C" w:rsidRPr="0028011C" w:rsidRDefault="0028011C" w:rsidP="0028011C">
      <w:pPr>
        <w:rPr>
          <w:rFonts w:ascii="Calibri" w:hAnsi="Calibri" w:cs="Calibri"/>
          <w:lang w:val="en-GB"/>
        </w:rPr>
      </w:pPr>
      <w:r w:rsidRPr="0028011C">
        <w:rPr>
          <w:rFonts w:ascii="Calibri" w:hAnsi="Calibri" w:cs="Calibri"/>
          <w:lang w:val="en-GB"/>
        </w:rPr>
        <w:t>DFAT</w:t>
      </w:r>
    </w:p>
    <w:p w14:paraId="47543C6E" w14:textId="77777777" w:rsidR="0028011C" w:rsidRPr="0028011C" w:rsidRDefault="0028011C" w:rsidP="0028011C">
      <w:pPr>
        <w:rPr>
          <w:rFonts w:ascii="Calibri" w:hAnsi="Calibri" w:cs="Calibri"/>
          <w:lang w:val="en-GB"/>
        </w:rPr>
      </w:pPr>
      <w:r w:rsidRPr="0028011C">
        <w:rPr>
          <w:rFonts w:ascii="Calibri" w:hAnsi="Calibri" w:cs="Calibri"/>
          <w:lang w:val="en-GB"/>
        </w:rPr>
        <w:t xml:space="preserve">PPWE Chair, First Assistant Secretary and Principal Gender Specialist, Department of the Prime Minister and Cabinet </w:t>
      </w:r>
    </w:p>
    <w:p w14:paraId="059F24CD" w14:textId="77777777" w:rsidR="0028011C" w:rsidRPr="0028011C" w:rsidRDefault="0028011C" w:rsidP="0028011C">
      <w:pPr>
        <w:rPr>
          <w:rFonts w:ascii="Calibri" w:hAnsi="Calibri" w:cs="Calibri"/>
          <w:lang w:val="en-GB"/>
        </w:rPr>
      </w:pPr>
      <w:r w:rsidRPr="0028011C">
        <w:rPr>
          <w:rFonts w:ascii="Calibri" w:hAnsi="Calibri" w:cs="Calibri"/>
          <w:lang w:val="en-GB"/>
        </w:rPr>
        <w:lastRenderedPageBreak/>
        <w:t>Section Chief from Department of Gender Equality, Chinese Taipei</w:t>
      </w:r>
    </w:p>
    <w:p w14:paraId="455381F9" w14:textId="77777777" w:rsidR="0028011C" w:rsidRPr="0028011C" w:rsidRDefault="0028011C" w:rsidP="0028011C">
      <w:pPr>
        <w:rPr>
          <w:rFonts w:ascii="Calibri" w:hAnsi="Calibri" w:cs="Calibri"/>
          <w:lang w:val="en-GB"/>
        </w:rPr>
      </w:pPr>
      <w:r w:rsidRPr="0028011C">
        <w:rPr>
          <w:rFonts w:ascii="Calibri" w:hAnsi="Calibri" w:cs="Calibri"/>
          <w:lang w:val="en-GB"/>
        </w:rPr>
        <w:t>Food Standards Australia New Zealand</w:t>
      </w:r>
    </w:p>
    <w:p w14:paraId="2FADFB75" w14:textId="77777777" w:rsidR="0028011C" w:rsidRPr="0028011C" w:rsidRDefault="0028011C" w:rsidP="0028011C">
      <w:pPr>
        <w:rPr>
          <w:rFonts w:ascii="Calibri" w:hAnsi="Calibri" w:cs="Calibri"/>
          <w:lang w:val="en-GB"/>
        </w:rPr>
      </w:pPr>
      <w:r w:rsidRPr="0028011C">
        <w:rPr>
          <w:rFonts w:ascii="Calibri" w:hAnsi="Calibri" w:cs="Calibri"/>
          <w:lang w:val="en-GB"/>
        </w:rPr>
        <w:t>DFAT</w:t>
      </w:r>
    </w:p>
    <w:p w14:paraId="409494B7" w14:textId="77777777" w:rsidR="0028011C" w:rsidRPr="0028011C" w:rsidRDefault="0028011C" w:rsidP="0028011C">
      <w:pPr>
        <w:rPr>
          <w:rFonts w:ascii="Calibri" w:hAnsi="Calibri" w:cs="Calibri"/>
          <w:lang w:val="en-GB"/>
        </w:rPr>
      </w:pPr>
      <w:r w:rsidRPr="0028011C">
        <w:rPr>
          <w:rFonts w:ascii="Calibri" w:hAnsi="Calibri" w:cs="Calibri"/>
          <w:lang w:val="en-GB"/>
        </w:rPr>
        <w:t>RMIT, Australia</w:t>
      </w:r>
    </w:p>
    <w:p w14:paraId="42226369" w14:textId="750210F0" w:rsidR="0028011C" w:rsidRPr="0029511A" w:rsidRDefault="0028011C" w:rsidP="00370438">
      <w:pPr>
        <w:rPr>
          <w:rFonts w:ascii="Calibri" w:hAnsi="Calibri" w:cs="Calibri"/>
          <w:b/>
          <w:bCs/>
          <w:lang w:val="en-GB"/>
        </w:rPr>
      </w:pPr>
      <w:r w:rsidRPr="0028011C">
        <w:rPr>
          <w:rFonts w:ascii="Calibri" w:hAnsi="Calibri" w:cs="Calibri"/>
          <w:lang w:val="en-GB"/>
        </w:rPr>
        <w:t>Export Council of Australia</w:t>
      </w:r>
    </w:p>
    <w:p w14:paraId="79672098" w14:textId="77777777" w:rsidR="001F6404" w:rsidRPr="0029511A" w:rsidRDefault="001F6404" w:rsidP="00370438">
      <w:pPr>
        <w:rPr>
          <w:rFonts w:ascii="Calibri" w:hAnsi="Calibri" w:cs="Calibri"/>
          <w:b/>
          <w:bCs/>
          <w:lang w:val="en-GB"/>
        </w:rPr>
      </w:pPr>
    </w:p>
    <w:p w14:paraId="41A42A0F" w14:textId="77777777" w:rsidR="00E318E1" w:rsidRPr="0029511A" w:rsidRDefault="00E318E1">
      <w:pPr>
        <w:spacing w:after="0"/>
        <w:rPr>
          <w:rFonts w:ascii="Calibri" w:hAnsi="Calibri" w:cs="Calibri"/>
          <w:b/>
          <w:bCs/>
          <w:lang w:val="en-GB"/>
        </w:rPr>
        <w:sectPr w:rsidR="00E318E1" w:rsidRPr="0029511A" w:rsidSect="00D06192">
          <w:type w:val="continuous"/>
          <w:pgSz w:w="11900" w:h="16840"/>
          <w:pgMar w:top="1440" w:right="1080" w:bottom="1440" w:left="1080" w:header="709" w:footer="709" w:gutter="0"/>
          <w:cols w:space="708"/>
          <w:docGrid w:linePitch="360"/>
        </w:sectPr>
      </w:pPr>
    </w:p>
    <w:p w14:paraId="1BC2A609" w14:textId="77777777" w:rsidR="001F6404" w:rsidRPr="0029511A" w:rsidRDefault="001F6404">
      <w:pPr>
        <w:spacing w:after="0"/>
        <w:rPr>
          <w:rFonts w:ascii="Calibri" w:hAnsi="Calibri" w:cs="Calibri"/>
          <w:b/>
          <w:bCs/>
          <w:lang w:val="en-GB"/>
        </w:rPr>
      </w:pPr>
      <w:r w:rsidRPr="0029511A">
        <w:rPr>
          <w:rFonts w:ascii="Calibri" w:hAnsi="Calibri" w:cs="Calibri"/>
          <w:b/>
          <w:bCs/>
          <w:lang w:val="en-GB"/>
        </w:rPr>
        <w:br w:type="page"/>
      </w:r>
    </w:p>
    <w:p w14:paraId="5CD7AC6E" w14:textId="0781C2C6" w:rsidR="00D31AD2" w:rsidRPr="00906573" w:rsidRDefault="00884C0D" w:rsidP="00727236">
      <w:pPr>
        <w:pStyle w:val="Heading1"/>
        <w:numPr>
          <w:ilvl w:val="0"/>
          <w:numId w:val="0"/>
        </w:numPr>
        <w:ind w:left="567" w:hanging="567"/>
        <w:rPr>
          <w:rFonts w:ascii="Calibri" w:hAnsi="Calibri" w:cs="Calibri"/>
          <w:color w:val="auto"/>
          <w:sz w:val="22"/>
          <w:szCs w:val="22"/>
          <w:lang w:val="en-GB"/>
        </w:rPr>
      </w:pPr>
      <w:bookmarkStart w:id="66" w:name="_Toc156506671"/>
      <w:bookmarkStart w:id="67" w:name="_Toc190934896"/>
      <w:r w:rsidRPr="00906573">
        <w:rPr>
          <w:rFonts w:ascii="Calibri" w:hAnsi="Calibri" w:cs="Calibri"/>
          <w:color w:val="auto"/>
          <w:sz w:val="22"/>
          <w:szCs w:val="22"/>
          <w:lang w:val="en-GB"/>
        </w:rPr>
        <w:lastRenderedPageBreak/>
        <w:t>Annex</w:t>
      </w:r>
      <w:r w:rsidR="00FB37A4" w:rsidRPr="00906573">
        <w:rPr>
          <w:rFonts w:ascii="Calibri" w:hAnsi="Calibri" w:cs="Calibri"/>
          <w:color w:val="auto"/>
          <w:sz w:val="22"/>
          <w:szCs w:val="22"/>
          <w:lang w:val="en-GB"/>
        </w:rPr>
        <w:t xml:space="preserve"> </w:t>
      </w:r>
      <w:r w:rsidR="00D454AD" w:rsidRPr="00906573">
        <w:rPr>
          <w:rFonts w:ascii="Calibri" w:hAnsi="Calibri" w:cs="Calibri"/>
          <w:color w:val="auto"/>
          <w:sz w:val="22"/>
          <w:szCs w:val="22"/>
          <w:lang w:val="en-GB"/>
        </w:rPr>
        <w:t>3</w:t>
      </w:r>
      <w:r w:rsidRPr="00906573">
        <w:rPr>
          <w:rFonts w:ascii="Calibri" w:hAnsi="Calibri" w:cs="Calibri"/>
          <w:color w:val="auto"/>
          <w:sz w:val="22"/>
          <w:szCs w:val="22"/>
          <w:lang w:val="en-GB"/>
        </w:rPr>
        <w:t xml:space="preserve"> </w:t>
      </w:r>
      <w:r w:rsidR="00D31AD2" w:rsidRPr="00906573">
        <w:rPr>
          <w:rFonts w:ascii="Calibri" w:hAnsi="Calibri" w:cs="Calibri"/>
          <w:color w:val="auto"/>
          <w:sz w:val="22"/>
          <w:szCs w:val="22"/>
          <w:lang w:val="en-GB"/>
        </w:rPr>
        <w:t xml:space="preserve">– </w:t>
      </w:r>
      <w:r w:rsidRPr="00906573">
        <w:rPr>
          <w:rFonts w:ascii="Calibri" w:hAnsi="Calibri" w:cs="Calibri"/>
          <w:color w:val="auto"/>
          <w:sz w:val="22"/>
          <w:szCs w:val="22"/>
          <w:lang w:val="en-GB"/>
        </w:rPr>
        <w:t>List of Documents</w:t>
      </w:r>
      <w:bookmarkEnd w:id="66"/>
      <w:bookmarkEnd w:id="67"/>
    </w:p>
    <w:p w14:paraId="6AD48537" w14:textId="77777777" w:rsidR="00790091" w:rsidRDefault="00790091" w:rsidP="000F3A8E">
      <w:pPr>
        <w:pStyle w:val="TableText"/>
        <w:rPr>
          <w:rFonts w:ascii="Calibri" w:hAnsi="Calibri" w:cs="Calibri"/>
          <w:sz w:val="22"/>
          <w:szCs w:val="22"/>
          <w:lang w:val="en-GB"/>
        </w:rPr>
      </w:pPr>
    </w:p>
    <w:p w14:paraId="66D1B6EC" w14:textId="77777777" w:rsidR="00891E27" w:rsidRDefault="00935C33" w:rsidP="000F3A8E">
      <w:pPr>
        <w:pStyle w:val="TableText"/>
        <w:rPr>
          <w:rFonts w:ascii="Calibri" w:hAnsi="Calibri" w:cs="Calibri"/>
          <w:sz w:val="22"/>
          <w:szCs w:val="22"/>
          <w:lang w:val="en-GB"/>
        </w:rPr>
      </w:pPr>
      <w:r w:rsidRPr="00935C33">
        <w:rPr>
          <w:rFonts w:ascii="Calibri" w:hAnsi="Calibri" w:cs="Calibri"/>
          <w:b/>
          <w:bCs/>
          <w:sz w:val="22"/>
          <w:szCs w:val="22"/>
          <w:lang w:val="en-GB"/>
        </w:rPr>
        <w:t>DFAT:</w:t>
      </w:r>
    </w:p>
    <w:p w14:paraId="0A69518C" w14:textId="3BF2A5DC" w:rsidR="00935C33" w:rsidRDefault="00935C33" w:rsidP="00891E27">
      <w:pPr>
        <w:pStyle w:val="TableText"/>
        <w:ind w:left="720"/>
        <w:rPr>
          <w:rFonts w:ascii="Calibri" w:hAnsi="Calibri" w:cs="Calibri"/>
          <w:sz w:val="22"/>
          <w:szCs w:val="22"/>
          <w:lang w:val="en-GB"/>
        </w:rPr>
      </w:pPr>
      <w:r w:rsidRPr="0029511A">
        <w:rPr>
          <w:rFonts w:ascii="Calibri" w:hAnsi="Calibri" w:cs="Calibri"/>
          <w:sz w:val="22"/>
          <w:szCs w:val="22"/>
          <w:lang w:val="en-GB"/>
        </w:rPr>
        <w:t>Strategic Design Framework: Australia’s APEC Support Program (</w:t>
      </w:r>
      <w:proofErr w:type="gramStart"/>
      <w:r w:rsidRPr="0029511A">
        <w:rPr>
          <w:rFonts w:ascii="Calibri" w:hAnsi="Calibri" w:cs="Calibri"/>
          <w:sz w:val="22"/>
          <w:szCs w:val="22"/>
          <w:lang w:val="en-GB"/>
        </w:rPr>
        <w:t>May,</w:t>
      </w:r>
      <w:proofErr w:type="gramEnd"/>
      <w:r w:rsidRPr="0029511A">
        <w:rPr>
          <w:rFonts w:ascii="Calibri" w:hAnsi="Calibri" w:cs="Calibri"/>
          <w:sz w:val="22"/>
          <w:szCs w:val="22"/>
          <w:lang w:val="en-GB"/>
        </w:rPr>
        <w:t xml:space="preserve"> 2022)</w:t>
      </w:r>
    </w:p>
    <w:p w14:paraId="5453D0A5" w14:textId="77777777" w:rsidR="00935C33" w:rsidRDefault="00935C33" w:rsidP="000F3A8E">
      <w:pPr>
        <w:pStyle w:val="TableText"/>
        <w:rPr>
          <w:rFonts w:ascii="Calibri" w:hAnsi="Calibri" w:cs="Calibri"/>
          <w:sz w:val="22"/>
          <w:szCs w:val="22"/>
          <w:lang w:val="en-GB"/>
        </w:rPr>
      </w:pPr>
    </w:p>
    <w:p w14:paraId="54BF9118" w14:textId="04BFDE98" w:rsidR="00891E27" w:rsidRDefault="00891E27" w:rsidP="000F3A8E">
      <w:pPr>
        <w:pStyle w:val="TableText"/>
        <w:rPr>
          <w:rFonts w:ascii="Calibri" w:hAnsi="Calibri" w:cs="Calibri"/>
          <w:b/>
          <w:bCs/>
          <w:sz w:val="22"/>
          <w:szCs w:val="22"/>
          <w:lang w:val="en-GB"/>
        </w:rPr>
      </w:pPr>
      <w:r w:rsidRPr="00891E27">
        <w:rPr>
          <w:rFonts w:ascii="Calibri" w:hAnsi="Calibri" w:cs="Calibri"/>
          <w:b/>
          <w:bCs/>
          <w:sz w:val="22"/>
          <w:szCs w:val="22"/>
          <w:lang w:val="en-GB"/>
        </w:rPr>
        <w:t>AASP Investment Monitoring Reports:</w:t>
      </w:r>
    </w:p>
    <w:p w14:paraId="4D79DAC7" w14:textId="77777777" w:rsidR="00891E27" w:rsidRPr="00891E27" w:rsidRDefault="00891E27" w:rsidP="00891E27">
      <w:pPr>
        <w:pStyle w:val="TableText"/>
        <w:ind w:left="720"/>
        <w:rPr>
          <w:rFonts w:ascii="Calibri" w:hAnsi="Calibri" w:cs="Calibri"/>
          <w:sz w:val="22"/>
          <w:szCs w:val="22"/>
          <w:lang w:val="en-GB"/>
        </w:rPr>
      </w:pPr>
      <w:r w:rsidRPr="00891E27">
        <w:rPr>
          <w:rFonts w:ascii="Calibri" w:hAnsi="Calibri" w:cs="Calibri"/>
          <w:sz w:val="22"/>
          <w:szCs w:val="22"/>
          <w:lang w:val="en-GB"/>
        </w:rPr>
        <w:t>Annual Investment Performance Report 2022</w:t>
      </w:r>
    </w:p>
    <w:p w14:paraId="56CADE48" w14:textId="77777777" w:rsidR="00891E27" w:rsidRPr="00891E27" w:rsidRDefault="00891E27" w:rsidP="00891E27">
      <w:pPr>
        <w:pStyle w:val="TableText"/>
        <w:ind w:left="720"/>
        <w:rPr>
          <w:rFonts w:ascii="Calibri" w:hAnsi="Calibri" w:cs="Calibri"/>
          <w:sz w:val="22"/>
          <w:szCs w:val="22"/>
          <w:lang w:val="en-GB"/>
        </w:rPr>
      </w:pPr>
      <w:r w:rsidRPr="00891E27">
        <w:rPr>
          <w:rFonts w:ascii="Calibri" w:hAnsi="Calibri" w:cs="Calibri"/>
          <w:sz w:val="22"/>
          <w:szCs w:val="22"/>
          <w:lang w:val="en-GB"/>
        </w:rPr>
        <w:t>Annual Investment Monitoring Report 2023</w:t>
      </w:r>
    </w:p>
    <w:p w14:paraId="3C173C57" w14:textId="3FBE4FC4" w:rsidR="00891E27" w:rsidRDefault="00891E27" w:rsidP="00891E27">
      <w:pPr>
        <w:pStyle w:val="TableText"/>
        <w:ind w:left="720"/>
        <w:rPr>
          <w:rFonts w:ascii="Calibri" w:hAnsi="Calibri" w:cs="Calibri"/>
          <w:sz w:val="22"/>
          <w:szCs w:val="22"/>
          <w:lang w:val="en-GB"/>
        </w:rPr>
      </w:pPr>
      <w:r w:rsidRPr="00891E27">
        <w:rPr>
          <w:rFonts w:ascii="Calibri" w:hAnsi="Calibri" w:cs="Calibri"/>
          <w:sz w:val="22"/>
          <w:szCs w:val="22"/>
          <w:lang w:val="en-GB"/>
        </w:rPr>
        <w:t>Annual Investment Monitoring Report 2024</w:t>
      </w:r>
    </w:p>
    <w:p w14:paraId="7C581440" w14:textId="77777777" w:rsidR="00891E27" w:rsidRDefault="00891E27" w:rsidP="00891E27">
      <w:pPr>
        <w:pStyle w:val="TableText"/>
        <w:ind w:left="720"/>
        <w:rPr>
          <w:rFonts w:ascii="Calibri" w:hAnsi="Calibri" w:cs="Calibri"/>
          <w:sz w:val="22"/>
          <w:szCs w:val="22"/>
          <w:lang w:val="en-GB"/>
        </w:rPr>
      </w:pPr>
    </w:p>
    <w:p w14:paraId="618BD8BE" w14:textId="5D401774" w:rsidR="00891E27" w:rsidRPr="00891E27" w:rsidRDefault="00891E27" w:rsidP="00891E27">
      <w:pPr>
        <w:pStyle w:val="TableText"/>
        <w:rPr>
          <w:rFonts w:ascii="Calibri" w:hAnsi="Calibri" w:cs="Calibri"/>
          <w:b/>
          <w:bCs/>
          <w:sz w:val="22"/>
          <w:szCs w:val="22"/>
          <w:lang w:val="en-GB"/>
        </w:rPr>
      </w:pPr>
      <w:r w:rsidRPr="00891E27">
        <w:rPr>
          <w:rFonts w:ascii="Calibri" w:hAnsi="Calibri" w:cs="Calibri"/>
          <w:b/>
          <w:bCs/>
          <w:sz w:val="22"/>
          <w:szCs w:val="22"/>
          <w:lang w:val="en-GB"/>
        </w:rPr>
        <w:t>Completion Reports:</w:t>
      </w:r>
    </w:p>
    <w:p w14:paraId="2311CECC" w14:textId="77777777" w:rsidR="00891E27" w:rsidRDefault="00891E27" w:rsidP="00891E27">
      <w:pPr>
        <w:pStyle w:val="TableText"/>
        <w:rPr>
          <w:rFonts w:ascii="Calibri" w:hAnsi="Calibri" w:cs="Calibri"/>
          <w:sz w:val="22"/>
          <w:szCs w:val="22"/>
          <w:lang w:val="en-GB"/>
        </w:rPr>
      </w:pPr>
    </w:p>
    <w:p w14:paraId="572D4728" w14:textId="77777777" w:rsidR="00891E27" w:rsidRPr="00891E27" w:rsidRDefault="00891E27" w:rsidP="00891E27">
      <w:pPr>
        <w:pStyle w:val="TableText"/>
        <w:ind w:left="720"/>
        <w:rPr>
          <w:rFonts w:ascii="Calibri" w:hAnsi="Calibri" w:cs="Calibri"/>
          <w:sz w:val="22"/>
          <w:szCs w:val="22"/>
          <w:lang w:val="en-GB"/>
        </w:rPr>
      </w:pPr>
      <w:r w:rsidRPr="00891E27">
        <w:rPr>
          <w:rFonts w:ascii="Calibri" w:hAnsi="Calibri" w:cs="Calibri"/>
          <w:sz w:val="22"/>
          <w:szCs w:val="22"/>
          <w:lang w:val="en-GB"/>
        </w:rPr>
        <w:t>Addressing Skill Needs through Online Micro-Credentials in Higher Education (</w:t>
      </w:r>
      <w:proofErr w:type="gramStart"/>
      <w:r w:rsidRPr="00891E27">
        <w:rPr>
          <w:rFonts w:ascii="Calibri" w:hAnsi="Calibri" w:cs="Calibri"/>
          <w:sz w:val="22"/>
          <w:szCs w:val="22"/>
          <w:lang w:val="en-GB"/>
        </w:rPr>
        <w:t>July,</w:t>
      </w:r>
      <w:proofErr w:type="gramEnd"/>
      <w:r w:rsidRPr="00891E27">
        <w:rPr>
          <w:rFonts w:ascii="Calibri" w:hAnsi="Calibri" w:cs="Calibri"/>
          <w:sz w:val="22"/>
          <w:szCs w:val="22"/>
          <w:lang w:val="en-GB"/>
        </w:rPr>
        <w:t xml:space="preserve"> 2024)</w:t>
      </w:r>
    </w:p>
    <w:p w14:paraId="7F0FAD68" w14:textId="77777777" w:rsidR="00891E27" w:rsidRPr="00891E27" w:rsidRDefault="00891E27" w:rsidP="00891E27">
      <w:pPr>
        <w:pStyle w:val="TableText"/>
        <w:ind w:left="720"/>
        <w:rPr>
          <w:rFonts w:ascii="Calibri" w:hAnsi="Calibri" w:cs="Calibri"/>
          <w:sz w:val="22"/>
          <w:szCs w:val="22"/>
          <w:lang w:val="en-GB"/>
        </w:rPr>
      </w:pPr>
      <w:r w:rsidRPr="00891E27">
        <w:rPr>
          <w:rFonts w:ascii="Calibri" w:hAnsi="Calibri" w:cs="Calibri"/>
          <w:sz w:val="22"/>
          <w:szCs w:val="22"/>
          <w:lang w:val="en-GB"/>
        </w:rPr>
        <w:t>APEC-Australia Women in Research Fellowship Project Phase 2 (September 2024)</w:t>
      </w:r>
    </w:p>
    <w:p w14:paraId="177C73DB" w14:textId="77777777" w:rsidR="00891E27" w:rsidRPr="00891E27" w:rsidRDefault="00891E27" w:rsidP="00891E27">
      <w:pPr>
        <w:pStyle w:val="TableText"/>
        <w:ind w:left="720"/>
        <w:rPr>
          <w:rFonts w:ascii="Calibri" w:hAnsi="Calibri" w:cs="Calibri"/>
          <w:sz w:val="22"/>
          <w:szCs w:val="22"/>
          <w:lang w:val="en-GB"/>
        </w:rPr>
      </w:pPr>
      <w:r w:rsidRPr="00891E27">
        <w:rPr>
          <w:rFonts w:ascii="Calibri" w:hAnsi="Calibri" w:cs="Calibri"/>
          <w:sz w:val="22"/>
          <w:szCs w:val="22"/>
          <w:lang w:val="en-GB"/>
        </w:rPr>
        <w:t>APEC FinTech Study (</w:t>
      </w:r>
      <w:proofErr w:type="gramStart"/>
      <w:r w:rsidRPr="00891E27">
        <w:rPr>
          <w:rFonts w:ascii="Calibri" w:hAnsi="Calibri" w:cs="Calibri"/>
          <w:sz w:val="22"/>
          <w:szCs w:val="22"/>
          <w:lang w:val="en-GB"/>
        </w:rPr>
        <w:t>February,</w:t>
      </w:r>
      <w:proofErr w:type="gramEnd"/>
      <w:r w:rsidRPr="00891E27">
        <w:rPr>
          <w:rFonts w:ascii="Calibri" w:hAnsi="Calibri" w:cs="Calibri"/>
          <w:sz w:val="22"/>
          <w:szCs w:val="22"/>
          <w:lang w:val="en-GB"/>
        </w:rPr>
        <w:t xml:space="preserve"> 2023)</w:t>
      </w:r>
    </w:p>
    <w:p w14:paraId="1C7562D1" w14:textId="77777777" w:rsidR="00891E27" w:rsidRPr="00891E27" w:rsidRDefault="00891E27" w:rsidP="00891E27">
      <w:pPr>
        <w:pStyle w:val="TableText"/>
        <w:ind w:left="720"/>
        <w:rPr>
          <w:rFonts w:ascii="Calibri" w:hAnsi="Calibri" w:cs="Calibri"/>
          <w:sz w:val="22"/>
          <w:szCs w:val="22"/>
          <w:lang w:val="en-GB"/>
        </w:rPr>
      </w:pPr>
      <w:r w:rsidRPr="00891E27">
        <w:rPr>
          <w:rFonts w:ascii="Calibri" w:hAnsi="Calibri" w:cs="Calibri"/>
          <w:sz w:val="22"/>
          <w:szCs w:val="22"/>
          <w:lang w:val="en-GB"/>
        </w:rPr>
        <w:t>APEC Group on Services Project – Services that clean-up Marine Debris (</w:t>
      </w:r>
      <w:proofErr w:type="gramStart"/>
      <w:r w:rsidRPr="00891E27">
        <w:rPr>
          <w:rFonts w:ascii="Calibri" w:hAnsi="Calibri" w:cs="Calibri"/>
          <w:sz w:val="22"/>
          <w:szCs w:val="22"/>
          <w:lang w:val="en-GB"/>
        </w:rPr>
        <w:t>June,</w:t>
      </w:r>
      <w:proofErr w:type="gramEnd"/>
      <w:r w:rsidRPr="00891E27">
        <w:rPr>
          <w:rFonts w:ascii="Calibri" w:hAnsi="Calibri" w:cs="Calibri"/>
          <w:sz w:val="22"/>
          <w:szCs w:val="22"/>
          <w:lang w:val="en-GB"/>
        </w:rPr>
        <w:t xml:space="preserve"> 2023)</w:t>
      </w:r>
    </w:p>
    <w:p w14:paraId="5E5C9FA0" w14:textId="77777777" w:rsidR="00891E27" w:rsidRPr="00891E27" w:rsidRDefault="00891E27" w:rsidP="00891E27">
      <w:pPr>
        <w:pStyle w:val="TableText"/>
        <w:ind w:left="720"/>
        <w:rPr>
          <w:rFonts w:ascii="Calibri" w:hAnsi="Calibri" w:cs="Calibri"/>
          <w:sz w:val="22"/>
          <w:szCs w:val="22"/>
          <w:lang w:val="en-GB"/>
        </w:rPr>
      </w:pPr>
      <w:r w:rsidRPr="00891E27">
        <w:rPr>
          <w:rFonts w:ascii="Calibri" w:hAnsi="Calibri" w:cs="Calibri"/>
          <w:sz w:val="22"/>
          <w:szCs w:val="22"/>
          <w:lang w:val="en-GB"/>
        </w:rPr>
        <w:t>APEC Professional Services and Mutual Recognition Agreement Project (Multi-Year) (</w:t>
      </w:r>
      <w:proofErr w:type="gramStart"/>
      <w:r w:rsidRPr="00891E27">
        <w:rPr>
          <w:rFonts w:ascii="Calibri" w:hAnsi="Calibri" w:cs="Calibri"/>
          <w:sz w:val="22"/>
          <w:szCs w:val="22"/>
          <w:lang w:val="en-GB"/>
        </w:rPr>
        <w:t>January,</w:t>
      </w:r>
      <w:proofErr w:type="gramEnd"/>
      <w:r w:rsidRPr="00891E27">
        <w:rPr>
          <w:rFonts w:ascii="Calibri" w:hAnsi="Calibri" w:cs="Calibri"/>
          <w:sz w:val="22"/>
          <w:szCs w:val="22"/>
          <w:lang w:val="en-GB"/>
        </w:rPr>
        <w:t xml:space="preserve"> 2024)</w:t>
      </w:r>
    </w:p>
    <w:p w14:paraId="2264A3B4" w14:textId="77777777" w:rsidR="00891E27" w:rsidRPr="00891E27" w:rsidRDefault="00891E27" w:rsidP="00891E27">
      <w:pPr>
        <w:pStyle w:val="TableText"/>
        <w:ind w:left="720"/>
        <w:rPr>
          <w:rFonts w:ascii="Calibri" w:hAnsi="Calibri" w:cs="Calibri"/>
          <w:sz w:val="22"/>
          <w:szCs w:val="22"/>
          <w:lang w:val="en-GB"/>
        </w:rPr>
      </w:pPr>
      <w:r w:rsidRPr="00891E27">
        <w:rPr>
          <w:rFonts w:ascii="Calibri" w:hAnsi="Calibri" w:cs="Calibri"/>
          <w:sz w:val="22"/>
          <w:szCs w:val="22"/>
          <w:lang w:val="en-GB"/>
        </w:rPr>
        <w:t>APEC – Services that Support the Movement of Essential Goods (</w:t>
      </w:r>
      <w:proofErr w:type="gramStart"/>
      <w:r w:rsidRPr="00891E27">
        <w:rPr>
          <w:rFonts w:ascii="Calibri" w:hAnsi="Calibri" w:cs="Calibri"/>
          <w:sz w:val="22"/>
          <w:szCs w:val="22"/>
          <w:lang w:val="en-GB"/>
        </w:rPr>
        <w:t>November,</w:t>
      </w:r>
      <w:proofErr w:type="gramEnd"/>
      <w:r w:rsidRPr="00891E27">
        <w:rPr>
          <w:rFonts w:ascii="Calibri" w:hAnsi="Calibri" w:cs="Calibri"/>
          <w:sz w:val="22"/>
          <w:szCs w:val="22"/>
          <w:lang w:val="en-GB"/>
        </w:rPr>
        <w:t xml:space="preserve"> 2022)</w:t>
      </w:r>
    </w:p>
    <w:p w14:paraId="09E8FD6C" w14:textId="77777777" w:rsidR="00891E27" w:rsidRPr="00891E27" w:rsidRDefault="00891E27" w:rsidP="00891E27">
      <w:pPr>
        <w:pStyle w:val="TableText"/>
        <w:ind w:left="720"/>
        <w:rPr>
          <w:rFonts w:ascii="Calibri" w:hAnsi="Calibri" w:cs="Calibri"/>
          <w:sz w:val="22"/>
          <w:szCs w:val="22"/>
          <w:lang w:val="en-GB"/>
        </w:rPr>
      </w:pPr>
      <w:r w:rsidRPr="00891E27">
        <w:rPr>
          <w:rFonts w:ascii="Calibri" w:hAnsi="Calibri" w:cs="Calibri"/>
          <w:sz w:val="22"/>
          <w:szCs w:val="22"/>
          <w:lang w:val="en-GB"/>
        </w:rPr>
        <w:t>Fostering Greater SME Participation in Global Value Chains Phase Two – Digitalisation and Utilisation of Emerging Technologies (</w:t>
      </w:r>
      <w:proofErr w:type="gramStart"/>
      <w:r w:rsidRPr="00891E27">
        <w:rPr>
          <w:rFonts w:ascii="Calibri" w:hAnsi="Calibri" w:cs="Calibri"/>
          <w:sz w:val="22"/>
          <w:szCs w:val="22"/>
          <w:lang w:val="en-GB"/>
        </w:rPr>
        <w:t>April,</w:t>
      </w:r>
      <w:proofErr w:type="gramEnd"/>
      <w:r w:rsidRPr="00891E27">
        <w:rPr>
          <w:rFonts w:ascii="Calibri" w:hAnsi="Calibri" w:cs="Calibri"/>
          <w:sz w:val="22"/>
          <w:szCs w:val="22"/>
          <w:lang w:val="en-GB"/>
        </w:rPr>
        <w:t xml:space="preserve"> 2024)</w:t>
      </w:r>
    </w:p>
    <w:p w14:paraId="4A4EC138" w14:textId="77777777" w:rsidR="00891E27" w:rsidRPr="00891E27" w:rsidRDefault="00891E27" w:rsidP="00891E27">
      <w:pPr>
        <w:pStyle w:val="TableText"/>
        <w:ind w:left="720"/>
        <w:rPr>
          <w:rFonts w:ascii="Calibri" w:hAnsi="Calibri" w:cs="Calibri"/>
          <w:sz w:val="22"/>
          <w:szCs w:val="22"/>
          <w:lang w:val="en-GB"/>
        </w:rPr>
      </w:pPr>
      <w:r w:rsidRPr="00891E27">
        <w:rPr>
          <w:rFonts w:ascii="Calibri" w:hAnsi="Calibri" w:cs="Calibri"/>
          <w:sz w:val="22"/>
          <w:szCs w:val="22"/>
          <w:lang w:val="en-GB"/>
        </w:rPr>
        <w:t>Growing Indigenous Businesses Through Trade – Phase II (GRIT) (</w:t>
      </w:r>
      <w:proofErr w:type="gramStart"/>
      <w:r w:rsidRPr="00891E27">
        <w:rPr>
          <w:rFonts w:ascii="Calibri" w:hAnsi="Calibri" w:cs="Calibri"/>
          <w:sz w:val="22"/>
          <w:szCs w:val="22"/>
          <w:lang w:val="en-GB"/>
        </w:rPr>
        <w:t>February,</w:t>
      </w:r>
      <w:proofErr w:type="gramEnd"/>
      <w:r w:rsidRPr="00891E27">
        <w:rPr>
          <w:rFonts w:ascii="Calibri" w:hAnsi="Calibri" w:cs="Calibri"/>
          <w:sz w:val="22"/>
          <w:szCs w:val="22"/>
          <w:lang w:val="en-GB"/>
        </w:rPr>
        <w:t xml:space="preserve"> 2023</w:t>
      </w:r>
    </w:p>
    <w:p w14:paraId="4A5768E5" w14:textId="77777777" w:rsidR="00891E27" w:rsidRPr="00891E27" w:rsidRDefault="00891E27" w:rsidP="00891E27">
      <w:pPr>
        <w:pStyle w:val="TableText"/>
        <w:ind w:left="720"/>
        <w:rPr>
          <w:rFonts w:ascii="Calibri" w:hAnsi="Calibri" w:cs="Calibri"/>
          <w:sz w:val="22"/>
          <w:szCs w:val="22"/>
          <w:lang w:val="en-GB"/>
        </w:rPr>
      </w:pPr>
      <w:r w:rsidRPr="00891E27">
        <w:rPr>
          <w:rFonts w:ascii="Calibri" w:hAnsi="Calibri" w:cs="Calibri"/>
          <w:sz w:val="22"/>
          <w:szCs w:val="22"/>
          <w:lang w:val="en-GB"/>
        </w:rPr>
        <w:t>Implementing Circular Economy Standards in the APEC Region (</w:t>
      </w:r>
      <w:proofErr w:type="gramStart"/>
      <w:r w:rsidRPr="00891E27">
        <w:rPr>
          <w:rFonts w:ascii="Calibri" w:hAnsi="Calibri" w:cs="Calibri"/>
          <w:sz w:val="22"/>
          <w:szCs w:val="22"/>
          <w:lang w:val="en-GB"/>
        </w:rPr>
        <w:t>March,</w:t>
      </w:r>
      <w:proofErr w:type="gramEnd"/>
      <w:r w:rsidRPr="00891E27">
        <w:rPr>
          <w:rFonts w:ascii="Calibri" w:hAnsi="Calibri" w:cs="Calibri"/>
          <w:sz w:val="22"/>
          <w:szCs w:val="22"/>
          <w:lang w:val="en-GB"/>
        </w:rPr>
        <w:t xml:space="preserve"> 2024)</w:t>
      </w:r>
    </w:p>
    <w:p w14:paraId="165FF415" w14:textId="77777777" w:rsidR="00891E27" w:rsidRPr="00891E27" w:rsidRDefault="00891E27" w:rsidP="00891E27">
      <w:pPr>
        <w:pStyle w:val="TableText"/>
        <w:ind w:left="720"/>
        <w:rPr>
          <w:rFonts w:ascii="Calibri" w:hAnsi="Calibri" w:cs="Calibri"/>
          <w:sz w:val="22"/>
          <w:szCs w:val="22"/>
          <w:lang w:val="en-GB"/>
        </w:rPr>
      </w:pPr>
      <w:r w:rsidRPr="00891E27">
        <w:rPr>
          <w:rFonts w:ascii="Calibri" w:hAnsi="Calibri" w:cs="Calibri"/>
          <w:sz w:val="22"/>
          <w:szCs w:val="22"/>
          <w:lang w:val="en-GB"/>
        </w:rPr>
        <w:t>Indigenous Trade Workshop: Increasing Access to the Benefits of Trade for Indigenous Businesses and Entrepreneurs (</w:t>
      </w:r>
      <w:proofErr w:type="gramStart"/>
      <w:r w:rsidRPr="00891E27">
        <w:rPr>
          <w:rFonts w:ascii="Calibri" w:hAnsi="Calibri" w:cs="Calibri"/>
          <w:sz w:val="22"/>
          <w:szCs w:val="22"/>
          <w:lang w:val="en-GB"/>
        </w:rPr>
        <w:t>January,</w:t>
      </w:r>
      <w:proofErr w:type="gramEnd"/>
      <w:r w:rsidRPr="00891E27">
        <w:rPr>
          <w:rFonts w:ascii="Calibri" w:hAnsi="Calibri" w:cs="Calibri"/>
          <w:sz w:val="22"/>
          <w:szCs w:val="22"/>
          <w:lang w:val="en-GB"/>
        </w:rPr>
        <w:t xml:space="preserve"> 2024)</w:t>
      </w:r>
    </w:p>
    <w:p w14:paraId="7A2389C4" w14:textId="77777777" w:rsidR="00891E27" w:rsidRPr="00891E27" w:rsidRDefault="00891E27" w:rsidP="00891E27">
      <w:pPr>
        <w:pStyle w:val="TableText"/>
        <w:ind w:left="720"/>
        <w:rPr>
          <w:rFonts w:ascii="Calibri" w:hAnsi="Calibri" w:cs="Calibri"/>
          <w:sz w:val="22"/>
          <w:szCs w:val="22"/>
          <w:lang w:val="en-GB"/>
        </w:rPr>
      </w:pPr>
      <w:r w:rsidRPr="00891E27">
        <w:rPr>
          <w:rFonts w:ascii="Calibri" w:hAnsi="Calibri" w:cs="Calibri"/>
          <w:sz w:val="22"/>
          <w:szCs w:val="22"/>
          <w:lang w:val="en-GB"/>
        </w:rPr>
        <w:t>Joint Economic Committee and Group on Services Symposium on Services and Structural Reform (</w:t>
      </w:r>
      <w:proofErr w:type="gramStart"/>
      <w:r w:rsidRPr="00891E27">
        <w:rPr>
          <w:rFonts w:ascii="Calibri" w:hAnsi="Calibri" w:cs="Calibri"/>
          <w:sz w:val="22"/>
          <w:szCs w:val="22"/>
          <w:lang w:val="en-GB"/>
        </w:rPr>
        <w:t>October,</w:t>
      </w:r>
      <w:proofErr w:type="gramEnd"/>
      <w:r w:rsidRPr="00891E27">
        <w:rPr>
          <w:rFonts w:ascii="Calibri" w:hAnsi="Calibri" w:cs="Calibri"/>
          <w:sz w:val="22"/>
          <w:szCs w:val="22"/>
          <w:lang w:val="en-GB"/>
        </w:rPr>
        <w:t xml:space="preserve"> 2023)</w:t>
      </w:r>
    </w:p>
    <w:p w14:paraId="406910A0" w14:textId="77777777" w:rsidR="00891E27" w:rsidRPr="00891E27" w:rsidRDefault="00891E27" w:rsidP="00891E27">
      <w:pPr>
        <w:pStyle w:val="TableText"/>
        <w:ind w:left="720"/>
        <w:rPr>
          <w:rFonts w:ascii="Calibri" w:hAnsi="Calibri" w:cs="Calibri"/>
          <w:sz w:val="22"/>
          <w:szCs w:val="22"/>
          <w:lang w:val="en-GB"/>
        </w:rPr>
      </w:pPr>
      <w:r w:rsidRPr="00891E27">
        <w:rPr>
          <w:rFonts w:ascii="Calibri" w:hAnsi="Calibri" w:cs="Calibri"/>
          <w:sz w:val="22"/>
          <w:szCs w:val="22"/>
          <w:lang w:val="en-GB"/>
        </w:rPr>
        <w:t>Services that Support the Movement of Essential Goods (</w:t>
      </w:r>
      <w:proofErr w:type="gramStart"/>
      <w:r w:rsidRPr="00891E27">
        <w:rPr>
          <w:rFonts w:ascii="Calibri" w:hAnsi="Calibri" w:cs="Calibri"/>
          <w:sz w:val="22"/>
          <w:szCs w:val="22"/>
          <w:lang w:val="en-GB"/>
        </w:rPr>
        <w:t>November,</w:t>
      </w:r>
      <w:proofErr w:type="gramEnd"/>
      <w:r w:rsidRPr="00891E27">
        <w:rPr>
          <w:rFonts w:ascii="Calibri" w:hAnsi="Calibri" w:cs="Calibri"/>
          <w:sz w:val="22"/>
          <w:szCs w:val="22"/>
          <w:lang w:val="en-GB"/>
        </w:rPr>
        <w:t xml:space="preserve"> 2023)</w:t>
      </w:r>
    </w:p>
    <w:p w14:paraId="19AF9DAC" w14:textId="77777777" w:rsidR="00891E27" w:rsidRPr="00891E27" w:rsidRDefault="00891E27" w:rsidP="00891E27">
      <w:pPr>
        <w:pStyle w:val="TableText"/>
        <w:ind w:left="720"/>
        <w:rPr>
          <w:rFonts w:ascii="Calibri" w:hAnsi="Calibri" w:cs="Calibri"/>
          <w:sz w:val="22"/>
          <w:szCs w:val="22"/>
          <w:lang w:val="en-GB"/>
        </w:rPr>
      </w:pPr>
      <w:r w:rsidRPr="00891E27">
        <w:rPr>
          <w:rFonts w:ascii="Calibri" w:hAnsi="Calibri" w:cs="Calibri"/>
          <w:sz w:val="22"/>
          <w:szCs w:val="22"/>
          <w:lang w:val="en-GB"/>
        </w:rPr>
        <w:t>Sub-regional Pilot of the APEC Occupational Standards for the Travel, Tourism and Hospitality Industry in the Pacific Alliance, 2019 – 2023 (</w:t>
      </w:r>
      <w:proofErr w:type="gramStart"/>
      <w:r w:rsidRPr="00891E27">
        <w:rPr>
          <w:rFonts w:ascii="Calibri" w:hAnsi="Calibri" w:cs="Calibri"/>
          <w:sz w:val="22"/>
          <w:szCs w:val="22"/>
          <w:lang w:val="en-GB"/>
        </w:rPr>
        <w:t>July,</w:t>
      </w:r>
      <w:proofErr w:type="gramEnd"/>
      <w:r w:rsidRPr="00891E27">
        <w:rPr>
          <w:rFonts w:ascii="Calibri" w:hAnsi="Calibri" w:cs="Calibri"/>
          <w:sz w:val="22"/>
          <w:szCs w:val="22"/>
          <w:lang w:val="en-GB"/>
        </w:rPr>
        <w:t xml:space="preserve"> 2024)</w:t>
      </w:r>
    </w:p>
    <w:p w14:paraId="01409745" w14:textId="77777777" w:rsidR="00891E27" w:rsidRPr="00891E27" w:rsidRDefault="00891E27" w:rsidP="00891E27">
      <w:pPr>
        <w:pStyle w:val="TableText"/>
        <w:ind w:left="720"/>
        <w:rPr>
          <w:rFonts w:ascii="Calibri" w:hAnsi="Calibri" w:cs="Calibri"/>
          <w:sz w:val="22"/>
          <w:szCs w:val="22"/>
          <w:lang w:val="en-GB"/>
        </w:rPr>
      </w:pPr>
      <w:r w:rsidRPr="00891E27">
        <w:rPr>
          <w:rFonts w:ascii="Calibri" w:hAnsi="Calibri" w:cs="Calibri"/>
          <w:sz w:val="22"/>
          <w:szCs w:val="22"/>
          <w:lang w:val="en-GB"/>
        </w:rPr>
        <w:t>Supporting AI at scale in the APEC region through international standards (</w:t>
      </w:r>
      <w:proofErr w:type="gramStart"/>
      <w:r w:rsidRPr="00891E27">
        <w:rPr>
          <w:rFonts w:ascii="Calibri" w:hAnsi="Calibri" w:cs="Calibri"/>
          <w:sz w:val="22"/>
          <w:szCs w:val="22"/>
          <w:lang w:val="en-GB"/>
        </w:rPr>
        <w:t>March,</w:t>
      </w:r>
      <w:proofErr w:type="gramEnd"/>
      <w:r w:rsidRPr="00891E27">
        <w:rPr>
          <w:rFonts w:ascii="Calibri" w:hAnsi="Calibri" w:cs="Calibri"/>
          <w:sz w:val="22"/>
          <w:szCs w:val="22"/>
          <w:lang w:val="en-GB"/>
        </w:rPr>
        <w:t xml:space="preserve"> 2024)</w:t>
      </w:r>
    </w:p>
    <w:p w14:paraId="1D9AB8AB" w14:textId="25F7E5FE" w:rsidR="00891E27" w:rsidRDefault="00891E27" w:rsidP="00891E27">
      <w:pPr>
        <w:pStyle w:val="TableText"/>
        <w:ind w:left="720"/>
        <w:rPr>
          <w:rFonts w:ascii="Calibri" w:hAnsi="Calibri" w:cs="Calibri"/>
          <w:sz w:val="22"/>
          <w:szCs w:val="22"/>
          <w:lang w:val="en-GB"/>
        </w:rPr>
      </w:pPr>
      <w:r w:rsidRPr="00891E27">
        <w:rPr>
          <w:rFonts w:ascii="Calibri" w:hAnsi="Calibri" w:cs="Calibri"/>
          <w:sz w:val="22"/>
          <w:szCs w:val="22"/>
          <w:lang w:val="en-GB"/>
        </w:rPr>
        <w:t>Trade Policy Dialogue to facilitate development of common APEC understanding of what can be considered an environmental good (</w:t>
      </w:r>
      <w:proofErr w:type="gramStart"/>
      <w:r w:rsidRPr="00891E27">
        <w:rPr>
          <w:rFonts w:ascii="Calibri" w:hAnsi="Calibri" w:cs="Calibri"/>
          <w:sz w:val="22"/>
          <w:szCs w:val="22"/>
          <w:lang w:val="en-GB"/>
        </w:rPr>
        <w:t>February,</w:t>
      </w:r>
      <w:proofErr w:type="gramEnd"/>
      <w:r w:rsidRPr="00891E27">
        <w:rPr>
          <w:rFonts w:ascii="Calibri" w:hAnsi="Calibri" w:cs="Calibri"/>
          <w:sz w:val="22"/>
          <w:szCs w:val="22"/>
          <w:lang w:val="en-GB"/>
        </w:rPr>
        <w:t xml:space="preserve"> 2023)</w:t>
      </w:r>
    </w:p>
    <w:p w14:paraId="2FDD0A20" w14:textId="77777777" w:rsidR="004D39B3" w:rsidRDefault="004D39B3" w:rsidP="00891E27">
      <w:pPr>
        <w:pStyle w:val="TableText"/>
        <w:ind w:left="720"/>
        <w:rPr>
          <w:rFonts w:ascii="Calibri" w:hAnsi="Calibri" w:cs="Calibri"/>
          <w:sz w:val="22"/>
          <w:szCs w:val="22"/>
          <w:lang w:val="en-GB"/>
        </w:rPr>
      </w:pPr>
    </w:p>
    <w:p w14:paraId="45AA634E" w14:textId="2134E5AA" w:rsidR="004D39B3" w:rsidRDefault="004D39B3" w:rsidP="004D39B3">
      <w:pPr>
        <w:pStyle w:val="TableText"/>
        <w:rPr>
          <w:rFonts w:ascii="Calibri" w:hAnsi="Calibri" w:cs="Calibri"/>
          <w:b/>
          <w:bCs/>
          <w:sz w:val="22"/>
          <w:szCs w:val="22"/>
          <w:lang w:val="en-GB"/>
        </w:rPr>
      </w:pPr>
      <w:r w:rsidRPr="004D39B3">
        <w:rPr>
          <w:rFonts w:ascii="Calibri" w:hAnsi="Calibri" w:cs="Calibri"/>
          <w:b/>
          <w:bCs/>
          <w:sz w:val="22"/>
          <w:szCs w:val="22"/>
          <w:lang w:val="en-GB"/>
        </w:rPr>
        <w:t>Reviews / Designs:</w:t>
      </w:r>
    </w:p>
    <w:p w14:paraId="10FAA765" w14:textId="77777777" w:rsidR="004D39B3" w:rsidRPr="004D39B3" w:rsidRDefault="004D39B3" w:rsidP="004D39B3">
      <w:pPr>
        <w:pStyle w:val="TableText"/>
        <w:ind w:left="720"/>
        <w:rPr>
          <w:rFonts w:ascii="Calibri" w:hAnsi="Calibri" w:cs="Calibri"/>
          <w:sz w:val="22"/>
          <w:szCs w:val="22"/>
          <w:lang w:val="en-GB"/>
        </w:rPr>
      </w:pPr>
      <w:r w:rsidRPr="004D39B3">
        <w:rPr>
          <w:rFonts w:ascii="Calibri" w:hAnsi="Calibri" w:cs="Calibri"/>
          <w:sz w:val="22"/>
          <w:szCs w:val="22"/>
          <w:lang w:val="en-GB"/>
        </w:rPr>
        <w:t>AASP Half Yearly Monitoring Report (</w:t>
      </w:r>
      <w:proofErr w:type="gramStart"/>
      <w:r w:rsidRPr="004D39B3">
        <w:rPr>
          <w:rFonts w:ascii="Calibri" w:hAnsi="Calibri" w:cs="Calibri"/>
          <w:sz w:val="22"/>
          <w:szCs w:val="22"/>
          <w:lang w:val="en-GB"/>
        </w:rPr>
        <w:t>October,</w:t>
      </w:r>
      <w:proofErr w:type="gramEnd"/>
      <w:r w:rsidRPr="004D39B3">
        <w:rPr>
          <w:rFonts w:ascii="Calibri" w:hAnsi="Calibri" w:cs="Calibri"/>
          <w:sz w:val="22"/>
          <w:szCs w:val="22"/>
          <w:lang w:val="en-GB"/>
        </w:rPr>
        <w:t xml:space="preserve"> 2023)</w:t>
      </w:r>
    </w:p>
    <w:p w14:paraId="7AF47E9E" w14:textId="77777777" w:rsidR="004D39B3" w:rsidRPr="004D39B3" w:rsidRDefault="004D39B3" w:rsidP="004D39B3">
      <w:pPr>
        <w:pStyle w:val="TableText"/>
        <w:ind w:left="720"/>
        <w:rPr>
          <w:rFonts w:ascii="Calibri" w:hAnsi="Calibri" w:cs="Calibri"/>
          <w:sz w:val="22"/>
          <w:szCs w:val="22"/>
          <w:lang w:val="en-GB"/>
        </w:rPr>
      </w:pPr>
      <w:r w:rsidRPr="004D39B3">
        <w:rPr>
          <w:rFonts w:ascii="Calibri" w:hAnsi="Calibri" w:cs="Calibri"/>
          <w:sz w:val="22"/>
          <w:szCs w:val="22"/>
          <w:lang w:val="en-GB"/>
        </w:rPr>
        <w:t>AASP Gender Equality, Disability and Social Inclusion Analysis (</w:t>
      </w:r>
      <w:proofErr w:type="gramStart"/>
      <w:r w:rsidRPr="004D39B3">
        <w:rPr>
          <w:rFonts w:ascii="Calibri" w:hAnsi="Calibri" w:cs="Calibri"/>
          <w:sz w:val="22"/>
          <w:szCs w:val="22"/>
          <w:lang w:val="en-GB"/>
        </w:rPr>
        <w:t>September,</w:t>
      </w:r>
      <w:proofErr w:type="gramEnd"/>
      <w:r w:rsidRPr="004D39B3">
        <w:rPr>
          <w:rFonts w:ascii="Calibri" w:hAnsi="Calibri" w:cs="Calibri"/>
          <w:sz w:val="22"/>
          <w:szCs w:val="22"/>
          <w:lang w:val="en-GB"/>
        </w:rPr>
        <w:t xml:space="preserve"> 2023)</w:t>
      </w:r>
    </w:p>
    <w:p w14:paraId="10AA64B1" w14:textId="77777777" w:rsidR="004D39B3" w:rsidRPr="004D39B3" w:rsidRDefault="004D39B3" w:rsidP="004D39B3">
      <w:pPr>
        <w:pStyle w:val="TableText"/>
        <w:ind w:left="720"/>
        <w:rPr>
          <w:rFonts w:ascii="Calibri" w:hAnsi="Calibri" w:cs="Calibri"/>
          <w:sz w:val="22"/>
          <w:szCs w:val="22"/>
          <w:lang w:val="en-GB"/>
        </w:rPr>
      </w:pPr>
      <w:r w:rsidRPr="004D39B3">
        <w:rPr>
          <w:rFonts w:ascii="Calibri" w:hAnsi="Calibri" w:cs="Calibri"/>
          <w:sz w:val="22"/>
          <w:szCs w:val="22"/>
          <w:lang w:val="en-GB"/>
        </w:rPr>
        <w:t>AASP – Light Touch Review of the APEC Professional Services and Mutual Recognition Agreement Projects (2020 – 2022) (April 2023)</w:t>
      </w:r>
    </w:p>
    <w:p w14:paraId="73E5A65A" w14:textId="77777777" w:rsidR="004D39B3" w:rsidRPr="004D39B3" w:rsidRDefault="004D39B3" w:rsidP="004D39B3">
      <w:pPr>
        <w:pStyle w:val="TableText"/>
        <w:ind w:left="720"/>
        <w:rPr>
          <w:rFonts w:ascii="Calibri" w:hAnsi="Calibri" w:cs="Calibri"/>
          <w:sz w:val="22"/>
          <w:szCs w:val="22"/>
          <w:lang w:val="en-GB"/>
        </w:rPr>
      </w:pPr>
      <w:r w:rsidRPr="004D39B3">
        <w:rPr>
          <w:rFonts w:ascii="Calibri" w:hAnsi="Calibri" w:cs="Calibri"/>
          <w:sz w:val="22"/>
          <w:szCs w:val="22"/>
          <w:lang w:val="en-GB"/>
        </w:rPr>
        <w:t>APEC Indigenous Trade Scoping Study (</w:t>
      </w:r>
      <w:proofErr w:type="gramStart"/>
      <w:r w:rsidRPr="004D39B3">
        <w:rPr>
          <w:rFonts w:ascii="Calibri" w:hAnsi="Calibri" w:cs="Calibri"/>
          <w:sz w:val="22"/>
          <w:szCs w:val="22"/>
          <w:lang w:val="en-GB"/>
        </w:rPr>
        <w:t>January,</w:t>
      </w:r>
      <w:proofErr w:type="gramEnd"/>
      <w:r w:rsidRPr="004D39B3">
        <w:rPr>
          <w:rFonts w:ascii="Calibri" w:hAnsi="Calibri" w:cs="Calibri"/>
          <w:sz w:val="22"/>
          <w:szCs w:val="22"/>
          <w:lang w:val="en-GB"/>
        </w:rPr>
        <w:t xml:space="preserve"> 2024)</w:t>
      </w:r>
    </w:p>
    <w:p w14:paraId="1EDBC2B8" w14:textId="4C2BB28C" w:rsidR="004D39B3" w:rsidRDefault="004D39B3" w:rsidP="004D39B3">
      <w:pPr>
        <w:pStyle w:val="TableText"/>
        <w:ind w:left="720"/>
        <w:rPr>
          <w:rFonts w:ascii="Calibri" w:hAnsi="Calibri" w:cs="Calibri"/>
          <w:sz w:val="22"/>
          <w:szCs w:val="22"/>
          <w:lang w:val="en-GB"/>
        </w:rPr>
      </w:pPr>
      <w:r w:rsidRPr="004D39B3">
        <w:rPr>
          <w:rFonts w:ascii="Calibri" w:hAnsi="Calibri" w:cs="Calibri"/>
          <w:sz w:val="22"/>
          <w:szCs w:val="22"/>
          <w:lang w:val="en-GB"/>
        </w:rPr>
        <w:t>Joint EC-GOS Project: Services and Structural Reform Agenda (October 2023)</w:t>
      </w:r>
    </w:p>
    <w:p w14:paraId="24FFB4F7" w14:textId="77777777" w:rsidR="009F3D3F" w:rsidRDefault="009F3D3F" w:rsidP="004D39B3">
      <w:pPr>
        <w:pStyle w:val="TableText"/>
        <w:ind w:left="720"/>
        <w:rPr>
          <w:rFonts w:ascii="Calibri" w:hAnsi="Calibri" w:cs="Calibri"/>
          <w:sz w:val="22"/>
          <w:szCs w:val="22"/>
          <w:lang w:val="en-GB"/>
        </w:rPr>
      </w:pPr>
    </w:p>
    <w:p w14:paraId="7DFC51AA" w14:textId="68D4E9CB" w:rsidR="009F3D3F" w:rsidRDefault="009F3D3F" w:rsidP="009F3D3F">
      <w:pPr>
        <w:pStyle w:val="TableText"/>
        <w:rPr>
          <w:rFonts w:ascii="Calibri" w:hAnsi="Calibri" w:cs="Calibri"/>
          <w:b/>
          <w:bCs/>
          <w:sz w:val="22"/>
          <w:szCs w:val="22"/>
          <w:lang w:val="en-GB"/>
        </w:rPr>
      </w:pPr>
      <w:r w:rsidRPr="009F3D3F">
        <w:rPr>
          <w:rFonts w:ascii="Calibri" w:hAnsi="Calibri" w:cs="Calibri"/>
          <w:b/>
          <w:bCs/>
          <w:sz w:val="22"/>
          <w:szCs w:val="22"/>
          <w:lang w:val="en-GB"/>
        </w:rPr>
        <w:t>Select Activity Outputs</w:t>
      </w:r>
      <w:r>
        <w:rPr>
          <w:rFonts w:ascii="Calibri" w:hAnsi="Calibri" w:cs="Calibri"/>
          <w:b/>
          <w:bCs/>
          <w:sz w:val="22"/>
          <w:szCs w:val="22"/>
          <w:lang w:val="en-GB"/>
        </w:rPr>
        <w:t>:</w:t>
      </w:r>
    </w:p>
    <w:p w14:paraId="1779876A" w14:textId="77777777" w:rsidR="009F3D3F" w:rsidRPr="009F3D3F" w:rsidRDefault="009F3D3F" w:rsidP="009F3D3F">
      <w:pPr>
        <w:pStyle w:val="TableText"/>
        <w:ind w:left="720"/>
        <w:rPr>
          <w:rFonts w:ascii="Calibri" w:hAnsi="Calibri" w:cs="Calibri"/>
          <w:sz w:val="22"/>
          <w:szCs w:val="22"/>
          <w:lang w:val="en-GB"/>
        </w:rPr>
      </w:pPr>
      <w:r w:rsidRPr="009F3D3F">
        <w:rPr>
          <w:rFonts w:ascii="Calibri" w:hAnsi="Calibri" w:cs="Calibri"/>
          <w:sz w:val="22"/>
          <w:szCs w:val="22"/>
          <w:lang w:val="en-GB"/>
        </w:rPr>
        <w:t>APEC Committee on Trade and Investment Workshop Summary Report: Increasing Access to the Benefits of Trade for Indigenous Businesses and Entrepreneurs 2023 (September 2024)</w:t>
      </w:r>
    </w:p>
    <w:p w14:paraId="2C4CBC42" w14:textId="77777777" w:rsidR="009F3D3F" w:rsidRPr="009F3D3F" w:rsidRDefault="009F3D3F" w:rsidP="009F3D3F">
      <w:pPr>
        <w:pStyle w:val="TableText"/>
        <w:ind w:left="720"/>
        <w:rPr>
          <w:rFonts w:ascii="Calibri" w:hAnsi="Calibri" w:cs="Calibri"/>
          <w:sz w:val="22"/>
          <w:szCs w:val="22"/>
          <w:lang w:val="en-GB"/>
        </w:rPr>
      </w:pPr>
      <w:r w:rsidRPr="009F3D3F">
        <w:rPr>
          <w:rFonts w:ascii="Calibri" w:hAnsi="Calibri" w:cs="Calibri"/>
          <w:sz w:val="22"/>
          <w:szCs w:val="22"/>
          <w:lang w:val="en-GB"/>
        </w:rPr>
        <w:t>APEC Policy Brief on EAASR and ASCR Services Competitiveness and Structural Reform (</w:t>
      </w:r>
      <w:proofErr w:type="gramStart"/>
      <w:r w:rsidRPr="009F3D3F">
        <w:rPr>
          <w:rFonts w:ascii="Calibri" w:hAnsi="Calibri" w:cs="Calibri"/>
          <w:sz w:val="22"/>
          <w:szCs w:val="22"/>
          <w:lang w:val="en-GB"/>
        </w:rPr>
        <w:t>August,</w:t>
      </w:r>
      <w:proofErr w:type="gramEnd"/>
      <w:r w:rsidRPr="009F3D3F">
        <w:rPr>
          <w:rFonts w:ascii="Calibri" w:hAnsi="Calibri" w:cs="Calibri"/>
          <w:sz w:val="22"/>
          <w:szCs w:val="22"/>
          <w:lang w:val="en-GB"/>
        </w:rPr>
        <w:t xml:space="preserve"> 2023)</w:t>
      </w:r>
    </w:p>
    <w:p w14:paraId="16DF0626" w14:textId="77777777" w:rsidR="009F3D3F" w:rsidRPr="009F3D3F" w:rsidRDefault="009F3D3F" w:rsidP="009F3D3F">
      <w:pPr>
        <w:pStyle w:val="TableText"/>
        <w:ind w:left="720"/>
        <w:rPr>
          <w:rFonts w:ascii="Calibri" w:hAnsi="Calibri" w:cs="Calibri"/>
          <w:sz w:val="22"/>
          <w:szCs w:val="22"/>
          <w:lang w:val="en-GB"/>
        </w:rPr>
      </w:pPr>
      <w:r w:rsidRPr="009F3D3F">
        <w:rPr>
          <w:rFonts w:ascii="Calibri" w:hAnsi="Calibri" w:cs="Calibri"/>
          <w:sz w:val="22"/>
          <w:szCs w:val="22"/>
          <w:lang w:val="en-GB"/>
        </w:rPr>
        <w:t>Impact of digitalisation on digital trade: Evidence from APEC economies Infographic (</w:t>
      </w:r>
      <w:proofErr w:type="gramStart"/>
      <w:r w:rsidRPr="009F3D3F">
        <w:rPr>
          <w:rFonts w:ascii="Calibri" w:hAnsi="Calibri" w:cs="Calibri"/>
          <w:sz w:val="22"/>
          <w:szCs w:val="22"/>
          <w:lang w:val="en-GB"/>
        </w:rPr>
        <w:t>August,</w:t>
      </w:r>
      <w:proofErr w:type="gramEnd"/>
      <w:r w:rsidRPr="009F3D3F">
        <w:rPr>
          <w:rFonts w:ascii="Calibri" w:hAnsi="Calibri" w:cs="Calibri"/>
          <w:sz w:val="22"/>
          <w:szCs w:val="22"/>
          <w:lang w:val="en-GB"/>
        </w:rPr>
        <w:t xml:space="preserve"> 2024)</w:t>
      </w:r>
    </w:p>
    <w:p w14:paraId="04FB8EF0" w14:textId="1AE35C79" w:rsidR="009F3D3F" w:rsidRPr="009F3D3F" w:rsidRDefault="009F3D3F" w:rsidP="009F3D3F">
      <w:pPr>
        <w:pStyle w:val="TableText"/>
        <w:ind w:left="720"/>
        <w:rPr>
          <w:rFonts w:ascii="Calibri" w:hAnsi="Calibri" w:cs="Calibri"/>
          <w:sz w:val="22"/>
          <w:szCs w:val="22"/>
          <w:lang w:val="en-GB"/>
        </w:rPr>
      </w:pPr>
      <w:r w:rsidRPr="009F3D3F">
        <w:rPr>
          <w:rFonts w:ascii="Calibri" w:hAnsi="Calibri" w:cs="Calibri"/>
          <w:sz w:val="22"/>
          <w:szCs w:val="22"/>
          <w:lang w:val="en-GB"/>
        </w:rPr>
        <w:t>PNG Investment Treaty Handbook (</w:t>
      </w:r>
      <w:proofErr w:type="gramStart"/>
      <w:r w:rsidRPr="009F3D3F">
        <w:rPr>
          <w:rFonts w:ascii="Calibri" w:hAnsi="Calibri" w:cs="Calibri"/>
          <w:sz w:val="22"/>
          <w:szCs w:val="22"/>
          <w:lang w:val="en-GB"/>
        </w:rPr>
        <w:t>May,</w:t>
      </w:r>
      <w:proofErr w:type="gramEnd"/>
      <w:r w:rsidRPr="009F3D3F">
        <w:rPr>
          <w:rFonts w:ascii="Calibri" w:hAnsi="Calibri" w:cs="Calibri"/>
          <w:sz w:val="22"/>
          <w:szCs w:val="22"/>
          <w:lang w:val="en-GB"/>
        </w:rPr>
        <w:t xml:space="preserve"> 2024)</w:t>
      </w:r>
    </w:p>
    <w:p w14:paraId="41A74A54" w14:textId="77777777" w:rsidR="009F3D3F" w:rsidRPr="009F3D3F" w:rsidRDefault="009F3D3F" w:rsidP="009F3D3F">
      <w:pPr>
        <w:pStyle w:val="TableText"/>
        <w:ind w:left="720"/>
        <w:rPr>
          <w:rFonts w:ascii="Calibri" w:hAnsi="Calibri" w:cs="Calibri"/>
          <w:sz w:val="22"/>
          <w:szCs w:val="22"/>
          <w:lang w:val="en-GB"/>
        </w:rPr>
      </w:pPr>
      <w:r w:rsidRPr="009F3D3F">
        <w:rPr>
          <w:rFonts w:ascii="Calibri" w:hAnsi="Calibri" w:cs="Calibri"/>
          <w:sz w:val="22"/>
          <w:szCs w:val="22"/>
          <w:lang w:val="en-GB"/>
        </w:rPr>
        <w:lastRenderedPageBreak/>
        <w:t>Report on Care Compact Dialogue Discussions APEC PPWE II Seattle 16 August 2023 (</w:t>
      </w:r>
      <w:proofErr w:type="gramStart"/>
      <w:r w:rsidRPr="009F3D3F">
        <w:rPr>
          <w:rFonts w:ascii="Calibri" w:hAnsi="Calibri" w:cs="Calibri"/>
          <w:sz w:val="22"/>
          <w:szCs w:val="22"/>
          <w:lang w:val="en-GB"/>
        </w:rPr>
        <w:t>November,</w:t>
      </w:r>
      <w:proofErr w:type="gramEnd"/>
      <w:r w:rsidRPr="009F3D3F">
        <w:rPr>
          <w:rFonts w:ascii="Calibri" w:hAnsi="Calibri" w:cs="Calibri"/>
          <w:sz w:val="22"/>
          <w:szCs w:val="22"/>
          <w:lang w:val="en-GB"/>
        </w:rPr>
        <w:t xml:space="preserve"> 2023)</w:t>
      </w:r>
    </w:p>
    <w:p w14:paraId="49DB5ABF" w14:textId="77777777" w:rsidR="009F3D3F" w:rsidRPr="009F3D3F" w:rsidRDefault="009F3D3F" w:rsidP="009F3D3F">
      <w:pPr>
        <w:pStyle w:val="TableText"/>
        <w:ind w:left="720"/>
        <w:rPr>
          <w:rFonts w:ascii="Calibri" w:hAnsi="Calibri" w:cs="Calibri"/>
          <w:sz w:val="22"/>
          <w:szCs w:val="22"/>
          <w:lang w:val="en-GB"/>
        </w:rPr>
      </w:pPr>
      <w:r w:rsidRPr="009F3D3F">
        <w:rPr>
          <w:rFonts w:ascii="Calibri" w:hAnsi="Calibri" w:cs="Calibri"/>
          <w:sz w:val="22"/>
          <w:szCs w:val="22"/>
          <w:lang w:val="en-GB"/>
        </w:rPr>
        <w:t>Understanding the economic impact of digitalisation on digital trade: Evidence from APEC economies (</w:t>
      </w:r>
      <w:proofErr w:type="gramStart"/>
      <w:r w:rsidRPr="009F3D3F">
        <w:rPr>
          <w:rFonts w:ascii="Calibri" w:hAnsi="Calibri" w:cs="Calibri"/>
          <w:sz w:val="22"/>
          <w:szCs w:val="22"/>
          <w:lang w:val="en-GB"/>
        </w:rPr>
        <w:t>September,</w:t>
      </w:r>
      <w:proofErr w:type="gramEnd"/>
      <w:r w:rsidRPr="009F3D3F">
        <w:rPr>
          <w:rFonts w:ascii="Calibri" w:hAnsi="Calibri" w:cs="Calibri"/>
          <w:sz w:val="22"/>
          <w:szCs w:val="22"/>
          <w:lang w:val="en-GB"/>
        </w:rPr>
        <w:t xml:space="preserve"> 2024)</w:t>
      </w:r>
    </w:p>
    <w:p w14:paraId="409BFC60" w14:textId="7F35303E" w:rsidR="009F3D3F" w:rsidRPr="009F3D3F" w:rsidRDefault="009F3D3F" w:rsidP="009F3D3F">
      <w:pPr>
        <w:pStyle w:val="TableText"/>
        <w:ind w:left="720"/>
        <w:rPr>
          <w:rFonts w:ascii="Calibri" w:hAnsi="Calibri" w:cs="Calibri"/>
          <w:sz w:val="22"/>
          <w:szCs w:val="22"/>
          <w:lang w:val="en-GB"/>
        </w:rPr>
      </w:pPr>
      <w:r w:rsidRPr="009F3D3F">
        <w:rPr>
          <w:rFonts w:ascii="Calibri" w:hAnsi="Calibri" w:cs="Calibri"/>
          <w:sz w:val="22"/>
          <w:szCs w:val="22"/>
          <w:lang w:val="en-GB"/>
        </w:rPr>
        <w:t>Workshop Report: Facilitating the Implementation of the APEC Food Safety Risk Communication Framework and its Associated Guidelines (the Framework) by APEC Economies (</w:t>
      </w:r>
      <w:proofErr w:type="gramStart"/>
      <w:r w:rsidRPr="009F3D3F">
        <w:rPr>
          <w:rFonts w:ascii="Calibri" w:hAnsi="Calibri" w:cs="Calibri"/>
          <w:sz w:val="22"/>
          <w:szCs w:val="22"/>
          <w:lang w:val="en-GB"/>
        </w:rPr>
        <w:t>September,</w:t>
      </w:r>
      <w:proofErr w:type="gramEnd"/>
      <w:r w:rsidRPr="009F3D3F">
        <w:rPr>
          <w:rFonts w:ascii="Calibri" w:hAnsi="Calibri" w:cs="Calibri"/>
          <w:sz w:val="22"/>
          <w:szCs w:val="22"/>
          <w:lang w:val="en-GB"/>
        </w:rPr>
        <w:t xml:space="preserve"> 2024)</w:t>
      </w:r>
    </w:p>
    <w:p w14:paraId="7719F8AD" w14:textId="0704048D" w:rsidR="00941D18" w:rsidRPr="0029511A" w:rsidRDefault="00941D18" w:rsidP="00FC2AB8">
      <w:pPr>
        <w:ind w:left="284" w:hanging="284"/>
        <w:rPr>
          <w:rFonts w:ascii="Calibri" w:hAnsi="Calibri" w:cs="Calibri"/>
          <w:lang w:val="en-GB"/>
        </w:rPr>
      </w:pPr>
      <w:r w:rsidRPr="0029511A">
        <w:rPr>
          <w:rFonts w:ascii="Calibri" w:hAnsi="Calibri" w:cs="Calibri"/>
          <w:lang w:val="en-GB"/>
        </w:rPr>
        <w:br w:type="page"/>
      </w:r>
    </w:p>
    <w:p w14:paraId="467A42FA" w14:textId="2CFF2FDD" w:rsidR="003448EB" w:rsidRPr="00E2163D" w:rsidRDefault="003448EB" w:rsidP="001D7D4C">
      <w:pPr>
        <w:pStyle w:val="Heading1"/>
        <w:numPr>
          <w:ilvl w:val="0"/>
          <w:numId w:val="0"/>
        </w:numPr>
        <w:rPr>
          <w:rFonts w:ascii="Calibri" w:hAnsi="Calibri" w:cs="Calibri"/>
          <w:color w:val="auto"/>
          <w:sz w:val="22"/>
          <w:szCs w:val="22"/>
          <w:lang w:val="en-GB"/>
        </w:rPr>
      </w:pPr>
      <w:bookmarkStart w:id="68" w:name="_Toc190934897"/>
      <w:r w:rsidRPr="00E2163D">
        <w:rPr>
          <w:rFonts w:ascii="Calibri" w:hAnsi="Calibri" w:cs="Calibri"/>
          <w:color w:val="auto"/>
          <w:sz w:val="22"/>
          <w:szCs w:val="22"/>
          <w:lang w:val="en-GB"/>
        </w:rPr>
        <w:lastRenderedPageBreak/>
        <w:t xml:space="preserve">Annex 4 – </w:t>
      </w:r>
      <w:r w:rsidR="00CD5E19" w:rsidRPr="00E2163D">
        <w:rPr>
          <w:rFonts w:ascii="Calibri" w:hAnsi="Calibri" w:cs="Calibri"/>
          <w:color w:val="auto"/>
          <w:sz w:val="22"/>
          <w:szCs w:val="22"/>
          <w:lang w:val="en-GB"/>
        </w:rPr>
        <w:t>Case Studies</w:t>
      </w:r>
      <w:bookmarkEnd w:id="68"/>
    </w:p>
    <w:p w14:paraId="14764C69" w14:textId="77777777" w:rsidR="00CD5E19" w:rsidRPr="0029511A" w:rsidRDefault="00CD5E19" w:rsidP="00CD5E19">
      <w:pPr>
        <w:rPr>
          <w:rFonts w:ascii="Calibri" w:hAnsi="Calibri" w:cs="Calibri"/>
          <w:lang w:val="en-GB"/>
        </w:rPr>
      </w:pPr>
    </w:p>
    <w:p w14:paraId="47A5E7CC" w14:textId="115AE250" w:rsidR="00CD5E19" w:rsidRPr="0029511A" w:rsidRDefault="00590A18" w:rsidP="00CD5E19">
      <w:pPr>
        <w:rPr>
          <w:rFonts w:ascii="Calibri" w:hAnsi="Calibri" w:cs="Calibri"/>
          <w:lang w:val="en-GB"/>
        </w:rPr>
      </w:pPr>
      <w:r w:rsidRPr="0029511A">
        <w:rPr>
          <w:rFonts w:ascii="Calibri" w:hAnsi="Calibri" w:cs="Calibri"/>
          <w:lang w:val="en-GB"/>
        </w:rPr>
        <w:t>(under separate cover)</w:t>
      </w:r>
    </w:p>
    <w:p w14:paraId="00648870" w14:textId="2BD2E4EA" w:rsidR="00CD5E19" w:rsidRPr="0029511A" w:rsidRDefault="00CD5E19">
      <w:pPr>
        <w:spacing w:after="0"/>
        <w:rPr>
          <w:rFonts w:ascii="Calibri" w:hAnsi="Calibri" w:cs="Calibri"/>
          <w:lang w:val="en-GB"/>
        </w:rPr>
      </w:pPr>
      <w:r w:rsidRPr="0029511A">
        <w:rPr>
          <w:rFonts w:ascii="Calibri" w:hAnsi="Calibri" w:cs="Calibri"/>
          <w:lang w:val="en-GB"/>
        </w:rPr>
        <w:br w:type="page"/>
      </w:r>
    </w:p>
    <w:p w14:paraId="1D4D899F" w14:textId="1C24479B" w:rsidR="00CD5E19" w:rsidRPr="00E2163D" w:rsidRDefault="00CD5E19" w:rsidP="00CD5E19">
      <w:pPr>
        <w:pStyle w:val="Heading1"/>
        <w:numPr>
          <w:ilvl w:val="0"/>
          <w:numId w:val="0"/>
        </w:numPr>
        <w:rPr>
          <w:rFonts w:ascii="Calibri" w:hAnsi="Calibri" w:cs="Calibri"/>
          <w:color w:val="auto"/>
          <w:sz w:val="22"/>
          <w:szCs w:val="22"/>
          <w:lang w:val="en-GB"/>
        </w:rPr>
      </w:pPr>
      <w:bookmarkStart w:id="69" w:name="_Toc190934898"/>
      <w:r w:rsidRPr="00E2163D">
        <w:rPr>
          <w:rFonts w:ascii="Calibri" w:hAnsi="Calibri" w:cs="Calibri"/>
          <w:color w:val="auto"/>
          <w:sz w:val="22"/>
          <w:szCs w:val="22"/>
          <w:lang w:val="en-GB"/>
        </w:rPr>
        <w:lastRenderedPageBreak/>
        <w:t>Annex 5 – MTR Scope of Work</w:t>
      </w:r>
      <w:bookmarkEnd w:id="69"/>
    </w:p>
    <w:p w14:paraId="3878F30B" w14:textId="77777777" w:rsidR="0091229C" w:rsidRPr="00DD610D" w:rsidRDefault="0091229C" w:rsidP="0091229C">
      <w:pPr>
        <w:spacing w:before="120"/>
        <w:jc w:val="center"/>
        <w:rPr>
          <w:rFonts w:ascii="Calibri" w:hAnsi="Calibri" w:cs="Calibri"/>
          <w:b/>
          <w:bCs/>
          <w:color w:val="002060"/>
        </w:rPr>
      </w:pPr>
      <w:r w:rsidRPr="00DD610D">
        <w:rPr>
          <w:rFonts w:ascii="Calibri" w:hAnsi="Calibri" w:cs="Calibri"/>
          <w:b/>
          <w:bCs/>
          <w:color w:val="002060"/>
        </w:rPr>
        <w:t>MID-TERM REVIEW OF</w:t>
      </w:r>
    </w:p>
    <w:p w14:paraId="1310B72E" w14:textId="77777777" w:rsidR="0091229C" w:rsidRPr="00DD610D" w:rsidRDefault="0091229C" w:rsidP="0091229C">
      <w:pPr>
        <w:spacing w:before="120"/>
        <w:jc w:val="center"/>
        <w:rPr>
          <w:rFonts w:ascii="Calibri" w:hAnsi="Calibri" w:cs="Calibri"/>
          <w:b/>
          <w:bCs/>
          <w:color w:val="002060"/>
        </w:rPr>
      </w:pPr>
      <w:r w:rsidRPr="00DD610D">
        <w:rPr>
          <w:rFonts w:ascii="Calibri" w:hAnsi="Calibri" w:cs="Calibri"/>
          <w:b/>
          <w:bCs/>
          <w:color w:val="002060"/>
        </w:rPr>
        <w:t xml:space="preserve"> AUSTRALIA’S APEC SUPPORT PROGRAM (AASP)</w:t>
      </w:r>
    </w:p>
    <w:p w14:paraId="03500C72" w14:textId="77777777" w:rsidR="0091229C" w:rsidRPr="0029511A" w:rsidRDefault="0091229C" w:rsidP="0091229C">
      <w:pPr>
        <w:spacing w:before="120"/>
        <w:rPr>
          <w:rFonts w:ascii="Calibri" w:hAnsi="Calibri" w:cs="Calibri"/>
          <w:b/>
          <w:bCs/>
        </w:rPr>
      </w:pPr>
      <w:r w:rsidRPr="0029511A">
        <w:rPr>
          <w:rFonts w:ascii="Calibri" w:hAnsi="Calibri" w:cs="Calibri"/>
          <w:b/>
          <w:bCs/>
        </w:rPr>
        <w:t xml:space="preserve">Purpose </w:t>
      </w:r>
    </w:p>
    <w:p w14:paraId="30FA35C0" w14:textId="070AF389" w:rsidR="0091229C" w:rsidRPr="0029511A" w:rsidRDefault="0091229C" w:rsidP="0091229C">
      <w:pPr>
        <w:spacing w:before="120"/>
        <w:rPr>
          <w:rFonts w:ascii="Calibri" w:hAnsi="Calibri" w:cs="Calibri"/>
        </w:rPr>
      </w:pPr>
      <w:r w:rsidRPr="0029511A">
        <w:rPr>
          <w:rFonts w:ascii="Calibri" w:hAnsi="Calibri" w:cs="Calibri"/>
        </w:rPr>
        <w:t>The Strategic Design Framework for Australia’s APEC Support Program (AASP) requires a Mid-Term Review (MTR) to be conducted in the program’s third year</w:t>
      </w:r>
      <w:r w:rsidR="002D15CE" w:rsidRPr="0029511A">
        <w:rPr>
          <w:rFonts w:ascii="Calibri" w:hAnsi="Calibri" w:cs="Calibri"/>
        </w:rPr>
        <w:t>,</w:t>
      </w:r>
      <w:r w:rsidRPr="0029511A">
        <w:rPr>
          <w:rFonts w:ascii="Calibri" w:hAnsi="Calibri" w:cs="Calibri"/>
        </w:rPr>
        <w:t xml:space="preserve"> i.e., in Financial Year 2024-2025. The Design Framework and DFAT’s </w:t>
      </w:r>
      <w:hyperlink r:id="rId34" w:history="1">
        <w:r w:rsidRPr="0029511A">
          <w:rPr>
            <w:rStyle w:val="Hyperlink"/>
            <w:rFonts w:ascii="Calibri" w:hAnsi="Calibri" w:cs="Calibri"/>
          </w:rPr>
          <w:t>Development evaluation policy</w:t>
        </w:r>
      </w:hyperlink>
      <w:r w:rsidRPr="0029511A">
        <w:rPr>
          <w:rFonts w:ascii="Calibri" w:hAnsi="Calibri" w:cs="Calibri"/>
        </w:rPr>
        <w:t xml:space="preserve"> requires that DFAT must undertake robust monitoring and evaluation at the investment level in order to articulate a credible narrative of what is being achieved through Australia’s support to APEC through the AASP. </w:t>
      </w:r>
    </w:p>
    <w:p w14:paraId="09ECD368" w14:textId="36C676F4" w:rsidR="0091229C" w:rsidRPr="0029511A" w:rsidRDefault="0091229C" w:rsidP="0091229C">
      <w:pPr>
        <w:rPr>
          <w:rFonts w:ascii="Calibri" w:hAnsi="Calibri" w:cs="Calibri"/>
        </w:rPr>
      </w:pPr>
      <w:r w:rsidRPr="0029511A">
        <w:rPr>
          <w:rFonts w:ascii="Calibri" w:hAnsi="Calibri" w:cs="Calibri"/>
        </w:rPr>
        <w:t xml:space="preserve">The purpose of the MTR is to assess the program’s progress towards the </w:t>
      </w:r>
      <w:r w:rsidR="001905DF" w:rsidRPr="0029511A">
        <w:rPr>
          <w:rFonts w:ascii="Calibri" w:hAnsi="Calibri" w:cs="Calibri"/>
        </w:rPr>
        <w:t>I</w:t>
      </w:r>
      <w:r w:rsidRPr="0029511A">
        <w:rPr>
          <w:rFonts w:ascii="Calibri" w:hAnsi="Calibri" w:cs="Calibri"/>
        </w:rPr>
        <w:t xml:space="preserve">ntermediate and </w:t>
      </w:r>
      <w:r w:rsidR="001905DF" w:rsidRPr="0029511A">
        <w:rPr>
          <w:rFonts w:ascii="Calibri" w:hAnsi="Calibri" w:cs="Calibri"/>
        </w:rPr>
        <w:t>E</w:t>
      </w:r>
      <w:r w:rsidRPr="0029511A">
        <w:rPr>
          <w:rFonts w:ascii="Calibri" w:hAnsi="Calibri" w:cs="Calibri"/>
        </w:rPr>
        <w:t>nd</w:t>
      </w:r>
      <w:r w:rsidR="001905DF" w:rsidRPr="0029511A">
        <w:rPr>
          <w:rFonts w:ascii="Calibri" w:hAnsi="Calibri" w:cs="Calibri"/>
        </w:rPr>
        <w:t xml:space="preserve"> </w:t>
      </w:r>
      <w:r w:rsidRPr="0029511A">
        <w:rPr>
          <w:rFonts w:ascii="Calibri" w:hAnsi="Calibri" w:cs="Calibri"/>
        </w:rPr>
        <w:t>of</w:t>
      </w:r>
      <w:r w:rsidR="001905DF" w:rsidRPr="0029511A">
        <w:rPr>
          <w:rFonts w:ascii="Calibri" w:hAnsi="Calibri" w:cs="Calibri"/>
        </w:rPr>
        <w:t xml:space="preserve"> P</w:t>
      </w:r>
      <w:r w:rsidRPr="0029511A">
        <w:rPr>
          <w:rFonts w:ascii="Calibri" w:hAnsi="Calibri" w:cs="Calibri"/>
        </w:rPr>
        <w:t xml:space="preserve">rogram </w:t>
      </w:r>
      <w:r w:rsidR="001905DF" w:rsidRPr="0029511A">
        <w:rPr>
          <w:rFonts w:ascii="Calibri" w:hAnsi="Calibri" w:cs="Calibri"/>
        </w:rPr>
        <w:t>O</w:t>
      </w:r>
      <w:r w:rsidRPr="0029511A">
        <w:rPr>
          <w:rFonts w:ascii="Calibri" w:hAnsi="Calibri" w:cs="Calibri"/>
        </w:rPr>
        <w:t xml:space="preserve">utcomes. The review will also assess performance, inform learning, </w:t>
      </w:r>
      <w:r w:rsidR="002D15CE" w:rsidRPr="0029511A">
        <w:rPr>
          <w:rFonts w:ascii="Calibri" w:hAnsi="Calibri" w:cs="Calibri"/>
        </w:rPr>
        <w:t xml:space="preserve">and </w:t>
      </w:r>
      <w:r w:rsidRPr="0029511A">
        <w:rPr>
          <w:rFonts w:ascii="Calibri" w:hAnsi="Calibri" w:cs="Calibri"/>
        </w:rPr>
        <w:t>identify operational and thematic areas for further consideration and/or adaptation of the existing program. Importantly, the findings from the MTR would provide input to the 2025</w:t>
      </w:r>
      <w:r w:rsidRPr="0029511A">
        <w:rPr>
          <w:rFonts w:ascii="Calibri" w:eastAsia="Calibri Light" w:hAnsi="Calibri" w:cs="Calibri"/>
          <w:color w:val="000000"/>
          <w:kern w:val="2"/>
          <w14:ligatures w14:val="standardContextual"/>
        </w:rPr>
        <w:t xml:space="preserve"> Investment Monitoring Report process (IMR) and the Tier 2 reporting process.</w:t>
      </w:r>
    </w:p>
    <w:p w14:paraId="5D77004A" w14:textId="77777777" w:rsidR="0091229C" w:rsidRPr="0029511A" w:rsidRDefault="0091229C" w:rsidP="0091229C">
      <w:pPr>
        <w:spacing w:before="120"/>
        <w:rPr>
          <w:rFonts w:ascii="Calibri" w:hAnsi="Calibri" w:cs="Calibri"/>
          <w:b/>
          <w:bCs/>
        </w:rPr>
      </w:pPr>
      <w:r w:rsidRPr="0029511A">
        <w:rPr>
          <w:rFonts w:ascii="Calibri" w:hAnsi="Calibri" w:cs="Calibri"/>
          <w:b/>
          <w:bCs/>
        </w:rPr>
        <w:t>Background</w:t>
      </w:r>
    </w:p>
    <w:p w14:paraId="395309F9" w14:textId="6177B719" w:rsidR="0091229C" w:rsidRPr="0029511A" w:rsidRDefault="0091229C" w:rsidP="0091229C">
      <w:pPr>
        <w:rPr>
          <w:rFonts w:ascii="Calibri" w:eastAsia="Calibri Light" w:hAnsi="Calibri" w:cs="Calibri"/>
          <w:color w:val="000000"/>
          <w:kern w:val="2"/>
          <w14:ligatures w14:val="standardContextual"/>
        </w:rPr>
      </w:pPr>
      <w:r w:rsidRPr="0029511A">
        <w:rPr>
          <w:rFonts w:ascii="Calibri" w:eastAsia="Calibri Light" w:hAnsi="Calibri" w:cs="Calibri"/>
          <w:color w:val="000000"/>
          <w:kern w:val="2"/>
          <w14:ligatures w14:val="standardContextual"/>
        </w:rPr>
        <w:t xml:space="preserve">DFAT’s </w:t>
      </w:r>
      <w:hyperlink r:id="rId35" w:history="1">
        <w:r w:rsidRPr="0029511A">
          <w:rPr>
            <w:rFonts w:ascii="Calibri" w:eastAsia="Calibri Light" w:hAnsi="Calibri" w:cs="Calibri"/>
            <w:color w:val="0563C1"/>
            <w:kern w:val="2"/>
            <w:u w:val="single"/>
            <w14:ligatures w14:val="standardContextual"/>
          </w:rPr>
          <w:t>International Development Programming Guide’s Chapter 6</w:t>
        </w:r>
      </w:hyperlink>
      <w:r w:rsidRPr="0029511A">
        <w:rPr>
          <w:rFonts w:ascii="Calibri" w:eastAsia="Calibri Light" w:hAnsi="Calibri" w:cs="Calibri"/>
          <w:color w:val="000000"/>
          <w:kern w:val="2"/>
          <w14:ligatures w14:val="standardContextual"/>
        </w:rPr>
        <w:t xml:space="preserve"> – ‘Implementation: investment management, evaluation, and quality and results reporting’ notes that for DFAT-led investments, within 12 months of mobilisation</w:t>
      </w:r>
      <w:r w:rsidR="002D15CE" w:rsidRPr="0029511A">
        <w:rPr>
          <w:rFonts w:ascii="Calibri" w:eastAsia="Calibri Light" w:hAnsi="Calibri" w:cs="Calibri"/>
          <w:color w:val="000000"/>
          <w:kern w:val="2"/>
          <w14:ligatures w14:val="standardContextual"/>
        </w:rPr>
        <w:t>,</w:t>
      </w:r>
      <w:r w:rsidRPr="0029511A">
        <w:rPr>
          <w:rFonts w:ascii="Calibri" w:eastAsia="Calibri Light" w:hAnsi="Calibri" w:cs="Calibri"/>
          <w:color w:val="000000"/>
          <w:kern w:val="2"/>
          <w14:ligatures w14:val="standardContextual"/>
        </w:rPr>
        <w:t xml:space="preserve"> there must be a credible baseline and the Monitoring, Evaluation and Learning (MEL) system must be operational. AASP already has such </w:t>
      </w:r>
      <w:r w:rsidR="002D15CE" w:rsidRPr="0029511A">
        <w:rPr>
          <w:rFonts w:ascii="Calibri" w:eastAsia="Calibri Light" w:hAnsi="Calibri" w:cs="Calibri"/>
          <w:color w:val="000000"/>
          <w:kern w:val="2"/>
          <w14:ligatures w14:val="standardContextual"/>
        </w:rPr>
        <w:t xml:space="preserve">a </w:t>
      </w:r>
      <w:r w:rsidRPr="0029511A">
        <w:rPr>
          <w:rFonts w:ascii="Calibri" w:eastAsia="Calibri Light" w:hAnsi="Calibri" w:cs="Calibri"/>
          <w:color w:val="000000"/>
          <w:kern w:val="2"/>
          <w14:ligatures w14:val="standardContextual"/>
        </w:rPr>
        <w:t xml:space="preserve">MEL system in place. It mentions that </w:t>
      </w:r>
      <w:r w:rsidR="002D15CE" w:rsidRPr="0029511A">
        <w:rPr>
          <w:rFonts w:ascii="Calibri" w:eastAsia="Calibri Light" w:hAnsi="Calibri" w:cs="Calibri"/>
          <w:color w:val="000000"/>
          <w:kern w:val="2"/>
          <w14:ligatures w14:val="standardContextual"/>
        </w:rPr>
        <w:t>m</w:t>
      </w:r>
      <w:r w:rsidRPr="0029511A">
        <w:rPr>
          <w:rFonts w:ascii="Calibri" w:eastAsia="Calibri Light" w:hAnsi="Calibri" w:cs="Calibri"/>
          <w:color w:val="000000"/>
          <w:kern w:val="2"/>
          <w14:ligatures w14:val="standardContextual"/>
        </w:rPr>
        <w:t>onitoring arrangements must be planned, continuous</w:t>
      </w:r>
      <w:r w:rsidR="002D15CE" w:rsidRPr="0029511A">
        <w:rPr>
          <w:rFonts w:ascii="Calibri" w:eastAsia="Calibri Light" w:hAnsi="Calibri" w:cs="Calibri"/>
          <w:color w:val="000000"/>
          <w:kern w:val="2"/>
          <w14:ligatures w14:val="standardContextual"/>
        </w:rPr>
        <w:t>,</w:t>
      </w:r>
      <w:r w:rsidRPr="0029511A">
        <w:rPr>
          <w:rFonts w:ascii="Calibri" w:eastAsia="Calibri Light" w:hAnsi="Calibri" w:cs="Calibri"/>
          <w:color w:val="000000"/>
          <w:kern w:val="2"/>
          <w14:ligatures w14:val="standardContextual"/>
        </w:rPr>
        <w:t xml:space="preserve"> systematic, and documented in a monitoring and evaluation framework (MELF).</w:t>
      </w:r>
    </w:p>
    <w:p w14:paraId="41B26F4C" w14:textId="14A67A91" w:rsidR="0091229C" w:rsidRPr="0029511A" w:rsidRDefault="0091229C" w:rsidP="0091229C">
      <w:pPr>
        <w:rPr>
          <w:rFonts w:ascii="Calibri" w:eastAsia="Calibri Light" w:hAnsi="Calibri" w:cs="Calibri"/>
          <w:color w:val="000000"/>
          <w:kern w:val="2"/>
          <w14:ligatures w14:val="standardContextual"/>
        </w:rPr>
      </w:pPr>
      <w:r w:rsidRPr="0029511A">
        <w:rPr>
          <w:rFonts w:ascii="Calibri" w:eastAsia="Calibri Light" w:hAnsi="Calibri" w:cs="Calibri"/>
          <w:color w:val="000000"/>
          <w:kern w:val="2"/>
          <w14:ligatures w14:val="standardContextual"/>
        </w:rPr>
        <w:t xml:space="preserve">DFAT has </w:t>
      </w:r>
      <w:hyperlink r:id="rId36" w:history="1">
        <w:r w:rsidRPr="0029511A">
          <w:rPr>
            <w:rFonts w:ascii="Calibri" w:eastAsia="Calibri Light" w:hAnsi="Calibri" w:cs="Calibri"/>
            <w:color w:val="0563C1"/>
            <w:kern w:val="2"/>
            <w:u w:val="single"/>
            <w14:ligatures w14:val="standardContextual"/>
          </w:rPr>
          <w:t>Design and Monitoring, Evaluation and Learning Standards</w:t>
        </w:r>
      </w:hyperlink>
      <w:r w:rsidRPr="0029511A">
        <w:rPr>
          <w:rFonts w:ascii="Calibri" w:eastAsia="Calibri Light" w:hAnsi="Calibri" w:cs="Calibri"/>
          <w:color w:val="000000"/>
          <w:kern w:val="2"/>
          <w14:ligatures w14:val="standardContextual"/>
        </w:rPr>
        <w:t xml:space="preserve"> that apply across all stages of the ODA program cycle (planning, design, implementation and review/evaluation).</w:t>
      </w:r>
      <w:r w:rsidRPr="0029511A">
        <w:rPr>
          <w:rFonts w:ascii="Calibri" w:eastAsia="Calibri" w:hAnsi="Calibri" w:cs="Calibri"/>
          <w:kern w:val="2"/>
          <w14:ligatures w14:val="standardContextual"/>
        </w:rPr>
        <w:t xml:space="preserve"> </w:t>
      </w:r>
      <w:r w:rsidRPr="0029511A">
        <w:rPr>
          <w:rFonts w:ascii="Calibri" w:eastAsia="Calibri Light" w:hAnsi="Calibri" w:cs="Calibri"/>
          <w:color w:val="000000"/>
          <w:kern w:val="2"/>
          <w14:ligatures w14:val="standardContextual"/>
        </w:rPr>
        <w:t>The standards have a specific section on ‘planning for monitoring’</w:t>
      </w:r>
      <w:r w:rsidR="002D15CE" w:rsidRPr="0029511A">
        <w:rPr>
          <w:rFonts w:ascii="Calibri" w:eastAsia="Calibri Light" w:hAnsi="Calibri" w:cs="Calibri"/>
          <w:color w:val="000000"/>
          <w:kern w:val="2"/>
          <w14:ligatures w14:val="standardContextual"/>
        </w:rPr>
        <w:t>,</w:t>
      </w:r>
      <w:r w:rsidRPr="0029511A">
        <w:rPr>
          <w:rFonts w:ascii="Calibri" w:eastAsia="Calibri Light" w:hAnsi="Calibri" w:cs="Calibri"/>
          <w:color w:val="000000"/>
          <w:kern w:val="2"/>
          <w14:ligatures w14:val="standardContextual"/>
        </w:rPr>
        <w:t xml:space="preserve"> which provides guidance and tools on how to develop and conduct a monitoring visit/program. The proposed Mid Term Review (MTR) </w:t>
      </w:r>
      <w:proofErr w:type="gramStart"/>
      <w:r w:rsidRPr="0029511A">
        <w:rPr>
          <w:rFonts w:ascii="Calibri" w:eastAsia="Calibri Light" w:hAnsi="Calibri" w:cs="Calibri"/>
          <w:color w:val="000000"/>
          <w:kern w:val="2"/>
          <w14:ligatures w14:val="standardContextual"/>
        </w:rPr>
        <w:t>takes into account</w:t>
      </w:r>
      <w:proofErr w:type="gramEnd"/>
      <w:r w:rsidRPr="0029511A">
        <w:rPr>
          <w:rFonts w:ascii="Calibri" w:eastAsia="Calibri Light" w:hAnsi="Calibri" w:cs="Calibri"/>
          <w:color w:val="000000"/>
          <w:kern w:val="2"/>
          <w14:ligatures w14:val="standardContextual"/>
        </w:rPr>
        <w:t xml:space="preserve"> such guidance. </w:t>
      </w:r>
    </w:p>
    <w:p w14:paraId="75648847" w14:textId="7AC8CA3A" w:rsidR="0091229C" w:rsidRPr="0029511A" w:rsidRDefault="0091229C" w:rsidP="0091229C">
      <w:pPr>
        <w:rPr>
          <w:rFonts w:ascii="Calibri" w:eastAsia="Calibri Light" w:hAnsi="Calibri" w:cs="Calibri"/>
          <w:color w:val="000000"/>
          <w:kern w:val="2"/>
          <w14:ligatures w14:val="standardContextual"/>
        </w:rPr>
      </w:pPr>
      <w:r w:rsidRPr="0029511A">
        <w:rPr>
          <w:rFonts w:ascii="Calibri" w:eastAsia="Calibri Light" w:hAnsi="Calibri" w:cs="Calibri"/>
          <w:color w:val="000000"/>
          <w:kern w:val="2"/>
          <w14:ligatures w14:val="standardContextual"/>
        </w:rPr>
        <w:t xml:space="preserve">DFAT’s </w:t>
      </w:r>
      <w:hyperlink r:id="rId37" w:history="1">
        <w:r w:rsidRPr="0029511A">
          <w:rPr>
            <w:rFonts w:ascii="Calibri" w:eastAsia="Calibri Light" w:hAnsi="Calibri" w:cs="Calibri"/>
            <w:color w:val="0563C1"/>
            <w:kern w:val="2"/>
            <w:u w:val="single"/>
            <w14:ligatures w14:val="standardContextual"/>
          </w:rPr>
          <w:t>Performance Delivery Framework</w:t>
        </w:r>
      </w:hyperlink>
      <w:r w:rsidRPr="0029511A">
        <w:rPr>
          <w:rFonts w:ascii="Calibri" w:eastAsia="Calibri Light" w:hAnsi="Calibri" w:cs="Calibri"/>
          <w:color w:val="000000"/>
          <w:kern w:val="2"/>
          <w14:ligatures w14:val="standardContextual"/>
        </w:rPr>
        <w:t xml:space="preserve"> specifies that Program areas are required to identify, prioritise and complete a minimum number of evaluations each year based on program size. The AASP Design document clearly notes that the contributions to the two </w:t>
      </w:r>
      <w:r w:rsidR="001905DF" w:rsidRPr="0029511A">
        <w:rPr>
          <w:rFonts w:ascii="Calibri" w:eastAsia="Calibri Light" w:hAnsi="Calibri" w:cs="Calibri"/>
          <w:color w:val="000000"/>
          <w:kern w:val="2"/>
          <w14:ligatures w14:val="standardContextual"/>
        </w:rPr>
        <w:t>E</w:t>
      </w:r>
      <w:r w:rsidRPr="0029511A">
        <w:rPr>
          <w:rFonts w:ascii="Calibri" w:eastAsia="Calibri Light" w:hAnsi="Calibri" w:cs="Calibri"/>
          <w:color w:val="000000"/>
          <w:kern w:val="2"/>
          <w14:ligatures w14:val="standardContextual"/>
        </w:rPr>
        <w:t xml:space="preserve">nd of </w:t>
      </w:r>
      <w:r w:rsidR="001905DF" w:rsidRPr="0029511A">
        <w:rPr>
          <w:rFonts w:ascii="Calibri" w:eastAsia="Calibri Light" w:hAnsi="Calibri" w:cs="Calibri"/>
          <w:color w:val="000000"/>
          <w:kern w:val="2"/>
          <w14:ligatures w14:val="standardContextual"/>
        </w:rPr>
        <w:t>P</w:t>
      </w:r>
      <w:r w:rsidRPr="0029511A">
        <w:rPr>
          <w:rFonts w:ascii="Calibri" w:eastAsia="Calibri Light" w:hAnsi="Calibri" w:cs="Calibri"/>
          <w:color w:val="000000"/>
          <w:kern w:val="2"/>
          <w14:ligatures w14:val="standardContextual"/>
        </w:rPr>
        <w:t xml:space="preserve">rogram </w:t>
      </w:r>
      <w:r w:rsidR="001905DF" w:rsidRPr="0029511A">
        <w:rPr>
          <w:rFonts w:ascii="Calibri" w:eastAsia="Calibri Light" w:hAnsi="Calibri" w:cs="Calibri"/>
          <w:color w:val="000000"/>
          <w:kern w:val="2"/>
          <w14:ligatures w14:val="standardContextual"/>
        </w:rPr>
        <w:t>O</w:t>
      </w:r>
      <w:r w:rsidRPr="0029511A">
        <w:rPr>
          <w:rFonts w:ascii="Calibri" w:eastAsia="Calibri Light" w:hAnsi="Calibri" w:cs="Calibri"/>
          <w:color w:val="000000"/>
          <w:kern w:val="2"/>
          <w14:ligatures w14:val="standardContextual"/>
        </w:rPr>
        <w:t xml:space="preserve">utcomes will be assessed during a </w:t>
      </w:r>
      <w:r w:rsidR="0090555F" w:rsidRPr="0029511A">
        <w:rPr>
          <w:rFonts w:ascii="Calibri" w:eastAsia="Calibri Light" w:hAnsi="Calibri" w:cs="Calibri"/>
          <w:color w:val="000000"/>
          <w:kern w:val="2"/>
          <w14:ligatures w14:val="standardContextual"/>
        </w:rPr>
        <w:t>L</w:t>
      </w:r>
      <w:r w:rsidRPr="0029511A">
        <w:rPr>
          <w:rFonts w:ascii="Calibri" w:eastAsia="Calibri Light" w:hAnsi="Calibri" w:cs="Calibri"/>
          <w:color w:val="000000"/>
          <w:kern w:val="2"/>
          <w14:ligatures w14:val="standardContextual"/>
        </w:rPr>
        <w:t xml:space="preserve">essons </w:t>
      </w:r>
      <w:r w:rsidR="0090555F" w:rsidRPr="0029511A">
        <w:rPr>
          <w:rFonts w:ascii="Calibri" w:eastAsia="Calibri Light" w:hAnsi="Calibri" w:cs="Calibri"/>
          <w:color w:val="000000"/>
          <w:kern w:val="2"/>
          <w14:ligatures w14:val="standardContextual"/>
        </w:rPr>
        <w:t>L</w:t>
      </w:r>
      <w:r w:rsidRPr="0029511A">
        <w:rPr>
          <w:rFonts w:ascii="Calibri" w:eastAsia="Calibri Light" w:hAnsi="Calibri" w:cs="Calibri"/>
          <w:color w:val="000000"/>
          <w:kern w:val="2"/>
          <w14:ligatures w14:val="standardContextual"/>
        </w:rPr>
        <w:t xml:space="preserve">earned </w:t>
      </w:r>
      <w:r w:rsidR="0090555F" w:rsidRPr="0029511A">
        <w:rPr>
          <w:rFonts w:ascii="Calibri" w:eastAsia="Calibri Light" w:hAnsi="Calibri" w:cs="Calibri"/>
          <w:color w:val="000000"/>
          <w:kern w:val="2"/>
          <w14:ligatures w14:val="standardContextual"/>
        </w:rPr>
        <w:t>R</w:t>
      </w:r>
      <w:r w:rsidRPr="0029511A">
        <w:rPr>
          <w:rFonts w:ascii="Calibri" w:eastAsia="Calibri Light" w:hAnsi="Calibri" w:cs="Calibri"/>
          <w:color w:val="000000"/>
          <w:kern w:val="2"/>
          <w14:ligatures w14:val="standardContextual"/>
        </w:rPr>
        <w:t xml:space="preserve">eview of the program, to be held in the program’s third year (i.e. July 2024 onwards). The MTR will assess progress in achieving outcomes and lessons learned and will help inform decision making regarding future programming for the investment. An </w:t>
      </w:r>
      <w:r w:rsidR="0090555F" w:rsidRPr="0029511A">
        <w:rPr>
          <w:rFonts w:ascii="Calibri" w:eastAsia="Calibri Light" w:hAnsi="Calibri" w:cs="Calibri"/>
          <w:color w:val="000000"/>
          <w:kern w:val="2"/>
          <w14:ligatures w14:val="standardContextual"/>
        </w:rPr>
        <w:t>E</w:t>
      </w:r>
      <w:r w:rsidRPr="0029511A">
        <w:rPr>
          <w:rFonts w:ascii="Calibri" w:eastAsia="Calibri Light" w:hAnsi="Calibri" w:cs="Calibri"/>
          <w:color w:val="000000"/>
          <w:kern w:val="2"/>
          <w14:ligatures w14:val="standardContextual"/>
        </w:rPr>
        <w:t>nd</w:t>
      </w:r>
      <w:r w:rsidR="001905DF" w:rsidRPr="0029511A">
        <w:rPr>
          <w:rFonts w:ascii="Calibri" w:eastAsia="Calibri Light" w:hAnsi="Calibri" w:cs="Calibri"/>
          <w:color w:val="000000"/>
          <w:kern w:val="2"/>
          <w14:ligatures w14:val="standardContextual"/>
        </w:rPr>
        <w:t xml:space="preserve"> </w:t>
      </w:r>
      <w:r w:rsidRPr="0029511A">
        <w:rPr>
          <w:rFonts w:ascii="Calibri" w:eastAsia="Calibri Light" w:hAnsi="Calibri" w:cs="Calibri"/>
          <w:color w:val="000000"/>
          <w:kern w:val="2"/>
          <w14:ligatures w14:val="standardContextual"/>
        </w:rPr>
        <w:t>of</w:t>
      </w:r>
      <w:r w:rsidR="001905DF" w:rsidRPr="0029511A">
        <w:rPr>
          <w:rFonts w:ascii="Calibri" w:eastAsia="Calibri Light" w:hAnsi="Calibri" w:cs="Calibri"/>
          <w:color w:val="000000"/>
          <w:kern w:val="2"/>
          <w14:ligatures w14:val="standardContextual"/>
        </w:rPr>
        <w:t xml:space="preserve"> </w:t>
      </w:r>
      <w:r w:rsidR="0090555F" w:rsidRPr="0029511A">
        <w:rPr>
          <w:rFonts w:ascii="Calibri" w:eastAsia="Calibri Light" w:hAnsi="Calibri" w:cs="Calibri"/>
          <w:color w:val="000000"/>
          <w:kern w:val="2"/>
          <w14:ligatures w14:val="standardContextual"/>
        </w:rPr>
        <w:t>P</w:t>
      </w:r>
      <w:r w:rsidRPr="0029511A">
        <w:rPr>
          <w:rFonts w:ascii="Calibri" w:eastAsia="Calibri Light" w:hAnsi="Calibri" w:cs="Calibri"/>
          <w:color w:val="000000"/>
          <w:kern w:val="2"/>
          <w14:ligatures w14:val="standardContextual"/>
        </w:rPr>
        <w:t xml:space="preserve">rogram </w:t>
      </w:r>
      <w:r w:rsidR="0090555F" w:rsidRPr="0029511A">
        <w:rPr>
          <w:rFonts w:ascii="Calibri" w:eastAsia="Calibri Light" w:hAnsi="Calibri" w:cs="Calibri"/>
          <w:color w:val="000000"/>
          <w:kern w:val="2"/>
          <w14:ligatures w14:val="standardContextual"/>
        </w:rPr>
        <w:t>I</w:t>
      </w:r>
      <w:r w:rsidRPr="0029511A">
        <w:rPr>
          <w:rFonts w:ascii="Calibri" w:eastAsia="Calibri Light" w:hAnsi="Calibri" w:cs="Calibri"/>
          <w:color w:val="000000"/>
          <w:kern w:val="2"/>
          <w14:ligatures w14:val="standardContextual"/>
        </w:rPr>
        <w:t xml:space="preserve">ndependent </w:t>
      </w:r>
      <w:r w:rsidR="0090555F" w:rsidRPr="0029511A">
        <w:rPr>
          <w:rFonts w:ascii="Calibri" w:eastAsia="Calibri Light" w:hAnsi="Calibri" w:cs="Calibri"/>
          <w:color w:val="000000"/>
          <w:kern w:val="2"/>
          <w14:ligatures w14:val="standardContextual"/>
        </w:rPr>
        <w:t>E</w:t>
      </w:r>
      <w:r w:rsidRPr="0029511A">
        <w:rPr>
          <w:rFonts w:ascii="Calibri" w:eastAsia="Calibri Light" w:hAnsi="Calibri" w:cs="Calibri"/>
          <w:color w:val="000000"/>
          <w:kern w:val="2"/>
          <w14:ligatures w14:val="standardContextual"/>
        </w:rPr>
        <w:t xml:space="preserve">valuation will also be conducted to verify outcomes and inform DFAT of potential future directions and learning. The decision on the </w:t>
      </w:r>
      <w:r w:rsidR="0090555F" w:rsidRPr="0029511A">
        <w:rPr>
          <w:rFonts w:ascii="Calibri" w:eastAsia="Calibri Light" w:hAnsi="Calibri" w:cs="Calibri"/>
          <w:color w:val="000000"/>
          <w:kern w:val="2"/>
          <w14:ligatures w14:val="standardContextual"/>
        </w:rPr>
        <w:t>E</w:t>
      </w:r>
      <w:r w:rsidRPr="0029511A">
        <w:rPr>
          <w:rFonts w:ascii="Calibri" w:eastAsia="Calibri Light" w:hAnsi="Calibri" w:cs="Calibri"/>
          <w:color w:val="000000"/>
          <w:kern w:val="2"/>
          <w14:ligatures w14:val="standardContextual"/>
        </w:rPr>
        <w:t>nd</w:t>
      </w:r>
      <w:r w:rsidR="001905DF" w:rsidRPr="0029511A">
        <w:rPr>
          <w:rFonts w:ascii="Calibri" w:eastAsia="Calibri Light" w:hAnsi="Calibri" w:cs="Calibri"/>
          <w:color w:val="000000"/>
          <w:kern w:val="2"/>
          <w14:ligatures w14:val="standardContextual"/>
        </w:rPr>
        <w:t xml:space="preserve"> </w:t>
      </w:r>
      <w:r w:rsidRPr="0029511A">
        <w:rPr>
          <w:rFonts w:ascii="Calibri" w:eastAsia="Calibri Light" w:hAnsi="Calibri" w:cs="Calibri"/>
          <w:color w:val="000000"/>
          <w:kern w:val="2"/>
          <w14:ligatures w14:val="standardContextual"/>
        </w:rPr>
        <w:t>of</w:t>
      </w:r>
      <w:r w:rsidR="001905DF" w:rsidRPr="0029511A">
        <w:rPr>
          <w:rFonts w:ascii="Calibri" w:eastAsia="Calibri Light" w:hAnsi="Calibri" w:cs="Calibri"/>
          <w:color w:val="000000"/>
          <w:kern w:val="2"/>
          <w14:ligatures w14:val="standardContextual"/>
        </w:rPr>
        <w:t xml:space="preserve"> </w:t>
      </w:r>
      <w:r w:rsidR="0090555F" w:rsidRPr="0029511A">
        <w:rPr>
          <w:rFonts w:ascii="Calibri" w:eastAsia="Calibri Light" w:hAnsi="Calibri" w:cs="Calibri"/>
          <w:color w:val="000000"/>
          <w:kern w:val="2"/>
          <w14:ligatures w14:val="standardContextual"/>
        </w:rPr>
        <w:t>P</w:t>
      </w:r>
      <w:r w:rsidRPr="0029511A">
        <w:rPr>
          <w:rFonts w:ascii="Calibri" w:eastAsia="Calibri Light" w:hAnsi="Calibri" w:cs="Calibri"/>
          <w:color w:val="000000"/>
          <w:kern w:val="2"/>
          <w14:ligatures w14:val="standardContextual"/>
        </w:rPr>
        <w:t xml:space="preserve">rogram </w:t>
      </w:r>
      <w:r w:rsidR="0090555F" w:rsidRPr="0029511A">
        <w:rPr>
          <w:rFonts w:ascii="Calibri" w:eastAsia="Calibri Light" w:hAnsi="Calibri" w:cs="Calibri"/>
          <w:color w:val="000000"/>
          <w:kern w:val="2"/>
          <w14:ligatures w14:val="standardContextual"/>
        </w:rPr>
        <w:t>E</w:t>
      </w:r>
      <w:r w:rsidRPr="0029511A">
        <w:rPr>
          <w:rFonts w:ascii="Calibri" w:eastAsia="Calibri Light" w:hAnsi="Calibri" w:cs="Calibri"/>
          <w:color w:val="000000"/>
          <w:kern w:val="2"/>
          <w14:ligatures w14:val="standardContextual"/>
        </w:rPr>
        <w:t>valuation will be subject to further discussions in FY 2025-2026. This MTR proposal focuses on the ‘</w:t>
      </w:r>
      <w:r w:rsidR="0090555F" w:rsidRPr="0029511A">
        <w:rPr>
          <w:rFonts w:ascii="Calibri" w:eastAsia="Calibri Light" w:hAnsi="Calibri" w:cs="Calibri"/>
          <w:color w:val="000000"/>
          <w:kern w:val="2"/>
          <w14:ligatures w14:val="standardContextual"/>
        </w:rPr>
        <w:t>L</w:t>
      </w:r>
      <w:r w:rsidRPr="0029511A">
        <w:rPr>
          <w:rFonts w:ascii="Calibri" w:eastAsia="Calibri Light" w:hAnsi="Calibri" w:cs="Calibri"/>
          <w:color w:val="000000"/>
          <w:kern w:val="2"/>
          <w14:ligatures w14:val="standardContextual"/>
        </w:rPr>
        <w:t xml:space="preserve">essons </w:t>
      </w:r>
      <w:r w:rsidR="0090555F" w:rsidRPr="0029511A">
        <w:rPr>
          <w:rFonts w:ascii="Calibri" w:eastAsia="Calibri Light" w:hAnsi="Calibri" w:cs="Calibri"/>
          <w:color w:val="000000"/>
          <w:kern w:val="2"/>
          <w14:ligatures w14:val="standardContextual"/>
        </w:rPr>
        <w:t>L</w:t>
      </w:r>
      <w:r w:rsidRPr="0029511A">
        <w:rPr>
          <w:rFonts w:ascii="Calibri" w:eastAsia="Calibri Light" w:hAnsi="Calibri" w:cs="Calibri"/>
          <w:color w:val="000000"/>
          <w:kern w:val="2"/>
          <w14:ligatures w14:val="standardContextual"/>
        </w:rPr>
        <w:t xml:space="preserve">earned </w:t>
      </w:r>
      <w:r w:rsidR="0090555F" w:rsidRPr="0029511A">
        <w:rPr>
          <w:rFonts w:ascii="Calibri" w:eastAsia="Calibri Light" w:hAnsi="Calibri" w:cs="Calibri"/>
          <w:color w:val="000000"/>
          <w:kern w:val="2"/>
          <w14:ligatures w14:val="standardContextual"/>
        </w:rPr>
        <w:t>R</w:t>
      </w:r>
      <w:r w:rsidRPr="0029511A">
        <w:rPr>
          <w:rFonts w:ascii="Calibri" w:eastAsia="Calibri Light" w:hAnsi="Calibri" w:cs="Calibri"/>
          <w:color w:val="000000"/>
          <w:kern w:val="2"/>
          <w14:ligatures w14:val="standardContextual"/>
        </w:rPr>
        <w:t>eview’ part</w:t>
      </w:r>
      <w:r w:rsidR="009D5A81" w:rsidRPr="0029511A">
        <w:rPr>
          <w:rFonts w:ascii="Calibri" w:eastAsia="Calibri Light" w:hAnsi="Calibri" w:cs="Calibri"/>
          <w:color w:val="000000"/>
          <w:kern w:val="2"/>
          <w14:ligatures w14:val="standardContextual"/>
        </w:rPr>
        <w:t>,</w:t>
      </w:r>
      <w:r w:rsidRPr="0029511A">
        <w:rPr>
          <w:rFonts w:ascii="Calibri" w:eastAsia="Calibri Light" w:hAnsi="Calibri" w:cs="Calibri"/>
          <w:color w:val="000000"/>
          <w:kern w:val="2"/>
          <w14:ligatures w14:val="standardContextual"/>
        </w:rPr>
        <w:t xml:space="preserve"> which will be in the form of a ‘Mid-Term Review’.</w:t>
      </w:r>
    </w:p>
    <w:p w14:paraId="2CCD0B8C" w14:textId="77777777" w:rsidR="0091229C" w:rsidRPr="0029511A" w:rsidRDefault="0091229C" w:rsidP="0091229C">
      <w:pPr>
        <w:rPr>
          <w:rFonts w:ascii="Calibri" w:eastAsia="Calibri Light" w:hAnsi="Calibri" w:cs="Calibri"/>
          <w:b/>
          <w:bCs/>
          <w:color w:val="000000"/>
          <w:kern w:val="2"/>
          <w14:ligatures w14:val="standardContextual"/>
        </w:rPr>
      </w:pPr>
      <w:r w:rsidRPr="0029511A">
        <w:rPr>
          <w:rFonts w:ascii="Calibri" w:eastAsia="Calibri Light" w:hAnsi="Calibri" w:cs="Calibri"/>
          <w:b/>
          <w:bCs/>
          <w:color w:val="000000"/>
          <w:kern w:val="2"/>
          <w14:ligatures w14:val="standardContextual"/>
        </w:rPr>
        <w:t>Monitoring, Evaluation and Learning Framework (MELF) for AASP</w:t>
      </w:r>
    </w:p>
    <w:p w14:paraId="5140C829" w14:textId="1E500DBA" w:rsidR="0091229C" w:rsidRPr="0029511A" w:rsidRDefault="0091229C" w:rsidP="0091229C">
      <w:pPr>
        <w:rPr>
          <w:rFonts w:ascii="Calibri" w:eastAsia="Calibri Light" w:hAnsi="Calibri" w:cs="Calibri"/>
          <w:color w:val="000000"/>
          <w:kern w:val="2"/>
          <w14:ligatures w14:val="standardContextual"/>
        </w:rPr>
      </w:pPr>
      <w:r w:rsidRPr="0029511A">
        <w:rPr>
          <w:rFonts w:ascii="Calibri" w:eastAsia="Calibri Light" w:hAnsi="Calibri" w:cs="Calibri"/>
          <w:color w:val="000000"/>
          <w:kern w:val="2"/>
          <w14:ligatures w14:val="standardContextual"/>
        </w:rPr>
        <w:t>The MELF for AASP was prepared during the Design stage</w:t>
      </w:r>
      <w:r w:rsidR="009D5A81" w:rsidRPr="0029511A">
        <w:rPr>
          <w:rFonts w:ascii="Calibri" w:eastAsia="Calibri Light" w:hAnsi="Calibri" w:cs="Calibri"/>
          <w:color w:val="000000"/>
          <w:kern w:val="2"/>
          <w14:ligatures w14:val="standardContextual"/>
        </w:rPr>
        <w:t>,</w:t>
      </w:r>
      <w:r w:rsidRPr="0029511A">
        <w:rPr>
          <w:rFonts w:ascii="Calibri" w:eastAsia="Calibri Light" w:hAnsi="Calibri" w:cs="Calibri"/>
          <w:color w:val="000000"/>
          <w:kern w:val="2"/>
          <w14:ligatures w14:val="standardContextual"/>
        </w:rPr>
        <w:t xml:space="preserve"> and it guides the whole-of-program approach to monitoring, evaluation and learning. A key feature of the MELF is the approach that will be taken by the program to collect data, including the different types of tools required to ensure reliable and valid data. The MELF specifies who will assess what and when, to learn from and share information on the program’s direct achievements and contributions to development results. </w:t>
      </w:r>
    </w:p>
    <w:p w14:paraId="3D4B9F9E" w14:textId="04030916" w:rsidR="0091229C" w:rsidRPr="0029511A" w:rsidRDefault="0091229C" w:rsidP="0091229C">
      <w:pPr>
        <w:rPr>
          <w:rFonts w:ascii="Calibri" w:eastAsia="Calibri Light" w:hAnsi="Calibri" w:cs="Calibri"/>
          <w:color w:val="000000"/>
          <w:kern w:val="2"/>
          <w14:ligatures w14:val="standardContextual"/>
        </w:rPr>
      </w:pPr>
      <w:r w:rsidRPr="0029511A">
        <w:rPr>
          <w:rFonts w:ascii="Calibri" w:eastAsia="Calibri Light" w:hAnsi="Calibri" w:cs="Calibri"/>
          <w:color w:val="000000"/>
          <w:kern w:val="2"/>
          <w14:ligatures w14:val="standardContextual"/>
        </w:rPr>
        <w:t>The MELF includes a Performance Assessment Framework (PAF)</w:t>
      </w:r>
      <w:r w:rsidR="009D5A81" w:rsidRPr="0029511A">
        <w:rPr>
          <w:rFonts w:ascii="Calibri" w:eastAsia="Calibri Light" w:hAnsi="Calibri" w:cs="Calibri"/>
          <w:color w:val="000000"/>
          <w:kern w:val="2"/>
          <w14:ligatures w14:val="standardContextual"/>
        </w:rPr>
        <w:t>,</w:t>
      </w:r>
      <w:r w:rsidRPr="0029511A">
        <w:rPr>
          <w:rFonts w:ascii="Calibri" w:eastAsia="Calibri Light" w:hAnsi="Calibri" w:cs="Calibri"/>
          <w:color w:val="000000"/>
          <w:kern w:val="2"/>
          <w14:ligatures w14:val="standardContextual"/>
        </w:rPr>
        <w:t xml:space="preserve"> which sets out the intended performance of AASP and the indicators against which AASP will be measured.</w:t>
      </w:r>
      <w:r w:rsidRPr="0029511A">
        <w:rPr>
          <w:rFonts w:ascii="Calibri" w:eastAsia="Calibri" w:hAnsi="Calibri" w:cs="Calibri"/>
          <w:kern w:val="2"/>
          <w14:ligatures w14:val="standardContextual"/>
        </w:rPr>
        <w:t xml:space="preserve"> </w:t>
      </w:r>
      <w:r w:rsidRPr="0029511A">
        <w:rPr>
          <w:rFonts w:ascii="Calibri" w:eastAsia="Calibri Light" w:hAnsi="Calibri" w:cs="Calibri"/>
          <w:color w:val="000000"/>
          <w:kern w:val="2"/>
          <w14:ligatures w14:val="standardContextual"/>
        </w:rPr>
        <w:t>The MTR would fulfil the PAF requirements (see Annex 1). M&amp;E data and information gathered through this MTR will help inform decision-making about the quality and effectiveness of activities of AASP and</w:t>
      </w:r>
      <w:r w:rsidR="009D5A81" w:rsidRPr="0029511A">
        <w:rPr>
          <w:rFonts w:ascii="Calibri" w:eastAsia="Calibri Light" w:hAnsi="Calibri" w:cs="Calibri"/>
          <w:color w:val="000000"/>
          <w:kern w:val="2"/>
          <w14:ligatures w14:val="standardContextual"/>
        </w:rPr>
        <w:t>,</w:t>
      </w:r>
      <w:r w:rsidRPr="0029511A">
        <w:rPr>
          <w:rFonts w:ascii="Calibri" w:eastAsia="Calibri Light" w:hAnsi="Calibri" w:cs="Calibri"/>
          <w:color w:val="000000"/>
          <w:kern w:val="2"/>
          <w14:ligatures w14:val="standardContextual"/>
        </w:rPr>
        <w:t xml:space="preserve"> most </w:t>
      </w:r>
      <w:r w:rsidRPr="0029511A">
        <w:rPr>
          <w:rFonts w:ascii="Calibri" w:eastAsia="Calibri Light" w:hAnsi="Calibri" w:cs="Calibri"/>
          <w:color w:val="000000"/>
          <w:kern w:val="2"/>
          <w14:ligatures w14:val="standardContextual"/>
        </w:rPr>
        <w:lastRenderedPageBreak/>
        <w:t>importantly, provide input for DFAT’s mandatory internal processes of performance reporting</w:t>
      </w:r>
      <w:r w:rsidR="009D5A81" w:rsidRPr="0029511A">
        <w:rPr>
          <w:rFonts w:ascii="Calibri" w:eastAsia="Calibri Light" w:hAnsi="Calibri" w:cs="Calibri"/>
          <w:color w:val="000000"/>
          <w:kern w:val="2"/>
          <w14:ligatures w14:val="standardContextual"/>
        </w:rPr>
        <w:t>,</w:t>
      </w:r>
      <w:r w:rsidRPr="0029511A">
        <w:rPr>
          <w:rFonts w:ascii="Calibri" w:eastAsia="Calibri Light" w:hAnsi="Calibri" w:cs="Calibri"/>
          <w:color w:val="000000"/>
          <w:kern w:val="2"/>
          <w14:ligatures w14:val="standardContextual"/>
        </w:rPr>
        <w:t xml:space="preserve"> including:</w:t>
      </w:r>
    </w:p>
    <w:p w14:paraId="19373842" w14:textId="038047C5" w:rsidR="0091229C" w:rsidRPr="0029511A" w:rsidRDefault="0091229C" w:rsidP="00D078C9">
      <w:pPr>
        <w:pStyle w:val="ListParagraph"/>
        <w:numPr>
          <w:ilvl w:val="0"/>
          <w:numId w:val="22"/>
        </w:numPr>
        <w:spacing w:before="100" w:beforeAutospacing="1" w:after="100" w:afterAutospacing="1"/>
        <w:contextualSpacing w:val="0"/>
        <w:rPr>
          <w:rFonts w:ascii="Calibri" w:eastAsia="Calibri Light" w:hAnsi="Calibri" w:cs="Calibri"/>
          <w:color w:val="000000"/>
          <w:kern w:val="2"/>
          <w14:ligatures w14:val="standardContextual"/>
        </w:rPr>
      </w:pPr>
      <w:r w:rsidRPr="0029511A">
        <w:rPr>
          <w:rFonts w:ascii="Calibri" w:eastAsia="Calibri Light" w:hAnsi="Calibri" w:cs="Calibri"/>
          <w:color w:val="000000"/>
          <w:kern w:val="2"/>
          <w14:ligatures w14:val="standardContextual"/>
        </w:rPr>
        <w:t xml:space="preserve">the annual </w:t>
      </w:r>
      <w:hyperlink r:id="rId38" w:history="1">
        <w:r w:rsidRPr="0029511A">
          <w:rPr>
            <w:rStyle w:val="Hyperlink"/>
            <w:rFonts w:ascii="Calibri" w:eastAsia="Calibri Light" w:hAnsi="Calibri" w:cs="Calibri"/>
            <w:kern w:val="2"/>
            <w14:ligatures w14:val="standardContextual"/>
          </w:rPr>
          <w:t>Investment Monitoring Report</w:t>
        </w:r>
      </w:hyperlink>
      <w:r w:rsidRPr="0029511A">
        <w:rPr>
          <w:rFonts w:ascii="Calibri" w:eastAsia="Calibri Light" w:hAnsi="Calibri" w:cs="Calibri"/>
          <w:color w:val="000000"/>
          <w:kern w:val="2"/>
          <w14:ligatures w14:val="standardContextual"/>
        </w:rPr>
        <w:t xml:space="preserve"> process (IMR) for 2025</w:t>
      </w:r>
      <w:r w:rsidR="009D5A81" w:rsidRPr="0029511A">
        <w:rPr>
          <w:rFonts w:ascii="Calibri" w:eastAsia="Calibri Light" w:hAnsi="Calibri" w:cs="Calibri"/>
          <w:color w:val="000000"/>
          <w:kern w:val="2"/>
          <w14:ligatures w14:val="standardContextual"/>
        </w:rPr>
        <w:t xml:space="preserve">, </w:t>
      </w:r>
      <w:r w:rsidRPr="0029511A">
        <w:rPr>
          <w:rFonts w:ascii="Calibri" w:eastAsia="Calibri Light" w:hAnsi="Calibri" w:cs="Calibri"/>
          <w:color w:val="000000"/>
          <w:kern w:val="2"/>
          <w14:ligatures w14:val="standardContextual"/>
        </w:rPr>
        <w:t xml:space="preserve">and </w:t>
      </w:r>
    </w:p>
    <w:p w14:paraId="7675F6DE" w14:textId="77777777" w:rsidR="0091229C" w:rsidRPr="0029511A" w:rsidRDefault="00F1599D" w:rsidP="00D078C9">
      <w:pPr>
        <w:pStyle w:val="ListParagraph"/>
        <w:numPr>
          <w:ilvl w:val="0"/>
          <w:numId w:val="22"/>
        </w:numPr>
        <w:spacing w:before="100" w:beforeAutospacing="1" w:after="100" w:afterAutospacing="1"/>
        <w:contextualSpacing w:val="0"/>
        <w:rPr>
          <w:rFonts w:ascii="Calibri" w:eastAsia="Calibri Light" w:hAnsi="Calibri" w:cs="Calibri"/>
          <w:color w:val="000000"/>
          <w:kern w:val="2"/>
          <w14:ligatures w14:val="standardContextual"/>
        </w:rPr>
      </w:pPr>
      <w:hyperlink r:id="rId39" w:history="1">
        <w:r w:rsidR="0091229C" w:rsidRPr="0029511A">
          <w:rPr>
            <w:rStyle w:val="Hyperlink"/>
            <w:rFonts w:ascii="Calibri" w:eastAsia="Calibri Light" w:hAnsi="Calibri" w:cs="Calibri"/>
            <w:kern w:val="2"/>
            <w14:ligatures w14:val="standardContextual"/>
          </w:rPr>
          <w:t>tier 2</w:t>
        </w:r>
      </w:hyperlink>
      <w:r w:rsidR="0091229C" w:rsidRPr="0029511A">
        <w:rPr>
          <w:rFonts w:ascii="Calibri" w:eastAsia="Calibri Light" w:hAnsi="Calibri" w:cs="Calibri"/>
          <w:color w:val="000000"/>
          <w:kern w:val="2"/>
          <w14:ligatures w14:val="standardContextual"/>
        </w:rPr>
        <w:t xml:space="preserve"> reporting for 2025 – that includes results that track Australia’s contribution to development against Australia’s </w:t>
      </w:r>
      <w:hyperlink r:id="rId40" w:history="1">
        <w:r w:rsidR="0091229C" w:rsidRPr="0029511A">
          <w:rPr>
            <w:rStyle w:val="Hyperlink"/>
            <w:rFonts w:ascii="Calibri" w:eastAsia="Calibri Light" w:hAnsi="Calibri" w:cs="Calibri"/>
            <w:kern w:val="2"/>
            <w14:ligatures w14:val="standardContextual"/>
          </w:rPr>
          <w:t>International Development Policy</w:t>
        </w:r>
      </w:hyperlink>
      <w:r w:rsidR="0091229C" w:rsidRPr="0029511A">
        <w:rPr>
          <w:rFonts w:ascii="Calibri" w:eastAsia="Calibri Light" w:hAnsi="Calibri" w:cs="Calibri"/>
          <w:color w:val="000000"/>
          <w:kern w:val="2"/>
          <w14:ligatures w14:val="standardContextual"/>
        </w:rPr>
        <w:t>.</w:t>
      </w:r>
    </w:p>
    <w:p w14:paraId="268C9A03" w14:textId="29B91A49" w:rsidR="0091229C" w:rsidRPr="0029511A" w:rsidRDefault="0091229C" w:rsidP="0091229C">
      <w:pPr>
        <w:spacing w:before="120"/>
        <w:rPr>
          <w:rFonts w:ascii="Calibri" w:hAnsi="Calibri" w:cs="Calibri"/>
        </w:rPr>
      </w:pPr>
      <w:r w:rsidRPr="0029511A">
        <w:rPr>
          <w:rFonts w:ascii="Calibri" w:hAnsi="Calibri" w:cs="Calibri"/>
        </w:rPr>
        <w:t>The proposed MTR will be low-key but ‘fit for purpose’ and ‘proportional’ to our requirements. This is because AASP is not a traditional aid program. APEC is a grouping of countries that engage in dialogue to promote economic growth outcomes in the region, and accordingly</w:t>
      </w:r>
      <w:r w:rsidR="009D5A81" w:rsidRPr="0029511A">
        <w:rPr>
          <w:rFonts w:ascii="Calibri" w:hAnsi="Calibri" w:cs="Calibri"/>
        </w:rPr>
        <w:t>,</w:t>
      </w:r>
      <w:r w:rsidRPr="0029511A">
        <w:rPr>
          <w:rFonts w:ascii="Calibri" w:hAnsi="Calibri" w:cs="Calibri"/>
        </w:rPr>
        <w:t xml:space="preserve"> the focus of this investment is to build capacity of APEC officials and other stakeholders instead of providing direct aid for development projects.</w:t>
      </w:r>
      <w:r w:rsidR="00442269" w:rsidRPr="0029511A">
        <w:rPr>
          <w:rFonts w:ascii="Calibri" w:hAnsi="Calibri" w:cs="Calibri"/>
        </w:rPr>
        <w:t xml:space="preserve"> </w:t>
      </w:r>
    </w:p>
    <w:p w14:paraId="7AFD2633" w14:textId="77777777" w:rsidR="0091229C" w:rsidRPr="0029511A" w:rsidRDefault="0091229C" w:rsidP="0091229C">
      <w:pPr>
        <w:spacing w:before="120"/>
        <w:rPr>
          <w:rFonts w:ascii="Calibri" w:hAnsi="Calibri" w:cs="Calibri"/>
          <w:b/>
          <w:bCs/>
        </w:rPr>
      </w:pPr>
      <w:r w:rsidRPr="0029511A">
        <w:rPr>
          <w:rFonts w:ascii="Calibri" w:hAnsi="Calibri" w:cs="Calibri"/>
          <w:b/>
          <w:bCs/>
        </w:rPr>
        <w:t>Key Review Questions</w:t>
      </w:r>
    </w:p>
    <w:p w14:paraId="5CAF6CCF" w14:textId="464060C6" w:rsidR="0091229C" w:rsidRPr="0029511A" w:rsidRDefault="0091229C" w:rsidP="0091229C">
      <w:pPr>
        <w:spacing w:before="120"/>
        <w:rPr>
          <w:rFonts w:ascii="Calibri" w:eastAsiaTheme="minorEastAsia" w:hAnsi="Calibri" w:cs="Calibri"/>
        </w:rPr>
      </w:pPr>
      <w:r w:rsidRPr="0029511A">
        <w:rPr>
          <w:rFonts w:ascii="Calibri" w:eastAsia="Calibri Light" w:hAnsi="Calibri" w:cs="Calibri"/>
          <w:color w:val="000000" w:themeColor="text1"/>
        </w:rPr>
        <w:t xml:space="preserve">The questions the MTR will address are set out under </w:t>
      </w:r>
      <w:r w:rsidRPr="0029511A">
        <w:rPr>
          <w:rFonts w:ascii="Calibri" w:eastAsia="Calibri Light" w:hAnsi="Calibri" w:cs="Calibri"/>
          <w:b/>
          <w:bCs/>
          <w:color w:val="000000" w:themeColor="text1"/>
        </w:rPr>
        <w:t>Annex 1</w:t>
      </w:r>
      <w:r w:rsidRPr="0029511A">
        <w:rPr>
          <w:rFonts w:ascii="Calibri" w:eastAsia="Calibri Light" w:hAnsi="Calibri" w:cs="Calibri"/>
          <w:color w:val="000000" w:themeColor="text1"/>
        </w:rPr>
        <w:t xml:space="preserve"> of this Report.</w:t>
      </w:r>
      <w:r w:rsidR="00442269" w:rsidRPr="0029511A">
        <w:rPr>
          <w:rFonts w:ascii="Calibri" w:eastAsia="Calibri Light" w:hAnsi="Calibri" w:cs="Calibri"/>
          <w:color w:val="000000" w:themeColor="text1"/>
        </w:rPr>
        <w:t xml:space="preserve"> </w:t>
      </w:r>
    </w:p>
    <w:p w14:paraId="50EE2BD2" w14:textId="18308EF7" w:rsidR="0091229C" w:rsidRPr="0029511A" w:rsidRDefault="0091229C" w:rsidP="0091229C">
      <w:pPr>
        <w:spacing w:before="120"/>
        <w:rPr>
          <w:rFonts w:ascii="Calibri" w:hAnsi="Calibri" w:cs="Calibri"/>
        </w:rPr>
      </w:pPr>
      <w:r w:rsidRPr="0029511A">
        <w:rPr>
          <w:rFonts w:ascii="Calibri" w:hAnsi="Calibri" w:cs="Calibri"/>
        </w:rPr>
        <w:t xml:space="preserve">The detailed questions </w:t>
      </w:r>
      <w:r w:rsidR="003358E0" w:rsidRPr="0029511A">
        <w:rPr>
          <w:rFonts w:ascii="Calibri" w:hAnsi="Calibri" w:cs="Calibri"/>
        </w:rPr>
        <w:t xml:space="preserve">for </w:t>
      </w:r>
      <w:r w:rsidRPr="0029511A">
        <w:rPr>
          <w:rFonts w:ascii="Calibri" w:hAnsi="Calibri" w:cs="Calibri"/>
        </w:rPr>
        <w:t>informants and interviewees would be discussed and finalised during the inception meeting scheduled to take place in June 2024.</w:t>
      </w:r>
    </w:p>
    <w:p w14:paraId="5C140356" w14:textId="77777777" w:rsidR="0091229C" w:rsidRPr="0029511A" w:rsidRDefault="0091229C" w:rsidP="0091229C">
      <w:pPr>
        <w:spacing w:before="120"/>
        <w:rPr>
          <w:rFonts w:ascii="Calibri" w:hAnsi="Calibri" w:cs="Calibri"/>
          <w:b/>
          <w:bCs/>
        </w:rPr>
      </w:pPr>
      <w:r w:rsidRPr="0029511A">
        <w:rPr>
          <w:rFonts w:ascii="Calibri" w:hAnsi="Calibri" w:cs="Calibri"/>
          <w:b/>
          <w:bCs/>
        </w:rPr>
        <w:t>Approach</w:t>
      </w:r>
    </w:p>
    <w:p w14:paraId="06D0D13D" w14:textId="04604141" w:rsidR="0091229C" w:rsidRPr="0029511A" w:rsidRDefault="0091229C" w:rsidP="0091229C">
      <w:pPr>
        <w:spacing w:before="120"/>
        <w:rPr>
          <w:rFonts w:ascii="Calibri" w:hAnsi="Calibri" w:cs="Calibri"/>
          <w:color w:val="000000" w:themeColor="text1"/>
        </w:rPr>
      </w:pPr>
      <w:r w:rsidRPr="0029511A">
        <w:rPr>
          <w:rFonts w:ascii="Calibri" w:hAnsi="Calibri" w:cs="Calibri"/>
          <w:color w:val="000000" w:themeColor="text1"/>
        </w:rPr>
        <w:t>A multi-methods approach will be used to gather evidence, including a short survey sent to a sample of activity participants, and key interviews with select informants. Key informants will include DFAT’s APEC and Latin America Branch</w:t>
      </w:r>
      <w:r w:rsidR="009D5A81" w:rsidRPr="0029511A">
        <w:rPr>
          <w:rFonts w:ascii="Calibri" w:hAnsi="Calibri" w:cs="Calibri"/>
          <w:color w:val="000000" w:themeColor="text1"/>
        </w:rPr>
        <w:t xml:space="preserve">, </w:t>
      </w:r>
      <w:r w:rsidRPr="0029511A">
        <w:rPr>
          <w:rFonts w:ascii="Calibri" w:hAnsi="Calibri" w:cs="Calibri"/>
          <w:color w:val="000000" w:themeColor="text1"/>
        </w:rPr>
        <w:t xml:space="preserve">selected APEC officials familiar with AASP projects, </w:t>
      </w:r>
      <w:r w:rsidR="0090555F" w:rsidRPr="0029511A">
        <w:rPr>
          <w:rFonts w:ascii="Calibri" w:hAnsi="Calibri" w:cs="Calibri"/>
          <w:color w:val="000000" w:themeColor="text1"/>
        </w:rPr>
        <w:t>p</w:t>
      </w:r>
      <w:r w:rsidRPr="0029511A">
        <w:rPr>
          <w:rFonts w:ascii="Calibri" w:hAnsi="Calibri" w:cs="Calibri"/>
          <w:color w:val="000000" w:themeColor="text1"/>
        </w:rPr>
        <w:t xml:space="preserve">roject </w:t>
      </w:r>
      <w:r w:rsidR="0090555F" w:rsidRPr="0029511A">
        <w:rPr>
          <w:rFonts w:ascii="Calibri" w:hAnsi="Calibri" w:cs="Calibri"/>
          <w:color w:val="000000" w:themeColor="text1"/>
        </w:rPr>
        <w:t>o</w:t>
      </w:r>
      <w:r w:rsidRPr="0029511A">
        <w:rPr>
          <w:rFonts w:ascii="Calibri" w:hAnsi="Calibri" w:cs="Calibri"/>
          <w:color w:val="000000" w:themeColor="text1"/>
        </w:rPr>
        <w:t>verseers</w:t>
      </w:r>
      <w:r w:rsidR="009D5A81" w:rsidRPr="0029511A">
        <w:rPr>
          <w:rFonts w:ascii="Calibri" w:hAnsi="Calibri" w:cs="Calibri"/>
          <w:color w:val="000000" w:themeColor="text1"/>
        </w:rPr>
        <w:t xml:space="preserve">, </w:t>
      </w:r>
      <w:r w:rsidRPr="0029511A">
        <w:rPr>
          <w:rFonts w:ascii="Calibri" w:hAnsi="Calibri" w:cs="Calibri"/>
          <w:color w:val="000000" w:themeColor="text1"/>
        </w:rPr>
        <w:t xml:space="preserve">and a small sample of activity participants. </w:t>
      </w:r>
    </w:p>
    <w:p w14:paraId="13F7C038" w14:textId="77777777" w:rsidR="0091229C" w:rsidRPr="0029511A" w:rsidRDefault="0091229C" w:rsidP="0091229C">
      <w:pPr>
        <w:spacing w:before="120"/>
        <w:rPr>
          <w:rFonts w:ascii="Calibri" w:eastAsia="Calibri Light" w:hAnsi="Calibri" w:cs="Calibri"/>
          <w:color w:val="000000" w:themeColor="text1"/>
        </w:rPr>
      </w:pPr>
      <w:r w:rsidRPr="0029511A">
        <w:rPr>
          <w:rFonts w:ascii="Calibri" w:eastAsia="Calibri Light" w:hAnsi="Calibri" w:cs="Calibri"/>
          <w:color w:val="000000" w:themeColor="text1"/>
        </w:rPr>
        <w:t>The MTR will be undertaken from June to September 2024</w:t>
      </w:r>
      <w:r w:rsidRPr="0029511A">
        <w:rPr>
          <w:rStyle w:val="FootnoteReference"/>
          <w:rFonts w:ascii="Calibri" w:eastAsia="Calibri Light" w:hAnsi="Calibri" w:cs="Calibri"/>
          <w:color w:val="000000" w:themeColor="text1"/>
        </w:rPr>
        <w:footnoteReference w:id="11"/>
      </w:r>
      <w:r w:rsidRPr="0029511A">
        <w:rPr>
          <w:rFonts w:ascii="Calibri" w:eastAsia="Calibri Light" w:hAnsi="Calibri" w:cs="Calibri"/>
          <w:color w:val="000000" w:themeColor="text1"/>
        </w:rPr>
        <w:t xml:space="preserve">. </w:t>
      </w:r>
    </w:p>
    <w:p w14:paraId="2295DA85" w14:textId="7BB40073" w:rsidR="0091229C" w:rsidRPr="0029511A" w:rsidRDefault="0091229C" w:rsidP="0091229C">
      <w:pPr>
        <w:spacing w:before="120"/>
        <w:rPr>
          <w:rFonts w:ascii="Calibri" w:eastAsia="Calibri Light" w:hAnsi="Calibri" w:cs="Calibri"/>
          <w:color w:val="000000" w:themeColor="text1"/>
        </w:rPr>
      </w:pPr>
      <w:r w:rsidRPr="0029511A">
        <w:rPr>
          <w:rFonts w:ascii="Calibri" w:eastAsia="Calibri Light" w:hAnsi="Calibri" w:cs="Calibri"/>
          <w:color w:val="000000" w:themeColor="text1"/>
        </w:rPr>
        <w:t>The MTR team will consist of AASP Advisory Support team (Strategic) Evaluation specialists (Matt Smith and Alex Gruenewald) and DFAT’s Kanu Negi (AASP Investment Manager).</w:t>
      </w:r>
    </w:p>
    <w:p w14:paraId="69ECE04E" w14:textId="77777777" w:rsidR="0091229C" w:rsidRPr="0029511A" w:rsidRDefault="0091229C" w:rsidP="0091229C">
      <w:pPr>
        <w:spacing w:before="120"/>
        <w:rPr>
          <w:rFonts w:ascii="Calibri" w:hAnsi="Calibri" w:cs="Calibri"/>
          <w:color w:val="000000" w:themeColor="text1"/>
        </w:rPr>
      </w:pPr>
      <w:r w:rsidRPr="0029511A">
        <w:rPr>
          <w:rFonts w:ascii="Calibri" w:hAnsi="Calibri" w:cs="Calibri"/>
          <w:color w:val="000000" w:themeColor="text1"/>
        </w:rPr>
        <w:t>The mid-term review will be done in two phases:</w:t>
      </w:r>
    </w:p>
    <w:p w14:paraId="3F65EED2" w14:textId="44677525" w:rsidR="0091229C" w:rsidRPr="0029511A" w:rsidRDefault="0091229C" w:rsidP="0091229C">
      <w:pPr>
        <w:pStyle w:val="ListParagraph"/>
        <w:ind w:left="0"/>
        <w:rPr>
          <w:rFonts w:ascii="Calibri" w:hAnsi="Calibri" w:cs="Calibri"/>
          <w:color w:val="000000" w:themeColor="text1"/>
        </w:rPr>
      </w:pPr>
      <w:r w:rsidRPr="0029511A">
        <w:rPr>
          <w:rFonts w:ascii="Calibri" w:hAnsi="Calibri" w:cs="Calibri"/>
          <w:color w:val="000000" w:themeColor="text1"/>
          <w:u w:val="single"/>
        </w:rPr>
        <w:t>Phase 1</w:t>
      </w:r>
      <w:r w:rsidRPr="0029511A">
        <w:rPr>
          <w:rFonts w:ascii="Calibri" w:hAnsi="Calibri" w:cs="Calibri"/>
          <w:color w:val="000000" w:themeColor="text1"/>
        </w:rPr>
        <w:t xml:space="preserve"> will focus on interviews with selected activity participants from APEC economies and gathering a wide breadth of responses from across the AASP portfolio. This phase will involve the review team members, conducting a series of ‘</w:t>
      </w:r>
      <w:r w:rsidR="009D5A81" w:rsidRPr="0029511A">
        <w:rPr>
          <w:rFonts w:ascii="Calibri" w:hAnsi="Calibri" w:cs="Calibri"/>
          <w:color w:val="000000" w:themeColor="text1"/>
        </w:rPr>
        <w:t>in-</w:t>
      </w:r>
      <w:r w:rsidRPr="0029511A">
        <w:rPr>
          <w:rFonts w:ascii="Calibri" w:hAnsi="Calibri" w:cs="Calibri"/>
          <w:color w:val="000000" w:themeColor="text1"/>
        </w:rPr>
        <w:t>person’ and/or ‘virtual’ interviews with project overseers of AASP projects, selected activity participants, and selected APEC economy officials. The intent would be to seek answers to the evaluation questions and</w:t>
      </w:r>
      <w:proofErr w:type="gramStart"/>
      <w:r w:rsidRPr="0029511A">
        <w:rPr>
          <w:rFonts w:ascii="Calibri" w:hAnsi="Calibri" w:cs="Calibri"/>
          <w:color w:val="000000" w:themeColor="text1"/>
        </w:rPr>
        <w:t>, in particular, gather</w:t>
      </w:r>
      <w:proofErr w:type="gramEnd"/>
      <w:r w:rsidRPr="0029511A">
        <w:rPr>
          <w:rFonts w:ascii="Calibri" w:hAnsi="Calibri" w:cs="Calibri"/>
          <w:color w:val="000000" w:themeColor="text1"/>
        </w:rPr>
        <w:t xml:space="preserve"> views, perceptions and evidence of policy or regulatory reform that AASP projects may have generated within the economies.</w:t>
      </w:r>
    </w:p>
    <w:p w14:paraId="4487CA00" w14:textId="0F5A1312" w:rsidR="0091229C" w:rsidRPr="0029511A" w:rsidRDefault="0091229C" w:rsidP="0091229C">
      <w:pPr>
        <w:pStyle w:val="ListParagraph"/>
        <w:ind w:left="0"/>
        <w:rPr>
          <w:rFonts w:ascii="Calibri" w:hAnsi="Calibri" w:cs="Calibri"/>
          <w:color w:val="000000" w:themeColor="text1"/>
        </w:rPr>
      </w:pPr>
      <w:r w:rsidRPr="0029511A">
        <w:rPr>
          <w:rFonts w:ascii="Calibri" w:hAnsi="Calibri" w:cs="Calibri"/>
          <w:color w:val="000000" w:themeColor="text1"/>
          <w:u w:val="single"/>
        </w:rPr>
        <w:t>Phase 2</w:t>
      </w:r>
      <w:r w:rsidRPr="0029511A">
        <w:rPr>
          <w:rFonts w:ascii="Calibri" w:hAnsi="Calibri" w:cs="Calibri"/>
          <w:color w:val="000000" w:themeColor="text1"/>
        </w:rPr>
        <w:t xml:space="preserve"> will focus on producing 3-4 case studies and a succinct ‘Mid-term lessons learnt review’ report. Each case study will be a deep dive to illustrate progress and evidence of achievement and identify key lessons learnt from priority themes. The deep dive case studies could include, but </w:t>
      </w:r>
      <w:r w:rsidR="009D5A81" w:rsidRPr="0029511A">
        <w:rPr>
          <w:rFonts w:ascii="Calibri" w:hAnsi="Calibri" w:cs="Calibri"/>
          <w:color w:val="000000" w:themeColor="text1"/>
        </w:rPr>
        <w:t xml:space="preserve">are </w:t>
      </w:r>
      <w:r w:rsidRPr="0029511A">
        <w:rPr>
          <w:rFonts w:ascii="Calibri" w:hAnsi="Calibri" w:cs="Calibri"/>
          <w:color w:val="000000" w:themeColor="text1"/>
        </w:rPr>
        <w:t>not limited to:</w:t>
      </w:r>
    </w:p>
    <w:p w14:paraId="285D486E" w14:textId="0D9A502A" w:rsidR="0091229C" w:rsidRPr="0029511A" w:rsidRDefault="0091229C" w:rsidP="00D078C9">
      <w:pPr>
        <w:pStyle w:val="BodyText"/>
        <w:numPr>
          <w:ilvl w:val="0"/>
          <w:numId w:val="21"/>
        </w:numPr>
        <w:spacing w:after="120"/>
        <w:jc w:val="both"/>
        <w:rPr>
          <w:rFonts w:ascii="Calibri" w:eastAsiaTheme="minorEastAsia" w:hAnsi="Calibri" w:cs="Calibri"/>
          <w:color w:val="000000" w:themeColor="text1"/>
          <w:lang w:val="en-AU"/>
        </w:rPr>
      </w:pPr>
      <w:r w:rsidRPr="0029511A">
        <w:rPr>
          <w:rFonts w:ascii="Calibri" w:eastAsiaTheme="minorEastAsia" w:hAnsi="Calibri" w:cs="Calibri"/>
          <w:color w:val="000000" w:themeColor="text1"/>
          <w:lang w:val="en-AU"/>
        </w:rPr>
        <w:t xml:space="preserve">An example of the AASP promoting service competitiveness and mobility e.g. </w:t>
      </w:r>
      <w:r w:rsidRPr="0029511A">
        <w:rPr>
          <w:rFonts w:ascii="Calibri" w:eastAsiaTheme="minorEastAsia" w:hAnsi="Calibri" w:cs="Calibri"/>
          <w:i/>
          <w:iCs/>
          <w:color w:val="000000" w:themeColor="text1"/>
          <w:lang w:val="en-AU"/>
        </w:rPr>
        <w:t>Mutual Recognition Project</w:t>
      </w:r>
      <w:r w:rsidRPr="0029511A">
        <w:rPr>
          <w:rFonts w:ascii="Calibri" w:eastAsiaTheme="minorEastAsia" w:hAnsi="Calibri" w:cs="Calibri"/>
          <w:color w:val="000000" w:themeColor="text1"/>
          <w:lang w:val="en-AU"/>
        </w:rPr>
        <w:t xml:space="preserve"> </w:t>
      </w:r>
    </w:p>
    <w:p w14:paraId="1DB0630E" w14:textId="37188A5B" w:rsidR="0091229C" w:rsidRPr="0029511A" w:rsidRDefault="0091229C" w:rsidP="00D078C9">
      <w:pPr>
        <w:pStyle w:val="BodyText"/>
        <w:numPr>
          <w:ilvl w:val="0"/>
          <w:numId w:val="21"/>
        </w:numPr>
        <w:spacing w:after="120"/>
        <w:jc w:val="both"/>
        <w:rPr>
          <w:rFonts w:ascii="Calibri" w:eastAsiaTheme="minorEastAsia" w:hAnsi="Calibri" w:cs="Calibri"/>
          <w:color w:val="000000" w:themeColor="text1"/>
          <w:lang w:val="en-AU"/>
        </w:rPr>
      </w:pPr>
      <w:r w:rsidRPr="0029511A">
        <w:rPr>
          <w:rFonts w:ascii="Calibri" w:eastAsiaTheme="minorEastAsia" w:hAnsi="Calibri" w:cs="Calibri"/>
          <w:color w:val="000000" w:themeColor="text1"/>
          <w:lang w:val="en-AU"/>
        </w:rPr>
        <w:t xml:space="preserve">An example of AASP promoting </w:t>
      </w:r>
      <w:r w:rsidR="009D5A81" w:rsidRPr="0029511A">
        <w:rPr>
          <w:rFonts w:ascii="Calibri" w:eastAsiaTheme="minorEastAsia" w:hAnsi="Calibri" w:cs="Calibri"/>
          <w:color w:val="000000" w:themeColor="text1"/>
          <w:lang w:val="en-AU"/>
        </w:rPr>
        <w:t>environment-</w:t>
      </w:r>
      <w:r w:rsidRPr="0029511A">
        <w:rPr>
          <w:rFonts w:ascii="Calibri" w:eastAsiaTheme="minorEastAsia" w:hAnsi="Calibri" w:cs="Calibri"/>
          <w:color w:val="000000" w:themeColor="text1"/>
          <w:lang w:val="en-AU"/>
        </w:rPr>
        <w:t>related services</w:t>
      </w:r>
      <w:r w:rsidR="009D5A81" w:rsidRPr="0029511A">
        <w:rPr>
          <w:rFonts w:ascii="Calibri" w:eastAsiaTheme="minorEastAsia" w:hAnsi="Calibri" w:cs="Calibri"/>
          <w:color w:val="000000" w:themeColor="text1"/>
          <w:lang w:val="en-AU"/>
        </w:rPr>
        <w:t>,</w:t>
      </w:r>
      <w:r w:rsidRPr="0029511A">
        <w:rPr>
          <w:rFonts w:ascii="Calibri" w:eastAsiaTheme="minorEastAsia" w:hAnsi="Calibri" w:cs="Calibri"/>
          <w:color w:val="000000" w:themeColor="text1"/>
          <w:lang w:val="en-AU"/>
        </w:rPr>
        <w:t xml:space="preserve"> e.g. </w:t>
      </w:r>
      <w:r w:rsidRPr="0029511A">
        <w:rPr>
          <w:rFonts w:ascii="Calibri" w:eastAsiaTheme="minorEastAsia" w:hAnsi="Calibri" w:cs="Calibri"/>
          <w:i/>
          <w:iCs/>
          <w:color w:val="000000" w:themeColor="text1"/>
          <w:lang w:val="en-AU"/>
        </w:rPr>
        <w:t xml:space="preserve">Services that </w:t>
      </w:r>
      <w:r w:rsidR="00442269" w:rsidRPr="0029511A">
        <w:rPr>
          <w:rFonts w:ascii="Calibri" w:eastAsiaTheme="minorEastAsia" w:hAnsi="Calibri" w:cs="Calibri"/>
          <w:i/>
          <w:iCs/>
          <w:color w:val="000000" w:themeColor="text1"/>
          <w:lang w:val="en-AU"/>
        </w:rPr>
        <w:t>S</w:t>
      </w:r>
      <w:r w:rsidRPr="0029511A">
        <w:rPr>
          <w:rFonts w:ascii="Calibri" w:eastAsiaTheme="minorEastAsia" w:hAnsi="Calibri" w:cs="Calibri"/>
          <w:i/>
          <w:iCs/>
          <w:color w:val="000000" w:themeColor="text1"/>
          <w:lang w:val="en-AU"/>
        </w:rPr>
        <w:t xml:space="preserve">upport the </w:t>
      </w:r>
      <w:r w:rsidR="00442269" w:rsidRPr="0029511A">
        <w:rPr>
          <w:rFonts w:ascii="Calibri" w:eastAsiaTheme="minorEastAsia" w:hAnsi="Calibri" w:cs="Calibri"/>
          <w:i/>
          <w:iCs/>
          <w:color w:val="000000" w:themeColor="text1"/>
          <w:lang w:val="en-AU"/>
        </w:rPr>
        <w:t>C</w:t>
      </w:r>
      <w:r w:rsidRPr="0029511A">
        <w:rPr>
          <w:rFonts w:ascii="Calibri" w:eastAsiaTheme="minorEastAsia" w:hAnsi="Calibri" w:cs="Calibri"/>
          <w:i/>
          <w:iCs/>
          <w:color w:val="000000" w:themeColor="text1"/>
          <w:lang w:val="en-AU"/>
        </w:rPr>
        <w:t xml:space="preserve">lean-up of </w:t>
      </w:r>
      <w:r w:rsidR="00442269" w:rsidRPr="0029511A">
        <w:rPr>
          <w:rFonts w:ascii="Calibri" w:eastAsiaTheme="minorEastAsia" w:hAnsi="Calibri" w:cs="Calibri"/>
          <w:i/>
          <w:iCs/>
          <w:color w:val="000000" w:themeColor="text1"/>
          <w:lang w:val="en-AU"/>
        </w:rPr>
        <w:t>M</w:t>
      </w:r>
      <w:r w:rsidRPr="0029511A">
        <w:rPr>
          <w:rFonts w:ascii="Calibri" w:eastAsiaTheme="minorEastAsia" w:hAnsi="Calibri" w:cs="Calibri"/>
          <w:i/>
          <w:iCs/>
          <w:color w:val="000000" w:themeColor="text1"/>
          <w:lang w:val="en-AU"/>
        </w:rPr>
        <w:t xml:space="preserve">arine </w:t>
      </w:r>
      <w:r w:rsidR="00442269" w:rsidRPr="0029511A">
        <w:rPr>
          <w:rFonts w:ascii="Calibri" w:eastAsiaTheme="minorEastAsia" w:hAnsi="Calibri" w:cs="Calibri"/>
          <w:i/>
          <w:iCs/>
          <w:color w:val="000000" w:themeColor="text1"/>
          <w:lang w:val="en-AU"/>
        </w:rPr>
        <w:t>D</w:t>
      </w:r>
      <w:r w:rsidRPr="0029511A">
        <w:rPr>
          <w:rFonts w:ascii="Calibri" w:eastAsiaTheme="minorEastAsia" w:hAnsi="Calibri" w:cs="Calibri"/>
          <w:i/>
          <w:iCs/>
          <w:color w:val="000000" w:themeColor="text1"/>
          <w:lang w:val="en-AU"/>
        </w:rPr>
        <w:t>ebris/</w:t>
      </w:r>
      <w:r w:rsidR="00442269" w:rsidRPr="0029511A">
        <w:rPr>
          <w:rFonts w:ascii="Calibri" w:eastAsiaTheme="minorEastAsia" w:hAnsi="Calibri" w:cs="Calibri"/>
          <w:i/>
          <w:iCs/>
          <w:color w:val="000000" w:themeColor="text1"/>
          <w:lang w:val="en-AU"/>
        </w:rPr>
        <w:t>O</w:t>
      </w:r>
      <w:r w:rsidRPr="0029511A">
        <w:rPr>
          <w:rFonts w:ascii="Calibri" w:eastAsiaTheme="minorEastAsia" w:hAnsi="Calibri" w:cs="Calibri"/>
          <w:i/>
          <w:iCs/>
          <w:color w:val="000000" w:themeColor="text1"/>
          <w:lang w:val="en-AU"/>
        </w:rPr>
        <w:t xml:space="preserve">cean </w:t>
      </w:r>
      <w:r w:rsidR="00442269" w:rsidRPr="0029511A">
        <w:rPr>
          <w:rFonts w:ascii="Calibri" w:eastAsiaTheme="minorEastAsia" w:hAnsi="Calibri" w:cs="Calibri"/>
          <w:i/>
          <w:iCs/>
          <w:color w:val="000000" w:themeColor="text1"/>
          <w:lang w:val="en-AU"/>
        </w:rPr>
        <w:t>P</w:t>
      </w:r>
      <w:r w:rsidRPr="0029511A">
        <w:rPr>
          <w:rFonts w:ascii="Calibri" w:eastAsiaTheme="minorEastAsia" w:hAnsi="Calibri" w:cs="Calibri"/>
          <w:i/>
          <w:iCs/>
          <w:color w:val="000000" w:themeColor="text1"/>
          <w:lang w:val="en-AU"/>
        </w:rPr>
        <w:t>ollution</w:t>
      </w:r>
      <w:r w:rsidRPr="0029511A">
        <w:rPr>
          <w:rFonts w:ascii="Calibri" w:eastAsiaTheme="minorEastAsia" w:hAnsi="Calibri" w:cs="Calibri"/>
          <w:color w:val="000000" w:themeColor="text1"/>
          <w:lang w:val="en-AU"/>
        </w:rPr>
        <w:t xml:space="preserve"> project</w:t>
      </w:r>
    </w:p>
    <w:p w14:paraId="12D4C151" w14:textId="43809BC0" w:rsidR="0091229C" w:rsidRPr="0029511A" w:rsidRDefault="0091229C" w:rsidP="00D078C9">
      <w:pPr>
        <w:pStyle w:val="BodyText"/>
        <w:numPr>
          <w:ilvl w:val="0"/>
          <w:numId w:val="21"/>
        </w:numPr>
        <w:spacing w:after="120"/>
        <w:jc w:val="both"/>
        <w:rPr>
          <w:rFonts w:ascii="Calibri" w:eastAsiaTheme="minorEastAsia" w:hAnsi="Calibri" w:cs="Calibri"/>
          <w:color w:val="000000" w:themeColor="text1"/>
          <w:lang w:val="en-AU"/>
        </w:rPr>
      </w:pPr>
      <w:r w:rsidRPr="0029511A">
        <w:rPr>
          <w:rFonts w:ascii="Calibri" w:eastAsiaTheme="minorEastAsia" w:hAnsi="Calibri" w:cs="Calibri"/>
          <w:color w:val="000000" w:themeColor="text1"/>
          <w:lang w:val="en-AU"/>
        </w:rPr>
        <w:t xml:space="preserve">An example of AASP promoting gender equality, e.g. </w:t>
      </w:r>
      <w:r w:rsidRPr="0029511A">
        <w:rPr>
          <w:rFonts w:ascii="Calibri" w:eastAsiaTheme="minorEastAsia" w:hAnsi="Calibri" w:cs="Calibri"/>
          <w:i/>
          <w:iCs/>
          <w:color w:val="000000" w:themeColor="text1"/>
          <w:lang w:val="en-AU"/>
        </w:rPr>
        <w:t>Women in STEM</w:t>
      </w:r>
      <w:r w:rsidRPr="0029511A">
        <w:rPr>
          <w:rFonts w:ascii="Calibri" w:eastAsiaTheme="minorEastAsia" w:hAnsi="Calibri" w:cs="Calibri"/>
          <w:color w:val="000000" w:themeColor="text1"/>
          <w:lang w:val="en-AU"/>
        </w:rPr>
        <w:t xml:space="preserve"> </w:t>
      </w:r>
      <w:r w:rsidRPr="0029511A">
        <w:rPr>
          <w:rFonts w:ascii="Calibri" w:eastAsiaTheme="minorEastAsia" w:hAnsi="Calibri" w:cs="Calibri"/>
          <w:i/>
          <w:iCs/>
          <w:color w:val="000000" w:themeColor="text1"/>
          <w:lang w:val="en-AU"/>
        </w:rPr>
        <w:t>and Research</w:t>
      </w:r>
      <w:r w:rsidRPr="0029511A">
        <w:rPr>
          <w:rFonts w:ascii="Calibri" w:eastAsiaTheme="minorEastAsia" w:hAnsi="Calibri" w:cs="Calibri"/>
          <w:color w:val="000000" w:themeColor="text1"/>
          <w:lang w:val="en-AU"/>
        </w:rPr>
        <w:t xml:space="preserve"> (multi-year) and</w:t>
      </w:r>
    </w:p>
    <w:p w14:paraId="070900DE" w14:textId="3F2DBE0D" w:rsidR="0091229C" w:rsidRPr="0029511A" w:rsidRDefault="0091229C" w:rsidP="00D078C9">
      <w:pPr>
        <w:pStyle w:val="BodyText"/>
        <w:numPr>
          <w:ilvl w:val="0"/>
          <w:numId w:val="21"/>
        </w:numPr>
        <w:spacing w:after="120"/>
        <w:jc w:val="both"/>
        <w:rPr>
          <w:rFonts w:ascii="Calibri" w:eastAsiaTheme="minorEastAsia" w:hAnsi="Calibri" w:cs="Calibri"/>
          <w:color w:val="000000" w:themeColor="text1"/>
          <w:lang w:val="en-AU"/>
        </w:rPr>
      </w:pPr>
      <w:r w:rsidRPr="0029511A">
        <w:rPr>
          <w:rFonts w:ascii="Calibri" w:eastAsiaTheme="minorEastAsia" w:hAnsi="Calibri" w:cs="Calibri"/>
          <w:color w:val="000000" w:themeColor="text1"/>
          <w:lang w:val="en-AU"/>
        </w:rPr>
        <w:lastRenderedPageBreak/>
        <w:t xml:space="preserve">An example of AASP promoting </w:t>
      </w:r>
      <w:r w:rsidR="00AA3F82" w:rsidRPr="0029511A">
        <w:rPr>
          <w:rFonts w:ascii="Calibri" w:eastAsiaTheme="minorEastAsia" w:hAnsi="Calibri" w:cs="Calibri"/>
          <w:color w:val="000000" w:themeColor="text1"/>
          <w:lang w:val="en-AU"/>
        </w:rPr>
        <w:t xml:space="preserve">Indigenous </w:t>
      </w:r>
      <w:r w:rsidRPr="0029511A">
        <w:rPr>
          <w:rFonts w:ascii="Calibri" w:eastAsiaTheme="minorEastAsia" w:hAnsi="Calibri" w:cs="Calibri"/>
          <w:color w:val="000000" w:themeColor="text1"/>
          <w:lang w:val="en-AU"/>
        </w:rPr>
        <w:t xml:space="preserve">inclusion e.g. </w:t>
      </w:r>
      <w:r w:rsidRPr="0029511A">
        <w:rPr>
          <w:rFonts w:ascii="Calibri" w:eastAsiaTheme="minorEastAsia" w:hAnsi="Calibri" w:cs="Calibri"/>
          <w:i/>
          <w:iCs/>
          <w:color w:val="000000" w:themeColor="text1"/>
          <w:lang w:val="en-AU"/>
        </w:rPr>
        <w:t>Growing Indigenous Business through Trade (GRIT phase</w:t>
      </w:r>
      <w:r w:rsidR="00AA3F82" w:rsidRPr="0029511A">
        <w:rPr>
          <w:rFonts w:ascii="Calibri" w:eastAsiaTheme="minorEastAsia" w:hAnsi="Calibri" w:cs="Calibri"/>
          <w:i/>
          <w:iCs/>
          <w:color w:val="000000" w:themeColor="text1"/>
          <w:lang w:val="en-AU"/>
        </w:rPr>
        <w:t>s</w:t>
      </w:r>
      <w:r w:rsidRPr="0029511A">
        <w:rPr>
          <w:rFonts w:ascii="Calibri" w:eastAsiaTheme="minorEastAsia" w:hAnsi="Calibri" w:cs="Calibri"/>
          <w:i/>
          <w:iCs/>
          <w:color w:val="000000" w:themeColor="text1"/>
          <w:lang w:val="en-AU"/>
        </w:rPr>
        <w:t xml:space="preserve"> 1 &amp; 2)</w:t>
      </w:r>
      <w:r w:rsidRPr="0029511A">
        <w:rPr>
          <w:rFonts w:ascii="Calibri" w:eastAsiaTheme="minorEastAsia" w:hAnsi="Calibri" w:cs="Calibri"/>
          <w:color w:val="000000" w:themeColor="text1"/>
          <w:lang w:val="en-AU"/>
        </w:rPr>
        <w:t>.</w:t>
      </w:r>
    </w:p>
    <w:p w14:paraId="7F730036" w14:textId="58E0DD93" w:rsidR="0091229C" w:rsidRPr="0029511A" w:rsidRDefault="0091229C" w:rsidP="0091229C">
      <w:pPr>
        <w:spacing w:before="120"/>
        <w:rPr>
          <w:rFonts w:ascii="Calibri" w:hAnsi="Calibri" w:cs="Calibri"/>
        </w:rPr>
      </w:pPr>
      <w:r w:rsidRPr="0029511A">
        <w:rPr>
          <w:rFonts w:ascii="Calibri" w:hAnsi="Calibri" w:cs="Calibri"/>
        </w:rPr>
        <w:t>The MTR report will summarise review findings from both phases</w:t>
      </w:r>
      <w:r w:rsidR="009D5A81" w:rsidRPr="0029511A">
        <w:rPr>
          <w:rFonts w:ascii="Calibri" w:hAnsi="Calibri" w:cs="Calibri"/>
        </w:rPr>
        <w:t>,</w:t>
      </w:r>
      <w:r w:rsidRPr="0029511A">
        <w:rPr>
          <w:rFonts w:ascii="Calibri" w:hAnsi="Calibri" w:cs="Calibri"/>
        </w:rPr>
        <w:t xml:space="preserve"> including evidence or progress and performance based on interviewee responses, recommendations or learnings for improvement and highlighting thematic areas where the program can be adjusted/improved based on feedback.</w:t>
      </w:r>
    </w:p>
    <w:p w14:paraId="79DC2754" w14:textId="34CE9D96" w:rsidR="0091229C" w:rsidRPr="0029511A" w:rsidRDefault="0091229C" w:rsidP="0091229C">
      <w:pPr>
        <w:spacing w:before="120"/>
        <w:rPr>
          <w:rFonts w:ascii="Calibri" w:hAnsi="Calibri" w:cs="Calibri"/>
          <w:b/>
          <w:bCs/>
        </w:rPr>
      </w:pPr>
      <w:r w:rsidRPr="0029511A">
        <w:rPr>
          <w:rFonts w:ascii="Calibri" w:hAnsi="Calibri" w:cs="Calibri"/>
          <w:b/>
          <w:bCs/>
        </w:rPr>
        <w:t xml:space="preserve">Sequencing and Review Team </w:t>
      </w:r>
      <w:r w:rsidR="00221D69" w:rsidRPr="0029511A">
        <w:rPr>
          <w:rFonts w:ascii="Calibri" w:hAnsi="Calibri" w:cs="Calibri"/>
          <w:b/>
          <w:bCs/>
        </w:rPr>
        <w:t>Responsibilities</w:t>
      </w:r>
      <w:r w:rsidRPr="0029511A">
        <w:rPr>
          <w:rFonts w:ascii="Calibri" w:hAnsi="Calibri" w:cs="Calibri"/>
          <w:b/>
          <w:bCs/>
        </w:rPr>
        <w:t xml:space="preserve"> </w:t>
      </w:r>
    </w:p>
    <w:p w14:paraId="0DDDAA58" w14:textId="2FC30916" w:rsidR="0091229C" w:rsidRDefault="0091229C" w:rsidP="0091229C">
      <w:pPr>
        <w:spacing w:before="120"/>
        <w:rPr>
          <w:rFonts w:ascii="Calibri" w:eastAsia="Calibri Light" w:hAnsi="Calibri" w:cs="Calibri"/>
          <w:color w:val="000000" w:themeColor="text1"/>
        </w:rPr>
      </w:pPr>
      <w:r w:rsidRPr="0029511A">
        <w:rPr>
          <w:rFonts w:ascii="Calibri" w:eastAsia="Calibri Light" w:hAnsi="Calibri" w:cs="Calibri"/>
          <w:color w:val="000000" w:themeColor="text1"/>
        </w:rPr>
        <w:t xml:space="preserve">The following table presents indicative sequencing and allocation of the AASP Advisory Support team’s </w:t>
      </w:r>
      <w:r w:rsidR="00221D69" w:rsidRPr="0029511A">
        <w:rPr>
          <w:rFonts w:ascii="Calibri" w:eastAsia="Calibri Light" w:hAnsi="Calibri" w:cs="Calibri"/>
          <w:color w:val="000000" w:themeColor="text1"/>
        </w:rPr>
        <w:t>responsibilities</w:t>
      </w:r>
      <w:r w:rsidRPr="0029511A">
        <w:rPr>
          <w:rFonts w:ascii="Calibri" w:eastAsia="Calibri Light" w:hAnsi="Calibri" w:cs="Calibri"/>
          <w:color w:val="000000" w:themeColor="text1"/>
        </w:rPr>
        <w:t>.</w:t>
      </w:r>
    </w:p>
    <w:p w14:paraId="344893F3" w14:textId="5F952B1F" w:rsidR="004A3AEA" w:rsidRPr="004A3AEA" w:rsidRDefault="004A3AEA" w:rsidP="004A3AEA">
      <w:pPr>
        <w:spacing w:before="120"/>
        <w:rPr>
          <w:rFonts w:ascii="Calibri" w:eastAsia="Calibri Light" w:hAnsi="Calibri" w:cs="Calibri"/>
          <w:color w:val="000000" w:themeColor="text1"/>
        </w:rPr>
      </w:pPr>
      <w:r w:rsidRPr="004A3AEA">
        <w:rPr>
          <w:rFonts w:ascii="Calibri" w:eastAsia="Calibri Light" w:hAnsi="Calibri" w:cs="Calibri"/>
          <w:color w:val="000000" w:themeColor="text1"/>
        </w:rPr>
        <w:t>Inception meeting with DFAT</w:t>
      </w:r>
      <w:r w:rsidR="004664AB">
        <w:rPr>
          <w:rFonts w:ascii="Calibri" w:eastAsia="Calibri Light" w:hAnsi="Calibri" w:cs="Calibri"/>
          <w:color w:val="000000" w:themeColor="text1"/>
        </w:rPr>
        <w:t xml:space="preserve"> (June)</w:t>
      </w:r>
    </w:p>
    <w:p w14:paraId="5F6099BB" w14:textId="4DF0C9A4" w:rsidR="004A3AEA" w:rsidRPr="004A3AEA" w:rsidRDefault="004A3AEA" w:rsidP="004A3AEA">
      <w:pPr>
        <w:spacing w:before="120"/>
        <w:rPr>
          <w:rFonts w:ascii="Calibri" w:eastAsia="Calibri Light" w:hAnsi="Calibri" w:cs="Calibri"/>
          <w:color w:val="000000" w:themeColor="text1"/>
        </w:rPr>
      </w:pPr>
      <w:r w:rsidRPr="004A3AEA">
        <w:rPr>
          <w:rFonts w:ascii="Calibri" w:eastAsia="Calibri Light" w:hAnsi="Calibri" w:cs="Calibri"/>
          <w:color w:val="000000" w:themeColor="text1"/>
        </w:rPr>
        <w:t>Document review and analysis</w:t>
      </w:r>
      <w:r w:rsidR="004664AB">
        <w:rPr>
          <w:rFonts w:ascii="Calibri" w:eastAsia="Calibri Light" w:hAnsi="Calibri" w:cs="Calibri"/>
          <w:color w:val="000000" w:themeColor="text1"/>
        </w:rPr>
        <w:t xml:space="preserve"> (June)</w:t>
      </w:r>
    </w:p>
    <w:p w14:paraId="17F68D94" w14:textId="3AC93A63" w:rsidR="004A3AEA" w:rsidRPr="004A3AEA" w:rsidRDefault="004A3AEA" w:rsidP="004A3AEA">
      <w:pPr>
        <w:spacing w:before="120"/>
        <w:rPr>
          <w:rFonts w:ascii="Calibri" w:eastAsia="Calibri Light" w:hAnsi="Calibri" w:cs="Calibri"/>
          <w:color w:val="000000" w:themeColor="text1"/>
        </w:rPr>
      </w:pPr>
      <w:r w:rsidRPr="004A3AEA">
        <w:rPr>
          <w:rFonts w:ascii="Calibri" w:eastAsia="Calibri Light" w:hAnsi="Calibri" w:cs="Calibri"/>
          <w:color w:val="000000" w:themeColor="text1"/>
        </w:rPr>
        <w:t>Survey design</w:t>
      </w:r>
      <w:r w:rsidR="004664AB">
        <w:rPr>
          <w:rFonts w:ascii="Calibri" w:eastAsia="Calibri Light" w:hAnsi="Calibri" w:cs="Calibri"/>
          <w:color w:val="000000" w:themeColor="text1"/>
        </w:rPr>
        <w:t xml:space="preserve"> (July)</w:t>
      </w:r>
    </w:p>
    <w:p w14:paraId="68A216CB" w14:textId="679F5CBA" w:rsidR="004A3AEA" w:rsidRPr="004A3AEA" w:rsidRDefault="004A3AEA" w:rsidP="004A3AEA">
      <w:pPr>
        <w:spacing w:before="120"/>
        <w:rPr>
          <w:rFonts w:ascii="Calibri" w:eastAsia="Calibri Light" w:hAnsi="Calibri" w:cs="Calibri"/>
          <w:color w:val="000000" w:themeColor="text1"/>
        </w:rPr>
      </w:pPr>
      <w:r w:rsidRPr="004A3AEA">
        <w:rPr>
          <w:rFonts w:ascii="Calibri" w:eastAsia="Calibri Light" w:hAnsi="Calibri" w:cs="Calibri"/>
          <w:color w:val="000000" w:themeColor="text1"/>
        </w:rPr>
        <w:t>Survey data compilation and analysis</w:t>
      </w:r>
      <w:r w:rsidR="004664AB">
        <w:rPr>
          <w:rFonts w:ascii="Calibri" w:eastAsia="Calibri Light" w:hAnsi="Calibri" w:cs="Calibri"/>
          <w:color w:val="000000" w:themeColor="text1"/>
        </w:rPr>
        <w:t xml:space="preserve"> (August)</w:t>
      </w:r>
    </w:p>
    <w:p w14:paraId="2D515425" w14:textId="28E13D4B" w:rsidR="004A3AEA" w:rsidRPr="004A3AEA" w:rsidRDefault="004A3AEA" w:rsidP="004A3AEA">
      <w:pPr>
        <w:spacing w:before="120"/>
        <w:rPr>
          <w:rFonts w:ascii="Calibri" w:eastAsia="Calibri Light" w:hAnsi="Calibri" w:cs="Calibri"/>
          <w:color w:val="000000" w:themeColor="text1"/>
        </w:rPr>
      </w:pPr>
      <w:r w:rsidRPr="004A3AEA">
        <w:rPr>
          <w:rFonts w:ascii="Calibri" w:eastAsia="Calibri Light" w:hAnsi="Calibri" w:cs="Calibri"/>
          <w:color w:val="000000" w:themeColor="text1"/>
        </w:rPr>
        <w:t>APEC official consultations (during SOM3)</w:t>
      </w:r>
      <w:r w:rsidR="004664AB">
        <w:rPr>
          <w:rFonts w:ascii="Calibri" w:eastAsia="Calibri Light" w:hAnsi="Calibri" w:cs="Calibri"/>
          <w:color w:val="000000" w:themeColor="text1"/>
        </w:rPr>
        <w:t xml:space="preserve"> (August)</w:t>
      </w:r>
    </w:p>
    <w:p w14:paraId="2415E696" w14:textId="3ED82839" w:rsidR="004A3AEA" w:rsidRPr="004A3AEA" w:rsidRDefault="004A3AEA" w:rsidP="004A3AEA">
      <w:pPr>
        <w:spacing w:before="120"/>
        <w:rPr>
          <w:rFonts w:ascii="Calibri" w:eastAsia="Calibri Light" w:hAnsi="Calibri" w:cs="Calibri"/>
          <w:color w:val="000000" w:themeColor="text1"/>
        </w:rPr>
      </w:pPr>
      <w:r w:rsidRPr="004A3AEA">
        <w:rPr>
          <w:rFonts w:ascii="Calibri" w:eastAsia="Calibri Light" w:hAnsi="Calibri" w:cs="Calibri"/>
          <w:color w:val="000000" w:themeColor="text1"/>
        </w:rPr>
        <w:t>Government of Australia consultations (Canberra)</w:t>
      </w:r>
      <w:r w:rsidR="00AA4B90">
        <w:rPr>
          <w:rFonts w:ascii="Calibri" w:eastAsia="Calibri Light" w:hAnsi="Calibri" w:cs="Calibri"/>
          <w:color w:val="000000" w:themeColor="text1"/>
        </w:rPr>
        <w:t xml:space="preserve"> (August/September)</w:t>
      </w:r>
    </w:p>
    <w:p w14:paraId="773BC57B" w14:textId="5B91DE25" w:rsidR="004A3AEA" w:rsidRPr="004A3AEA" w:rsidRDefault="004A3AEA" w:rsidP="004A3AEA">
      <w:pPr>
        <w:spacing w:before="120"/>
        <w:rPr>
          <w:rFonts w:ascii="Calibri" w:eastAsia="Calibri Light" w:hAnsi="Calibri" w:cs="Calibri"/>
          <w:color w:val="000000" w:themeColor="text1"/>
        </w:rPr>
      </w:pPr>
      <w:r w:rsidRPr="004A3AEA">
        <w:rPr>
          <w:rFonts w:ascii="Calibri" w:eastAsia="Calibri Light" w:hAnsi="Calibri" w:cs="Calibri"/>
          <w:color w:val="000000" w:themeColor="text1"/>
        </w:rPr>
        <w:t>Project consultations</w:t>
      </w:r>
      <w:r w:rsidR="00AA4B90">
        <w:rPr>
          <w:rFonts w:ascii="Calibri" w:eastAsia="Calibri Light" w:hAnsi="Calibri" w:cs="Calibri"/>
          <w:color w:val="000000" w:themeColor="text1"/>
        </w:rPr>
        <w:t xml:space="preserve"> (August/September)</w:t>
      </w:r>
    </w:p>
    <w:p w14:paraId="4B13FA57" w14:textId="1904D637" w:rsidR="004A3AEA" w:rsidRPr="004A3AEA" w:rsidRDefault="004A3AEA" w:rsidP="004A3AEA">
      <w:pPr>
        <w:spacing w:before="120"/>
        <w:rPr>
          <w:rFonts w:ascii="Calibri" w:eastAsia="Calibri Light" w:hAnsi="Calibri" w:cs="Calibri"/>
          <w:color w:val="000000" w:themeColor="text1"/>
        </w:rPr>
      </w:pPr>
      <w:r w:rsidRPr="004A3AEA">
        <w:rPr>
          <w:rFonts w:ascii="Calibri" w:eastAsia="Calibri Light" w:hAnsi="Calibri" w:cs="Calibri"/>
          <w:color w:val="000000" w:themeColor="text1"/>
        </w:rPr>
        <w:t>Report writing</w:t>
      </w:r>
      <w:r w:rsidR="00AA4B90">
        <w:rPr>
          <w:rFonts w:ascii="Calibri" w:eastAsia="Calibri Light" w:hAnsi="Calibri" w:cs="Calibri"/>
          <w:color w:val="000000" w:themeColor="text1"/>
        </w:rPr>
        <w:t xml:space="preserve"> (September)</w:t>
      </w:r>
    </w:p>
    <w:p w14:paraId="0D9FBB1D" w14:textId="742E01A3" w:rsidR="004A3AEA" w:rsidRDefault="004A3AEA" w:rsidP="004A3AEA">
      <w:pPr>
        <w:spacing w:before="120"/>
        <w:rPr>
          <w:rFonts w:ascii="Calibri" w:eastAsia="Calibri Light" w:hAnsi="Calibri" w:cs="Calibri"/>
          <w:color w:val="000000" w:themeColor="text1"/>
        </w:rPr>
      </w:pPr>
      <w:r w:rsidRPr="004A3AEA">
        <w:rPr>
          <w:rFonts w:ascii="Calibri" w:eastAsia="Calibri Light" w:hAnsi="Calibri" w:cs="Calibri"/>
          <w:color w:val="000000" w:themeColor="text1"/>
        </w:rPr>
        <w:t>Report finalisation</w:t>
      </w:r>
      <w:r w:rsidR="00AA4B90">
        <w:rPr>
          <w:rFonts w:ascii="Calibri" w:eastAsia="Calibri Light" w:hAnsi="Calibri" w:cs="Calibri"/>
          <w:color w:val="000000" w:themeColor="text1"/>
        </w:rPr>
        <w:t xml:space="preserve"> (September)</w:t>
      </w:r>
    </w:p>
    <w:p w14:paraId="7E6E2322" w14:textId="77777777" w:rsidR="004A3AEA" w:rsidRPr="0029511A" w:rsidRDefault="004A3AEA" w:rsidP="0091229C">
      <w:pPr>
        <w:spacing w:before="120"/>
        <w:rPr>
          <w:rFonts w:ascii="Calibri" w:eastAsia="Calibri Light" w:hAnsi="Calibri" w:cs="Calibri"/>
          <w:color w:val="000000" w:themeColor="text1"/>
        </w:rPr>
      </w:pPr>
    </w:p>
    <w:p w14:paraId="64037660" w14:textId="77777777" w:rsidR="0091229C" w:rsidRPr="0029511A" w:rsidRDefault="0091229C" w:rsidP="0091229C">
      <w:pPr>
        <w:spacing w:before="120"/>
        <w:rPr>
          <w:rFonts w:ascii="Calibri" w:hAnsi="Calibri" w:cs="Calibri"/>
          <w:b/>
          <w:bCs/>
        </w:rPr>
      </w:pPr>
      <w:r w:rsidRPr="0029511A">
        <w:rPr>
          <w:rFonts w:ascii="Calibri" w:hAnsi="Calibri" w:cs="Calibri"/>
          <w:b/>
          <w:bCs/>
        </w:rPr>
        <w:t>Funding and Resourcing</w:t>
      </w:r>
    </w:p>
    <w:p w14:paraId="73E13FA7" w14:textId="775C2EEA" w:rsidR="0091229C" w:rsidRPr="0029511A" w:rsidRDefault="0091229C" w:rsidP="0091229C">
      <w:pPr>
        <w:rPr>
          <w:rFonts w:ascii="Calibri" w:eastAsia="Calibri Light" w:hAnsi="Calibri" w:cs="Calibri"/>
        </w:rPr>
      </w:pPr>
      <w:r w:rsidRPr="0029511A">
        <w:rPr>
          <w:rFonts w:ascii="Calibri" w:eastAsia="Calibri" w:hAnsi="Calibri" w:cs="Calibri"/>
          <w:kern w:val="2"/>
          <w14:ligatures w14:val="standardContextual"/>
        </w:rPr>
        <w:t xml:space="preserve">DFAT’s existing services order with </w:t>
      </w:r>
      <w:r w:rsidR="009D5A81" w:rsidRPr="0029511A">
        <w:rPr>
          <w:rFonts w:ascii="Calibri" w:eastAsia="Calibri" w:hAnsi="Calibri" w:cs="Calibri"/>
          <w:kern w:val="2"/>
          <w14:ligatures w14:val="standardContextual"/>
        </w:rPr>
        <w:t xml:space="preserve">the </w:t>
      </w:r>
      <w:r w:rsidRPr="0029511A">
        <w:rPr>
          <w:rFonts w:ascii="Calibri" w:eastAsia="Calibri Light" w:hAnsi="Calibri" w:cs="Calibri"/>
          <w:color w:val="000000" w:themeColor="text1"/>
        </w:rPr>
        <w:t>AASP Advisory Support team</w:t>
      </w:r>
      <w:r w:rsidRPr="0029511A">
        <w:rPr>
          <w:rFonts w:ascii="Calibri" w:eastAsia="Calibri" w:hAnsi="Calibri" w:cs="Calibri"/>
          <w:kern w:val="2"/>
          <w14:ligatures w14:val="standardContextual"/>
        </w:rPr>
        <w:t xml:space="preserve"> - </w:t>
      </w:r>
      <w:r w:rsidRPr="0029511A">
        <w:rPr>
          <w:rFonts w:ascii="Calibri" w:eastAsia="Calibri Light" w:hAnsi="Calibri" w:cs="Calibri"/>
          <w:i/>
          <w:iCs/>
          <w:color w:val="000000" w:themeColor="text1"/>
        </w:rPr>
        <w:t>Activity 22A482 -Support for APEC - Program Management</w:t>
      </w:r>
      <w:r w:rsidRPr="0029511A">
        <w:rPr>
          <w:rFonts w:ascii="Calibri" w:eastAsia="Calibri" w:hAnsi="Calibri" w:cs="Calibri"/>
          <w:kern w:val="2"/>
          <w14:ligatures w14:val="standardContextual"/>
        </w:rPr>
        <w:t xml:space="preserve"> - includes </w:t>
      </w:r>
      <w:r w:rsidR="00F371E2" w:rsidRPr="0029511A">
        <w:rPr>
          <w:rFonts w:ascii="Calibri" w:eastAsia="Calibri" w:hAnsi="Calibri" w:cs="Calibri"/>
          <w:kern w:val="2"/>
          <w14:ligatures w14:val="standardContextual"/>
        </w:rPr>
        <w:t>dedicated MEL personnel</w:t>
      </w:r>
      <w:r w:rsidRPr="0029511A">
        <w:rPr>
          <w:rFonts w:ascii="Calibri" w:eastAsia="Calibri" w:hAnsi="Calibri" w:cs="Calibri"/>
          <w:kern w:val="2"/>
          <w14:ligatures w14:val="standardContextual"/>
        </w:rPr>
        <w:t xml:space="preserve"> and sufficient budget </w:t>
      </w:r>
      <w:r w:rsidRPr="0029511A">
        <w:rPr>
          <w:rFonts w:ascii="Calibri" w:eastAsia="Calibri Light" w:hAnsi="Calibri" w:cs="Calibri"/>
          <w:color w:val="000000" w:themeColor="text1"/>
        </w:rPr>
        <w:t>under the reimbursable costs (</w:t>
      </w:r>
      <w:r w:rsidR="009D5A81" w:rsidRPr="0029511A">
        <w:rPr>
          <w:rFonts w:ascii="Calibri" w:eastAsia="Calibri Light" w:hAnsi="Calibri" w:cs="Calibri"/>
          <w:color w:val="000000" w:themeColor="text1"/>
        </w:rPr>
        <w:t>p</w:t>
      </w:r>
      <w:r w:rsidRPr="0029511A">
        <w:rPr>
          <w:rFonts w:ascii="Calibri" w:eastAsia="Calibri Light" w:hAnsi="Calibri" w:cs="Calibri"/>
          <w:color w:val="000000" w:themeColor="text1"/>
        </w:rPr>
        <w:t>rofessional fees and advisor support costs categories) to conduct this MTR</w:t>
      </w:r>
      <w:r w:rsidRPr="0029511A">
        <w:rPr>
          <w:rFonts w:ascii="Calibri" w:eastAsia="Calibri" w:hAnsi="Calibri" w:cs="Calibri"/>
          <w:kern w:val="2"/>
          <w14:ligatures w14:val="standardContextual"/>
        </w:rPr>
        <w:t xml:space="preserve">. </w:t>
      </w:r>
      <w:r w:rsidRPr="0029511A">
        <w:rPr>
          <w:rFonts w:ascii="Calibri" w:eastAsia="Calibri Light" w:hAnsi="Calibri" w:cs="Calibri"/>
          <w:color w:val="000000" w:themeColor="text1"/>
        </w:rPr>
        <w:t xml:space="preserve">Some </w:t>
      </w:r>
      <w:proofErr w:type="gramStart"/>
      <w:r w:rsidRPr="0029511A">
        <w:rPr>
          <w:rFonts w:ascii="Calibri" w:eastAsia="Calibri Light" w:hAnsi="Calibri" w:cs="Calibri"/>
          <w:color w:val="000000" w:themeColor="text1"/>
        </w:rPr>
        <w:t>reallocation</w:t>
      </w:r>
      <w:proofErr w:type="gramEnd"/>
      <w:r w:rsidRPr="0029511A">
        <w:rPr>
          <w:rFonts w:ascii="Calibri" w:eastAsia="Calibri Light" w:hAnsi="Calibri" w:cs="Calibri"/>
          <w:color w:val="000000" w:themeColor="text1"/>
        </w:rPr>
        <w:t xml:space="preserve"> from personnel fees to Advisor Support costs may be required, without any changes to the overall Agreement value, in consultation with the AASP Investment Manager. </w:t>
      </w:r>
      <w:r w:rsidRPr="0029511A">
        <w:rPr>
          <w:rFonts w:ascii="Calibri" w:eastAsia="Calibri Light" w:hAnsi="Calibri" w:cs="Calibri"/>
        </w:rPr>
        <w:t>No new or additional financial resources will be required as costs for this monitoring and evaluation work ha</w:t>
      </w:r>
      <w:r w:rsidR="009D5A81" w:rsidRPr="0029511A">
        <w:rPr>
          <w:rFonts w:ascii="Calibri" w:eastAsia="Calibri Light" w:hAnsi="Calibri" w:cs="Calibri"/>
        </w:rPr>
        <w:t>ve</w:t>
      </w:r>
      <w:r w:rsidRPr="0029511A">
        <w:rPr>
          <w:rFonts w:ascii="Calibri" w:eastAsia="Calibri Light" w:hAnsi="Calibri" w:cs="Calibri"/>
        </w:rPr>
        <w:t xml:space="preserve"> already been incorporated in</w:t>
      </w:r>
      <w:r w:rsidR="009D5A81" w:rsidRPr="0029511A">
        <w:rPr>
          <w:rFonts w:ascii="Calibri" w:eastAsia="Calibri Light" w:hAnsi="Calibri" w:cs="Calibri"/>
        </w:rPr>
        <w:t>to</w:t>
      </w:r>
      <w:r w:rsidRPr="0029511A">
        <w:rPr>
          <w:rFonts w:ascii="Calibri" w:eastAsia="Calibri Light" w:hAnsi="Calibri" w:cs="Calibri"/>
        </w:rPr>
        <w:t xml:space="preserve"> the </w:t>
      </w:r>
      <w:r w:rsidR="009D5A81" w:rsidRPr="0029511A">
        <w:rPr>
          <w:rFonts w:ascii="Calibri" w:eastAsia="Calibri Light" w:hAnsi="Calibri" w:cs="Calibri"/>
        </w:rPr>
        <w:t>a</w:t>
      </w:r>
      <w:r w:rsidRPr="0029511A">
        <w:rPr>
          <w:rFonts w:ascii="Calibri" w:eastAsia="Calibri Light" w:hAnsi="Calibri" w:cs="Calibri"/>
        </w:rPr>
        <w:t>ctivity budget.</w:t>
      </w:r>
    </w:p>
    <w:p w14:paraId="2353D066" w14:textId="77777777" w:rsidR="0091229C" w:rsidRPr="0029511A" w:rsidRDefault="0091229C" w:rsidP="0091229C">
      <w:pPr>
        <w:spacing w:before="120"/>
        <w:rPr>
          <w:rFonts w:ascii="Calibri" w:eastAsia="Calibri Light" w:hAnsi="Calibri" w:cs="Calibri"/>
          <w:i/>
          <w:iCs/>
          <w:color w:val="000000" w:themeColor="text1"/>
        </w:rPr>
      </w:pPr>
      <w:r w:rsidRPr="0029511A">
        <w:rPr>
          <w:rFonts w:ascii="Calibri" w:eastAsia="Calibri Light" w:hAnsi="Calibri" w:cs="Calibri"/>
          <w:i/>
          <w:iCs/>
          <w:color w:val="000000" w:themeColor="text1"/>
        </w:rPr>
        <w:t>Travel for Strategic Personnel</w:t>
      </w:r>
    </w:p>
    <w:p w14:paraId="616E8DBA" w14:textId="18CC9CF2" w:rsidR="0091229C" w:rsidRPr="0029511A" w:rsidRDefault="0091229C" w:rsidP="0091229C">
      <w:pPr>
        <w:spacing w:before="120"/>
        <w:rPr>
          <w:rFonts w:ascii="Calibri" w:eastAsia="Calibri Light" w:hAnsi="Calibri" w:cs="Calibri"/>
          <w:color w:val="000000" w:themeColor="text1"/>
        </w:rPr>
      </w:pPr>
      <w:r w:rsidRPr="0029511A">
        <w:rPr>
          <w:rFonts w:ascii="Calibri" w:eastAsia="Calibri Light" w:hAnsi="Calibri" w:cs="Calibri"/>
        </w:rPr>
        <w:t xml:space="preserve">We expect up to two </w:t>
      </w:r>
      <w:r w:rsidRPr="0029511A">
        <w:rPr>
          <w:rFonts w:ascii="Calibri" w:eastAsia="Calibri Light" w:hAnsi="Calibri" w:cs="Calibri"/>
          <w:color w:val="000000" w:themeColor="text1"/>
        </w:rPr>
        <w:t>AASP Advisory Support team</w:t>
      </w:r>
      <w:r w:rsidRPr="0029511A">
        <w:rPr>
          <w:rFonts w:ascii="Calibri" w:eastAsia="Calibri Light" w:hAnsi="Calibri" w:cs="Calibri"/>
        </w:rPr>
        <w:t xml:space="preserve"> staff to attend </w:t>
      </w:r>
      <w:r w:rsidR="00AA3F82" w:rsidRPr="0029511A">
        <w:rPr>
          <w:rFonts w:ascii="Calibri" w:eastAsia="Calibri Light" w:hAnsi="Calibri" w:cs="Calibri"/>
        </w:rPr>
        <w:t>Canberra-</w:t>
      </w:r>
      <w:r w:rsidRPr="0029511A">
        <w:rPr>
          <w:rFonts w:ascii="Calibri" w:eastAsia="Calibri Light" w:hAnsi="Calibri" w:cs="Calibri"/>
        </w:rPr>
        <w:t>based evaluation consultations. This is anticipated to be Matt Smith and</w:t>
      </w:r>
      <w:r w:rsidR="009D5A81" w:rsidRPr="0029511A">
        <w:rPr>
          <w:rFonts w:ascii="Calibri" w:eastAsia="Calibri Light" w:hAnsi="Calibri" w:cs="Calibri"/>
        </w:rPr>
        <w:t>,</w:t>
      </w:r>
      <w:r w:rsidRPr="0029511A">
        <w:rPr>
          <w:rFonts w:ascii="Calibri" w:eastAsia="Calibri Light" w:hAnsi="Calibri" w:cs="Calibri"/>
        </w:rPr>
        <w:t xml:space="preserve"> if required, another evaluation expert</w:t>
      </w:r>
      <w:r w:rsidRPr="0029511A">
        <w:rPr>
          <w:rFonts w:ascii="Calibri" w:hAnsi="Calibri" w:cs="Calibri"/>
        </w:rPr>
        <w:t xml:space="preserve"> (</w:t>
      </w:r>
      <w:r w:rsidRPr="0029511A">
        <w:rPr>
          <w:rFonts w:ascii="Calibri" w:eastAsia="Calibri Light" w:hAnsi="Calibri" w:cs="Calibri"/>
        </w:rPr>
        <w:t xml:space="preserve">Alex Gruenewald). The cost of international flights from </w:t>
      </w:r>
      <w:r w:rsidRPr="0029511A">
        <w:rPr>
          <w:rFonts w:ascii="Calibri" w:eastAsia="Calibri Light" w:hAnsi="Calibri" w:cs="Calibri"/>
          <w:color w:val="000000" w:themeColor="text1"/>
        </w:rPr>
        <w:t>Matt Smith’s home base in the UK will be covered by Strategic, not DFAT.</w:t>
      </w:r>
      <w:r w:rsidRPr="0029511A">
        <w:rPr>
          <w:rFonts w:ascii="Calibri" w:eastAsia="Calibri Light" w:hAnsi="Calibri" w:cs="Calibri"/>
        </w:rPr>
        <w:t xml:space="preserve"> Other costs for the </w:t>
      </w:r>
      <w:r w:rsidR="00AA3F82" w:rsidRPr="0029511A">
        <w:rPr>
          <w:rFonts w:ascii="Calibri" w:eastAsia="Calibri Light" w:hAnsi="Calibri" w:cs="Calibri"/>
        </w:rPr>
        <w:t>Canberra-</w:t>
      </w:r>
      <w:r w:rsidRPr="0029511A">
        <w:rPr>
          <w:rFonts w:ascii="Calibri" w:eastAsia="Calibri Light" w:hAnsi="Calibri" w:cs="Calibri"/>
        </w:rPr>
        <w:t>based consultations will be</w:t>
      </w:r>
      <w:r w:rsidRPr="0029511A">
        <w:rPr>
          <w:rFonts w:ascii="Calibri" w:eastAsia="Calibri Light" w:hAnsi="Calibri" w:cs="Calibri"/>
          <w:color w:val="000000" w:themeColor="text1"/>
        </w:rPr>
        <w:t xml:space="preserve"> covered under the reimbursable costs (</w:t>
      </w:r>
      <w:r w:rsidR="009D5A81" w:rsidRPr="0029511A">
        <w:rPr>
          <w:rFonts w:ascii="Calibri" w:eastAsia="Calibri Light" w:hAnsi="Calibri" w:cs="Calibri"/>
          <w:color w:val="000000" w:themeColor="text1"/>
        </w:rPr>
        <w:t>p</w:t>
      </w:r>
      <w:r w:rsidRPr="0029511A">
        <w:rPr>
          <w:rFonts w:ascii="Calibri" w:eastAsia="Calibri Light" w:hAnsi="Calibri" w:cs="Calibri"/>
          <w:color w:val="000000" w:themeColor="text1"/>
        </w:rPr>
        <w:t>rofessional fees and advisor support costs categories).</w:t>
      </w:r>
    </w:p>
    <w:p w14:paraId="69400D02" w14:textId="77777777" w:rsidR="0091229C" w:rsidRPr="0029511A" w:rsidRDefault="0091229C" w:rsidP="0091229C">
      <w:pPr>
        <w:spacing w:before="120"/>
        <w:rPr>
          <w:rFonts w:ascii="Calibri" w:eastAsia="Calibri Light" w:hAnsi="Calibri" w:cs="Calibri"/>
          <w:i/>
          <w:iCs/>
          <w:color w:val="000000" w:themeColor="text1"/>
        </w:rPr>
      </w:pPr>
      <w:r w:rsidRPr="0029511A">
        <w:rPr>
          <w:rFonts w:ascii="Calibri" w:eastAsia="Calibri Light" w:hAnsi="Calibri" w:cs="Calibri"/>
          <w:i/>
          <w:iCs/>
          <w:color w:val="000000" w:themeColor="text1"/>
        </w:rPr>
        <w:t>Travel for AASP Investment Manager (DFAT)</w:t>
      </w:r>
    </w:p>
    <w:p w14:paraId="593FE9E8" w14:textId="605E796F" w:rsidR="0091229C" w:rsidRPr="0029511A" w:rsidRDefault="0091229C" w:rsidP="0091229C">
      <w:pPr>
        <w:spacing w:before="120"/>
        <w:rPr>
          <w:rFonts w:ascii="Calibri" w:eastAsia="Calibri Light" w:hAnsi="Calibri" w:cs="Calibri"/>
          <w:color w:val="000000" w:themeColor="text1"/>
        </w:rPr>
      </w:pPr>
      <w:r w:rsidRPr="0029511A">
        <w:rPr>
          <w:rFonts w:ascii="Calibri" w:eastAsia="Calibri Light" w:hAnsi="Calibri" w:cs="Calibri"/>
          <w:color w:val="000000" w:themeColor="text1"/>
        </w:rPr>
        <w:t xml:space="preserve">Travel for DFAT AASP Investment Manager for </w:t>
      </w:r>
      <w:r w:rsidR="001905DF" w:rsidRPr="0029511A">
        <w:rPr>
          <w:rFonts w:ascii="Calibri" w:eastAsia="Calibri Light" w:hAnsi="Calibri" w:cs="Calibri"/>
          <w:color w:val="000000" w:themeColor="text1"/>
        </w:rPr>
        <w:t>m</w:t>
      </w:r>
      <w:r w:rsidRPr="0029511A">
        <w:rPr>
          <w:rFonts w:ascii="Calibri" w:eastAsia="Calibri Light" w:hAnsi="Calibri" w:cs="Calibri"/>
          <w:color w:val="000000" w:themeColor="text1"/>
        </w:rPr>
        <w:t xml:space="preserve">onitoring and </w:t>
      </w:r>
      <w:r w:rsidR="001905DF" w:rsidRPr="0029511A">
        <w:rPr>
          <w:rFonts w:ascii="Calibri" w:eastAsia="Calibri Light" w:hAnsi="Calibri" w:cs="Calibri"/>
          <w:color w:val="000000" w:themeColor="text1"/>
        </w:rPr>
        <w:t>e</w:t>
      </w:r>
      <w:r w:rsidRPr="0029511A">
        <w:rPr>
          <w:rFonts w:ascii="Calibri" w:eastAsia="Calibri Light" w:hAnsi="Calibri" w:cs="Calibri"/>
          <w:color w:val="000000" w:themeColor="text1"/>
        </w:rPr>
        <w:t>valuation activities has been allocated in the AASP budget under the relevant Activity dedicated to the monitoring, review and evaluation of the AASP when it was designed. Appropriate S23 delegate (SES) approval will be sought to use the officer’s use of ODA funding for international travel as per ODA requirements</w:t>
      </w:r>
      <w:r w:rsidRPr="0029511A">
        <w:rPr>
          <w:rStyle w:val="FootnoteReference"/>
          <w:rFonts w:ascii="Calibri" w:eastAsia="Calibri Light" w:hAnsi="Calibri" w:cs="Calibri"/>
          <w:color w:val="000000" w:themeColor="text1"/>
        </w:rPr>
        <w:footnoteReference w:id="12"/>
      </w:r>
      <w:r w:rsidRPr="0029511A">
        <w:rPr>
          <w:rFonts w:ascii="Calibri" w:eastAsia="Calibri Light" w:hAnsi="Calibri" w:cs="Calibri"/>
          <w:color w:val="000000" w:themeColor="text1"/>
        </w:rPr>
        <w:t xml:space="preserve">. </w:t>
      </w:r>
      <w:r w:rsidRPr="0029511A">
        <w:rPr>
          <w:rFonts w:ascii="Calibri" w:eastAsia="Calibri Light" w:hAnsi="Calibri" w:cs="Calibri"/>
          <w:color w:val="000000" w:themeColor="text1"/>
        </w:rPr>
        <w:lastRenderedPageBreak/>
        <w:t xml:space="preserve">Since this travel directly relates to the management of an ODA investment (including design, implementation, and review), then the costs associated with it </w:t>
      </w:r>
      <w:r w:rsidR="00AA3F82" w:rsidRPr="0029511A">
        <w:rPr>
          <w:rFonts w:ascii="Calibri" w:eastAsia="Calibri Light" w:hAnsi="Calibri" w:cs="Calibri"/>
          <w:color w:val="000000" w:themeColor="text1"/>
        </w:rPr>
        <w:t>are</w:t>
      </w:r>
      <w:r w:rsidRPr="0029511A">
        <w:rPr>
          <w:rFonts w:ascii="Calibri" w:eastAsia="Calibri Light" w:hAnsi="Calibri" w:cs="Calibri"/>
          <w:color w:val="000000" w:themeColor="text1"/>
        </w:rPr>
        <w:t xml:space="preserve"> </w:t>
      </w:r>
      <w:r w:rsidR="00AA3F82" w:rsidRPr="0029511A">
        <w:rPr>
          <w:rFonts w:ascii="Calibri" w:eastAsia="Calibri Light" w:hAnsi="Calibri" w:cs="Calibri"/>
          <w:color w:val="000000" w:themeColor="text1"/>
        </w:rPr>
        <w:t>ODA-</w:t>
      </w:r>
      <w:r w:rsidRPr="0029511A">
        <w:rPr>
          <w:rFonts w:ascii="Calibri" w:eastAsia="Calibri Light" w:hAnsi="Calibri" w:cs="Calibri"/>
          <w:color w:val="000000" w:themeColor="text1"/>
        </w:rPr>
        <w:t>eligible.</w:t>
      </w:r>
    </w:p>
    <w:p w14:paraId="03FD3D81" w14:textId="23657117" w:rsidR="0091229C" w:rsidRPr="0029511A" w:rsidRDefault="0091229C" w:rsidP="0091229C">
      <w:pPr>
        <w:spacing w:before="120"/>
        <w:rPr>
          <w:rFonts w:ascii="Calibri" w:eastAsia="Calibri Light" w:hAnsi="Calibri" w:cs="Calibri"/>
          <w:color w:val="000000" w:themeColor="text1"/>
        </w:rPr>
      </w:pPr>
      <w:r w:rsidRPr="0029511A">
        <w:rPr>
          <w:rFonts w:ascii="Calibri" w:eastAsia="Calibri Light" w:hAnsi="Calibri" w:cs="Calibri"/>
          <w:color w:val="000000" w:themeColor="text1"/>
        </w:rPr>
        <w:t xml:space="preserve">As the DFAT AASP Investment Manager, it is proposed that Ms Negi will travel to Peru for 4-5 days (subject to timing of the workshops) during the SOM3 cluster of meetings to be held in Lima </w:t>
      </w:r>
      <w:proofErr w:type="gramStart"/>
      <w:r w:rsidRPr="0029511A">
        <w:rPr>
          <w:rFonts w:ascii="Calibri" w:eastAsia="Calibri Light" w:hAnsi="Calibri" w:cs="Calibri"/>
          <w:color w:val="000000" w:themeColor="text1"/>
        </w:rPr>
        <w:t>in order to</w:t>
      </w:r>
      <w:proofErr w:type="gramEnd"/>
      <w:r w:rsidRPr="0029511A">
        <w:rPr>
          <w:rFonts w:ascii="Calibri" w:eastAsia="Calibri Light" w:hAnsi="Calibri" w:cs="Calibri"/>
          <w:color w:val="000000" w:themeColor="text1"/>
        </w:rPr>
        <w:t xml:space="preserve"> take advantage of the fact that activity participants who will be on the ground during this cluster to attend APEC meetings and workshops to facilitate face to face interviews. Ms Negi will schedule appropriate interview times ahead of the workshops to ensure full participation and ask evaluation questions as per the evaluation plan specifically to assess ‘to what </w:t>
      </w:r>
      <w:r w:rsidR="003B7783" w:rsidRPr="0029511A">
        <w:rPr>
          <w:rFonts w:ascii="Calibri" w:eastAsia="Calibri Light" w:hAnsi="Calibri" w:cs="Calibri"/>
          <w:color w:val="000000" w:themeColor="text1"/>
        </w:rPr>
        <w:t xml:space="preserve">extent </w:t>
      </w:r>
      <w:r w:rsidRPr="0029511A">
        <w:rPr>
          <w:rFonts w:ascii="Calibri" w:eastAsia="Calibri Light" w:hAnsi="Calibri" w:cs="Calibri"/>
          <w:color w:val="000000" w:themeColor="text1"/>
        </w:rPr>
        <w:t xml:space="preserve">the DFAT self-funded activities have led or contributed to changes or reforms in their respective economies’. </w:t>
      </w:r>
    </w:p>
    <w:p w14:paraId="6A680E29" w14:textId="2443A648" w:rsidR="0021352E" w:rsidRDefault="0091229C" w:rsidP="0091229C">
      <w:pPr>
        <w:spacing w:before="120"/>
        <w:rPr>
          <w:rFonts w:ascii="Calibri" w:eastAsia="Calibri Light" w:hAnsi="Calibri" w:cs="Calibri"/>
          <w:color w:val="000000" w:themeColor="text1"/>
        </w:rPr>
      </w:pPr>
      <w:r w:rsidRPr="0029511A">
        <w:rPr>
          <w:rFonts w:ascii="Calibri" w:eastAsia="Calibri Light" w:hAnsi="Calibri" w:cs="Calibri"/>
          <w:color w:val="000000" w:themeColor="text1"/>
        </w:rPr>
        <w:t xml:space="preserve">Most attendees are likely to be the ones who have attended previous workshops hosted by Australia since some AASP projects are multiyear projects. Ms Negi will conduct </w:t>
      </w:r>
      <w:r w:rsidR="00AA3F82" w:rsidRPr="0029511A">
        <w:rPr>
          <w:rFonts w:ascii="Calibri" w:eastAsia="Calibri Light" w:hAnsi="Calibri" w:cs="Calibri"/>
          <w:color w:val="000000" w:themeColor="text1"/>
        </w:rPr>
        <w:t>in-</w:t>
      </w:r>
      <w:r w:rsidRPr="0029511A">
        <w:rPr>
          <w:rFonts w:ascii="Calibri" w:eastAsia="Calibri Light" w:hAnsi="Calibri" w:cs="Calibri"/>
          <w:color w:val="000000" w:themeColor="text1"/>
        </w:rPr>
        <w:t xml:space="preserve">person interviews with up to 9. Covering each </w:t>
      </w:r>
      <w:r w:rsidR="00AA3F82" w:rsidRPr="0029511A">
        <w:rPr>
          <w:rFonts w:ascii="Calibri" w:eastAsia="Calibri Light" w:hAnsi="Calibri" w:cs="Calibri"/>
          <w:color w:val="000000" w:themeColor="text1"/>
        </w:rPr>
        <w:t>ODA-</w:t>
      </w:r>
      <w:r w:rsidRPr="0029511A">
        <w:rPr>
          <w:rFonts w:ascii="Calibri" w:eastAsia="Calibri Light" w:hAnsi="Calibri" w:cs="Calibri"/>
          <w:color w:val="000000" w:themeColor="text1"/>
        </w:rPr>
        <w:t xml:space="preserve">eligible APEC economy key informants during the workshops below. The convergence of such workshops below funded </w:t>
      </w:r>
      <w:r w:rsidR="00AA3F82" w:rsidRPr="0029511A">
        <w:rPr>
          <w:rFonts w:ascii="Calibri" w:eastAsia="Calibri Light" w:hAnsi="Calibri" w:cs="Calibri"/>
          <w:color w:val="000000" w:themeColor="text1"/>
        </w:rPr>
        <w:t>by</w:t>
      </w:r>
      <w:r w:rsidRPr="0029511A">
        <w:rPr>
          <w:rFonts w:ascii="Calibri" w:eastAsia="Calibri Light" w:hAnsi="Calibri" w:cs="Calibri"/>
          <w:color w:val="000000" w:themeColor="text1"/>
        </w:rPr>
        <w:t xml:space="preserve"> AASP presents a unique opportunity to conduct this MTR.</w:t>
      </w:r>
    </w:p>
    <w:p w14:paraId="12F986BD" w14:textId="77777777" w:rsidR="0021352E" w:rsidRPr="000844CF" w:rsidRDefault="0021352E" w:rsidP="0021352E">
      <w:pPr>
        <w:spacing w:before="120"/>
        <w:rPr>
          <w:rFonts w:ascii="Calibri" w:eastAsia="Calibri Light" w:hAnsi="Calibri" w:cs="Calibri"/>
          <w:b/>
          <w:bCs/>
          <w:color w:val="000000" w:themeColor="text1"/>
        </w:rPr>
      </w:pPr>
      <w:r w:rsidRPr="000844CF">
        <w:rPr>
          <w:rFonts w:ascii="Calibri" w:eastAsia="Calibri Light" w:hAnsi="Calibri" w:cs="Calibri"/>
          <w:b/>
          <w:bCs/>
          <w:color w:val="000000" w:themeColor="text1"/>
        </w:rPr>
        <w:t>GOS-related events at SOM3</w:t>
      </w:r>
    </w:p>
    <w:p w14:paraId="09B2C719" w14:textId="6E26D38F" w:rsidR="0021352E" w:rsidRPr="0021352E" w:rsidRDefault="0021352E" w:rsidP="000844CF">
      <w:pPr>
        <w:spacing w:before="120"/>
        <w:rPr>
          <w:rFonts w:ascii="Calibri" w:eastAsia="Calibri Light" w:hAnsi="Calibri" w:cs="Calibri"/>
          <w:color w:val="000000" w:themeColor="text1"/>
        </w:rPr>
      </w:pPr>
      <w:r w:rsidRPr="0021352E">
        <w:rPr>
          <w:rFonts w:ascii="Calibri" w:eastAsia="Calibri Light" w:hAnsi="Calibri" w:cs="Calibri"/>
          <w:color w:val="000000" w:themeColor="text1"/>
        </w:rPr>
        <w:t>15 August</w:t>
      </w:r>
      <w:r w:rsidR="000844CF">
        <w:rPr>
          <w:rFonts w:ascii="Calibri" w:eastAsia="Calibri Light" w:hAnsi="Calibri" w:cs="Calibri"/>
          <w:color w:val="000000" w:themeColor="text1"/>
        </w:rPr>
        <w:t xml:space="preserve">: </w:t>
      </w:r>
      <w:r w:rsidRPr="0021352E">
        <w:rPr>
          <w:rFonts w:ascii="Calibri" w:eastAsia="Calibri Light" w:hAnsi="Calibri" w:cs="Calibri"/>
          <w:color w:val="000000" w:themeColor="text1"/>
        </w:rPr>
        <w:t>Full day</w:t>
      </w:r>
      <w:r w:rsidR="000844CF">
        <w:rPr>
          <w:rFonts w:ascii="Calibri" w:eastAsia="Calibri Light" w:hAnsi="Calibri" w:cs="Calibri"/>
          <w:color w:val="000000" w:themeColor="text1"/>
        </w:rPr>
        <w:t xml:space="preserve"> </w:t>
      </w:r>
      <w:r w:rsidRPr="0021352E">
        <w:rPr>
          <w:rFonts w:ascii="Calibri" w:eastAsia="Calibri Light" w:hAnsi="Calibri" w:cs="Calibri"/>
          <w:color w:val="000000" w:themeColor="text1"/>
        </w:rPr>
        <w:t xml:space="preserve">GOS Workshop on “Knowledge Intensive Business Services (KIBS), Digital Services and Barriers faced by Women in International Trade in Services” </w:t>
      </w:r>
    </w:p>
    <w:p w14:paraId="2A8CB3AB" w14:textId="4C367D14" w:rsidR="0021352E" w:rsidRPr="0021352E" w:rsidRDefault="0021352E" w:rsidP="000844CF">
      <w:pPr>
        <w:spacing w:before="120"/>
        <w:rPr>
          <w:rFonts w:ascii="Calibri" w:eastAsia="Calibri Light" w:hAnsi="Calibri" w:cs="Calibri"/>
          <w:color w:val="000000" w:themeColor="text1"/>
        </w:rPr>
      </w:pPr>
      <w:r w:rsidRPr="0021352E">
        <w:rPr>
          <w:rFonts w:ascii="Calibri" w:eastAsia="Calibri Light" w:hAnsi="Calibri" w:cs="Calibri"/>
          <w:color w:val="000000" w:themeColor="text1"/>
        </w:rPr>
        <w:t>16 August</w:t>
      </w:r>
      <w:r w:rsidR="0082526C">
        <w:rPr>
          <w:rFonts w:ascii="Calibri" w:eastAsia="Calibri Light" w:hAnsi="Calibri" w:cs="Calibri"/>
          <w:color w:val="000000" w:themeColor="text1"/>
        </w:rPr>
        <w:t xml:space="preserve">: </w:t>
      </w:r>
      <w:r w:rsidRPr="0021352E">
        <w:rPr>
          <w:rFonts w:ascii="Calibri" w:eastAsia="Calibri Light" w:hAnsi="Calibri" w:cs="Calibri"/>
          <w:color w:val="000000" w:themeColor="text1"/>
        </w:rPr>
        <w:t>Full day</w:t>
      </w:r>
      <w:r w:rsidR="0082526C">
        <w:rPr>
          <w:rFonts w:ascii="Calibri" w:eastAsia="Calibri Light" w:hAnsi="Calibri" w:cs="Calibri"/>
          <w:color w:val="000000" w:themeColor="text1"/>
        </w:rPr>
        <w:t xml:space="preserve"> </w:t>
      </w:r>
      <w:r w:rsidRPr="0021352E">
        <w:rPr>
          <w:rFonts w:ascii="Calibri" w:eastAsia="Calibri Light" w:hAnsi="Calibri" w:cs="Calibri"/>
          <w:color w:val="000000" w:themeColor="text1"/>
        </w:rPr>
        <w:t>GOS Workshop on “Applying Effective Principles for Technical Standards Development in Services”</w:t>
      </w:r>
    </w:p>
    <w:p w14:paraId="72D579B0" w14:textId="7B59AE01" w:rsidR="0021352E" w:rsidRPr="0021352E" w:rsidRDefault="0021352E" w:rsidP="000844CF">
      <w:pPr>
        <w:spacing w:before="120"/>
        <w:rPr>
          <w:rFonts w:ascii="Calibri" w:eastAsia="Calibri Light" w:hAnsi="Calibri" w:cs="Calibri"/>
          <w:color w:val="000000" w:themeColor="text1"/>
        </w:rPr>
      </w:pPr>
      <w:r w:rsidRPr="0021352E">
        <w:rPr>
          <w:rFonts w:ascii="Calibri" w:eastAsia="Calibri Light" w:hAnsi="Calibri" w:cs="Calibri"/>
          <w:color w:val="000000" w:themeColor="text1"/>
        </w:rPr>
        <w:t>17 Augus</w:t>
      </w:r>
      <w:r w:rsidR="0082526C">
        <w:rPr>
          <w:rFonts w:ascii="Calibri" w:eastAsia="Calibri Light" w:hAnsi="Calibri" w:cs="Calibri"/>
          <w:color w:val="000000" w:themeColor="text1"/>
        </w:rPr>
        <w:t xml:space="preserve">t: </w:t>
      </w:r>
      <w:r w:rsidRPr="0021352E">
        <w:rPr>
          <w:rFonts w:ascii="Calibri" w:eastAsia="Calibri Light" w:hAnsi="Calibri" w:cs="Calibri"/>
          <w:color w:val="000000" w:themeColor="text1"/>
        </w:rPr>
        <w:t>Full day</w:t>
      </w:r>
      <w:r w:rsidR="0082526C">
        <w:rPr>
          <w:rFonts w:ascii="Calibri" w:eastAsia="Calibri Light" w:hAnsi="Calibri" w:cs="Calibri"/>
          <w:color w:val="000000" w:themeColor="text1"/>
        </w:rPr>
        <w:t xml:space="preserve"> </w:t>
      </w:r>
      <w:r w:rsidRPr="0021352E">
        <w:rPr>
          <w:rFonts w:ascii="Calibri" w:eastAsia="Calibri Light" w:hAnsi="Calibri" w:cs="Calibri"/>
          <w:color w:val="000000" w:themeColor="text1"/>
        </w:rPr>
        <w:t>GOS Plenary + Technical Group Meeting</w:t>
      </w:r>
    </w:p>
    <w:p w14:paraId="5C884CB4" w14:textId="68E41F06" w:rsidR="0021352E" w:rsidRPr="0021352E" w:rsidRDefault="0021352E" w:rsidP="000844CF">
      <w:pPr>
        <w:spacing w:before="120"/>
        <w:rPr>
          <w:rFonts w:ascii="Calibri" w:eastAsia="Calibri Light" w:hAnsi="Calibri" w:cs="Calibri"/>
          <w:color w:val="000000" w:themeColor="text1"/>
        </w:rPr>
      </w:pPr>
      <w:r w:rsidRPr="0021352E">
        <w:rPr>
          <w:rFonts w:ascii="Calibri" w:eastAsia="Calibri Light" w:hAnsi="Calibri" w:cs="Calibri"/>
          <w:color w:val="000000" w:themeColor="text1"/>
        </w:rPr>
        <w:t>18-20 August</w:t>
      </w:r>
      <w:r w:rsidR="00A76952">
        <w:rPr>
          <w:rFonts w:ascii="Calibri" w:eastAsia="Calibri Light" w:hAnsi="Calibri" w:cs="Calibri"/>
          <w:color w:val="000000" w:themeColor="text1"/>
        </w:rPr>
        <w:t xml:space="preserve">: TBD </w:t>
      </w:r>
      <w:r w:rsidRPr="0021352E">
        <w:rPr>
          <w:rFonts w:ascii="Calibri" w:eastAsia="Calibri Light" w:hAnsi="Calibri" w:cs="Calibri"/>
          <w:color w:val="000000" w:themeColor="text1"/>
        </w:rPr>
        <w:t>ASCR Dialogue, including:</w:t>
      </w:r>
    </w:p>
    <w:p w14:paraId="73F36C9B" w14:textId="77777777" w:rsidR="0021352E" w:rsidRPr="0021352E" w:rsidRDefault="0021352E" w:rsidP="000844CF">
      <w:pPr>
        <w:spacing w:before="120"/>
        <w:rPr>
          <w:rFonts w:ascii="Calibri" w:eastAsia="Calibri Light" w:hAnsi="Calibri" w:cs="Calibri"/>
          <w:color w:val="000000" w:themeColor="text1"/>
        </w:rPr>
      </w:pPr>
      <w:r w:rsidRPr="0021352E">
        <w:rPr>
          <w:rFonts w:ascii="Calibri" w:eastAsia="Calibri Light" w:hAnsi="Calibri" w:cs="Calibri"/>
          <w:color w:val="000000" w:themeColor="text1"/>
        </w:rPr>
        <w:t>•</w:t>
      </w:r>
      <w:r w:rsidRPr="0021352E">
        <w:rPr>
          <w:rFonts w:ascii="Calibri" w:eastAsia="Calibri Light" w:hAnsi="Calibri" w:cs="Calibri"/>
          <w:color w:val="000000" w:themeColor="text1"/>
        </w:rPr>
        <w:tab/>
        <w:t>Participation of women in high-skilled services trade in APEC</w:t>
      </w:r>
    </w:p>
    <w:p w14:paraId="13EBB50A" w14:textId="5C9A77A2" w:rsidR="0021352E" w:rsidRDefault="0021352E" w:rsidP="000844CF">
      <w:pPr>
        <w:spacing w:before="120"/>
        <w:rPr>
          <w:rFonts w:ascii="Calibri" w:eastAsia="Calibri Light" w:hAnsi="Calibri" w:cs="Calibri"/>
          <w:color w:val="000000" w:themeColor="text1"/>
        </w:rPr>
      </w:pPr>
      <w:r w:rsidRPr="0021352E">
        <w:rPr>
          <w:rFonts w:ascii="Calibri" w:eastAsia="Calibri Light" w:hAnsi="Calibri" w:cs="Calibri"/>
          <w:color w:val="000000" w:themeColor="text1"/>
        </w:rPr>
        <w:t>•</w:t>
      </w:r>
      <w:r w:rsidRPr="0021352E">
        <w:rPr>
          <w:rFonts w:ascii="Calibri" w:eastAsia="Calibri Light" w:hAnsi="Calibri" w:cs="Calibri"/>
          <w:color w:val="000000" w:themeColor="text1"/>
        </w:rPr>
        <w:tab/>
        <w:t>Joint EC and GOS event on Services and Structural Reform</w:t>
      </w:r>
    </w:p>
    <w:p w14:paraId="3FE7D78D" w14:textId="69A98301" w:rsidR="0021352E" w:rsidRPr="00A76952" w:rsidRDefault="00A76952" w:rsidP="0091229C">
      <w:pPr>
        <w:spacing w:before="120"/>
        <w:rPr>
          <w:rFonts w:ascii="Calibri" w:eastAsia="Calibri Light" w:hAnsi="Calibri" w:cs="Calibri"/>
          <w:b/>
          <w:bCs/>
          <w:color w:val="000000" w:themeColor="text1"/>
        </w:rPr>
      </w:pPr>
      <w:r w:rsidRPr="00A76952">
        <w:rPr>
          <w:rFonts w:ascii="Calibri" w:eastAsia="Calibri Light" w:hAnsi="Calibri" w:cs="Calibri"/>
          <w:b/>
          <w:bCs/>
          <w:color w:val="000000" w:themeColor="text1"/>
        </w:rPr>
        <w:t>Trade and Investment related events in SOM3</w:t>
      </w:r>
    </w:p>
    <w:p w14:paraId="54A4AFA3" w14:textId="20858AA9" w:rsidR="00CD5E19" w:rsidRPr="0029511A" w:rsidRDefault="00A76952" w:rsidP="003401A9">
      <w:pPr>
        <w:spacing w:before="120"/>
        <w:rPr>
          <w:rFonts w:ascii="Calibri" w:hAnsi="Calibri" w:cs="Calibri"/>
          <w:lang w:val="en-GB"/>
        </w:rPr>
      </w:pPr>
      <w:r w:rsidRPr="00A76952">
        <w:rPr>
          <w:rFonts w:ascii="Calibri" w:eastAsia="Calibri Light" w:hAnsi="Calibri" w:cs="Calibri"/>
          <w:color w:val="000000" w:themeColor="text1"/>
        </w:rPr>
        <w:t>Date TBD</w:t>
      </w:r>
      <w:r>
        <w:rPr>
          <w:rFonts w:ascii="Calibri" w:eastAsia="Calibri Light" w:hAnsi="Calibri" w:cs="Calibri"/>
          <w:color w:val="000000" w:themeColor="text1"/>
        </w:rPr>
        <w:t xml:space="preserve">: </w:t>
      </w:r>
      <w:r w:rsidRPr="00A76952">
        <w:rPr>
          <w:rFonts w:ascii="Calibri" w:eastAsia="Calibri Light" w:hAnsi="Calibri" w:cs="Calibri"/>
          <w:color w:val="000000" w:themeColor="text1"/>
        </w:rPr>
        <w:t>Full day?</w:t>
      </w:r>
      <w:r>
        <w:rPr>
          <w:rFonts w:ascii="Calibri" w:eastAsia="Calibri Light" w:hAnsi="Calibri" w:cs="Calibri"/>
          <w:color w:val="000000" w:themeColor="text1"/>
        </w:rPr>
        <w:t xml:space="preserve"> </w:t>
      </w:r>
      <w:r w:rsidRPr="00A76952">
        <w:rPr>
          <w:rFonts w:ascii="Calibri" w:eastAsia="Calibri Light" w:hAnsi="Calibri" w:cs="Calibri"/>
          <w:color w:val="000000" w:themeColor="text1"/>
        </w:rPr>
        <w:t>A path to Paperless Trade workshop</w:t>
      </w:r>
    </w:p>
    <w:sectPr w:rsidR="00CD5E19" w:rsidRPr="0029511A" w:rsidSect="00D06192">
      <w:type w:val="continuous"/>
      <w:pgSz w:w="11900" w:h="16840"/>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6C8A0" w14:textId="77777777" w:rsidR="00AD2E46" w:rsidRDefault="00AD2E46" w:rsidP="00370438">
      <w:r>
        <w:separator/>
      </w:r>
    </w:p>
  </w:endnote>
  <w:endnote w:type="continuationSeparator" w:id="0">
    <w:p w14:paraId="7E58B0F2" w14:textId="77777777" w:rsidR="00AD2E46" w:rsidRDefault="00AD2E46" w:rsidP="00370438">
      <w:r>
        <w:continuationSeparator/>
      </w:r>
    </w:p>
  </w:endnote>
  <w:endnote w:type="continuationNotice" w:id="1">
    <w:p w14:paraId="463D1BB4" w14:textId="77777777" w:rsidR="00AD2E46" w:rsidRDefault="00AD2E46" w:rsidP="00370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variable"/>
    <w:sig w:usb0="E0002AEF" w:usb1="C0007841" w:usb2="00000009" w:usb3="00000000" w:csb0="000001FF" w:csb1="00000000"/>
  </w:font>
  <w:font w:name="Minion Pro">
    <w:charset w:val="00"/>
    <w:family w:val="roman"/>
    <w:pitch w:val="variable"/>
    <w:sig w:usb0="60000287" w:usb1="00000001" w:usb2="00000000" w:usb3="00000000" w:csb0="0000019F" w:csb1="00000000"/>
  </w:font>
  <w:font w:name="Roboto Light">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Oswald">
    <w:charset w:val="00"/>
    <w:family w:val="auto"/>
    <w:pitch w:val="variable"/>
    <w:sig w:usb0="2000020F" w:usb1="00000000" w:usb2="00000000" w:usb3="00000000" w:csb0="00000197" w:csb1="00000000"/>
  </w:font>
  <w:font w:name="calibri,sans-serif">
    <w:altName w:val="Calibri"/>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39C1" w14:textId="5B8A74F3" w:rsidR="00A11201" w:rsidRDefault="00A11201" w:rsidP="00370438">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1F0E5E">
      <w:rPr>
        <w:rStyle w:val="PageNumber"/>
        <w:noProof/>
      </w:rPr>
      <w:t>2</w:t>
    </w:r>
    <w:r>
      <w:rPr>
        <w:rStyle w:val="PageNumber"/>
      </w:rPr>
      <w:fldChar w:fldCharType="end"/>
    </w:r>
  </w:p>
  <w:p w14:paraId="58A4F112" w14:textId="6F3FDA61" w:rsidR="00A11201" w:rsidRDefault="00A11201" w:rsidP="00370438">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1F0E5E">
      <w:rPr>
        <w:rStyle w:val="PageNumber"/>
        <w:noProof/>
      </w:rPr>
      <w:t>2</w:t>
    </w:r>
    <w:r>
      <w:rPr>
        <w:rStyle w:val="PageNumber"/>
      </w:rPr>
      <w:fldChar w:fldCharType="end"/>
    </w:r>
  </w:p>
  <w:p w14:paraId="7DC200A0" w14:textId="77777777" w:rsidR="00A11201" w:rsidRDefault="00A11201" w:rsidP="00370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351659"/>
      <w:docPartObj>
        <w:docPartGallery w:val="Page Numbers (Bottom of Page)"/>
        <w:docPartUnique/>
      </w:docPartObj>
    </w:sdtPr>
    <w:sdtEndPr>
      <w:rPr>
        <w:rStyle w:val="PageNumber"/>
        <w:color w:val="auto"/>
      </w:rPr>
    </w:sdtEndPr>
    <w:sdtContent>
      <w:p w14:paraId="262EF6C6" w14:textId="0BF399BC" w:rsidR="00A11201" w:rsidRPr="008732AF" w:rsidRDefault="00A11201" w:rsidP="00370438">
        <w:pPr>
          <w:pStyle w:val="Subheading"/>
          <w:rPr>
            <w:rStyle w:val="PageNumber"/>
            <w:color w:val="auto"/>
          </w:rPr>
        </w:pPr>
        <w:r w:rsidRPr="008732AF">
          <w:rPr>
            <w:rStyle w:val="PageNumber"/>
            <w:color w:val="auto"/>
          </w:rPr>
          <w:fldChar w:fldCharType="begin"/>
        </w:r>
        <w:r w:rsidRPr="008732AF">
          <w:rPr>
            <w:rStyle w:val="PageNumber"/>
            <w:color w:val="auto"/>
          </w:rPr>
          <w:instrText xml:space="preserve"> PAGE </w:instrText>
        </w:r>
        <w:r w:rsidRPr="008732AF">
          <w:rPr>
            <w:rStyle w:val="PageNumber"/>
            <w:color w:val="auto"/>
          </w:rPr>
          <w:fldChar w:fldCharType="separate"/>
        </w:r>
        <w:r w:rsidRPr="008732AF">
          <w:rPr>
            <w:rStyle w:val="PageNumber"/>
            <w:noProof/>
            <w:color w:val="auto"/>
          </w:rPr>
          <w:t>2</w:t>
        </w:r>
        <w:r w:rsidRPr="008732AF">
          <w:rPr>
            <w:rStyle w:val="PageNumber"/>
            <w:color w:val="auto"/>
          </w:rPr>
          <w:fldChar w:fldCharType="end"/>
        </w:r>
      </w:p>
    </w:sdtContent>
  </w:sdt>
  <w:p w14:paraId="6160B321" w14:textId="0DAF38C7" w:rsidR="008732AF" w:rsidRPr="00192492" w:rsidRDefault="00480747" w:rsidP="00370438">
    <w:pPr>
      <w:rPr>
        <w:rStyle w:val="Heading"/>
        <w:rFonts w:cstheme="majorHAnsi"/>
        <w:sz w:val="24"/>
        <w:szCs w:val="24"/>
      </w:rPr>
    </w:pPr>
    <w:r>
      <w:rPr>
        <w:rStyle w:val="Heading"/>
        <w:rFonts w:cstheme="majorHAnsi"/>
        <w:sz w:val="24"/>
        <w:szCs w:val="24"/>
      </w:rPr>
      <w:t>Mid Term Review of SARIC – Draft Report</w:t>
    </w:r>
  </w:p>
  <w:p w14:paraId="49CCA923" w14:textId="24F8EA7E" w:rsidR="008732AF" w:rsidRPr="008732AF" w:rsidRDefault="008732AF" w:rsidP="00370438">
    <w:pPr>
      <w:rPr>
        <w:rFonts w:eastAsia="Times New Roman" w:cs="Times New Roman"/>
      </w:rPr>
    </w:pPr>
    <w:r w:rsidRPr="008732AF">
      <w:t>FORWARD THINKING PROJECTS. THRIVING COMMUNITIES.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59BA" w14:textId="7B0D7F83" w:rsidR="00001E7D" w:rsidRPr="00001E7D" w:rsidRDefault="00001E7D" w:rsidP="00370438">
    <w:pPr>
      <w:pStyle w:val="Footer"/>
    </w:pPr>
  </w:p>
  <w:p w14:paraId="2BBF7296" w14:textId="29109530" w:rsidR="008732AF" w:rsidRPr="0069215C" w:rsidRDefault="008732AF" w:rsidP="0037043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1542566"/>
      <w:docPartObj>
        <w:docPartGallery w:val="Page Numbers (Bottom of Page)"/>
        <w:docPartUnique/>
      </w:docPartObj>
    </w:sdtPr>
    <w:sdtEndPr>
      <w:rPr>
        <w:rStyle w:val="PageNumber"/>
        <w:color w:val="auto"/>
      </w:rPr>
    </w:sdtEndPr>
    <w:sdtContent>
      <w:p w14:paraId="676C3051" w14:textId="77777777" w:rsidR="004E5C1A" w:rsidRDefault="004E5C1A" w:rsidP="004E5C1A">
        <w:pPr>
          <w:pStyle w:val="Subheading"/>
          <w:jc w:val="right"/>
          <w:rPr>
            <w:rStyle w:val="PageNumber"/>
          </w:rPr>
        </w:pPr>
        <w:r w:rsidRPr="008732AF">
          <w:rPr>
            <w:rStyle w:val="PageNumber"/>
            <w:color w:val="auto"/>
          </w:rPr>
          <w:fldChar w:fldCharType="begin"/>
        </w:r>
        <w:r w:rsidRPr="008732AF">
          <w:rPr>
            <w:rStyle w:val="PageNumber"/>
            <w:color w:val="auto"/>
          </w:rPr>
          <w:instrText xml:space="preserve"> PAGE </w:instrText>
        </w:r>
        <w:r w:rsidRPr="008732AF">
          <w:rPr>
            <w:rStyle w:val="PageNumber"/>
            <w:color w:val="auto"/>
          </w:rPr>
          <w:fldChar w:fldCharType="separate"/>
        </w:r>
        <w:r>
          <w:rPr>
            <w:rStyle w:val="PageNumber"/>
          </w:rPr>
          <w:t>1</w:t>
        </w:r>
        <w:r w:rsidRPr="008732AF">
          <w:rPr>
            <w:rStyle w:val="PageNumber"/>
            <w:color w:val="auto"/>
          </w:rPr>
          <w:fldChar w:fldCharType="end"/>
        </w:r>
      </w:p>
    </w:sdtContent>
  </w:sdt>
  <w:p w14:paraId="612414A3" w14:textId="6887DA93" w:rsidR="00DF0AAE" w:rsidRPr="009E50DC" w:rsidRDefault="00883426" w:rsidP="00590740">
    <w:pPr>
      <w:jc w:val="center"/>
      <w:rPr>
        <w:rFonts w:ascii="Oswald" w:eastAsia="Times New Roman" w:hAnsi="Oswald" w:cs="Times New Roman"/>
        <w:b/>
        <w:bCs/>
        <w:color w:val="002060"/>
      </w:rPr>
    </w:pPr>
    <w:r w:rsidRPr="009E50DC">
      <w:rPr>
        <w:rStyle w:val="Heading"/>
        <w:rFonts w:cstheme="majorHAnsi"/>
        <w:color w:val="002060"/>
        <w:sz w:val="22"/>
        <w:szCs w:val="22"/>
      </w:rPr>
      <w:t>Mid-Term Review: Australia’s APEC Support Program (AASP)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9FBA" w14:textId="1FEBB6D1" w:rsidR="00DF0AAE" w:rsidRPr="008732AF" w:rsidRDefault="00DF0AAE" w:rsidP="00370438">
    <w:pPr>
      <w:pStyle w:val="Subheading"/>
      <w:rPr>
        <w:rStyle w:val="PageNumber"/>
        <w:color w:val="auto"/>
      </w:rPr>
    </w:pPr>
  </w:p>
  <w:p w14:paraId="7C88F516" w14:textId="77476D89" w:rsidR="00DF0AAE" w:rsidRPr="00575D9A" w:rsidRDefault="009E50DC" w:rsidP="009E50DC">
    <w:pPr>
      <w:jc w:val="center"/>
      <w:rPr>
        <w:rFonts w:ascii="Oswald" w:eastAsia="Times New Roman" w:hAnsi="Oswald" w:cs="Times New Roman"/>
        <w:b/>
        <w:bCs/>
      </w:rPr>
    </w:pPr>
    <w:r w:rsidRPr="00575D9A">
      <w:rPr>
        <w:rStyle w:val="Heading"/>
        <w:rFonts w:cstheme="majorHAnsi"/>
        <w:color w:val="auto"/>
        <w:sz w:val="22"/>
        <w:szCs w:val="22"/>
      </w:rPr>
      <w:t>Mid-Term Review: Australia’s APEC Support Program (AASP)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6221499"/>
      <w:docPartObj>
        <w:docPartGallery w:val="Page Numbers (Bottom of Page)"/>
        <w:docPartUnique/>
      </w:docPartObj>
    </w:sdtPr>
    <w:sdtEndPr>
      <w:rPr>
        <w:rStyle w:val="PageNumber"/>
        <w:color w:val="auto"/>
      </w:rPr>
    </w:sdtEndPr>
    <w:sdtContent>
      <w:p w14:paraId="2A845837" w14:textId="77777777" w:rsidR="00F34681" w:rsidRDefault="00F34681" w:rsidP="004E5C1A">
        <w:pPr>
          <w:pStyle w:val="Subheading"/>
          <w:jc w:val="right"/>
          <w:rPr>
            <w:rStyle w:val="PageNumber"/>
          </w:rPr>
        </w:pPr>
        <w:r w:rsidRPr="008732AF">
          <w:rPr>
            <w:rStyle w:val="PageNumber"/>
            <w:color w:val="auto"/>
          </w:rPr>
          <w:fldChar w:fldCharType="begin"/>
        </w:r>
        <w:r w:rsidRPr="008732AF">
          <w:rPr>
            <w:rStyle w:val="PageNumber"/>
            <w:color w:val="auto"/>
          </w:rPr>
          <w:instrText xml:space="preserve"> PAGE </w:instrText>
        </w:r>
        <w:r w:rsidRPr="008732AF">
          <w:rPr>
            <w:rStyle w:val="PageNumber"/>
            <w:color w:val="auto"/>
          </w:rPr>
          <w:fldChar w:fldCharType="separate"/>
        </w:r>
        <w:r>
          <w:rPr>
            <w:rStyle w:val="PageNumber"/>
          </w:rPr>
          <w:t>1</w:t>
        </w:r>
        <w:r w:rsidRPr="008732AF">
          <w:rPr>
            <w:rStyle w:val="PageNumber"/>
            <w:color w:val="auto"/>
          </w:rPr>
          <w:fldChar w:fldCharType="end"/>
        </w:r>
      </w:p>
    </w:sdtContent>
  </w:sdt>
  <w:p w14:paraId="4EC82380" w14:textId="3E0574D2" w:rsidR="00F34681" w:rsidRPr="00D40395" w:rsidRDefault="009E50DC" w:rsidP="009E50DC">
    <w:pPr>
      <w:jc w:val="center"/>
      <w:rPr>
        <w:rFonts w:asciiTheme="minorHAnsi" w:eastAsia="Times New Roman" w:hAnsiTheme="minorHAnsi" w:cstheme="minorHAnsi"/>
        <w:b/>
        <w:bCs/>
      </w:rPr>
    </w:pPr>
    <w:r w:rsidRPr="00D40395">
      <w:rPr>
        <w:rStyle w:val="Heading"/>
        <w:rFonts w:asciiTheme="minorHAnsi" w:hAnsiTheme="minorHAnsi" w:cstheme="minorHAnsi"/>
        <w:color w:val="auto"/>
        <w:sz w:val="22"/>
        <w:szCs w:val="22"/>
      </w:rPr>
      <w:t>Mid-Term Review: Australia’s APEC Support Program (AASP)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6DE8C" w14:textId="77777777" w:rsidR="00AD2E46" w:rsidRDefault="00AD2E46" w:rsidP="00370438">
      <w:r>
        <w:separator/>
      </w:r>
    </w:p>
  </w:footnote>
  <w:footnote w:type="continuationSeparator" w:id="0">
    <w:p w14:paraId="40C0E551" w14:textId="77777777" w:rsidR="00AD2E46" w:rsidRDefault="00AD2E46" w:rsidP="00370438">
      <w:r>
        <w:continuationSeparator/>
      </w:r>
    </w:p>
  </w:footnote>
  <w:footnote w:type="continuationNotice" w:id="1">
    <w:p w14:paraId="45714A89" w14:textId="77777777" w:rsidR="00AD2E46" w:rsidRDefault="00AD2E46" w:rsidP="00370438"/>
  </w:footnote>
  <w:footnote w:id="2">
    <w:p w14:paraId="36C2E8D0" w14:textId="2E875D40" w:rsidR="00E46D74" w:rsidRPr="002D0F5F" w:rsidRDefault="00E46D74" w:rsidP="00D078C9">
      <w:pPr>
        <w:pStyle w:val="FootnoteText"/>
        <w:numPr>
          <w:ilvl w:val="0"/>
          <w:numId w:val="12"/>
        </w:numPr>
        <w:spacing w:after="0"/>
        <w:rPr>
          <w:sz w:val="12"/>
          <w:szCs w:val="12"/>
        </w:rPr>
      </w:pPr>
      <w:r>
        <w:rPr>
          <w:rStyle w:val="FootnoteReference"/>
        </w:rPr>
        <w:footnoteRef/>
      </w:r>
      <w:r w:rsidRPr="002D0F5F">
        <w:rPr>
          <w:sz w:val="12"/>
          <w:szCs w:val="12"/>
        </w:rPr>
        <w:t>APEC developing economies progressing implementation of an open and rules-based multilateral trade and investment environment by 2026</w:t>
      </w:r>
    </w:p>
    <w:p w14:paraId="6E6A5484" w14:textId="3ACC463D" w:rsidR="00E46D74" w:rsidRPr="002D0F5F" w:rsidRDefault="00E46D74" w:rsidP="00D078C9">
      <w:pPr>
        <w:pStyle w:val="FootnoteText"/>
        <w:numPr>
          <w:ilvl w:val="0"/>
          <w:numId w:val="12"/>
        </w:numPr>
        <w:spacing w:after="0"/>
        <w:rPr>
          <w:sz w:val="12"/>
          <w:szCs w:val="12"/>
        </w:rPr>
      </w:pPr>
      <w:bookmarkStart w:id="16" w:name="_Hlk183595578"/>
      <w:r w:rsidRPr="002D0F5F">
        <w:rPr>
          <w:sz w:val="12"/>
          <w:szCs w:val="12"/>
        </w:rPr>
        <w:t>APEC developing economies progressing implementation of measures to promote regional integration and domestic structural reforms by 2026</w:t>
      </w:r>
    </w:p>
    <w:bookmarkEnd w:id="16"/>
    <w:p w14:paraId="00394DCF" w14:textId="6D52D535" w:rsidR="00E46D74" w:rsidRPr="002D0F5F" w:rsidRDefault="00E46D74" w:rsidP="00D078C9">
      <w:pPr>
        <w:pStyle w:val="FootnoteText"/>
        <w:numPr>
          <w:ilvl w:val="0"/>
          <w:numId w:val="12"/>
        </w:numPr>
        <w:spacing w:after="0"/>
        <w:rPr>
          <w:sz w:val="12"/>
          <w:szCs w:val="12"/>
        </w:rPr>
      </w:pPr>
      <w:r w:rsidRPr="002D0F5F">
        <w:rPr>
          <w:sz w:val="12"/>
          <w:szCs w:val="12"/>
        </w:rPr>
        <w:t>APEC developing economies progressing implementation of efforts within APEC to promote international standards, norms and rules on digital trade by 2026</w:t>
      </w:r>
      <w:r w:rsidR="00442269">
        <w:rPr>
          <w:sz w:val="12"/>
          <w:szCs w:val="12"/>
        </w:rPr>
        <w:t xml:space="preserve"> </w:t>
      </w:r>
    </w:p>
    <w:p w14:paraId="316AA96F" w14:textId="77777777" w:rsidR="00E46D74" w:rsidRPr="002D0F5F" w:rsidRDefault="00E46D74" w:rsidP="00D078C9">
      <w:pPr>
        <w:pStyle w:val="FootnoteText"/>
        <w:numPr>
          <w:ilvl w:val="0"/>
          <w:numId w:val="12"/>
        </w:numPr>
        <w:spacing w:after="0"/>
        <w:rPr>
          <w:sz w:val="12"/>
          <w:szCs w:val="12"/>
        </w:rPr>
      </w:pPr>
      <w:r w:rsidRPr="002D0F5F">
        <w:rPr>
          <w:sz w:val="12"/>
          <w:szCs w:val="12"/>
        </w:rPr>
        <w:t>Gender equality, disability and Indigenous inclusion are integrated in AASP plans, projects, M&amp;E, and analysis</w:t>
      </w:r>
    </w:p>
    <w:p w14:paraId="63F2D9BF" w14:textId="69B52ED5" w:rsidR="00E46D74" w:rsidRPr="002D0F5F" w:rsidRDefault="00E46D74" w:rsidP="00D078C9">
      <w:pPr>
        <w:pStyle w:val="FootnoteText"/>
        <w:numPr>
          <w:ilvl w:val="0"/>
          <w:numId w:val="12"/>
        </w:numPr>
        <w:spacing w:after="0"/>
        <w:rPr>
          <w:sz w:val="12"/>
          <w:szCs w:val="12"/>
        </w:rPr>
      </w:pPr>
      <w:r w:rsidRPr="002D0F5F">
        <w:rPr>
          <w:sz w:val="12"/>
          <w:szCs w:val="12"/>
        </w:rPr>
        <w:t>APEC developing economies reporting the contribution of AASP as valuable</w:t>
      </w:r>
    </w:p>
    <w:p w14:paraId="02894E32" w14:textId="7698551E" w:rsidR="00E46D74" w:rsidRPr="002D0F5F" w:rsidRDefault="00E46D74" w:rsidP="002D0F5F">
      <w:pPr>
        <w:pStyle w:val="FootnoteText"/>
        <w:spacing w:after="0"/>
        <w:rPr>
          <w:sz w:val="12"/>
          <w:szCs w:val="12"/>
        </w:rPr>
      </w:pPr>
    </w:p>
  </w:footnote>
  <w:footnote w:id="3">
    <w:p w14:paraId="36CBC24B" w14:textId="2DD5E648" w:rsidR="007E240F" w:rsidRDefault="007E240F" w:rsidP="007E240F">
      <w:pPr>
        <w:pStyle w:val="FootnoteText"/>
      </w:pPr>
      <w:r>
        <w:rPr>
          <w:rStyle w:val="FootnoteReference"/>
        </w:rPr>
        <w:footnoteRef/>
      </w:r>
      <w:r>
        <w:t xml:space="preserve"> </w:t>
      </w:r>
      <w:r w:rsidRPr="00792EE4">
        <w:rPr>
          <w:i/>
          <w:iCs/>
          <w:sz w:val="18"/>
          <w:szCs w:val="18"/>
        </w:rPr>
        <w:t>Study on Mutual Recognition Agreements for Professional Qualifications and Licensure in APEC</w:t>
      </w:r>
      <w:r w:rsidRPr="00004714">
        <w:rPr>
          <w:sz w:val="18"/>
          <w:szCs w:val="18"/>
        </w:rPr>
        <w:t xml:space="preserve"> (</w:t>
      </w:r>
      <w:hyperlink r:id="rId1" w:history="1">
        <w:r w:rsidRPr="00004714">
          <w:rPr>
            <w:rStyle w:val="Hyperlink"/>
            <w:rFonts w:asciiTheme="minorHAnsi" w:hAnsiTheme="minorHAnsi"/>
            <w:sz w:val="18"/>
            <w:szCs w:val="18"/>
          </w:rPr>
          <w:t>https://www.apec.org/publications/2024/02/mutual-recognition-agreements-for-professional-qualifications-and-licensure-in-apec-experiences-impediments-and-opportunities</w:t>
        </w:r>
      </w:hyperlink>
      <w:r w:rsidRPr="00004714">
        <w:rPr>
          <w:sz w:val="18"/>
          <w:szCs w:val="18"/>
        </w:rPr>
        <w:t xml:space="preserve"> ); the MRA </w:t>
      </w:r>
      <w:r w:rsidR="00AA3F82" w:rsidRPr="00004714">
        <w:rPr>
          <w:sz w:val="18"/>
          <w:szCs w:val="18"/>
        </w:rPr>
        <w:t>Toolkit</w:t>
      </w:r>
      <w:r w:rsidRPr="00004714">
        <w:rPr>
          <w:sz w:val="18"/>
          <w:szCs w:val="18"/>
        </w:rPr>
        <w:t xml:space="preserve"> (</w:t>
      </w:r>
      <w:hyperlink r:id="rId2" w:history="1">
        <w:r w:rsidRPr="00004714">
          <w:rPr>
            <w:rStyle w:val="Hyperlink"/>
            <w:rFonts w:asciiTheme="minorHAnsi" w:hAnsiTheme="minorHAnsi"/>
            <w:sz w:val="18"/>
            <w:szCs w:val="18"/>
          </w:rPr>
          <w:t>https://www.apec.org/publications/2023/10/mutual-recognition-agreements-toolkit</w:t>
        </w:r>
      </w:hyperlink>
      <w:r w:rsidRPr="00004714">
        <w:rPr>
          <w:sz w:val="18"/>
          <w:szCs w:val="18"/>
        </w:rPr>
        <w:t xml:space="preserve"> ).</w:t>
      </w:r>
    </w:p>
  </w:footnote>
  <w:footnote w:id="4">
    <w:p w14:paraId="41E9773C" w14:textId="1E1C5D87" w:rsidR="007E240F" w:rsidRDefault="007E240F" w:rsidP="007E240F">
      <w:pPr>
        <w:pStyle w:val="FootnoteText"/>
      </w:pPr>
      <w:r>
        <w:rPr>
          <w:rStyle w:val="FootnoteReference"/>
        </w:rPr>
        <w:footnoteRef/>
      </w:r>
      <w:hyperlink r:id="rId3">
        <w:r w:rsidRPr="005A77AF">
          <w:rPr>
            <w:rStyle w:val="Hyperlink"/>
            <w:rFonts w:asciiTheme="minorHAnsi" w:hAnsiTheme="minorHAnsi" w:cs="Calibri"/>
            <w:sz w:val="18"/>
            <w:szCs w:val="18"/>
          </w:rPr>
          <w:t>Non-Binding Guidelines on Services that Support the Clean Up Marine Debris</w:t>
        </w:r>
      </w:hyperlink>
      <w:r w:rsidRPr="005A77AF">
        <w:rPr>
          <w:rFonts w:cs="Calibri"/>
          <w:sz w:val="18"/>
          <w:szCs w:val="18"/>
        </w:rPr>
        <w:t>’</w:t>
      </w:r>
    </w:p>
  </w:footnote>
  <w:footnote w:id="5">
    <w:p w14:paraId="34901748" w14:textId="37A22344" w:rsidR="007E240F" w:rsidRDefault="007E240F" w:rsidP="007E240F">
      <w:pPr>
        <w:pStyle w:val="FootnoteText"/>
      </w:pPr>
      <w:r>
        <w:rPr>
          <w:rStyle w:val="FootnoteReference"/>
        </w:rPr>
        <w:footnoteRef/>
      </w:r>
      <w:hyperlink r:id="rId4" w:history="1">
        <w:r w:rsidR="00424D99" w:rsidRPr="00797B5D">
          <w:rPr>
            <w:rStyle w:val="Hyperlink"/>
            <w:rFonts w:asciiTheme="minorHAnsi" w:hAnsiTheme="minorHAnsi"/>
            <w:sz w:val="18"/>
            <w:szCs w:val="18"/>
          </w:rPr>
          <w:t>https://www.apec.org/meeting-papers/sectoral-ministerial-meetings/trade/2023-apec-ministers-responsible-for-trade-statement-of-the-chair/annex-2</w:t>
        </w:r>
      </w:hyperlink>
      <w:r>
        <w:t xml:space="preserve"> </w:t>
      </w:r>
    </w:p>
  </w:footnote>
  <w:footnote w:id="6">
    <w:p w14:paraId="16DA00DF" w14:textId="06CAF8EA" w:rsidR="007E240F" w:rsidRPr="00D40E01" w:rsidRDefault="007E240F" w:rsidP="007E240F">
      <w:pPr>
        <w:pStyle w:val="FootnoteText"/>
      </w:pPr>
      <w:r>
        <w:rPr>
          <w:rStyle w:val="FootnoteReference"/>
        </w:rPr>
        <w:footnoteRef/>
      </w:r>
      <w:r w:rsidRPr="00004714">
        <w:rPr>
          <w:sz w:val="18"/>
          <w:szCs w:val="18"/>
        </w:rPr>
        <w:t xml:space="preserve">See for instance – the testimony of </w:t>
      </w:r>
      <w:r w:rsidRPr="00004714">
        <w:rPr>
          <w:rFonts w:cs="Arial"/>
          <w:sz w:val="18"/>
          <w:szCs w:val="18"/>
        </w:rPr>
        <w:t xml:space="preserve">Dr </w:t>
      </w:r>
      <w:proofErr w:type="spellStart"/>
      <w:r w:rsidRPr="00004714">
        <w:rPr>
          <w:rFonts w:cs="Arial"/>
          <w:sz w:val="18"/>
          <w:szCs w:val="18"/>
        </w:rPr>
        <w:t>Syuhaida</w:t>
      </w:r>
      <w:proofErr w:type="spellEnd"/>
      <w:r w:rsidRPr="00004714">
        <w:rPr>
          <w:rFonts w:cs="Arial"/>
          <w:sz w:val="18"/>
          <w:szCs w:val="18"/>
        </w:rPr>
        <w:t xml:space="preserve"> Binti Ismail, </w:t>
      </w:r>
      <w:hyperlink r:id="rId5" w:history="1">
        <w:r w:rsidRPr="00004714">
          <w:rPr>
            <w:rStyle w:val="Hyperlink"/>
            <w:rFonts w:asciiTheme="minorHAnsi" w:hAnsiTheme="minorHAnsi" w:cs="Arial"/>
            <w:sz w:val="18"/>
            <w:szCs w:val="18"/>
          </w:rPr>
          <w:t>https://vimeo.com/891339954/c7f1c40852?share=copy</w:t>
        </w:r>
      </w:hyperlink>
      <w:r w:rsidRPr="00004714">
        <w:rPr>
          <w:rStyle w:val="Hyperlink"/>
          <w:rFonts w:asciiTheme="minorHAnsi" w:hAnsiTheme="minorHAnsi" w:cs="Arial"/>
          <w:sz w:val="18"/>
          <w:szCs w:val="18"/>
        </w:rPr>
        <w:t xml:space="preserve"> ; </w:t>
      </w:r>
      <w:r w:rsidRPr="00004714">
        <w:rPr>
          <w:rFonts w:cs="Arial"/>
          <w:sz w:val="18"/>
          <w:szCs w:val="18"/>
        </w:rPr>
        <w:t xml:space="preserve">ChM </w:t>
      </w:r>
      <w:proofErr w:type="spellStart"/>
      <w:r w:rsidRPr="00004714">
        <w:rPr>
          <w:rFonts w:cs="Arial"/>
          <w:sz w:val="18"/>
          <w:szCs w:val="18"/>
        </w:rPr>
        <w:t>Aemi</w:t>
      </w:r>
      <w:proofErr w:type="spellEnd"/>
      <w:r w:rsidRPr="00004714">
        <w:rPr>
          <w:rFonts w:cs="Arial"/>
          <w:sz w:val="18"/>
          <w:szCs w:val="18"/>
        </w:rPr>
        <w:t xml:space="preserve"> </w:t>
      </w:r>
      <w:proofErr w:type="spellStart"/>
      <w:r w:rsidRPr="00004714">
        <w:rPr>
          <w:rFonts w:cs="Arial"/>
          <w:sz w:val="18"/>
          <w:szCs w:val="18"/>
        </w:rPr>
        <w:t>Syazwani</w:t>
      </w:r>
      <w:proofErr w:type="spellEnd"/>
      <w:r w:rsidRPr="00004714">
        <w:rPr>
          <w:rFonts w:cs="Arial"/>
          <w:sz w:val="18"/>
          <w:szCs w:val="18"/>
        </w:rPr>
        <w:t xml:space="preserve"> Abdul Keyon, </w:t>
      </w:r>
      <w:hyperlink r:id="rId6" w:history="1">
        <w:r w:rsidRPr="00004714">
          <w:rPr>
            <w:rStyle w:val="Hyperlink"/>
            <w:rFonts w:asciiTheme="minorHAnsi" w:hAnsiTheme="minorHAnsi" w:cs="Arial"/>
            <w:sz w:val="18"/>
            <w:szCs w:val="18"/>
          </w:rPr>
          <w:t>https://vimeo.com/903177790/9823544f75</w:t>
        </w:r>
      </w:hyperlink>
      <w:r w:rsidRPr="00004714">
        <w:rPr>
          <w:rStyle w:val="Hyperlink"/>
          <w:rFonts w:asciiTheme="minorHAnsi" w:hAnsiTheme="minorHAnsi" w:cs="Arial"/>
          <w:sz w:val="18"/>
          <w:szCs w:val="18"/>
        </w:rPr>
        <w:t>;</w:t>
      </w:r>
      <w:r w:rsidR="00442269">
        <w:rPr>
          <w:rStyle w:val="Hyperlink"/>
          <w:rFonts w:asciiTheme="minorHAnsi" w:hAnsiTheme="minorHAnsi" w:cs="Arial"/>
          <w:sz w:val="18"/>
          <w:szCs w:val="18"/>
        </w:rPr>
        <w:t xml:space="preserve"> </w:t>
      </w:r>
      <w:r w:rsidRPr="00004714">
        <w:rPr>
          <w:sz w:val="18"/>
          <w:szCs w:val="18"/>
        </w:rPr>
        <w:t xml:space="preserve">and </w:t>
      </w:r>
      <w:r w:rsidRPr="00004714">
        <w:rPr>
          <w:rFonts w:cs="Arial"/>
          <w:sz w:val="18"/>
          <w:szCs w:val="18"/>
        </w:rPr>
        <w:t xml:space="preserve">Fiona Morris, Counsellor (Education &amp; Research), Department of Education, Australia, </w:t>
      </w:r>
      <w:hyperlink r:id="rId7" w:history="1">
        <w:r w:rsidRPr="00004714">
          <w:rPr>
            <w:rStyle w:val="Hyperlink"/>
            <w:rFonts w:asciiTheme="minorHAnsi" w:hAnsiTheme="minorHAnsi" w:cs="Arial"/>
            <w:sz w:val="18"/>
            <w:szCs w:val="18"/>
          </w:rPr>
          <w:t>https://vimeo.com/903586920/d1db27dc09</w:t>
        </w:r>
      </w:hyperlink>
      <w:r w:rsidRPr="00004714">
        <w:rPr>
          <w:rStyle w:val="Hyperlink"/>
          <w:rFonts w:asciiTheme="minorHAnsi" w:hAnsiTheme="minorHAnsi" w:cs="Arial"/>
          <w:sz w:val="18"/>
          <w:szCs w:val="18"/>
        </w:rPr>
        <w:t>.</w:t>
      </w:r>
    </w:p>
  </w:footnote>
  <w:footnote w:id="7">
    <w:p w14:paraId="44602B13" w14:textId="33BBDA3D" w:rsidR="007E240F" w:rsidRPr="00004714" w:rsidRDefault="007E240F" w:rsidP="007E240F">
      <w:pPr>
        <w:pStyle w:val="FootnoteText"/>
        <w:rPr>
          <w:sz w:val="18"/>
          <w:szCs w:val="18"/>
        </w:rPr>
      </w:pPr>
      <w:r>
        <w:rPr>
          <w:rStyle w:val="FootnoteReference"/>
        </w:rPr>
        <w:footnoteRef/>
      </w:r>
      <w:r w:rsidRPr="00004714">
        <w:rPr>
          <w:sz w:val="18"/>
          <w:szCs w:val="18"/>
        </w:rPr>
        <w:t xml:space="preserve">For more details see </w:t>
      </w:r>
      <w:hyperlink r:id="rId8" w:history="1">
        <w:r w:rsidRPr="00004714">
          <w:rPr>
            <w:rStyle w:val="Hyperlink"/>
            <w:rFonts w:asciiTheme="minorHAnsi" w:hAnsiTheme="minorHAnsi" w:cstheme="minorHAnsi"/>
            <w:sz w:val="18"/>
            <w:szCs w:val="18"/>
          </w:rPr>
          <w:t>https://www.linkedin.com/feed/update/urn:li:activity:7178932734449315841/</w:t>
        </w:r>
      </w:hyperlink>
      <w:r w:rsidRPr="00004714">
        <w:rPr>
          <w:rStyle w:val="Hyperlink"/>
          <w:rFonts w:asciiTheme="minorHAnsi" w:hAnsiTheme="minorHAnsi" w:cstheme="minorHAnsi"/>
          <w:sz w:val="18"/>
          <w:szCs w:val="18"/>
        </w:rPr>
        <w:t>.</w:t>
      </w:r>
    </w:p>
  </w:footnote>
  <w:footnote w:id="8">
    <w:p w14:paraId="37E8A48C" w14:textId="48B01699" w:rsidR="002B41BC" w:rsidRPr="00363461" w:rsidRDefault="002B41BC" w:rsidP="002B41BC">
      <w:pPr>
        <w:pStyle w:val="FootnoteText"/>
        <w:rPr>
          <w:sz w:val="18"/>
          <w:szCs w:val="18"/>
          <w:lang w:val="en-GB"/>
        </w:rPr>
      </w:pPr>
      <w:r>
        <w:rPr>
          <w:rStyle w:val="FootnoteReference"/>
        </w:rPr>
        <w:footnoteRef/>
      </w:r>
      <w:r w:rsidRPr="00363461">
        <w:rPr>
          <w:sz w:val="18"/>
          <w:szCs w:val="18"/>
          <w:lang w:val="en-GB"/>
        </w:rPr>
        <w:t xml:space="preserve">The study also proposed some ideas for </w:t>
      </w:r>
      <w:r>
        <w:rPr>
          <w:sz w:val="18"/>
          <w:szCs w:val="18"/>
          <w:lang w:val="en-GB"/>
        </w:rPr>
        <w:t>future programming by the AASP</w:t>
      </w:r>
      <w:r w:rsidRPr="00363461">
        <w:rPr>
          <w:sz w:val="18"/>
          <w:szCs w:val="18"/>
          <w:lang w:val="en-GB"/>
        </w:rPr>
        <w:t xml:space="preserve"> - </w:t>
      </w:r>
      <w:proofErr w:type="spellStart"/>
      <w:r w:rsidRPr="00363461">
        <w:rPr>
          <w:sz w:val="18"/>
          <w:szCs w:val="18"/>
          <w:lang w:val="en-GB"/>
        </w:rPr>
        <w:t>i</w:t>
      </w:r>
      <w:proofErr w:type="spellEnd"/>
      <w:r w:rsidRPr="00363461">
        <w:rPr>
          <w:sz w:val="18"/>
          <w:szCs w:val="18"/>
          <w:lang w:val="en-GB"/>
        </w:rPr>
        <w:t xml:space="preserve">) Sharing lessons learned on support for </w:t>
      </w:r>
      <w:r w:rsidR="00E6228D">
        <w:rPr>
          <w:sz w:val="18"/>
          <w:szCs w:val="18"/>
          <w:lang w:val="en-GB"/>
        </w:rPr>
        <w:t>Indigenous</w:t>
      </w:r>
      <w:r w:rsidRPr="00363461">
        <w:rPr>
          <w:sz w:val="18"/>
          <w:szCs w:val="18"/>
          <w:lang w:val="en-GB"/>
        </w:rPr>
        <w:t xml:space="preserve"> participation in international trade; ii) Fostering </w:t>
      </w:r>
      <w:r w:rsidR="00E6228D">
        <w:rPr>
          <w:sz w:val="18"/>
          <w:szCs w:val="18"/>
          <w:lang w:val="en-GB"/>
        </w:rPr>
        <w:t>Indigenous</w:t>
      </w:r>
      <w:r w:rsidRPr="00363461">
        <w:rPr>
          <w:sz w:val="18"/>
          <w:szCs w:val="18"/>
          <w:lang w:val="en-GB"/>
        </w:rPr>
        <w:t xml:space="preserve"> to </w:t>
      </w:r>
      <w:r w:rsidR="00E6228D">
        <w:rPr>
          <w:sz w:val="18"/>
          <w:szCs w:val="18"/>
          <w:lang w:val="en-GB"/>
        </w:rPr>
        <w:t>Indigenous</w:t>
      </w:r>
      <w:r w:rsidRPr="00363461">
        <w:rPr>
          <w:sz w:val="18"/>
          <w:szCs w:val="18"/>
          <w:lang w:val="en-GB"/>
        </w:rPr>
        <w:t xml:space="preserve"> partnerships; and iii) Integrating </w:t>
      </w:r>
      <w:r w:rsidR="00E6228D">
        <w:rPr>
          <w:sz w:val="18"/>
          <w:szCs w:val="18"/>
          <w:lang w:val="en-GB"/>
        </w:rPr>
        <w:t>Indigenous</w:t>
      </w:r>
      <w:r w:rsidRPr="00363461">
        <w:rPr>
          <w:sz w:val="18"/>
          <w:szCs w:val="18"/>
          <w:lang w:val="en-GB"/>
        </w:rPr>
        <w:t xml:space="preserve"> values, principles and knowledge into other AASP projects.</w:t>
      </w:r>
    </w:p>
  </w:footnote>
  <w:footnote w:id="9">
    <w:p w14:paraId="5871FE37" w14:textId="265FCD84" w:rsidR="0092590A" w:rsidRDefault="0092590A" w:rsidP="0092590A">
      <w:pPr>
        <w:pStyle w:val="FootnoteText"/>
      </w:pPr>
      <w:r>
        <w:rPr>
          <w:rStyle w:val="FootnoteReference"/>
        </w:rPr>
        <w:footnoteRef/>
      </w:r>
      <w:r>
        <w:t>IMRs confirm this finding - the 2023 IMR, for instance, notes that 95% of the 2022-2023 allocation was expensed by 7 June 2023.</w:t>
      </w:r>
    </w:p>
  </w:footnote>
  <w:footnote w:id="10">
    <w:p w14:paraId="085BC9BF" w14:textId="27E17925" w:rsidR="00ED3637" w:rsidRDefault="00ED3637">
      <w:pPr>
        <w:pStyle w:val="FootnoteText"/>
      </w:pPr>
      <w:r>
        <w:rPr>
          <w:rStyle w:val="FootnoteReference"/>
        </w:rPr>
        <w:footnoteRef/>
      </w:r>
      <w:r>
        <w:t xml:space="preserve"> </w:t>
      </w:r>
      <w:r w:rsidR="006D22A7">
        <w:t>Subject to timely extension to the current contract with Strategic which ends on 31 August 2024.</w:t>
      </w:r>
    </w:p>
  </w:footnote>
  <w:footnote w:id="11">
    <w:p w14:paraId="0A5DDA52" w14:textId="77777777" w:rsidR="0091229C" w:rsidRDefault="0091229C" w:rsidP="0091229C">
      <w:pPr>
        <w:pStyle w:val="FootnoteText"/>
      </w:pPr>
      <w:r>
        <w:rPr>
          <w:rStyle w:val="FootnoteReference"/>
        </w:rPr>
        <w:footnoteRef/>
      </w:r>
      <w:r>
        <w:t xml:space="preserve"> Subject to timely extension to the current contract with Strategic which ends on 31 August 2024.</w:t>
      </w:r>
    </w:p>
  </w:footnote>
  <w:footnote w:id="12">
    <w:p w14:paraId="4D8D3A47" w14:textId="77777777" w:rsidR="0091229C" w:rsidRPr="005F47F0" w:rsidRDefault="0091229C" w:rsidP="0091229C">
      <w:pPr>
        <w:pStyle w:val="FootnoteText"/>
        <w:rPr>
          <w:rFonts w:ascii="Segoe UI" w:hAnsi="Segoe UI" w:cs="Segoe UI"/>
          <w:color w:val="333333"/>
          <w:sz w:val="18"/>
          <w:szCs w:val="18"/>
        </w:rPr>
      </w:pPr>
      <w:r>
        <w:rPr>
          <w:rStyle w:val="FootnoteReference"/>
        </w:rPr>
        <w:footnoteRef/>
      </w:r>
      <w:r>
        <w:t xml:space="preserve"> </w:t>
      </w:r>
      <w:r w:rsidRPr="005F47F0">
        <w:rPr>
          <w:rFonts w:ascii="Segoe UI" w:hAnsi="Segoe UI" w:cs="Segoe UI"/>
          <w:color w:val="333333"/>
          <w:sz w:val="18"/>
          <w:szCs w:val="18"/>
        </w:rPr>
        <w:t xml:space="preserve">DFAT assesses </w:t>
      </w:r>
      <w:r>
        <w:rPr>
          <w:rFonts w:ascii="Segoe UI" w:hAnsi="Segoe UI" w:cs="Segoe UI"/>
          <w:color w:val="333333"/>
          <w:sz w:val="18"/>
          <w:szCs w:val="18"/>
        </w:rPr>
        <w:t>Project level monitoring and evaluation is specific to the direct aid deliverable and is ODA eligible.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5528" w14:textId="35724C2B" w:rsidR="001C0238" w:rsidRDefault="001C0238" w:rsidP="00370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8247855"/>
    <w:multiLevelType w:val="multilevel"/>
    <w:tmpl w:val="1F1AAB44"/>
    <w:lvl w:ilvl="0">
      <w:start w:val="1"/>
      <w:numFmt w:val="lowerLetter"/>
      <w:lvlText w:val="%1."/>
      <w:lvlJc w:val="left"/>
      <w:pPr>
        <w:ind w:left="1074" w:hanging="360"/>
      </w:pPr>
    </w:lvl>
    <w:lvl w:ilvl="1">
      <w:start w:val="1"/>
      <w:numFmt w:val="lowerRoman"/>
      <w:lvlText w:val="%2."/>
      <w:lvlJc w:val="right"/>
      <w:pPr>
        <w:ind w:left="1434" w:hanging="360"/>
      </w:pPr>
    </w:lvl>
    <w:lvl w:ilvl="2">
      <w:start w:val="1"/>
      <w:numFmt w:val="lowerRoman"/>
      <w:lvlText w:val="%3)"/>
      <w:lvlJc w:val="left"/>
      <w:pPr>
        <w:ind w:left="1794" w:hanging="360"/>
      </w:pPr>
    </w:lvl>
    <w:lvl w:ilvl="3">
      <w:start w:val="1"/>
      <w:numFmt w:val="decimal"/>
      <w:lvlText w:val="(%4)"/>
      <w:lvlJc w:val="left"/>
      <w:pPr>
        <w:ind w:left="2154" w:hanging="360"/>
      </w:pPr>
    </w:lvl>
    <w:lvl w:ilvl="4">
      <w:start w:val="1"/>
      <w:numFmt w:val="lowerLetter"/>
      <w:lvlText w:val="(%5)"/>
      <w:lvlJc w:val="left"/>
      <w:pPr>
        <w:ind w:left="2514" w:hanging="360"/>
      </w:pPr>
    </w:lvl>
    <w:lvl w:ilvl="5">
      <w:start w:val="1"/>
      <w:numFmt w:val="lowerRoman"/>
      <w:lvlText w:val="(%6)"/>
      <w:lvlJc w:val="left"/>
      <w:pPr>
        <w:ind w:left="2874" w:hanging="360"/>
      </w:pPr>
    </w:lvl>
    <w:lvl w:ilvl="6">
      <w:start w:val="1"/>
      <w:numFmt w:val="decimal"/>
      <w:lvlText w:val="%7."/>
      <w:lvlJc w:val="left"/>
      <w:pPr>
        <w:ind w:left="3234" w:hanging="360"/>
      </w:pPr>
    </w:lvl>
    <w:lvl w:ilvl="7">
      <w:start w:val="1"/>
      <w:numFmt w:val="lowerLetter"/>
      <w:lvlText w:val="%8."/>
      <w:lvlJc w:val="left"/>
      <w:pPr>
        <w:ind w:left="3594" w:hanging="360"/>
      </w:pPr>
    </w:lvl>
    <w:lvl w:ilvl="8">
      <w:start w:val="1"/>
      <w:numFmt w:val="lowerRoman"/>
      <w:lvlText w:val="%9."/>
      <w:lvlJc w:val="left"/>
      <w:pPr>
        <w:ind w:left="3954" w:hanging="360"/>
      </w:pPr>
    </w:lvl>
  </w:abstractNum>
  <w:abstractNum w:abstractNumId="2" w15:restartNumberingAfterBreak="0">
    <w:nsid w:val="09506753"/>
    <w:multiLevelType w:val="hybridMultilevel"/>
    <w:tmpl w:val="DFB0FF8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98314B"/>
    <w:multiLevelType w:val="hybridMultilevel"/>
    <w:tmpl w:val="8BFA9D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 w15:restartNumberingAfterBreak="0">
    <w:nsid w:val="0A9C2913"/>
    <w:multiLevelType w:val="hybridMultilevel"/>
    <w:tmpl w:val="EE1432E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A81166"/>
    <w:multiLevelType w:val="multilevel"/>
    <w:tmpl w:val="A36256A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C16FB5"/>
    <w:multiLevelType w:val="multilevel"/>
    <w:tmpl w:val="BB2873F8"/>
    <w:styleLink w:val="CurrentList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73541E"/>
    <w:multiLevelType w:val="hybridMultilevel"/>
    <w:tmpl w:val="AEE40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63135"/>
    <w:multiLevelType w:val="hybridMultilevel"/>
    <w:tmpl w:val="F6B64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3119E"/>
    <w:multiLevelType w:val="hybridMultilevel"/>
    <w:tmpl w:val="056A2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13979"/>
    <w:multiLevelType w:val="hybridMultilevel"/>
    <w:tmpl w:val="3730BE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D86866"/>
    <w:multiLevelType w:val="hybridMultilevel"/>
    <w:tmpl w:val="86ACD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765870"/>
    <w:multiLevelType w:val="hybridMultilevel"/>
    <w:tmpl w:val="E020F03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1547F4"/>
    <w:multiLevelType w:val="multilevel"/>
    <w:tmpl w:val="0CD802D6"/>
    <w:lvl w:ilvl="0">
      <w:start w:val="1"/>
      <w:numFmt w:val="decimal"/>
      <w:lvlText w:val="%1."/>
      <w:lvlJc w:val="left"/>
      <w:pPr>
        <w:ind w:left="1074" w:hanging="360"/>
      </w:pPr>
    </w:lvl>
    <w:lvl w:ilvl="1">
      <w:start w:val="1"/>
      <w:numFmt w:val="lowerLetter"/>
      <w:lvlText w:val="%2)"/>
      <w:lvlJc w:val="left"/>
      <w:pPr>
        <w:ind w:left="1434" w:hanging="360"/>
      </w:pPr>
    </w:lvl>
    <w:lvl w:ilvl="2">
      <w:start w:val="1"/>
      <w:numFmt w:val="lowerRoman"/>
      <w:lvlText w:val="%3)"/>
      <w:lvlJc w:val="left"/>
      <w:pPr>
        <w:ind w:left="1794" w:hanging="360"/>
      </w:pPr>
    </w:lvl>
    <w:lvl w:ilvl="3">
      <w:start w:val="1"/>
      <w:numFmt w:val="decimal"/>
      <w:lvlText w:val="(%4)"/>
      <w:lvlJc w:val="left"/>
      <w:pPr>
        <w:ind w:left="2154" w:hanging="360"/>
      </w:pPr>
    </w:lvl>
    <w:lvl w:ilvl="4">
      <w:start w:val="1"/>
      <w:numFmt w:val="lowerLetter"/>
      <w:lvlText w:val="(%5)"/>
      <w:lvlJc w:val="left"/>
      <w:pPr>
        <w:ind w:left="2514" w:hanging="360"/>
      </w:pPr>
    </w:lvl>
    <w:lvl w:ilvl="5">
      <w:start w:val="1"/>
      <w:numFmt w:val="lowerRoman"/>
      <w:lvlText w:val="(%6)"/>
      <w:lvlJc w:val="left"/>
      <w:pPr>
        <w:ind w:left="2874" w:hanging="360"/>
      </w:pPr>
    </w:lvl>
    <w:lvl w:ilvl="6">
      <w:start w:val="1"/>
      <w:numFmt w:val="decimal"/>
      <w:lvlText w:val="%7."/>
      <w:lvlJc w:val="left"/>
      <w:pPr>
        <w:ind w:left="3234" w:hanging="360"/>
      </w:pPr>
    </w:lvl>
    <w:lvl w:ilvl="7">
      <w:start w:val="1"/>
      <w:numFmt w:val="lowerLetter"/>
      <w:lvlText w:val="%8."/>
      <w:lvlJc w:val="left"/>
      <w:pPr>
        <w:ind w:left="3594" w:hanging="360"/>
      </w:pPr>
    </w:lvl>
    <w:lvl w:ilvl="8">
      <w:start w:val="1"/>
      <w:numFmt w:val="lowerRoman"/>
      <w:lvlText w:val="%9."/>
      <w:lvlJc w:val="left"/>
      <w:pPr>
        <w:ind w:left="3954" w:hanging="360"/>
      </w:pPr>
    </w:lvl>
  </w:abstractNum>
  <w:abstractNum w:abstractNumId="14" w15:restartNumberingAfterBreak="0">
    <w:nsid w:val="2D8E5D9D"/>
    <w:multiLevelType w:val="hybridMultilevel"/>
    <w:tmpl w:val="1E0C2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A32825"/>
    <w:multiLevelType w:val="hybridMultilevel"/>
    <w:tmpl w:val="9D46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F01752"/>
    <w:multiLevelType w:val="hybridMultilevel"/>
    <w:tmpl w:val="A7562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7F13A0"/>
    <w:multiLevelType w:val="multilevel"/>
    <w:tmpl w:val="EB802E64"/>
    <w:styleLink w:val="CurrentList1"/>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8973289"/>
    <w:multiLevelType w:val="hybridMultilevel"/>
    <w:tmpl w:val="D12C34A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F8197F"/>
    <w:multiLevelType w:val="hybridMultilevel"/>
    <w:tmpl w:val="9BFE01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384A0E"/>
    <w:multiLevelType w:val="hybridMultilevel"/>
    <w:tmpl w:val="6E004FF6"/>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49672B"/>
    <w:multiLevelType w:val="hybridMultilevel"/>
    <w:tmpl w:val="773806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BD5784E"/>
    <w:multiLevelType w:val="hybridMultilevel"/>
    <w:tmpl w:val="239C5C6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D8D5866"/>
    <w:multiLevelType w:val="hybridMultilevel"/>
    <w:tmpl w:val="DBCA4C66"/>
    <w:lvl w:ilvl="0" w:tplc="FFFFFFFF">
      <w:start w:val="1"/>
      <w:numFmt w:val="decimal"/>
      <w:lvlText w:val="%1."/>
      <w:lvlJc w:val="left"/>
      <w:pPr>
        <w:ind w:left="720" w:hanging="360"/>
      </w:pPr>
      <w:rPr>
        <w:rFonts w:ascii="Calibri Light" w:eastAsia="Calibri Light" w:hAnsi="Calibri Light" w:cs="Calibri Light"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3D48D6"/>
    <w:multiLevelType w:val="hybridMultilevel"/>
    <w:tmpl w:val="DBCA4C66"/>
    <w:lvl w:ilvl="0" w:tplc="F8AC91EE">
      <w:start w:val="1"/>
      <w:numFmt w:val="decimal"/>
      <w:lvlText w:val="%1."/>
      <w:lvlJc w:val="left"/>
      <w:pPr>
        <w:ind w:left="720" w:hanging="360"/>
      </w:pPr>
      <w:rPr>
        <w:rFonts w:ascii="Calibri Light" w:eastAsia="Calibri Light" w:hAnsi="Calibri Light" w:cs="Calibri Light"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C32728"/>
    <w:multiLevelType w:val="hybridMultilevel"/>
    <w:tmpl w:val="BCA456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45179D"/>
    <w:multiLevelType w:val="hybridMultilevel"/>
    <w:tmpl w:val="D88E6D2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4F5ED8"/>
    <w:multiLevelType w:val="hybridMultilevel"/>
    <w:tmpl w:val="A5B460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881E25"/>
    <w:multiLevelType w:val="hybridMultilevel"/>
    <w:tmpl w:val="6EDE954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3806177"/>
    <w:multiLevelType w:val="hybridMultilevel"/>
    <w:tmpl w:val="D1449D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CE7232F"/>
    <w:multiLevelType w:val="hybridMultilevel"/>
    <w:tmpl w:val="0170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8F633B"/>
    <w:multiLevelType w:val="multilevel"/>
    <w:tmpl w:val="1F1AAB44"/>
    <w:lvl w:ilvl="0">
      <w:start w:val="1"/>
      <w:numFmt w:val="lowerLetter"/>
      <w:lvlText w:val="%1."/>
      <w:lvlJc w:val="left"/>
      <w:pPr>
        <w:ind w:left="1074" w:hanging="360"/>
      </w:pPr>
    </w:lvl>
    <w:lvl w:ilvl="1">
      <w:start w:val="1"/>
      <w:numFmt w:val="lowerRoman"/>
      <w:lvlText w:val="%2."/>
      <w:lvlJc w:val="right"/>
      <w:pPr>
        <w:ind w:left="1434" w:hanging="360"/>
      </w:pPr>
    </w:lvl>
    <w:lvl w:ilvl="2">
      <w:start w:val="1"/>
      <w:numFmt w:val="lowerRoman"/>
      <w:lvlText w:val="%3)"/>
      <w:lvlJc w:val="left"/>
      <w:pPr>
        <w:ind w:left="1794" w:hanging="360"/>
      </w:pPr>
    </w:lvl>
    <w:lvl w:ilvl="3">
      <w:start w:val="1"/>
      <w:numFmt w:val="decimal"/>
      <w:lvlText w:val="(%4)"/>
      <w:lvlJc w:val="left"/>
      <w:pPr>
        <w:ind w:left="2154" w:hanging="360"/>
      </w:pPr>
    </w:lvl>
    <w:lvl w:ilvl="4">
      <w:start w:val="1"/>
      <w:numFmt w:val="lowerLetter"/>
      <w:lvlText w:val="(%5)"/>
      <w:lvlJc w:val="left"/>
      <w:pPr>
        <w:ind w:left="2514" w:hanging="360"/>
      </w:pPr>
    </w:lvl>
    <w:lvl w:ilvl="5">
      <w:start w:val="1"/>
      <w:numFmt w:val="lowerRoman"/>
      <w:lvlText w:val="(%6)"/>
      <w:lvlJc w:val="left"/>
      <w:pPr>
        <w:ind w:left="2874" w:hanging="360"/>
      </w:pPr>
    </w:lvl>
    <w:lvl w:ilvl="6">
      <w:start w:val="1"/>
      <w:numFmt w:val="decimal"/>
      <w:lvlText w:val="%7."/>
      <w:lvlJc w:val="left"/>
      <w:pPr>
        <w:ind w:left="3234" w:hanging="360"/>
      </w:pPr>
    </w:lvl>
    <w:lvl w:ilvl="7">
      <w:start w:val="1"/>
      <w:numFmt w:val="lowerLetter"/>
      <w:lvlText w:val="%8."/>
      <w:lvlJc w:val="left"/>
      <w:pPr>
        <w:ind w:left="3594" w:hanging="360"/>
      </w:pPr>
    </w:lvl>
    <w:lvl w:ilvl="8">
      <w:start w:val="1"/>
      <w:numFmt w:val="lowerRoman"/>
      <w:lvlText w:val="%9."/>
      <w:lvlJc w:val="left"/>
      <w:pPr>
        <w:ind w:left="3954" w:hanging="360"/>
      </w:pPr>
    </w:lvl>
  </w:abstractNum>
  <w:abstractNum w:abstractNumId="32" w15:restartNumberingAfterBreak="0">
    <w:nsid w:val="735B288C"/>
    <w:multiLevelType w:val="hybridMultilevel"/>
    <w:tmpl w:val="6D2249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A84FCE"/>
    <w:multiLevelType w:val="multilevel"/>
    <w:tmpl w:val="1F1AAB44"/>
    <w:lvl w:ilvl="0">
      <w:start w:val="1"/>
      <w:numFmt w:val="lowerLetter"/>
      <w:lvlText w:val="%1."/>
      <w:lvlJc w:val="left"/>
      <w:pPr>
        <w:ind w:left="1074" w:hanging="360"/>
      </w:pPr>
    </w:lvl>
    <w:lvl w:ilvl="1">
      <w:start w:val="1"/>
      <w:numFmt w:val="lowerRoman"/>
      <w:lvlText w:val="%2."/>
      <w:lvlJc w:val="right"/>
      <w:pPr>
        <w:ind w:left="1434" w:hanging="360"/>
      </w:pPr>
    </w:lvl>
    <w:lvl w:ilvl="2">
      <w:start w:val="1"/>
      <w:numFmt w:val="lowerRoman"/>
      <w:lvlText w:val="%3)"/>
      <w:lvlJc w:val="left"/>
      <w:pPr>
        <w:ind w:left="1794" w:hanging="360"/>
      </w:pPr>
    </w:lvl>
    <w:lvl w:ilvl="3">
      <w:start w:val="1"/>
      <w:numFmt w:val="decimal"/>
      <w:lvlText w:val="(%4)"/>
      <w:lvlJc w:val="left"/>
      <w:pPr>
        <w:ind w:left="2154" w:hanging="360"/>
      </w:pPr>
    </w:lvl>
    <w:lvl w:ilvl="4">
      <w:start w:val="1"/>
      <w:numFmt w:val="lowerLetter"/>
      <w:lvlText w:val="(%5)"/>
      <w:lvlJc w:val="left"/>
      <w:pPr>
        <w:ind w:left="2514" w:hanging="360"/>
      </w:pPr>
    </w:lvl>
    <w:lvl w:ilvl="5">
      <w:start w:val="1"/>
      <w:numFmt w:val="lowerRoman"/>
      <w:lvlText w:val="(%6)"/>
      <w:lvlJc w:val="left"/>
      <w:pPr>
        <w:ind w:left="2874" w:hanging="360"/>
      </w:pPr>
    </w:lvl>
    <w:lvl w:ilvl="6">
      <w:start w:val="1"/>
      <w:numFmt w:val="decimal"/>
      <w:lvlText w:val="%7."/>
      <w:lvlJc w:val="left"/>
      <w:pPr>
        <w:ind w:left="3234" w:hanging="360"/>
      </w:pPr>
    </w:lvl>
    <w:lvl w:ilvl="7">
      <w:start w:val="1"/>
      <w:numFmt w:val="lowerLetter"/>
      <w:lvlText w:val="%8."/>
      <w:lvlJc w:val="left"/>
      <w:pPr>
        <w:ind w:left="3594" w:hanging="360"/>
      </w:pPr>
    </w:lvl>
    <w:lvl w:ilvl="8">
      <w:start w:val="1"/>
      <w:numFmt w:val="lowerRoman"/>
      <w:lvlText w:val="%9."/>
      <w:lvlJc w:val="left"/>
      <w:pPr>
        <w:ind w:left="3954" w:hanging="360"/>
      </w:pPr>
    </w:lvl>
  </w:abstractNum>
  <w:abstractNum w:abstractNumId="34" w15:restartNumberingAfterBreak="0">
    <w:nsid w:val="7A1079F7"/>
    <w:multiLevelType w:val="hybridMultilevel"/>
    <w:tmpl w:val="A2C4ACE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F8C0246"/>
    <w:multiLevelType w:val="hybridMultilevel"/>
    <w:tmpl w:val="CAF6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504319">
    <w:abstractNumId w:val="5"/>
  </w:num>
  <w:num w:numId="2" w16cid:durableId="1308436989">
    <w:abstractNumId w:val="0"/>
  </w:num>
  <w:num w:numId="3" w16cid:durableId="1844584723">
    <w:abstractNumId w:val="9"/>
  </w:num>
  <w:num w:numId="4" w16cid:durableId="2102992129">
    <w:abstractNumId w:val="27"/>
  </w:num>
  <w:num w:numId="5" w16cid:durableId="604536080">
    <w:abstractNumId w:val="14"/>
  </w:num>
  <w:num w:numId="6" w16cid:durableId="259919790">
    <w:abstractNumId w:val="20"/>
  </w:num>
  <w:num w:numId="7" w16cid:durableId="44499652">
    <w:abstractNumId w:val="26"/>
  </w:num>
  <w:num w:numId="8" w16cid:durableId="1941448016">
    <w:abstractNumId w:val="15"/>
  </w:num>
  <w:num w:numId="9" w16cid:durableId="1330332250">
    <w:abstractNumId w:val="12"/>
  </w:num>
  <w:num w:numId="10" w16cid:durableId="2122794838">
    <w:abstractNumId w:val="24"/>
  </w:num>
  <w:num w:numId="11" w16cid:durableId="1046760215">
    <w:abstractNumId w:val="23"/>
  </w:num>
  <w:num w:numId="12" w16cid:durableId="1984580767">
    <w:abstractNumId w:val="19"/>
  </w:num>
  <w:num w:numId="13" w16cid:durableId="427896190">
    <w:abstractNumId w:val="29"/>
  </w:num>
  <w:num w:numId="14" w16cid:durableId="386147167">
    <w:abstractNumId w:val="13"/>
  </w:num>
  <w:num w:numId="15" w16cid:durableId="221914644">
    <w:abstractNumId w:val="31"/>
  </w:num>
  <w:num w:numId="16" w16cid:durableId="1744142134">
    <w:abstractNumId w:val="33"/>
  </w:num>
  <w:num w:numId="17" w16cid:durableId="524639631">
    <w:abstractNumId w:val="1"/>
  </w:num>
  <w:num w:numId="18" w16cid:durableId="1511798858">
    <w:abstractNumId w:val="16"/>
  </w:num>
  <w:num w:numId="19" w16cid:durableId="529537886">
    <w:abstractNumId w:val="17"/>
  </w:num>
  <w:num w:numId="20" w16cid:durableId="1120881763">
    <w:abstractNumId w:val="6"/>
  </w:num>
  <w:num w:numId="21" w16cid:durableId="919024565">
    <w:abstractNumId w:val="32"/>
  </w:num>
  <w:num w:numId="22" w16cid:durableId="246308581">
    <w:abstractNumId w:val="21"/>
  </w:num>
  <w:num w:numId="23" w16cid:durableId="1277253705">
    <w:abstractNumId w:val="3"/>
  </w:num>
  <w:num w:numId="24" w16cid:durableId="2131051000">
    <w:abstractNumId w:val="35"/>
  </w:num>
  <w:num w:numId="25" w16cid:durableId="789713297">
    <w:abstractNumId w:val="7"/>
  </w:num>
  <w:num w:numId="26" w16cid:durableId="898788331">
    <w:abstractNumId w:val="30"/>
  </w:num>
  <w:num w:numId="27" w16cid:durableId="1742217780">
    <w:abstractNumId w:val="25"/>
  </w:num>
  <w:num w:numId="28" w16cid:durableId="1910922603">
    <w:abstractNumId w:val="11"/>
  </w:num>
  <w:num w:numId="29" w16cid:durableId="1046681093">
    <w:abstractNumId w:val="34"/>
  </w:num>
  <w:num w:numId="30" w16cid:durableId="19166762">
    <w:abstractNumId w:val="4"/>
  </w:num>
  <w:num w:numId="31" w16cid:durableId="1779762993">
    <w:abstractNumId w:val="8"/>
  </w:num>
  <w:num w:numId="32" w16cid:durableId="2062172483">
    <w:abstractNumId w:val="5"/>
  </w:num>
  <w:num w:numId="33" w16cid:durableId="378633690">
    <w:abstractNumId w:val="5"/>
  </w:num>
  <w:num w:numId="34" w16cid:durableId="1846701764">
    <w:abstractNumId w:val="10"/>
  </w:num>
  <w:num w:numId="35" w16cid:durableId="975646877">
    <w:abstractNumId w:val="18"/>
  </w:num>
  <w:num w:numId="36" w16cid:durableId="540558592">
    <w:abstractNumId w:val="28"/>
  </w:num>
  <w:num w:numId="37" w16cid:durableId="111747496">
    <w:abstractNumId w:val="2"/>
  </w:num>
  <w:num w:numId="38" w16cid:durableId="53042175">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3C"/>
    <w:rsid w:val="0000015E"/>
    <w:rsid w:val="0000072D"/>
    <w:rsid w:val="00001219"/>
    <w:rsid w:val="0000198B"/>
    <w:rsid w:val="00001B9C"/>
    <w:rsid w:val="00001E5B"/>
    <w:rsid w:val="00001E7D"/>
    <w:rsid w:val="00001EA3"/>
    <w:rsid w:val="00002448"/>
    <w:rsid w:val="0000295E"/>
    <w:rsid w:val="0000350F"/>
    <w:rsid w:val="00003780"/>
    <w:rsid w:val="00003890"/>
    <w:rsid w:val="0000400E"/>
    <w:rsid w:val="00004530"/>
    <w:rsid w:val="00004B51"/>
    <w:rsid w:val="00004ED6"/>
    <w:rsid w:val="00005227"/>
    <w:rsid w:val="00006352"/>
    <w:rsid w:val="00006650"/>
    <w:rsid w:val="00006D94"/>
    <w:rsid w:val="000072A7"/>
    <w:rsid w:val="00007E93"/>
    <w:rsid w:val="000114F6"/>
    <w:rsid w:val="00011603"/>
    <w:rsid w:val="00011754"/>
    <w:rsid w:val="000117E1"/>
    <w:rsid w:val="00011F43"/>
    <w:rsid w:val="00012A78"/>
    <w:rsid w:val="00012D4A"/>
    <w:rsid w:val="00012EAF"/>
    <w:rsid w:val="000133B6"/>
    <w:rsid w:val="00013577"/>
    <w:rsid w:val="00013A1F"/>
    <w:rsid w:val="000141AF"/>
    <w:rsid w:val="000147FF"/>
    <w:rsid w:val="00015087"/>
    <w:rsid w:val="00015D06"/>
    <w:rsid w:val="00015D6D"/>
    <w:rsid w:val="00015E2E"/>
    <w:rsid w:val="0001600C"/>
    <w:rsid w:val="000165CD"/>
    <w:rsid w:val="0001725B"/>
    <w:rsid w:val="0001729F"/>
    <w:rsid w:val="0001794F"/>
    <w:rsid w:val="00021085"/>
    <w:rsid w:val="000211C4"/>
    <w:rsid w:val="00021474"/>
    <w:rsid w:val="00021BAD"/>
    <w:rsid w:val="000221B8"/>
    <w:rsid w:val="00022979"/>
    <w:rsid w:val="00022C7F"/>
    <w:rsid w:val="00022E82"/>
    <w:rsid w:val="000232E2"/>
    <w:rsid w:val="00023344"/>
    <w:rsid w:val="00023815"/>
    <w:rsid w:val="0002382E"/>
    <w:rsid w:val="000238DB"/>
    <w:rsid w:val="00024179"/>
    <w:rsid w:val="000242AB"/>
    <w:rsid w:val="000242D5"/>
    <w:rsid w:val="000242F8"/>
    <w:rsid w:val="00024A62"/>
    <w:rsid w:val="00024B59"/>
    <w:rsid w:val="00025245"/>
    <w:rsid w:val="00025458"/>
    <w:rsid w:val="00025511"/>
    <w:rsid w:val="00025A46"/>
    <w:rsid w:val="00025C59"/>
    <w:rsid w:val="0002683F"/>
    <w:rsid w:val="0002690F"/>
    <w:rsid w:val="0002693B"/>
    <w:rsid w:val="00026965"/>
    <w:rsid w:val="00027679"/>
    <w:rsid w:val="00027984"/>
    <w:rsid w:val="00030233"/>
    <w:rsid w:val="0003049B"/>
    <w:rsid w:val="0003063E"/>
    <w:rsid w:val="00030B04"/>
    <w:rsid w:val="00030FAA"/>
    <w:rsid w:val="00031569"/>
    <w:rsid w:val="0003178A"/>
    <w:rsid w:val="00031E84"/>
    <w:rsid w:val="0003249E"/>
    <w:rsid w:val="0003291A"/>
    <w:rsid w:val="000329FA"/>
    <w:rsid w:val="00032A63"/>
    <w:rsid w:val="00032F9E"/>
    <w:rsid w:val="0003390C"/>
    <w:rsid w:val="0003406A"/>
    <w:rsid w:val="00034211"/>
    <w:rsid w:val="000344CD"/>
    <w:rsid w:val="000352A4"/>
    <w:rsid w:val="00035AEB"/>
    <w:rsid w:val="00035B90"/>
    <w:rsid w:val="000363B0"/>
    <w:rsid w:val="000363C9"/>
    <w:rsid w:val="0003777F"/>
    <w:rsid w:val="00037EDF"/>
    <w:rsid w:val="000401CE"/>
    <w:rsid w:val="00040836"/>
    <w:rsid w:val="00041D7D"/>
    <w:rsid w:val="0004201B"/>
    <w:rsid w:val="0004218B"/>
    <w:rsid w:val="00042349"/>
    <w:rsid w:val="00042D66"/>
    <w:rsid w:val="00042FDA"/>
    <w:rsid w:val="00043228"/>
    <w:rsid w:val="000433CF"/>
    <w:rsid w:val="00043AFB"/>
    <w:rsid w:val="00043F4D"/>
    <w:rsid w:val="000447BE"/>
    <w:rsid w:val="0004559E"/>
    <w:rsid w:val="0004584F"/>
    <w:rsid w:val="00045CB3"/>
    <w:rsid w:val="00046519"/>
    <w:rsid w:val="00047638"/>
    <w:rsid w:val="00047FA7"/>
    <w:rsid w:val="000507B2"/>
    <w:rsid w:val="00051C06"/>
    <w:rsid w:val="00051ECD"/>
    <w:rsid w:val="00053A5C"/>
    <w:rsid w:val="000543D5"/>
    <w:rsid w:val="000546F2"/>
    <w:rsid w:val="00054C62"/>
    <w:rsid w:val="0005543E"/>
    <w:rsid w:val="00055B06"/>
    <w:rsid w:val="00056130"/>
    <w:rsid w:val="00057255"/>
    <w:rsid w:val="0005770C"/>
    <w:rsid w:val="0006074F"/>
    <w:rsid w:val="00061394"/>
    <w:rsid w:val="00061D5C"/>
    <w:rsid w:val="00061F5F"/>
    <w:rsid w:val="000620A1"/>
    <w:rsid w:val="000623E1"/>
    <w:rsid w:val="0006293E"/>
    <w:rsid w:val="00062ABE"/>
    <w:rsid w:val="000630F6"/>
    <w:rsid w:val="0006357C"/>
    <w:rsid w:val="0006388B"/>
    <w:rsid w:val="00063C7F"/>
    <w:rsid w:val="00064050"/>
    <w:rsid w:val="000644A5"/>
    <w:rsid w:val="000645C9"/>
    <w:rsid w:val="00064C7A"/>
    <w:rsid w:val="00065163"/>
    <w:rsid w:val="00065508"/>
    <w:rsid w:val="000656D6"/>
    <w:rsid w:val="000659F4"/>
    <w:rsid w:val="00065BC2"/>
    <w:rsid w:val="00066785"/>
    <w:rsid w:val="000669F4"/>
    <w:rsid w:val="00066F96"/>
    <w:rsid w:val="00067843"/>
    <w:rsid w:val="00067C4F"/>
    <w:rsid w:val="00067D54"/>
    <w:rsid w:val="00070010"/>
    <w:rsid w:val="00070016"/>
    <w:rsid w:val="000707FD"/>
    <w:rsid w:val="00071058"/>
    <w:rsid w:val="00071086"/>
    <w:rsid w:val="000710A9"/>
    <w:rsid w:val="000711FD"/>
    <w:rsid w:val="000717D4"/>
    <w:rsid w:val="0007202A"/>
    <w:rsid w:val="0007329E"/>
    <w:rsid w:val="00074624"/>
    <w:rsid w:val="00074C21"/>
    <w:rsid w:val="00074C66"/>
    <w:rsid w:val="00075B05"/>
    <w:rsid w:val="0007653E"/>
    <w:rsid w:val="00076D40"/>
    <w:rsid w:val="0007797B"/>
    <w:rsid w:val="00080476"/>
    <w:rsid w:val="000809E7"/>
    <w:rsid w:val="00081387"/>
    <w:rsid w:val="000813CB"/>
    <w:rsid w:val="000816AF"/>
    <w:rsid w:val="00081D08"/>
    <w:rsid w:val="000821FD"/>
    <w:rsid w:val="000840B4"/>
    <w:rsid w:val="000844CF"/>
    <w:rsid w:val="0008471B"/>
    <w:rsid w:val="00085371"/>
    <w:rsid w:val="00085651"/>
    <w:rsid w:val="0008579B"/>
    <w:rsid w:val="00085826"/>
    <w:rsid w:val="000858B4"/>
    <w:rsid w:val="00085B2F"/>
    <w:rsid w:val="000867F2"/>
    <w:rsid w:val="00086B9B"/>
    <w:rsid w:val="00086E36"/>
    <w:rsid w:val="00087522"/>
    <w:rsid w:val="00087EDB"/>
    <w:rsid w:val="00091182"/>
    <w:rsid w:val="00091BC2"/>
    <w:rsid w:val="00091D9C"/>
    <w:rsid w:val="00092FCF"/>
    <w:rsid w:val="00093754"/>
    <w:rsid w:val="00093B3A"/>
    <w:rsid w:val="00093B86"/>
    <w:rsid w:val="000951DA"/>
    <w:rsid w:val="0009538B"/>
    <w:rsid w:val="000961AC"/>
    <w:rsid w:val="000962F8"/>
    <w:rsid w:val="00097916"/>
    <w:rsid w:val="000A03C0"/>
    <w:rsid w:val="000A0AA4"/>
    <w:rsid w:val="000A0EAE"/>
    <w:rsid w:val="000A195C"/>
    <w:rsid w:val="000A1C72"/>
    <w:rsid w:val="000A1CB2"/>
    <w:rsid w:val="000A20DF"/>
    <w:rsid w:val="000A2AFF"/>
    <w:rsid w:val="000A3444"/>
    <w:rsid w:val="000A3818"/>
    <w:rsid w:val="000A3825"/>
    <w:rsid w:val="000A3E3E"/>
    <w:rsid w:val="000A48DD"/>
    <w:rsid w:val="000A4AE6"/>
    <w:rsid w:val="000A4C04"/>
    <w:rsid w:val="000A4C5B"/>
    <w:rsid w:val="000A4F2D"/>
    <w:rsid w:val="000A50E2"/>
    <w:rsid w:val="000A5103"/>
    <w:rsid w:val="000A5331"/>
    <w:rsid w:val="000A5447"/>
    <w:rsid w:val="000A624B"/>
    <w:rsid w:val="000A695A"/>
    <w:rsid w:val="000A6F19"/>
    <w:rsid w:val="000A7734"/>
    <w:rsid w:val="000A78FD"/>
    <w:rsid w:val="000A7B9F"/>
    <w:rsid w:val="000A7D0A"/>
    <w:rsid w:val="000B0005"/>
    <w:rsid w:val="000B07B4"/>
    <w:rsid w:val="000B0BAA"/>
    <w:rsid w:val="000B1390"/>
    <w:rsid w:val="000B20A1"/>
    <w:rsid w:val="000B23E6"/>
    <w:rsid w:val="000B3A73"/>
    <w:rsid w:val="000B3C18"/>
    <w:rsid w:val="000B3F81"/>
    <w:rsid w:val="000B418B"/>
    <w:rsid w:val="000B483C"/>
    <w:rsid w:val="000B48D0"/>
    <w:rsid w:val="000B4D11"/>
    <w:rsid w:val="000B592F"/>
    <w:rsid w:val="000B5A01"/>
    <w:rsid w:val="000B5ADE"/>
    <w:rsid w:val="000B6276"/>
    <w:rsid w:val="000B65E1"/>
    <w:rsid w:val="000B67BB"/>
    <w:rsid w:val="000B6B8B"/>
    <w:rsid w:val="000B6FAC"/>
    <w:rsid w:val="000B6FE4"/>
    <w:rsid w:val="000B71A6"/>
    <w:rsid w:val="000B75F8"/>
    <w:rsid w:val="000B7DF4"/>
    <w:rsid w:val="000C00FB"/>
    <w:rsid w:val="000C0305"/>
    <w:rsid w:val="000C0563"/>
    <w:rsid w:val="000C057E"/>
    <w:rsid w:val="000C0C0A"/>
    <w:rsid w:val="000C1139"/>
    <w:rsid w:val="000C23D8"/>
    <w:rsid w:val="000C2488"/>
    <w:rsid w:val="000C2F3B"/>
    <w:rsid w:val="000C32AC"/>
    <w:rsid w:val="000C3734"/>
    <w:rsid w:val="000C3A5B"/>
    <w:rsid w:val="000C4586"/>
    <w:rsid w:val="000C4814"/>
    <w:rsid w:val="000C4E44"/>
    <w:rsid w:val="000C6084"/>
    <w:rsid w:val="000C6222"/>
    <w:rsid w:val="000C649C"/>
    <w:rsid w:val="000C68E2"/>
    <w:rsid w:val="000C7203"/>
    <w:rsid w:val="000C73B2"/>
    <w:rsid w:val="000C79AA"/>
    <w:rsid w:val="000C7BA0"/>
    <w:rsid w:val="000D0499"/>
    <w:rsid w:val="000D0549"/>
    <w:rsid w:val="000D0E54"/>
    <w:rsid w:val="000D11F6"/>
    <w:rsid w:val="000D20FC"/>
    <w:rsid w:val="000D24E4"/>
    <w:rsid w:val="000D27D7"/>
    <w:rsid w:val="000D2FCC"/>
    <w:rsid w:val="000D32B9"/>
    <w:rsid w:val="000D379C"/>
    <w:rsid w:val="000D4097"/>
    <w:rsid w:val="000D4291"/>
    <w:rsid w:val="000D4349"/>
    <w:rsid w:val="000D47EF"/>
    <w:rsid w:val="000D4930"/>
    <w:rsid w:val="000D50CA"/>
    <w:rsid w:val="000D50FB"/>
    <w:rsid w:val="000D6156"/>
    <w:rsid w:val="000D6428"/>
    <w:rsid w:val="000D6A3E"/>
    <w:rsid w:val="000D70FC"/>
    <w:rsid w:val="000D75B5"/>
    <w:rsid w:val="000D79A7"/>
    <w:rsid w:val="000D7B76"/>
    <w:rsid w:val="000E02F0"/>
    <w:rsid w:val="000E035E"/>
    <w:rsid w:val="000E103C"/>
    <w:rsid w:val="000E126B"/>
    <w:rsid w:val="000E1B41"/>
    <w:rsid w:val="000E3026"/>
    <w:rsid w:val="000E3C8D"/>
    <w:rsid w:val="000E4273"/>
    <w:rsid w:val="000E5263"/>
    <w:rsid w:val="000E6077"/>
    <w:rsid w:val="000E693D"/>
    <w:rsid w:val="000E73F0"/>
    <w:rsid w:val="000E77FD"/>
    <w:rsid w:val="000E783A"/>
    <w:rsid w:val="000F0B4B"/>
    <w:rsid w:val="000F130C"/>
    <w:rsid w:val="000F1ECD"/>
    <w:rsid w:val="000F3A8E"/>
    <w:rsid w:val="000F44B4"/>
    <w:rsid w:val="000F47C0"/>
    <w:rsid w:val="000F5B14"/>
    <w:rsid w:val="000F6079"/>
    <w:rsid w:val="000F6296"/>
    <w:rsid w:val="000F655B"/>
    <w:rsid w:val="000F656E"/>
    <w:rsid w:val="000F66CB"/>
    <w:rsid w:val="000F6737"/>
    <w:rsid w:val="000F6AA2"/>
    <w:rsid w:val="000F6E9F"/>
    <w:rsid w:val="000F7051"/>
    <w:rsid w:val="000F71A6"/>
    <w:rsid w:val="000F75A6"/>
    <w:rsid w:val="000F780C"/>
    <w:rsid w:val="000F784E"/>
    <w:rsid w:val="000F7E50"/>
    <w:rsid w:val="000F7E97"/>
    <w:rsid w:val="0010008F"/>
    <w:rsid w:val="00100D5B"/>
    <w:rsid w:val="00100EA0"/>
    <w:rsid w:val="001010FA"/>
    <w:rsid w:val="00101424"/>
    <w:rsid w:val="00101C85"/>
    <w:rsid w:val="00101CF0"/>
    <w:rsid w:val="00101D1A"/>
    <w:rsid w:val="00101F45"/>
    <w:rsid w:val="0010226F"/>
    <w:rsid w:val="001024A3"/>
    <w:rsid w:val="0010290D"/>
    <w:rsid w:val="00102C63"/>
    <w:rsid w:val="00102F2D"/>
    <w:rsid w:val="00103054"/>
    <w:rsid w:val="0010305B"/>
    <w:rsid w:val="0010392A"/>
    <w:rsid w:val="00103FBE"/>
    <w:rsid w:val="00104262"/>
    <w:rsid w:val="001042A1"/>
    <w:rsid w:val="00104EBF"/>
    <w:rsid w:val="00105439"/>
    <w:rsid w:val="0010627D"/>
    <w:rsid w:val="001072E2"/>
    <w:rsid w:val="00110309"/>
    <w:rsid w:val="001110CC"/>
    <w:rsid w:val="00111139"/>
    <w:rsid w:val="0011140B"/>
    <w:rsid w:val="00111A00"/>
    <w:rsid w:val="00112031"/>
    <w:rsid w:val="001120A6"/>
    <w:rsid w:val="00112389"/>
    <w:rsid w:val="00112B87"/>
    <w:rsid w:val="001133B9"/>
    <w:rsid w:val="001137E4"/>
    <w:rsid w:val="001142BF"/>
    <w:rsid w:val="00114D0B"/>
    <w:rsid w:val="001151A2"/>
    <w:rsid w:val="001153C7"/>
    <w:rsid w:val="00115EF9"/>
    <w:rsid w:val="0011613A"/>
    <w:rsid w:val="0011682D"/>
    <w:rsid w:val="00116ED1"/>
    <w:rsid w:val="00117EFA"/>
    <w:rsid w:val="00117FE9"/>
    <w:rsid w:val="0012055F"/>
    <w:rsid w:val="00121508"/>
    <w:rsid w:val="0012185E"/>
    <w:rsid w:val="0012490F"/>
    <w:rsid w:val="00124982"/>
    <w:rsid w:val="00124B75"/>
    <w:rsid w:val="001255D3"/>
    <w:rsid w:val="00125884"/>
    <w:rsid w:val="00126A67"/>
    <w:rsid w:val="00126DE3"/>
    <w:rsid w:val="0012715B"/>
    <w:rsid w:val="0013002F"/>
    <w:rsid w:val="00130706"/>
    <w:rsid w:val="00130AD8"/>
    <w:rsid w:val="00131402"/>
    <w:rsid w:val="00131FB2"/>
    <w:rsid w:val="00132DE5"/>
    <w:rsid w:val="00132FEE"/>
    <w:rsid w:val="001330FE"/>
    <w:rsid w:val="00133189"/>
    <w:rsid w:val="0013369B"/>
    <w:rsid w:val="0013408F"/>
    <w:rsid w:val="001347E0"/>
    <w:rsid w:val="00134EAE"/>
    <w:rsid w:val="0013563D"/>
    <w:rsid w:val="001365AD"/>
    <w:rsid w:val="00137C94"/>
    <w:rsid w:val="001400D1"/>
    <w:rsid w:val="00140862"/>
    <w:rsid w:val="0014160B"/>
    <w:rsid w:val="00141671"/>
    <w:rsid w:val="001416B4"/>
    <w:rsid w:val="001417E6"/>
    <w:rsid w:val="0014273E"/>
    <w:rsid w:val="00142A9F"/>
    <w:rsid w:val="00142F8E"/>
    <w:rsid w:val="001431AD"/>
    <w:rsid w:val="001443C4"/>
    <w:rsid w:val="0014497B"/>
    <w:rsid w:val="001449E4"/>
    <w:rsid w:val="00144AE7"/>
    <w:rsid w:val="00144E6D"/>
    <w:rsid w:val="00145342"/>
    <w:rsid w:val="001457E4"/>
    <w:rsid w:val="00145800"/>
    <w:rsid w:val="00146268"/>
    <w:rsid w:val="00146E15"/>
    <w:rsid w:val="001471DC"/>
    <w:rsid w:val="00147957"/>
    <w:rsid w:val="00147BF5"/>
    <w:rsid w:val="00147FAE"/>
    <w:rsid w:val="00151213"/>
    <w:rsid w:val="00151765"/>
    <w:rsid w:val="0015272F"/>
    <w:rsid w:val="00153114"/>
    <w:rsid w:val="001532A5"/>
    <w:rsid w:val="00153EB0"/>
    <w:rsid w:val="00154615"/>
    <w:rsid w:val="001546D8"/>
    <w:rsid w:val="00154D45"/>
    <w:rsid w:val="00155041"/>
    <w:rsid w:val="00155161"/>
    <w:rsid w:val="001552AF"/>
    <w:rsid w:val="001556BD"/>
    <w:rsid w:val="00155E84"/>
    <w:rsid w:val="0015625D"/>
    <w:rsid w:val="001572FA"/>
    <w:rsid w:val="00157935"/>
    <w:rsid w:val="00157E84"/>
    <w:rsid w:val="001607E0"/>
    <w:rsid w:val="00161F7D"/>
    <w:rsid w:val="00162BA0"/>
    <w:rsid w:val="00163EBC"/>
    <w:rsid w:val="00164828"/>
    <w:rsid w:val="00164BE6"/>
    <w:rsid w:val="00164CB5"/>
    <w:rsid w:val="00164E39"/>
    <w:rsid w:val="00164ECF"/>
    <w:rsid w:val="001666AD"/>
    <w:rsid w:val="00166D6C"/>
    <w:rsid w:val="00166ED3"/>
    <w:rsid w:val="001675E9"/>
    <w:rsid w:val="0017088F"/>
    <w:rsid w:val="00170B4D"/>
    <w:rsid w:val="00170C25"/>
    <w:rsid w:val="00170E3A"/>
    <w:rsid w:val="00171081"/>
    <w:rsid w:val="001712CD"/>
    <w:rsid w:val="001713D5"/>
    <w:rsid w:val="001717B1"/>
    <w:rsid w:val="0017184F"/>
    <w:rsid w:val="00171E5E"/>
    <w:rsid w:val="001720E4"/>
    <w:rsid w:val="00173936"/>
    <w:rsid w:val="0017417E"/>
    <w:rsid w:val="001741BE"/>
    <w:rsid w:val="00174504"/>
    <w:rsid w:val="001748D2"/>
    <w:rsid w:val="00175053"/>
    <w:rsid w:val="001757F6"/>
    <w:rsid w:val="0017597A"/>
    <w:rsid w:val="00175DD4"/>
    <w:rsid w:val="001765C5"/>
    <w:rsid w:val="0017683E"/>
    <w:rsid w:val="00176ABA"/>
    <w:rsid w:val="00176B57"/>
    <w:rsid w:val="00177512"/>
    <w:rsid w:val="00177618"/>
    <w:rsid w:val="001777D9"/>
    <w:rsid w:val="001805CA"/>
    <w:rsid w:val="001806A3"/>
    <w:rsid w:val="00180A0E"/>
    <w:rsid w:val="00180A9C"/>
    <w:rsid w:val="00180CEC"/>
    <w:rsid w:val="00180FEF"/>
    <w:rsid w:val="0018149A"/>
    <w:rsid w:val="0018164A"/>
    <w:rsid w:val="0018187B"/>
    <w:rsid w:val="0018245A"/>
    <w:rsid w:val="00182992"/>
    <w:rsid w:val="00183723"/>
    <w:rsid w:val="0018395A"/>
    <w:rsid w:val="00184024"/>
    <w:rsid w:val="00184281"/>
    <w:rsid w:val="001845E5"/>
    <w:rsid w:val="001848AE"/>
    <w:rsid w:val="00184E46"/>
    <w:rsid w:val="001855D0"/>
    <w:rsid w:val="00185ACE"/>
    <w:rsid w:val="00185BD1"/>
    <w:rsid w:val="00185E78"/>
    <w:rsid w:val="0018612A"/>
    <w:rsid w:val="0018702D"/>
    <w:rsid w:val="00187B63"/>
    <w:rsid w:val="00187CD2"/>
    <w:rsid w:val="001902C3"/>
    <w:rsid w:val="0019046E"/>
    <w:rsid w:val="001904B2"/>
    <w:rsid w:val="001905DF"/>
    <w:rsid w:val="0019068C"/>
    <w:rsid w:val="00190851"/>
    <w:rsid w:val="00190FC0"/>
    <w:rsid w:val="00191287"/>
    <w:rsid w:val="0019161A"/>
    <w:rsid w:val="001916D0"/>
    <w:rsid w:val="001916DF"/>
    <w:rsid w:val="0019196A"/>
    <w:rsid w:val="00191A11"/>
    <w:rsid w:val="00192492"/>
    <w:rsid w:val="0019271B"/>
    <w:rsid w:val="001928BE"/>
    <w:rsid w:val="00192A93"/>
    <w:rsid w:val="00192CBF"/>
    <w:rsid w:val="00192DB7"/>
    <w:rsid w:val="001930A9"/>
    <w:rsid w:val="00193F2D"/>
    <w:rsid w:val="001941A7"/>
    <w:rsid w:val="001942FC"/>
    <w:rsid w:val="00195253"/>
    <w:rsid w:val="001955FE"/>
    <w:rsid w:val="001966D3"/>
    <w:rsid w:val="00197477"/>
    <w:rsid w:val="001974CF"/>
    <w:rsid w:val="001974D6"/>
    <w:rsid w:val="0019792C"/>
    <w:rsid w:val="00197AD2"/>
    <w:rsid w:val="00197C58"/>
    <w:rsid w:val="00197C5D"/>
    <w:rsid w:val="00197F1D"/>
    <w:rsid w:val="001A030D"/>
    <w:rsid w:val="001A0C89"/>
    <w:rsid w:val="001A10AF"/>
    <w:rsid w:val="001A118F"/>
    <w:rsid w:val="001A1CBC"/>
    <w:rsid w:val="001A201A"/>
    <w:rsid w:val="001A21EF"/>
    <w:rsid w:val="001A308C"/>
    <w:rsid w:val="001A30C3"/>
    <w:rsid w:val="001A3137"/>
    <w:rsid w:val="001A35F8"/>
    <w:rsid w:val="001A3925"/>
    <w:rsid w:val="001A3A0B"/>
    <w:rsid w:val="001A5CB1"/>
    <w:rsid w:val="001A6B8E"/>
    <w:rsid w:val="001A71E1"/>
    <w:rsid w:val="001A730D"/>
    <w:rsid w:val="001A739B"/>
    <w:rsid w:val="001A7A5C"/>
    <w:rsid w:val="001A7D00"/>
    <w:rsid w:val="001B0B6B"/>
    <w:rsid w:val="001B0BB1"/>
    <w:rsid w:val="001B1C5C"/>
    <w:rsid w:val="001B2A45"/>
    <w:rsid w:val="001B2B20"/>
    <w:rsid w:val="001B2FD3"/>
    <w:rsid w:val="001B3E58"/>
    <w:rsid w:val="001B401C"/>
    <w:rsid w:val="001B4073"/>
    <w:rsid w:val="001B4100"/>
    <w:rsid w:val="001B4761"/>
    <w:rsid w:val="001B4B48"/>
    <w:rsid w:val="001B4CE0"/>
    <w:rsid w:val="001B532A"/>
    <w:rsid w:val="001B546A"/>
    <w:rsid w:val="001B553C"/>
    <w:rsid w:val="001B6195"/>
    <w:rsid w:val="001B650A"/>
    <w:rsid w:val="001B69D0"/>
    <w:rsid w:val="001B7721"/>
    <w:rsid w:val="001B77D4"/>
    <w:rsid w:val="001C0238"/>
    <w:rsid w:val="001C08C7"/>
    <w:rsid w:val="001C09D5"/>
    <w:rsid w:val="001C09E8"/>
    <w:rsid w:val="001C0BCA"/>
    <w:rsid w:val="001C10A7"/>
    <w:rsid w:val="001C1439"/>
    <w:rsid w:val="001C1D02"/>
    <w:rsid w:val="001C1ED6"/>
    <w:rsid w:val="001C25B4"/>
    <w:rsid w:val="001C2706"/>
    <w:rsid w:val="001C2D57"/>
    <w:rsid w:val="001C2F7E"/>
    <w:rsid w:val="001C30B0"/>
    <w:rsid w:val="001C38B0"/>
    <w:rsid w:val="001C3ACA"/>
    <w:rsid w:val="001C3AFB"/>
    <w:rsid w:val="001C40DD"/>
    <w:rsid w:val="001C43E0"/>
    <w:rsid w:val="001C48FA"/>
    <w:rsid w:val="001C5FD4"/>
    <w:rsid w:val="001C6666"/>
    <w:rsid w:val="001C718B"/>
    <w:rsid w:val="001C71B1"/>
    <w:rsid w:val="001C758E"/>
    <w:rsid w:val="001C7963"/>
    <w:rsid w:val="001C7BE2"/>
    <w:rsid w:val="001D0243"/>
    <w:rsid w:val="001D067D"/>
    <w:rsid w:val="001D155C"/>
    <w:rsid w:val="001D1DF0"/>
    <w:rsid w:val="001D1E6B"/>
    <w:rsid w:val="001D2E9F"/>
    <w:rsid w:val="001D3AD0"/>
    <w:rsid w:val="001D3E66"/>
    <w:rsid w:val="001D41F9"/>
    <w:rsid w:val="001D42AA"/>
    <w:rsid w:val="001D460E"/>
    <w:rsid w:val="001D4A48"/>
    <w:rsid w:val="001D4E02"/>
    <w:rsid w:val="001D5AA2"/>
    <w:rsid w:val="001D6353"/>
    <w:rsid w:val="001D6554"/>
    <w:rsid w:val="001D6D74"/>
    <w:rsid w:val="001D7D4C"/>
    <w:rsid w:val="001E0078"/>
    <w:rsid w:val="001E06B7"/>
    <w:rsid w:val="001E092F"/>
    <w:rsid w:val="001E11BE"/>
    <w:rsid w:val="001E14CD"/>
    <w:rsid w:val="001E2117"/>
    <w:rsid w:val="001E25F9"/>
    <w:rsid w:val="001E2ADF"/>
    <w:rsid w:val="001E3791"/>
    <w:rsid w:val="001E37F9"/>
    <w:rsid w:val="001E3D2D"/>
    <w:rsid w:val="001E3D9A"/>
    <w:rsid w:val="001E4499"/>
    <w:rsid w:val="001E4886"/>
    <w:rsid w:val="001E49C1"/>
    <w:rsid w:val="001E54B6"/>
    <w:rsid w:val="001E62A1"/>
    <w:rsid w:val="001E64ED"/>
    <w:rsid w:val="001E6827"/>
    <w:rsid w:val="001E6CDB"/>
    <w:rsid w:val="001E6F13"/>
    <w:rsid w:val="001E7710"/>
    <w:rsid w:val="001E789A"/>
    <w:rsid w:val="001F06EC"/>
    <w:rsid w:val="001F0AA5"/>
    <w:rsid w:val="001F0DC1"/>
    <w:rsid w:val="001F0E5E"/>
    <w:rsid w:val="001F0F93"/>
    <w:rsid w:val="001F24F9"/>
    <w:rsid w:val="001F3EB0"/>
    <w:rsid w:val="001F432F"/>
    <w:rsid w:val="001F442A"/>
    <w:rsid w:val="001F4727"/>
    <w:rsid w:val="001F5104"/>
    <w:rsid w:val="001F5732"/>
    <w:rsid w:val="001F62E1"/>
    <w:rsid w:val="001F6404"/>
    <w:rsid w:val="001F687E"/>
    <w:rsid w:val="001F7119"/>
    <w:rsid w:val="001F73AF"/>
    <w:rsid w:val="001F766C"/>
    <w:rsid w:val="001F7CD2"/>
    <w:rsid w:val="002000B4"/>
    <w:rsid w:val="00200EF5"/>
    <w:rsid w:val="00201438"/>
    <w:rsid w:val="002018F0"/>
    <w:rsid w:val="0020238A"/>
    <w:rsid w:val="00202A1F"/>
    <w:rsid w:val="00203250"/>
    <w:rsid w:val="002038F0"/>
    <w:rsid w:val="0020415A"/>
    <w:rsid w:val="00205316"/>
    <w:rsid w:val="002053EB"/>
    <w:rsid w:val="00205575"/>
    <w:rsid w:val="002058C6"/>
    <w:rsid w:val="00205B02"/>
    <w:rsid w:val="00205B06"/>
    <w:rsid w:val="00205FDD"/>
    <w:rsid w:val="00206508"/>
    <w:rsid w:val="00206AA4"/>
    <w:rsid w:val="002073D1"/>
    <w:rsid w:val="00207523"/>
    <w:rsid w:val="0020794C"/>
    <w:rsid w:val="00210158"/>
    <w:rsid w:val="00210ABE"/>
    <w:rsid w:val="00210C74"/>
    <w:rsid w:val="00210E62"/>
    <w:rsid w:val="0021121D"/>
    <w:rsid w:val="002115D0"/>
    <w:rsid w:val="00211B66"/>
    <w:rsid w:val="00211B83"/>
    <w:rsid w:val="002125DE"/>
    <w:rsid w:val="00212706"/>
    <w:rsid w:val="0021352E"/>
    <w:rsid w:val="002136FF"/>
    <w:rsid w:val="00213888"/>
    <w:rsid w:val="002143BB"/>
    <w:rsid w:val="002144D8"/>
    <w:rsid w:val="00214673"/>
    <w:rsid w:val="00214B4B"/>
    <w:rsid w:val="00214C32"/>
    <w:rsid w:val="002154BB"/>
    <w:rsid w:val="002157F3"/>
    <w:rsid w:val="0021585E"/>
    <w:rsid w:val="00216314"/>
    <w:rsid w:val="00216497"/>
    <w:rsid w:val="00216587"/>
    <w:rsid w:val="00216901"/>
    <w:rsid w:val="00216915"/>
    <w:rsid w:val="00216B9A"/>
    <w:rsid w:val="00216E24"/>
    <w:rsid w:val="002177F1"/>
    <w:rsid w:val="00217AED"/>
    <w:rsid w:val="00220640"/>
    <w:rsid w:val="00220DD9"/>
    <w:rsid w:val="002210B6"/>
    <w:rsid w:val="00221460"/>
    <w:rsid w:val="00221A54"/>
    <w:rsid w:val="00221D69"/>
    <w:rsid w:val="00222354"/>
    <w:rsid w:val="002226C2"/>
    <w:rsid w:val="00223343"/>
    <w:rsid w:val="002235B1"/>
    <w:rsid w:val="00223634"/>
    <w:rsid w:val="00223939"/>
    <w:rsid w:val="00223B38"/>
    <w:rsid w:val="00223BF7"/>
    <w:rsid w:val="00224F31"/>
    <w:rsid w:val="0022522C"/>
    <w:rsid w:val="00225545"/>
    <w:rsid w:val="00225677"/>
    <w:rsid w:val="00225A15"/>
    <w:rsid w:val="0022617D"/>
    <w:rsid w:val="0022621C"/>
    <w:rsid w:val="0022632E"/>
    <w:rsid w:val="00226522"/>
    <w:rsid w:val="00226E01"/>
    <w:rsid w:val="00227760"/>
    <w:rsid w:val="00227AD1"/>
    <w:rsid w:val="0023196A"/>
    <w:rsid w:val="002319DA"/>
    <w:rsid w:val="00232343"/>
    <w:rsid w:val="0023315D"/>
    <w:rsid w:val="002336F5"/>
    <w:rsid w:val="00233778"/>
    <w:rsid w:val="00233C5B"/>
    <w:rsid w:val="00233D00"/>
    <w:rsid w:val="00234245"/>
    <w:rsid w:val="0023439C"/>
    <w:rsid w:val="0023471A"/>
    <w:rsid w:val="00234FDB"/>
    <w:rsid w:val="002354FF"/>
    <w:rsid w:val="0023599C"/>
    <w:rsid w:val="00235F06"/>
    <w:rsid w:val="00236283"/>
    <w:rsid w:val="0023657F"/>
    <w:rsid w:val="002368AF"/>
    <w:rsid w:val="002370DC"/>
    <w:rsid w:val="00240256"/>
    <w:rsid w:val="00240D2A"/>
    <w:rsid w:val="00241560"/>
    <w:rsid w:val="00241A8A"/>
    <w:rsid w:val="00241DBD"/>
    <w:rsid w:val="002421C5"/>
    <w:rsid w:val="00242A06"/>
    <w:rsid w:val="00242EA0"/>
    <w:rsid w:val="0024452E"/>
    <w:rsid w:val="00244B68"/>
    <w:rsid w:val="00244BC5"/>
    <w:rsid w:val="002453D0"/>
    <w:rsid w:val="00245B8E"/>
    <w:rsid w:val="00245E98"/>
    <w:rsid w:val="00246670"/>
    <w:rsid w:val="00246978"/>
    <w:rsid w:val="00247002"/>
    <w:rsid w:val="00247439"/>
    <w:rsid w:val="00247A76"/>
    <w:rsid w:val="00247D7C"/>
    <w:rsid w:val="002500A6"/>
    <w:rsid w:val="00250479"/>
    <w:rsid w:val="00250859"/>
    <w:rsid w:val="00250E65"/>
    <w:rsid w:val="0025174C"/>
    <w:rsid w:val="00251F98"/>
    <w:rsid w:val="00252312"/>
    <w:rsid w:val="00252397"/>
    <w:rsid w:val="0025248B"/>
    <w:rsid w:val="002534CD"/>
    <w:rsid w:val="00254015"/>
    <w:rsid w:val="002540AE"/>
    <w:rsid w:val="002543C4"/>
    <w:rsid w:val="002544AA"/>
    <w:rsid w:val="00254569"/>
    <w:rsid w:val="002545C6"/>
    <w:rsid w:val="00256101"/>
    <w:rsid w:val="002573F4"/>
    <w:rsid w:val="0026090D"/>
    <w:rsid w:val="00260BB9"/>
    <w:rsid w:val="00261C9B"/>
    <w:rsid w:val="002626D7"/>
    <w:rsid w:val="00262FB6"/>
    <w:rsid w:val="002630B5"/>
    <w:rsid w:val="002637C5"/>
    <w:rsid w:val="002638C2"/>
    <w:rsid w:val="00263F40"/>
    <w:rsid w:val="002645C5"/>
    <w:rsid w:val="00264A21"/>
    <w:rsid w:val="00264B3F"/>
    <w:rsid w:val="00265A84"/>
    <w:rsid w:val="00265B4E"/>
    <w:rsid w:val="0026668A"/>
    <w:rsid w:val="0026668E"/>
    <w:rsid w:val="00266EC1"/>
    <w:rsid w:val="00266F0F"/>
    <w:rsid w:val="0026727A"/>
    <w:rsid w:val="00267506"/>
    <w:rsid w:val="00267550"/>
    <w:rsid w:val="002676D9"/>
    <w:rsid w:val="00267F32"/>
    <w:rsid w:val="002706D1"/>
    <w:rsid w:val="00270E7F"/>
    <w:rsid w:val="00271713"/>
    <w:rsid w:val="0027242A"/>
    <w:rsid w:val="00272E26"/>
    <w:rsid w:val="002754ED"/>
    <w:rsid w:val="00275983"/>
    <w:rsid w:val="00275CD7"/>
    <w:rsid w:val="00275DF4"/>
    <w:rsid w:val="00275EA4"/>
    <w:rsid w:val="00276782"/>
    <w:rsid w:val="00276DD8"/>
    <w:rsid w:val="00277933"/>
    <w:rsid w:val="002779BB"/>
    <w:rsid w:val="002800F3"/>
    <w:rsid w:val="0028011C"/>
    <w:rsid w:val="00280273"/>
    <w:rsid w:val="00281141"/>
    <w:rsid w:val="0028124E"/>
    <w:rsid w:val="00282522"/>
    <w:rsid w:val="00282662"/>
    <w:rsid w:val="002832C8"/>
    <w:rsid w:val="002838D8"/>
    <w:rsid w:val="00284C9C"/>
    <w:rsid w:val="002859BD"/>
    <w:rsid w:val="00285C3F"/>
    <w:rsid w:val="00286790"/>
    <w:rsid w:val="00286C1B"/>
    <w:rsid w:val="0028726F"/>
    <w:rsid w:val="0028731C"/>
    <w:rsid w:val="00287619"/>
    <w:rsid w:val="002900E9"/>
    <w:rsid w:val="00291516"/>
    <w:rsid w:val="00291743"/>
    <w:rsid w:val="0029183F"/>
    <w:rsid w:val="00292422"/>
    <w:rsid w:val="002929A2"/>
    <w:rsid w:val="00292B97"/>
    <w:rsid w:val="00293D04"/>
    <w:rsid w:val="00293DF1"/>
    <w:rsid w:val="0029431B"/>
    <w:rsid w:val="0029460C"/>
    <w:rsid w:val="0029511A"/>
    <w:rsid w:val="00295B04"/>
    <w:rsid w:val="00295F73"/>
    <w:rsid w:val="00296324"/>
    <w:rsid w:val="0029658A"/>
    <w:rsid w:val="002976D7"/>
    <w:rsid w:val="00297741"/>
    <w:rsid w:val="00297A3D"/>
    <w:rsid w:val="00297D36"/>
    <w:rsid w:val="002A0000"/>
    <w:rsid w:val="002A0180"/>
    <w:rsid w:val="002A01FA"/>
    <w:rsid w:val="002A067D"/>
    <w:rsid w:val="002A1465"/>
    <w:rsid w:val="002A14D2"/>
    <w:rsid w:val="002A168D"/>
    <w:rsid w:val="002A1E7A"/>
    <w:rsid w:val="002A1EA7"/>
    <w:rsid w:val="002A200B"/>
    <w:rsid w:val="002A22B2"/>
    <w:rsid w:val="002A2A8E"/>
    <w:rsid w:val="002A32DB"/>
    <w:rsid w:val="002A3A9B"/>
    <w:rsid w:val="002A3E4D"/>
    <w:rsid w:val="002A4366"/>
    <w:rsid w:val="002A474B"/>
    <w:rsid w:val="002A475A"/>
    <w:rsid w:val="002A47B1"/>
    <w:rsid w:val="002A5ACA"/>
    <w:rsid w:val="002A63AD"/>
    <w:rsid w:val="002A65A5"/>
    <w:rsid w:val="002A6F52"/>
    <w:rsid w:val="002A7513"/>
    <w:rsid w:val="002A7D9C"/>
    <w:rsid w:val="002B00D7"/>
    <w:rsid w:val="002B035D"/>
    <w:rsid w:val="002B0733"/>
    <w:rsid w:val="002B15C8"/>
    <w:rsid w:val="002B19D7"/>
    <w:rsid w:val="002B27D5"/>
    <w:rsid w:val="002B36A3"/>
    <w:rsid w:val="002B37B5"/>
    <w:rsid w:val="002B3CCE"/>
    <w:rsid w:val="002B41BC"/>
    <w:rsid w:val="002B5B33"/>
    <w:rsid w:val="002B6018"/>
    <w:rsid w:val="002B68BA"/>
    <w:rsid w:val="002B6CDB"/>
    <w:rsid w:val="002B6F77"/>
    <w:rsid w:val="002B7339"/>
    <w:rsid w:val="002B7DCE"/>
    <w:rsid w:val="002C1E52"/>
    <w:rsid w:val="002C2117"/>
    <w:rsid w:val="002C22A2"/>
    <w:rsid w:val="002C37C3"/>
    <w:rsid w:val="002C43CF"/>
    <w:rsid w:val="002C498F"/>
    <w:rsid w:val="002C4E09"/>
    <w:rsid w:val="002C4F60"/>
    <w:rsid w:val="002C5028"/>
    <w:rsid w:val="002C52D3"/>
    <w:rsid w:val="002C5A1A"/>
    <w:rsid w:val="002C5AAB"/>
    <w:rsid w:val="002C5C25"/>
    <w:rsid w:val="002C66F5"/>
    <w:rsid w:val="002C67D2"/>
    <w:rsid w:val="002C6D12"/>
    <w:rsid w:val="002C6FF4"/>
    <w:rsid w:val="002C767B"/>
    <w:rsid w:val="002C7C3D"/>
    <w:rsid w:val="002D0C54"/>
    <w:rsid w:val="002D0F5F"/>
    <w:rsid w:val="002D15CE"/>
    <w:rsid w:val="002D1C0F"/>
    <w:rsid w:val="002D1F6F"/>
    <w:rsid w:val="002D2026"/>
    <w:rsid w:val="002D211C"/>
    <w:rsid w:val="002D234A"/>
    <w:rsid w:val="002D2DDA"/>
    <w:rsid w:val="002D3E73"/>
    <w:rsid w:val="002D4A8D"/>
    <w:rsid w:val="002D5714"/>
    <w:rsid w:val="002D5881"/>
    <w:rsid w:val="002D5C4B"/>
    <w:rsid w:val="002D649D"/>
    <w:rsid w:val="002D65DC"/>
    <w:rsid w:val="002D67A3"/>
    <w:rsid w:val="002D6CAB"/>
    <w:rsid w:val="002D7841"/>
    <w:rsid w:val="002D7B66"/>
    <w:rsid w:val="002D7C1D"/>
    <w:rsid w:val="002E027A"/>
    <w:rsid w:val="002E0EEF"/>
    <w:rsid w:val="002E0F87"/>
    <w:rsid w:val="002E1066"/>
    <w:rsid w:val="002E1560"/>
    <w:rsid w:val="002E1931"/>
    <w:rsid w:val="002E1B96"/>
    <w:rsid w:val="002E4024"/>
    <w:rsid w:val="002E47DF"/>
    <w:rsid w:val="002E4907"/>
    <w:rsid w:val="002E4A0B"/>
    <w:rsid w:val="002E4B44"/>
    <w:rsid w:val="002E51A8"/>
    <w:rsid w:val="002E53DB"/>
    <w:rsid w:val="002E57CB"/>
    <w:rsid w:val="002E5BF6"/>
    <w:rsid w:val="002E5E3F"/>
    <w:rsid w:val="002E5FC7"/>
    <w:rsid w:val="002E6A51"/>
    <w:rsid w:val="002E72A5"/>
    <w:rsid w:val="002E7498"/>
    <w:rsid w:val="002E7CA8"/>
    <w:rsid w:val="002E7E17"/>
    <w:rsid w:val="002F0156"/>
    <w:rsid w:val="002F062B"/>
    <w:rsid w:val="002F081F"/>
    <w:rsid w:val="002F09C2"/>
    <w:rsid w:val="002F0EE6"/>
    <w:rsid w:val="002F1F57"/>
    <w:rsid w:val="002F2574"/>
    <w:rsid w:val="002F3685"/>
    <w:rsid w:val="002F3A78"/>
    <w:rsid w:val="002F47F5"/>
    <w:rsid w:val="002F4C0C"/>
    <w:rsid w:val="002F5791"/>
    <w:rsid w:val="002F5862"/>
    <w:rsid w:val="002F5B64"/>
    <w:rsid w:val="002F656C"/>
    <w:rsid w:val="002F6CEC"/>
    <w:rsid w:val="002F70D0"/>
    <w:rsid w:val="002F72CC"/>
    <w:rsid w:val="002F74BB"/>
    <w:rsid w:val="002F752E"/>
    <w:rsid w:val="002F758A"/>
    <w:rsid w:val="002F7FCE"/>
    <w:rsid w:val="00300126"/>
    <w:rsid w:val="00300A6C"/>
    <w:rsid w:val="00300C62"/>
    <w:rsid w:val="00300F72"/>
    <w:rsid w:val="0030118F"/>
    <w:rsid w:val="003018C1"/>
    <w:rsid w:val="00301B18"/>
    <w:rsid w:val="00301D40"/>
    <w:rsid w:val="00302093"/>
    <w:rsid w:val="00302632"/>
    <w:rsid w:val="0030267E"/>
    <w:rsid w:val="003026B9"/>
    <w:rsid w:val="00303616"/>
    <w:rsid w:val="003037A0"/>
    <w:rsid w:val="003037CE"/>
    <w:rsid w:val="003037F2"/>
    <w:rsid w:val="00303BD3"/>
    <w:rsid w:val="00304414"/>
    <w:rsid w:val="00304FCE"/>
    <w:rsid w:val="003069B5"/>
    <w:rsid w:val="003070D8"/>
    <w:rsid w:val="0030719E"/>
    <w:rsid w:val="00307C67"/>
    <w:rsid w:val="00307E25"/>
    <w:rsid w:val="00312444"/>
    <w:rsid w:val="003126F9"/>
    <w:rsid w:val="00312766"/>
    <w:rsid w:val="00312B15"/>
    <w:rsid w:val="00312F1A"/>
    <w:rsid w:val="00312FD1"/>
    <w:rsid w:val="00312FDA"/>
    <w:rsid w:val="00313198"/>
    <w:rsid w:val="003137FF"/>
    <w:rsid w:val="00313ACE"/>
    <w:rsid w:val="003149B5"/>
    <w:rsid w:val="00314B4E"/>
    <w:rsid w:val="00315695"/>
    <w:rsid w:val="00315BA1"/>
    <w:rsid w:val="003166D3"/>
    <w:rsid w:val="00316A61"/>
    <w:rsid w:val="003173C0"/>
    <w:rsid w:val="00317EE4"/>
    <w:rsid w:val="00320254"/>
    <w:rsid w:val="003202B8"/>
    <w:rsid w:val="00320322"/>
    <w:rsid w:val="00320534"/>
    <w:rsid w:val="00320AC1"/>
    <w:rsid w:val="00321382"/>
    <w:rsid w:val="0032145C"/>
    <w:rsid w:val="00321835"/>
    <w:rsid w:val="0032255B"/>
    <w:rsid w:val="0032273A"/>
    <w:rsid w:val="00325315"/>
    <w:rsid w:val="00325526"/>
    <w:rsid w:val="00326286"/>
    <w:rsid w:val="00326BDA"/>
    <w:rsid w:val="00326DCB"/>
    <w:rsid w:val="0032760F"/>
    <w:rsid w:val="00327BB3"/>
    <w:rsid w:val="00327C4C"/>
    <w:rsid w:val="0033001E"/>
    <w:rsid w:val="00330404"/>
    <w:rsid w:val="003310D8"/>
    <w:rsid w:val="00331744"/>
    <w:rsid w:val="00331984"/>
    <w:rsid w:val="00332E92"/>
    <w:rsid w:val="003338EA"/>
    <w:rsid w:val="00334138"/>
    <w:rsid w:val="00334877"/>
    <w:rsid w:val="00334C30"/>
    <w:rsid w:val="00335016"/>
    <w:rsid w:val="003354CA"/>
    <w:rsid w:val="003358E0"/>
    <w:rsid w:val="00335AAD"/>
    <w:rsid w:val="00335F1A"/>
    <w:rsid w:val="00335F6D"/>
    <w:rsid w:val="0033603B"/>
    <w:rsid w:val="003369ED"/>
    <w:rsid w:val="00336E37"/>
    <w:rsid w:val="00336E60"/>
    <w:rsid w:val="00337027"/>
    <w:rsid w:val="00337354"/>
    <w:rsid w:val="003374ED"/>
    <w:rsid w:val="00337A10"/>
    <w:rsid w:val="003400B4"/>
    <w:rsid w:val="003401A9"/>
    <w:rsid w:val="00340594"/>
    <w:rsid w:val="00340ABB"/>
    <w:rsid w:val="00341501"/>
    <w:rsid w:val="003418A6"/>
    <w:rsid w:val="00341F91"/>
    <w:rsid w:val="00342141"/>
    <w:rsid w:val="003421D7"/>
    <w:rsid w:val="00342C91"/>
    <w:rsid w:val="00343269"/>
    <w:rsid w:val="00343322"/>
    <w:rsid w:val="00343FBA"/>
    <w:rsid w:val="00344443"/>
    <w:rsid w:val="003448EB"/>
    <w:rsid w:val="003449CA"/>
    <w:rsid w:val="003457C4"/>
    <w:rsid w:val="00345E13"/>
    <w:rsid w:val="00346DFF"/>
    <w:rsid w:val="003474FA"/>
    <w:rsid w:val="003475E6"/>
    <w:rsid w:val="00350669"/>
    <w:rsid w:val="00350C6E"/>
    <w:rsid w:val="0035157B"/>
    <w:rsid w:val="003515DF"/>
    <w:rsid w:val="00351A27"/>
    <w:rsid w:val="003520FA"/>
    <w:rsid w:val="003523B4"/>
    <w:rsid w:val="00352A4F"/>
    <w:rsid w:val="00352B53"/>
    <w:rsid w:val="00352CA5"/>
    <w:rsid w:val="0035483B"/>
    <w:rsid w:val="00355650"/>
    <w:rsid w:val="00355FA3"/>
    <w:rsid w:val="0035654A"/>
    <w:rsid w:val="00356C11"/>
    <w:rsid w:val="00356F77"/>
    <w:rsid w:val="00356FAC"/>
    <w:rsid w:val="003571A3"/>
    <w:rsid w:val="00357397"/>
    <w:rsid w:val="0035774E"/>
    <w:rsid w:val="0036051C"/>
    <w:rsid w:val="00360F41"/>
    <w:rsid w:val="003618CE"/>
    <w:rsid w:val="00362AEB"/>
    <w:rsid w:val="00363461"/>
    <w:rsid w:val="0036398B"/>
    <w:rsid w:val="00363D3A"/>
    <w:rsid w:val="0036412E"/>
    <w:rsid w:val="00364BDC"/>
    <w:rsid w:val="00364EA3"/>
    <w:rsid w:val="00365261"/>
    <w:rsid w:val="00365612"/>
    <w:rsid w:val="00365655"/>
    <w:rsid w:val="003656F8"/>
    <w:rsid w:val="00365710"/>
    <w:rsid w:val="00365BB2"/>
    <w:rsid w:val="00365ECE"/>
    <w:rsid w:val="003667A3"/>
    <w:rsid w:val="003673B7"/>
    <w:rsid w:val="0036774D"/>
    <w:rsid w:val="00370438"/>
    <w:rsid w:val="00370D37"/>
    <w:rsid w:val="00370EF3"/>
    <w:rsid w:val="00371194"/>
    <w:rsid w:val="0037135D"/>
    <w:rsid w:val="00371F13"/>
    <w:rsid w:val="003726E3"/>
    <w:rsid w:val="00372DF1"/>
    <w:rsid w:val="00373B70"/>
    <w:rsid w:val="00374328"/>
    <w:rsid w:val="003743D5"/>
    <w:rsid w:val="0037481A"/>
    <w:rsid w:val="0037551A"/>
    <w:rsid w:val="003763FC"/>
    <w:rsid w:val="00376CAB"/>
    <w:rsid w:val="0038047B"/>
    <w:rsid w:val="0038124A"/>
    <w:rsid w:val="00381E1E"/>
    <w:rsid w:val="00382A4B"/>
    <w:rsid w:val="0038341D"/>
    <w:rsid w:val="003836D0"/>
    <w:rsid w:val="00383859"/>
    <w:rsid w:val="00383CFF"/>
    <w:rsid w:val="00384727"/>
    <w:rsid w:val="00384B0E"/>
    <w:rsid w:val="00385375"/>
    <w:rsid w:val="00385B73"/>
    <w:rsid w:val="00385F42"/>
    <w:rsid w:val="003861A0"/>
    <w:rsid w:val="003866DB"/>
    <w:rsid w:val="00386BB7"/>
    <w:rsid w:val="00390043"/>
    <w:rsid w:val="00390733"/>
    <w:rsid w:val="003908DD"/>
    <w:rsid w:val="00390989"/>
    <w:rsid w:val="00392654"/>
    <w:rsid w:val="00393179"/>
    <w:rsid w:val="003931C3"/>
    <w:rsid w:val="00393C75"/>
    <w:rsid w:val="00393ED5"/>
    <w:rsid w:val="0039400F"/>
    <w:rsid w:val="003946CB"/>
    <w:rsid w:val="00394848"/>
    <w:rsid w:val="00394E57"/>
    <w:rsid w:val="003954E0"/>
    <w:rsid w:val="003956B3"/>
    <w:rsid w:val="003959EF"/>
    <w:rsid w:val="00395FAE"/>
    <w:rsid w:val="003963A0"/>
    <w:rsid w:val="003969F6"/>
    <w:rsid w:val="00397B25"/>
    <w:rsid w:val="003A01F2"/>
    <w:rsid w:val="003A0568"/>
    <w:rsid w:val="003A07BA"/>
    <w:rsid w:val="003A0962"/>
    <w:rsid w:val="003A0B25"/>
    <w:rsid w:val="003A11DE"/>
    <w:rsid w:val="003A121B"/>
    <w:rsid w:val="003A13F7"/>
    <w:rsid w:val="003A156B"/>
    <w:rsid w:val="003A187B"/>
    <w:rsid w:val="003A1DE6"/>
    <w:rsid w:val="003A1DF6"/>
    <w:rsid w:val="003A292E"/>
    <w:rsid w:val="003A3035"/>
    <w:rsid w:val="003A30AF"/>
    <w:rsid w:val="003A3BD5"/>
    <w:rsid w:val="003A42C3"/>
    <w:rsid w:val="003A46D2"/>
    <w:rsid w:val="003A4729"/>
    <w:rsid w:val="003A4C6D"/>
    <w:rsid w:val="003A4D9B"/>
    <w:rsid w:val="003A559C"/>
    <w:rsid w:val="003A565F"/>
    <w:rsid w:val="003A5967"/>
    <w:rsid w:val="003A5E68"/>
    <w:rsid w:val="003A6D5B"/>
    <w:rsid w:val="003B1207"/>
    <w:rsid w:val="003B18F8"/>
    <w:rsid w:val="003B1FF4"/>
    <w:rsid w:val="003B2AB6"/>
    <w:rsid w:val="003B342D"/>
    <w:rsid w:val="003B3763"/>
    <w:rsid w:val="003B40C0"/>
    <w:rsid w:val="003B4626"/>
    <w:rsid w:val="003B565B"/>
    <w:rsid w:val="003B5821"/>
    <w:rsid w:val="003B601D"/>
    <w:rsid w:val="003B6445"/>
    <w:rsid w:val="003B6FD3"/>
    <w:rsid w:val="003B7361"/>
    <w:rsid w:val="003B7783"/>
    <w:rsid w:val="003B780F"/>
    <w:rsid w:val="003B78D5"/>
    <w:rsid w:val="003B7C57"/>
    <w:rsid w:val="003C0814"/>
    <w:rsid w:val="003C1258"/>
    <w:rsid w:val="003C16BD"/>
    <w:rsid w:val="003C1EFF"/>
    <w:rsid w:val="003C2034"/>
    <w:rsid w:val="003C281C"/>
    <w:rsid w:val="003C383C"/>
    <w:rsid w:val="003C4F60"/>
    <w:rsid w:val="003C542D"/>
    <w:rsid w:val="003C5D4D"/>
    <w:rsid w:val="003C6C85"/>
    <w:rsid w:val="003C7013"/>
    <w:rsid w:val="003C7546"/>
    <w:rsid w:val="003C7C1C"/>
    <w:rsid w:val="003D0127"/>
    <w:rsid w:val="003D035D"/>
    <w:rsid w:val="003D0502"/>
    <w:rsid w:val="003D16EF"/>
    <w:rsid w:val="003D1C80"/>
    <w:rsid w:val="003D1D51"/>
    <w:rsid w:val="003D2169"/>
    <w:rsid w:val="003D2732"/>
    <w:rsid w:val="003D27B7"/>
    <w:rsid w:val="003D28FF"/>
    <w:rsid w:val="003D3188"/>
    <w:rsid w:val="003D3217"/>
    <w:rsid w:val="003D447F"/>
    <w:rsid w:val="003D4852"/>
    <w:rsid w:val="003D49FF"/>
    <w:rsid w:val="003D4C20"/>
    <w:rsid w:val="003D4D71"/>
    <w:rsid w:val="003D5321"/>
    <w:rsid w:val="003D57FD"/>
    <w:rsid w:val="003D687F"/>
    <w:rsid w:val="003D7ABF"/>
    <w:rsid w:val="003D7ACD"/>
    <w:rsid w:val="003E16C7"/>
    <w:rsid w:val="003E1B01"/>
    <w:rsid w:val="003E1B0B"/>
    <w:rsid w:val="003E1B82"/>
    <w:rsid w:val="003E22F3"/>
    <w:rsid w:val="003E284D"/>
    <w:rsid w:val="003E28CF"/>
    <w:rsid w:val="003E2941"/>
    <w:rsid w:val="003E2F4C"/>
    <w:rsid w:val="003E33D7"/>
    <w:rsid w:val="003E397C"/>
    <w:rsid w:val="003E3CD6"/>
    <w:rsid w:val="003E4EF5"/>
    <w:rsid w:val="003E6655"/>
    <w:rsid w:val="003E6842"/>
    <w:rsid w:val="003E7084"/>
    <w:rsid w:val="003F08FB"/>
    <w:rsid w:val="003F0B94"/>
    <w:rsid w:val="003F1520"/>
    <w:rsid w:val="003F1812"/>
    <w:rsid w:val="003F31DE"/>
    <w:rsid w:val="003F43B1"/>
    <w:rsid w:val="003F4FB5"/>
    <w:rsid w:val="003F56F0"/>
    <w:rsid w:val="003F579D"/>
    <w:rsid w:val="003F618F"/>
    <w:rsid w:val="003F67C2"/>
    <w:rsid w:val="003F6F67"/>
    <w:rsid w:val="003F7722"/>
    <w:rsid w:val="003F775E"/>
    <w:rsid w:val="0040093A"/>
    <w:rsid w:val="00401B09"/>
    <w:rsid w:val="00401D6B"/>
    <w:rsid w:val="0040257A"/>
    <w:rsid w:val="00404076"/>
    <w:rsid w:val="004042B8"/>
    <w:rsid w:val="00404339"/>
    <w:rsid w:val="004043BE"/>
    <w:rsid w:val="00404768"/>
    <w:rsid w:val="004049D5"/>
    <w:rsid w:val="00404AF3"/>
    <w:rsid w:val="0040511C"/>
    <w:rsid w:val="00405597"/>
    <w:rsid w:val="004058C9"/>
    <w:rsid w:val="00407097"/>
    <w:rsid w:val="00407BD1"/>
    <w:rsid w:val="004102A4"/>
    <w:rsid w:val="0041070E"/>
    <w:rsid w:val="00410D8E"/>
    <w:rsid w:val="00410DF1"/>
    <w:rsid w:val="004112CC"/>
    <w:rsid w:val="0041164E"/>
    <w:rsid w:val="00411786"/>
    <w:rsid w:val="00411A6C"/>
    <w:rsid w:val="00411A84"/>
    <w:rsid w:val="0041205A"/>
    <w:rsid w:val="004129EE"/>
    <w:rsid w:val="00412BC6"/>
    <w:rsid w:val="004138D2"/>
    <w:rsid w:val="00414825"/>
    <w:rsid w:val="00414868"/>
    <w:rsid w:val="004148D4"/>
    <w:rsid w:val="004149C8"/>
    <w:rsid w:val="004151C5"/>
    <w:rsid w:val="004155A3"/>
    <w:rsid w:val="00415BF3"/>
    <w:rsid w:val="0041663F"/>
    <w:rsid w:val="004166A8"/>
    <w:rsid w:val="00416751"/>
    <w:rsid w:val="00416B26"/>
    <w:rsid w:val="00417266"/>
    <w:rsid w:val="004177D3"/>
    <w:rsid w:val="004178CE"/>
    <w:rsid w:val="004179B6"/>
    <w:rsid w:val="00420086"/>
    <w:rsid w:val="0042037A"/>
    <w:rsid w:val="00420A9B"/>
    <w:rsid w:val="0042202C"/>
    <w:rsid w:val="0042217E"/>
    <w:rsid w:val="00422218"/>
    <w:rsid w:val="00422BC3"/>
    <w:rsid w:val="00422F22"/>
    <w:rsid w:val="00422FA6"/>
    <w:rsid w:val="004231F5"/>
    <w:rsid w:val="00423232"/>
    <w:rsid w:val="0042393E"/>
    <w:rsid w:val="00423BA8"/>
    <w:rsid w:val="0042427F"/>
    <w:rsid w:val="0042493D"/>
    <w:rsid w:val="00424D99"/>
    <w:rsid w:val="00424DF0"/>
    <w:rsid w:val="0042521B"/>
    <w:rsid w:val="00425536"/>
    <w:rsid w:val="004261DF"/>
    <w:rsid w:val="00426A16"/>
    <w:rsid w:val="00426BD1"/>
    <w:rsid w:val="00426F52"/>
    <w:rsid w:val="00426F5E"/>
    <w:rsid w:val="00426FA9"/>
    <w:rsid w:val="004277E1"/>
    <w:rsid w:val="00427ACC"/>
    <w:rsid w:val="00427BAF"/>
    <w:rsid w:val="00427D40"/>
    <w:rsid w:val="00430957"/>
    <w:rsid w:val="004311F5"/>
    <w:rsid w:val="004313F1"/>
    <w:rsid w:val="004318A7"/>
    <w:rsid w:val="00431E96"/>
    <w:rsid w:val="00432567"/>
    <w:rsid w:val="00432778"/>
    <w:rsid w:val="00432CAD"/>
    <w:rsid w:val="00433717"/>
    <w:rsid w:val="00433A4B"/>
    <w:rsid w:val="00433AEB"/>
    <w:rsid w:val="00433D05"/>
    <w:rsid w:val="00433D85"/>
    <w:rsid w:val="00433ECE"/>
    <w:rsid w:val="00434066"/>
    <w:rsid w:val="00434555"/>
    <w:rsid w:val="00435F0A"/>
    <w:rsid w:val="004365B6"/>
    <w:rsid w:val="00436824"/>
    <w:rsid w:val="00437800"/>
    <w:rsid w:val="00437A43"/>
    <w:rsid w:val="00437E19"/>
    <w:rsid w:val="00437EA3"/>
    <w:rsid w:val="0044016C"/>
    <w:rsid w:val="00441A84"/>
    <w:rsid w:val="00441D3A"/>
    <w:rsid w:val="00442269"/>
    <w:rsid w:val="004430BB"/>
    <w:rsid w:val="0044316D"/>
    <w:rsid w:val="004431A0"/>
    <w:rsid w:val="00444029"/>
    <w:rsid w:val="00444456"/>
    <w:rsid w:val="004451DD"/>
    <w:rsid w:val="0044536A"/>
    <w:rsid w:val="0044549A"/>
    <w:rsid w:val="004458C1"/>
    <w:rsid w:val="004459E6"/>
    <w:rsid w:val="00445B45"/>
    <w:rsid w:val="0044677B"/>
    <w:rsid w:val="00446847"/>
    <w:rsid w:val="00446A63"/>
    <w:rsid w:val="004472E9"/>
    <w:rsid w:val="00447475"/>
    <w:rsid w:val="00447B08"/>
    <w:rsid w:val="00451B9B"/>
    <w:rsid w:val="00452151"/>
    <w:rsid w:val="00452163"/>
    <w:rsid w:val="004528FB"/>
    <w:rsid w:val="00452B84"/>
    <w:rsid w:val="004532D7"/>
    <w:rsid w:val="00453705"/>
    <w:rsid w:val="004539F4"/>
    <w:rsid w:val="00453B5D"/>
    <w:rsid w:val="00453E4F"/>
    <w:rsid w:val="004540E5"/>
    <w:rsid w:val="004544B9"/>
    <w:rsid w:val="004545E5"/>
    <w:rsid w:val="00454A4E"/>
    <w:rsid w:val="00454AF3"/>
    <w:rsid w:val="00456187"/>
    <w:rsid w:val="004561EF"/>
    <w:rsid w:val="004562F4"/>
    <w:rsid w:val="0045667E"/>
    <w:rsid w:val="004567CA"/>
    <w:rsid w:val="00456AED"/>
    <w:rsid w:val="00456D64"/>
    <w:rsid w:val="00457122"/>
    <w:rsid w:val="0045736C"/>
    <w:rsid w:val="00457421"/>
    <w:rsid w:val="00457EBE"/>
    <w:rsid w:val="00457FAA"/>
    <w:rsid w:val="004602FC"/>
    <w:rsid w:val="004604B0"/>
    <w:rsid w:val="00460A9D"/>
    <w:rsid w:val="00460CF5"/>
    <w:rsid w:val="00461479"/>
    <w:rsid w:val="004615E0"/>
    <w:rsid w:val="00462435"/>
    <w:rsid w:val="00462D27"/>
    <w:rsid w:val="00463DF2"/>
    <w:rsid w:val="004645DE"/>
    <w:rsid w:val="00464F6D"/>
    <w:rsid w:val="00465234"/>
    <w:rsid w:val="0046582A"/>
    <w:rsid w:val="0046598F"/>
    <w:rsid w:val="00465B0E"/>
    <w:rsid w:val="004662C8"/>
    <w:rsid w:val="004664AB"/>
    <w:rsid w:val="004670BE"/>
    <w:rsid w:val="00467566"/>
    <w:rsid w:val="00467B37"/>
    <w:rsid w:val="00467E1D"/>
    <w:rsid w:val="00467F57"/>
    <w:rsid w:val="00470738"/>
    <w:rsid w:val="00470ADC"/>
    <w:rsid w:val="00471ADE"/>
    <w:rsid w:val="00471CE0"/>
    <w:rsid w:val="00471E6F"/>
    <w:rsid w:val="00472049"/>
    <w:rsid w:val="004725C0"/>
    <w:rsid w:val="004725CB"/>
    <w:rsid w:val="004727FA"/>
    <w:rsid w:val="00472981"/>
    <w:rsid w:val="004729C3"/>
    <w:rsid w:val="004729D5"/>
    <w:rsid w:val="00472B8C"/>
    <w:rsid w:val="00472FE6"/>
    <w:rsid w:val="004731F6"/>
    <w:rsid w:val="004734DC"/>
    <w:rsid w:val="00473772"/>
    <w:rsid w:val="00473F94"/>
    <w:rsid w:val="004742F3"/>
    <w:rsid w:val="0047436D"/>
    <w:rsid w:val="00474915"/>
    <w:rsid w:val="00474A4A"/>
    <w:rsid w:val="00474C12"/>
    <w:rsid w:val="00474FA4"/>
    <w:rsid w:val="0047508F"/>
    <w:rsid w:val="0047584D"/>
    <w:rsid w:val="00475917"/>
    <w:rsid w:val="00475C35"/>
    <w:rsid w:val="00475D44"/>
    <w:rsid w:val="0047623D"/>
    <w:rsid w:val="004763A7"/>
    <w:rsid w:val="0047661D"/>
    <w:rsid w:val="0047663D"/>
    <w:rsid w:val="00476920"/>
    <w:rsid w:val="004769B7"/>
    <w:rsid w:val="00476FB9"/>
    <w:rsid w:val="0048046E"/>
    <w:rsid w:val="0048066A"/>
    <w:rsid w:val="00480747"/>
    <w:rsid w:val="004810EB"/>
    <w:rsid w:val="00481377"/>
    <w:rsid w:val="00481405"/>
    <w:rsid w:val="00481C81"/>
    <w:rsid w:val="00482AB6"/>
    <w:rsid w:val="00482C6B"/>
    <w:rsid w:val="00482E05"/>
    <w:rsid w:val="00483077"/>
    <w:rsid w:val="0048323C"/>
    <w:rsid w:val="004844A2"/>
    <w:rsid w:val="004845F0"/>
    <w:rsid w:val="0048475F"/>
    <w:rsid w:val="00484C78"/>
    <w:rsid w:val="004852AC"/>
    <w:rsid w:val="00485D63"/>
    <w:rsid w:val="00486A16"/>
    <w:rsid w:val="00486BD7"/>
    <w:rsid w:val="00486BE1"/>
    <w:rsid w:val="00487441"/>
    <w:rsid w:val="0049012B"/>
    <w:rsid w:val="004908EF"/>
    <w:rsid w:val="004909FF"/>
    <w:rsid w:val="00490F43"/>
    <w:rsid w:val="0049152D"/>
    <w:rsid w:val="004919A6"/>
    <w:rsid w:val="00491F49"/>
    <w:rsid w:val="0049202B"/>
    <w:rsid w:val="0049285E"/>
    <w:rsid w:val="00492DD6"/>
    <w:rsid w:val="0049359B"/>
    <w:rsid w:val="004937BF"/>
    <w:rsid w:val="00493990"/>
    <w:rsid w:val="00493EAD"/>
    <w:rsid w:val="0049436D"/>
    <w:rsid w:val="00494FD3"/>
    <w:rsid w:val="00495651"/>
    <w:rsid w:val="00495830"/>
    <w:rsid w:val="00495C8C"/>
    <w:rsid w:val="004963AD"/>
    <w:rsid w:val="004965B6"/>
    <w:rsid w:val="00496778"/>
    <w:rsid w:val="00497DA6"/>
    <w:rsid w:val="004A0236"/>
    <w:rsid w:val="004A083F"/>
    <w:rsid w:val="004A09F8"/>
    <w:rsid w:val="004A0DAA"/>
    <w:rsid w:val="004A0F04"/>
    <w:rsid w:val="004A13F3"/>
    <w:rsid w:val="004A1699"/>
    <w:rsid w:val="004A1D0F"/>
    <w:rsid w:val="004A25D0"/>
    <w:rsid w:val="004A2E8A"/>
    <w:rsid w:val="004A3966"/>
    <w:rsid w:val="004A3AEA"/>
    <w:rsid w:val="004A3D3A"/>
    <w:rsid w:val="004A3D86"/>
    <w:rsid w:val="004A3DA5"/>
    <w:rsid w:val="004A4169"/>
    <w:rsid w:val="004A46DC"/>
    <w:rsid w:val="004A4D49"/>
    <w:rsid w:val="004A538C"/>
    <w:rsid w:val="004A56BC"/>
    <w:rsid w:val="004A617C"/>
    <w:rsid w:val="004A620A"/>
    <w:rsid w:val="004A6890"/>
    <w:rsid w:val="004A69EE"/>
    <w:rsid w:val="004A7048"/>
    <w:rsid w:val="004A732C"/>
    <w:rsid w:val="004A78EF"/>
    <w:rsid w:val="004B0111"/>
    <w:rsid w:val="004B0D2F"/>
    <w:rsid w:val="004B0E45"/>
    <w:rsid w:val="004B0F7B"/>
    <w:rsid w:val="004B1377"/>
    <w:rsid w:val="004B15D8"/>
    <w:rsid w:val="004B1650"/>
    <w:rsid w:val="004B189A"/>
    <w:rsid w:val="004B1AF5"/>
    <w:rsid w:val="004B254D"/>
    <w:rsid w:val="004B3987"/>
    <w:rsid w:val="004B40B7"/>
    <w:rsid w:val="004B4B22"/>
    <w:rsid w:val="004B4C25"/>
    <w:rsid w:val="004B520C"/>
    <w:rsid w:val="004B5808"/>
    <w:rsid w:val="004B5C4B"/>
    <w:rsid w:val="004B6219"/>
    <w:rsid w:val="004B646F"/>
    <w:rsid w:val="004B672C"/>
    <w:rsid w:val="004B7A05"/>
    <w:rsid w:val="004B7C98"/>
    <w:rsid w:val="004C06B5"/>
    <w:rsid w:val="004C09E9"/>
    <w:rsid w:val="004C0A65"/>
    <w:rsid w:val="004C17B0"/>
    <w:rsid w:val="004C1CF1"/>
    <w:rsid w:val="004C2552"/>
    <w:rsid w:val="004C2BD9"/>
    <w:rsid w:val="004C398F"/>
    <w:rsid w:val="004C3E83"/>
    <w:rsid w:val="004C3EF2"/>
    <w:rsid w:val="004C3FD1"/>
    <w:rsid w:val="004C42D7"/>
    <w:rsid w:val="004C495D"/>
    <w:rsid w:val="004C4AC9"/>
    <w:rsid w:val="004C58D8"/>
    <w:rsid w:val="004C6C32"/>
    <w:rsid w:val="004C7A18"/>
    <w:rsid w:val="004C7A47"/>
    <w:rsid w:val="004C7EBB"/>
    <w:rsid w:val="004D00E3"/>
    <w:rsid w:val="004D09DF"/>
    <w:rsid w:val="004D0C98"/>
    <w:rsid w:val="004D177D"/>
    <w:rsid w:val="004D1B05"/>
    <w:rsid w:val="004D1C77"/>
    <w:rsid w:val="004D2858"/>
    <w:rsid w:val="004D2BC8"/>
    <w:rsid w:val="004D2FDD"/>
    <w:rsid w:val="004D39B3"/>
    <w:rsid w:val="004D3CE3"/>
    <w:rsid w:val="004D3D87"/>
    <w:rsid w:val="004D3D8E"/>
    <w:rsid w:val="004D3E28"/>
    <w:rsid w:val="004D5BC6"/>
    <w:rsid w:val="004D5C97"/>
    <w:rsid w:val="004D5D09"/>
    <w:rsid w:val="004D5FDA"/>
    <w:rsid w:val="004D60A2"/>
    <w:rsid w:val="004D61B7"/>
    <w:rsid w:val="004D6417"/>
    <w:rsid w:val="004D69F7"/>
    <w:rsid w:val="004D6F16"/>
    <w:rsid w:val="004D70B3"/>
    <w:rsid w:val="004D7306"/>
    <w:rsid w:val="004D7A4F"/>
    <w:rsid w:val="004D7ACE"/>
    <w:rsid w:val="004E00B2"/>
    <w:rsid w:val="004E0B5D"/>
    <w:rsid w:val="004E0FC1"/>
    <w:rsid w:val="004E1F84"/>
    <w:rsid w:val="004E258B"/>
    <w:rsid w:val="004E2BC2"/>
    <w:rsid w:val="004E320C"/>
    <w:rsid w:val="004E3E8F"/>
    <w:rsid w:val="004E40D9"/>
    <w:rsid w:val="004E4303"/>
    <w:rsid w:val="004E4576"/>
    <w:rsid w:val="004E5AB3"/>
    <w:rsid w:val="004E5C1A"/>
    <w:rsid w:val="004E5FA9"/>
    <w:rsid w:val="004E69C0"/>
    <w:rsid w:val="004E6C0A"/>
    <w:rsid w:val="004E6C78"/>
    <w:rsid w:val="004E6D7B"/>
    <w:rsid w:val="004E6EA4"/>
    <w:rsid w:val="004E782D"/>
    <w:rsid w:val="004E78DB"/>
    <w:rsid w:val="004F01AD"/>
    <w:rsid w:val="004F04B3"/>
    <w:rsid w:val="004F12B1"/>
    <w:rsid w:val="004F1549"/>
    <w:rsid w:val="004F1568"/>
    <w:rsid w:val="004F19D3"/>
    <w:rsid w:val="004F2520"/>
    <w:rsid w:val="004F3729"/>
    <w:rsid w:val="004F39C3"/>
    <w:rsid w:val="004F3A86"/>
    <w:rsid w:val="004F3F78"/>
    <w:rsid w:val="004F457A"/>
    <w:rsid w:val="004F45F8"/>
    <w:rsid w:val="004F4D52"/>
    <w:rsid w:val="004F542B"/>
    <w:rsid w:val="004F6A2B"/>
    <w:rsid w:val="004F717B"/>
    <w:rsid w:val="004F7563"/>
    <w:rsid w:val="004F796C"/>
    <w:rsid w:val="004F7BA9"/>
    <w:rsid w:val="0050004A"/>
    <w:rsid w:val="00500899"/>
    <w:rsid w:val="00500F5F"/>
    <w:rsid w:val="0050101A"/>
    <w:rsid w:val="00501463"/>
    <w:rsid w:val="00501E43"/>
    <w:rsid w:val="00501FBE"/>
    <w:rsid w:val="005022E6"/>
    <w:rsid w:val="00502F5B"/>
    <w:rsid w:val="005032AE"/>
    <w:rsid w:val="0050359C"/>
    <w:rsid w:val="00503F9F"/>
    <w:rsid w:val="0050450E"/>
    <w:rsid w:val="00504561"/>
    <w:rsid w:val="00504625"/>
    <w:rsid w:val="00504650"/>
    <w:rsid w:val="00504854"/>
    <w:rsid w:val="00505B8B"/>
    <w:rsid w:val="0050601A"/>
    <w:rsid w:val="00506090"/>
    <w:rsid w:val="0050642E"/>
    <w:rsid w:val="00506773"/>
    <w:rsid w:val="005068E4"/>
    <w:rsid w:val="00506A5B"/>
    <w:rsid w:val="00506E29"/>
    <w:rsid w:val="00506EC0"/>
    <w:rsid w:val="00507737"/>
    <w:rsid w:val="00507CCA"/>
    <w:rsid w:val="005104B8"/>
    <w:rsid w:val="005108C0"/>
    <w:rsid w:val="00510922"/>
    <w:rsid w:val="005109BF"/>
    <w:rsid w:val="00511138"/>
    <w:rsid w:val="0051166F"/>
    <w:rsid w:val="0051188E"/>
    <w:rsid w:val="00511A01"/>
    <w:rsid w:val="005125BE"/>
    <w:rsid w:val="0051265B"/>
    <w:rsid w:val="005128E9"/>
    <w:rsid w:val="00512CDC"/>
    <w:rsid w:val="00513BB5"/>
    <w:rsid w:val="00513D81"/>
    <w:rsid w:val="005143FC"/>
    <w:rsid w:val="00514A86"/>
    <w:rsid w:val="00514B8F"/>
    <w:rsid w:val="00514E25"/>
    <w:rsid w:val="005159CC"/>
    <w:rsid w:val="00516616"/>
    <w:rsid w:val="00517290"/>
    <w:rsid w:val="00517B2F"/>
    <w:rsid w:val="00520067"/>
    <w:rsid w:val="005200D2"/>
    <w:rsid w:val="0052036E"/>
    <w:rsid w:val="00520645"/>
    <w:rsid w:val="00520ABA"/>
    <w:rsid w:val="0052173E"/>
    <w:rsid w:val="00521D17"/>
    <w:rsid w:val="00521E99"/>
    <w:rsid w:val="0052209D"/>
    <w:rsid w:val="005248A1"/>
    <w:rsid w:val="00524CC4"/>
    <w:rsid w:val="00525BAE"/>
    <w:rsid w:val="00525DC5"/>
    <w:rsid w:val="00525E93"/>
    <w:rsid w:val="00526297"/>
    <w:rsid w:val="00526328"/>
    <w:rsid w:val="00526AF9"/>
    <w:rsid w:val="00526F98"/>
    <w:rsid w:val="005274AE"/>
    <w:rsid w:val="00530761"/>
    <w:rsid w:val="005307EA"/>
    <w:rsid w:val="005309FA"/>
    <w:rsid w:val="00530B06"/>
    <w:rsid w:val="005311EC"/>
    <w:rsid w:val="00531F86"/>
    <w:rsid w:val="00532424"/>
    <w:rsid w:val="00532822"/>
    <w:rsid w:val="005329EE"/>
    <w:rsid w:val="00532D79"/>
    <w:rsid w:val="00532ED2"/>
    <w:rsid w:val="00532F1F"/>
    <w:rsid w:val="005331C8"/>
    <w:rsid w:val="005335A5"/>
    <w:rsid w:val="005335AA"/>
    <w:rsid w:val="00533DEF"/>
    <w:rsid w:val="005341C3"/>
    <w:rsid w:val="00534CDE"/>
    <w:rsid w:val="0053594C"/>
    <w:rsid w:val="0053609A"/>
    <w:rsid w:val="005367C8"/>
    <w:rsid w:val="00536BBD"/>
    <w:rsid w:val="00536C57"/>
    <w:rsid w:val="00536D38"/>
    <w:rsid w:val="00536EF2"/>
    <w:rsid w:val="0053781C"/>
    <w:rsid w:val="00537A19"/>
    <w:rsid w:val="005409CE"/>
    <w:rsid w:val="00540B75"/>
    <w:rsid w:val="00541164"/>
    <w:rsid w:val="005411CD"/>
    <w:rsid w:val="00541560"/>
    <w:rsid w:val="005417D4"/>
    <w:rsid w:val="00541C2F"/>
    <w:rsid w:val="00541D1B"/>
    <w:rsid w:val="00541FEA"/>
    <w:rsid w:val="00542107"/>
    <w:rsid w:val="0054277A"/>
    <w:rsid w:val="0054289A"/>
    <w:rsid w:val="00542925"/>
    <w:rsid w:val="005429CD"/>
    <w:rsid w:val="00542C42"/>
    <w:rsid w:val="005436CB"/>
    <w:rsid w:val="00543ADE"/>
    <w:rsid w:val="00544125"/>
    <w:rsid w:val="0054435A"/>
    <w:rsid w:val="00544EFA"/>
    <w:rsid w:val="005454CF"/>
    <w:rsid w:val="0054565F"/>
    <w:rsid w:val="005457C6"/>
    <w:rsid w:val="00545C7C"/>
    <w:rsid w:val="00545F94"/>
    <w:rsid w:val="00546753"/>
    <w:rsid w:val="00546DFE"/>
    <w:rsid w:val="00546EFD"/>
    <w:rsid w:val="00547100"/>
    <w:rsid w:val="0054714B"/>
    <w:rsid w:val="00547C7A"/>
    <w:rsid w:val="00551343"/>
    <w:rsid w:val="00551720"/>
    <w:rsid w:val="0055241C"/>
    <w:rsid w:val="005529BF"/>
    <w:rsid w:val="00553233"/>
    <w:rsid w:val="0055323C"/>
    <w:rsid w:val="00553D97"/>
    <w:rsid w:val="00554629"/>
    <w:rsid w:val="00554E30"/>
    <w:rsid w:val="00555108"/>
    <w:rsid w:val="0055599D"/>
    <w:rsid w:val="00555AC9"/>
    <w:rsid w:val="00555C5D"/>
    <w:rsid w:val="00555C90"/>
    <w:rsid w:val="00555D41"/>
    <w:rsid w:val="00555F2F"/>
    <w:rsid w:val="00555F35"/>
    <w:rsid w:val="005562FD"/>
    <w:rsid w:val="00560645"/>
    <w:rsid w:val="00560F38"/>
    <w:rsid w:val="00560FDE"/>
    <w:rsid w:val="0056140F"/>
    <w:rsid w:val="005616E5"/>
    <w:rsid w:val="00561C3D"/>
    <w:rsid w:val="00561F00"/>
    <w:rsid w:val="00562051"/>
    <w:rsid w:val="005622D4"/>
    <w:rsid w:val="00562BD0"/>
    <w:rsid w:val="005636F6"/>
    <w:rsid w:val="00563B4A"/>
    <w:rsid w:val="00564463"/>
    <w:rsid w:val="00564638"/>
    <w:rsid w:val="00564850"/>
    <w:rsid w:val="00564C10"/>
    <w:rsid w:val="005652D5"/>
    <w:rsid w:val="005653F0"/>
    <w:rsid w:val="005656D0"/>
    <w:rsid w:val="00565E68"/>
    <w:rsid w:val="0056626F"/>
    <w:rsid w:val="0056671F"/>
    <w:rsid w:val="00566C32"/>
    <w:rsid w:val="00566E50"/>
    <w:rsid w:val="00566FB0"/>
    <w:rsid w:val="00567210"/>
    <w:rsid w:val="005672A6"/>
    <w:rsid w:val="00570111"/>
    <w:rsid w:val="005702DF"/>
    <w:rsid w:val="00570367"/>
    <w:rsid w:val="00570BE0"/>
    <w:rsid w:val="00570F9B"/>
    <w:rsid w:val="00571423"/>
    <w:rsid w:val="00571935"/>
    <w:rsid w:val="00572567"/>
    <w:rsid w:val="00572F07"/>
    <w:rsid w:val="00573BEE"/>
    <w:rsid w:val="00573E83"/>
    <w:rsid w:val="0057408C"/>
    <w:rsid w:val="00574403"/>
    <w:rsid w:val="005747C1"/>
    <w:rsid w:val="00574AA7"/>
    <w:rsid w:val="00574F16"/>
    <w:rsid w:val="00575AB9"/>
    <w:rsid w:val="00575CC5"/>
    <w:rsid w:val="00575D9A"/>
    <w:rsid w:val="0057636F"/>
    <w:rsid w:val="0057648A"/>
    <w:rsid w:val="00576C8A"/>
    <w:rsid w:val="00576F25"/>
    <w:rsid w:val="00576FA1"/>
    <w:rsid w:val="00576FC3"/>
    <w:rsid w:val="0057731D"/>
    <w:rsid w:val="005800B8"/>
    <w:rsid w:val="0058042C"/>
    <w:rsid w:val="00581011"/>
    <w:rsid w:val="0058108D"/>
    <w:rsid w:val="0058131E"/>
    <w:rsid w:val="005816F0"/>
    <w:rsid w:val="005817DD"/>
    <w:rsid w:val="005817E3"/>
    <w:rsid w:val="00581AAF"/>
    <w:rsid w:val="005825E2"/>
    <w:rsid w:val="005828F9"/>
    <w:rsid w:val="00582E59"/>
    <w:rsid w:val="00583086"/>
    <w:rsid w:val="0058336F"/>
    <w:rsid w:val="00583C1F"/>
    <w:rsid w:val="00583FF5"/>
    <w:rsid w:val="0058462C"/>
    <w:rsid w:val="00584711"/>
    <w:rsid w:val="005857EA"/>
    <w:rsid w:val="005859B2"/>
    <w:rsid w:val="00585D2B"/>
    <w:rsid w:val="00585E7F"/>
    <w:rsid w:val="00586820"/>
    <w:rsid w:val="005869EC"/>
    <w:rsid w:val="00586D30"/>
    <w:rsid w:val="00586D38"/>
    <w:rsid w:val="0059072F"/>
    <w:rsid w:val="00590740"/>
    <w:rsid w:val="0059074B"/>
    <w:rsid w:val="00590A18"/>
    <w:rsid w:val="005920F5"/>
    <w:rsid w:val="0059211B"/>
    <w:rsid w:val="00594821"/>
    <w:rsid w:val="005952E8"/>
    <w:rsid w:val="00595505"/>
    <w:rsid w:val="00595E2F"/>
    <w:rsid w:val="00596242"/>
    <w:rsid w:val="005962C3"/>
    <w:rsid w:val="005976E2"/>
    <w:rsid w:val="005A106B"/>
    <w:rsid w:val="005A1DB8"/>
    <w:rsid w:val="005A1E08"/>
    <w:rsid w:val="005A3C4F"/>
    <w:rsid w:val="005A42E0"/>
    <w:rsid w:val="005A440E"/>
    <w:rsid w:val="005A4650"/>
    <w:rsid w:val="005A4707"/>
    <w:rsid w:val="005A5382"/>
    <w:rsid w:val="005A56EB"/>
    <w:rsid w:val="005A5F22"/>
    <w:rsid w:val="005A7C9B"/>
    <w:rsid w:val="005A7DDD"/>
    <w:rsid w:val="005A7F17"/>
    <w:rsid w:val="005B0073"/>
    <w:rsid w:val="005B135F"/>
    <w:rsid w:val="005B188C"/>
    <w:rsid w:val="005B2EE9"/>
    <w:rsid w:val="005B3D08"/>
    <w:rsid w:val="005B4C20"/>
    <w:rsid w:val="005B5384"/>
    <w:rsid w:val="005B590A"/>
    <w:rsid w:val="005B5A5A"/>
    <w:rsid w:val="005B5CE2"/>
    <w:rsid w:val="005B624E"/>
    <w:rsid w:val="005B64B5"/>
    <w:rsid w:val="005B6FBA"/>
    <w:rsid w:val="005B7323"/>
    <w:rsid w:val="005B752C"/>
    <w:rsid w:val="005B7555"/>
    <w:rsid w:val="005B7A9E"/>
    <w:rsid w:val="005B7B9E"/>
    <w:rsid w:val="005B7C91"/>
    <w:rsid w:val="005B7E02"/>
    <w:rsid w:val="005B7F55"/>
    <w:rsid w:val="005C00AA"/>
    <w:rsid w:val="005C09EF"/>
    <w:rsid w:val="005C1445"/>
    <w:rsid w:val="005C1A40"/>
    <w:rsid w:val="005C2288"/>
    <w:rsid w:val="005C2A12"/>
    <w:rsid w:val="005C2EE9"/>
    <w:rsid w:val="005C3028"/>
    <w:rsid w:val="005C354D"/>
    <w:rsid w:val="005C3E3B"/>
    <w:rsid w:val="005C4090"/>
    <w:rsid w:val="005C429A"/>
    <w:rsid w:val="005C4C37"/>
    <w:rsid w:val="005C4F01"/>
    <w:rsid w:val="005C50EF"/>
    <w:rsid w:val="005C549F"/>
    <w:rsid w:val="005C5544"/>
    <w:rsid w:val="005C6048"/>
    <w:rsid w:val="005C6426"/>
    <w:rsid w:val="005C7681"/>
    <w:rsid w:val="005D00E4"/>
    <w:rsid w:val="005D050B"/>
    <w:rsid w:val="005D06C2"/>
    <w:rsid w:val="005D14D1"/>
    <w:rsid w:val="005D169E"/>
    <w:rsid w:val="005D1CB7"/>
    <w:rsid w:val="005D2ED3"/>
    <w:rsid w:val="005D313A"/>
    <w:rsid w:val="005D3490"/>
    <w:rsid w:val="005D3BC1"/>
    <w:rsid w:val="005D3C29"/>
    <w:rsid w:val="005D3E96"/>
    <w:rsid w:val="005D41B2"/>
    <w:rsid w:val="005D4379"/>
    <w:rsid w:val="005D4504"/>
    <w:rsid w:val="005D4AA5"/>
    <w:rsid w:val="005D52B3"/>
    <w:rsid w:val="005D53AA"/>
    <w:rsid w:val="005D694F"/>
    <w:rsid w:val="005E0A4D"/>
    <w:rsid w:val="005E1233"/>
    <w:rsid w:val="005E145B"/>
    <w:rsid w:val="005E1E3A"/>
    <w:rsid w:val="005E2D20"/>
    <w:rsid w:val="005E2F6A"/>
    <w:rsid w:val="005E353A"/>
    <w:rsid w:val="005E3560"/>
    <w:rsid w:val="005E43F5"/>
    <w:rsid w:val="005E45CE"/>
    <w:rsid w:val="005E4B1C"/>
    <w:rsid w:val="005E4C35"/>
    <w:rsid w:val="005E535D"/>
    <w:rsid w:val="005E54CD"/>
    <w:rsid w:val="005E578D"/>
    <w:rsid w:val="005E5B11"/>
    <w:rsid w:val="005E6917"/>
    <w:rsid w:val="005E773B"/>
    <w:rsid w:val="005E7CDD"/>
    <w:rsid w:val="005E7D06"/>
    <w:rsid w:val="005E7E20"/>
    <w:rsid w:val="005E7E2F"/>
    <w:rsid w:val="005F05EF"/>
    <w:rsid w:val="005F0DED"/>
    <w:rsid w:val="005F14B1"/>
    <w:rsid w:val="005F1755"/>
    <w:rsid w:val="005F1856"/>
    <w:rsid w:val="005F1E76"/>
    <w:rsid w:val="005F2252"/>
    <w:rsid w:val="005F31AE"/>
    <w:rsid w:val="005F3790"/>
    <w:rsid w:val="005F3933"/>
    <w:rsid w:val="005F3C1D"/>
    <w:rsid w:val="005F3EA7"/>
    <w:rsid w:val="005F425C"/>
    <w:rsid w:val="005F46A0"/>
    <w:rsid w:val="005F5428"/>
    <w:rsid w:val="005F5D7C"/>
    <w:rsid w:val="005F6410"/>
    <w:rsid w:val="005F6589"/>
    <w:rsid w:val="005F6AE2"/>
    <w:rsid w:val="005F6C27"/>
    <w:rsid w:val="005F6EBF"/>
    <w:rsid w:val="005F7764"/>
    <w:rsid w:val="005F7B54"/>
    <w:rsid w:val="006003EE"/>
    <w:rsid w:val="006005AE"/>
    <w:rsid w:val="006008F3"/>
    <w:rsid w:val="0060112E"/>
    <w:rsid w:val="0060128F"/>
    <w:rsid w:val="006013D7"/>
    <w:rsid w:val="006016AA"/>
    <w:rsid w:val="006016F3"/>
    <w:rsid w:val="00602359"/>
    <w:rsid w:val="006024CE"/>
    <w:rsid w:val="00602517"/>
    <w:rsid w:val="00602833"/>
    <w:rsid w:val="00602BAF"/>
    <w:rsid w:val="00602FBA"/>
    <w:rsid w:val="006034F0"/>
    <w:rsid w:val="0060398B"/>
    <w:rsid w:val="00603A02"/>
    <w:rsid w:val="00603E75"/>
    <w:rsid w:val="00604901"/>
    <w:rsid w:val="00604E70"/>
    <w:rsid w:val="006051F5"/>
    <w:rsid w:val="0060556D"/>
    <w:rsid w:val="00605C3A"/>
    <w:rsid w:val="00605E3E"/>
    <w:rsid w:val="00606455"/>
    <w:rsid w:val="00606C5A"/>
    <w:rsid w:val="00607140"/>
    <w:rsid w:val="006071F5"/>
    <w:rsid w:val="006072A3"/>
    <w:rsid w:val="00607359"/>
    <w:rsid w:val="006077B7"/>
    <w:rsid w:val="00607B26"/>
    <w:rsid w:val="00607E5F"/>
    <w:rsid w:val="00610240"/>
    <w:rsid w:val="006104CA"/>
    <w:rsid w:val="006106A5"/>
    <w:rsid w:val="0061096E"/>
    <w:rsid w:val="0061123E"/>
    <w:rsid w:val="0061146C"/>
    <w:rsid w:val="006129D9"/>
    <w:rsid w:val="00612DD5"/>
    <w:rsid w:val="00613068"/>
    <w:rsid w:val="00613490"/>
    <w:rsid w:val="00613495"/>
    <w:rsid w:val="0061354C"/>
    <w:rsid w:val="00614115"/>
    <w:rsid w:val="00614438"/>
    <w:rsid w:val="00614AF6"/>
    <w:rsid w:val="00614DB6"/>
    <w:rsid w:val="00614F45"/>
    <w:rsid w:val="00614F90"/>
    <w:rsid w:val="00615D38"/>
    <w:rsid w:val="00615DF2"/>
    <w:rsid w:val="0061785F"/>
    <w:rsid w:val="006179BB"/>
    <w:rsid w:val="00617BEA"/>
    <w:rsid w:val="006209C6"/>
    <w:rsid w:val="00620A79"/>
    <w:rsid w:val="00620BA6"/>
    <w:rsid w:val="00621ECF"/>
    <w:rsid w:val="006228C2"/>
    <w:rsid w:val="00622DA5"/>
    <w:rsid w:val="00622DC4"/>
    <w:rsid w:val="00622F0E"/>
    <w:rsid w:val="006234EF"/>
    <w:rsid w:val="00623BDF"/>
    <w:rsid w:val="006245B3"/>
    <w:rsid w:val="00625544"/>
    <w:rsid w:val="006258CC"/>
    <w:rsid w:val="00625F43"/>
    <w:rsid w:val="006260BE"/>
    <w:rsid w:val="006264BE"/>
    <w:rsid w:val="00626911"/>
    <w:rsid w:val="00626B07"/>
    <w:rsid w:val="00626DDD"/>
    <w:rsid w:val="00627A95"/>
    <w:rsid w:val="00627C98"/>
    <w:rsid w:val="00627CE1"/>
    <w:rsid w:val="00627EF5"/>
    <w:rsid w:val="006301E7"/>
    <w:rsid w:val="00630A2E"/>
    <w:rsid w:val="00631294"/>
    <w:rsid w:val="006312B5"/>
    <w:rsid w:val="00631E59"/>
    <w:rsid w:val="00632B01"/>
    <w:rsid w:val="00632C4C"/>
    <w:rsid w:val="006331BB"/>
    <w:rsid w:val="00633889"/>
    <w:rsid w:val="00633E98"/>
    <w:rsid w:val="00634139"/>
    <w:rsid w:val="006341D6"/>
    <w:rsid w:val="0063481F"/>
    <w:rsid w:val="0063543A"/>
    <w:rsid w:val="006354DB"/>
    <w:rsid w:val="00635B47"/>
    <w:rsid w:val="00636037"/>
    <w:rsid w:val="00636708"/>
    <w:rsid w:val="00636B52"/>
    <w:rsid w:val="00636EE2"/>
    <w:rsid w:val="00637650"/>
    <w:rsid w:val="00637D44"/>
    <w:rsid w:val="00637ED1"/>
    <w:rsid w:val="006400AB"/>
    <w:rsid w:val="00640BC6"/>
    <w:rsid w:val="00640CCD"/>
    <w:rsid w:val="00641A71"/>
    <w:rsid w:val="00643097"/>
    <w:rsid w:val="00643304"/>
    <w:rsid w:val="00643393"/>
    <w:rsid w:val="006433BA"/>
    <w:rsid w:val="00643F49"/>
    <w:rsid w:val="0064426D"/>
    <w:rsid w:val="00644543"/>
    <w:rsid w:val="0064499F"/>
    <w:rsid w:val="00644FAC"/>
    <w:rsid w:val="00645669"/>
    <w:rsid w:val="00645BD1"/>
    <w:rsid w:val="00645F6F"/>
    <w:rsid w:val="0064652B"/>
    <w:rsid w:val="00646816"/>
    <w:rsid w:val="00646C78"/>
    <w:rsid w:val="00646D28"/>
    <w:rsid w:val="00646EC5"/>
    <w:rsid w:val="00646EF3"/>
    <w:rsid w:val="00646F73"/>
    <w:rsid w:val="006478C0"/>
    <w:rsid w:val="00647956"/>
    <w:rsid w:val="006503FA"/>
    <w:rsid w:val="006506D1"/>
    <w:rsid w:val="00650D94"/>
    <w:rsid w:val="006516A7"/>
    <w:rsid w:val="00651777"/>
    <w:rsid w:val="00651C73"/>
    <w:rsid w:val="006523D5"/>
    <w:rsid w:val="006526BB"/>
    <w:rsid w:val="00652A84"/>
    <w:rsid w:val="00652B40"/>
    <w:rsid w:val="006538B2"/>
    <w:rsid w:val="00653FB9"/>
    <w:rsid w:val="0065504D"/>
    <w:rsid w:val="006551FB"/>
    <w:rsid w:val="00655E1C"/>
    <w:rsid w:val="00655F1D"/>
    <w:rsid w:val="00656472"/>
    <w:rsid w:val="0065668D"/>
    <w:rsid w:val="00656A1C"/>
    <w:rsid w:val="00656D05"/>
    <w:rsid w:val="00656D6C"/>
    <w:rsid w:val="00656F2B"/>
    <w:rsid w:val="0065752A"/>
    <w:rsid w:val="00657816"/>
    <w:rsid w:val="00657CA5"/>
    <w:rsid w:val="00660122"/>
    <w:rsid w:val="006606F2"/>
    <w:rsid w:val="00660C7C"/>
    <w:rsid w:val="00661131"/>
    <w:rsid w:val="00661556"/>
    <w:rsid w:val="00661944"/>
    <w:rsid w:val="00662069"/>
    <w:rsid w:val="00662F32"/>
    <w:rsid w:val="006638E8"/>
    <w:rsid w:val="006646B0"/>
    <w:rsid w:val="00664829"/>
    <w:rsid w:val="00664992"/>
    <w:rsid w:val="006653C3"/>
    <w:rsid w:val="00665CA3"/>
    <w:rsid w:val="00665DBE"/>
    <w:rsid w:val="00666949"/>
    <w:rsid w:val="00666DEA"/>
    <w:rsid w:val="006672B3"/>
    <w:rsid w:val="00667C22"/>
    <w:rsid w:val="006712C1"/>
    <w:rsid w:val="00671A6A"/>
    <w:rsid w:val="00671D44"/>
    <w:rsid w:val="00673AAD"/>
    <w:rsid w:val="00673DE9"/>
    <w:rsid w:val="00673F87"/>
    <w:rsid w:val="006743AF"/>
    <w:rsid w:val="00674830"/>
    <w:rsid w:val="00674F8A"/>
    <w:rsid w:val="00675996"/>
    <w:rsid w:val="006759EF"/>
    <w:rsid w:val="00675AC1"/>
    <w:rsid w:val="006762B7"/>
    <w:rsid w:val="00676D7B"/>
    <w:rsid w:val="00680BA5"/>
    <w:rsid w:val="00680E72"/>
    <w:rsid w:val="00680ECF"/>
    <w:rsid w:val="00681420"/>
    <w:rsid w:val="00681C9D"/>
    <w:rsid w:val="006826A3"/>
    <w:rsid w:val="00682F13"/>
    <w:rsid w:val="00684016"/>
    <w:rsid w:val="00684234"/>
    <w:rsid w:val="006842C0"/>
    <w:rsid w:val="0068456C"/>
    <w:rsid w:val="00684D4C"/>
    <w:rsid w:val="006858CC"/>
    <w:rsid w:val="00686033"/>
    <w:rsid w:val="006860E1"/>
    <w:rsid w:val="00686A3F"/>
    <w:rsid w:val="00686AD9"/>
    <w:rsid w:val="00686B2C"/>
    <w:rsid w:val="00687A64"/>
    <w:rsid w:val="00687BF7"/>
    <w:rsid w:val="00687D1A"/>
    <w:rsid w:val="00687DBF"/>
    <w:rsid w:val="006906DC"/>
    <w:rsid w:val="00690CE0"/>
    <w:rsid w:val="0069193F"/>
    <w:rsid w:val="00691948"/>
    <w:rsid w:val="00691C01"/>
    <w:rsid w:val="0069215C"/>
    <w:rsid w:val="00692D40"/>
    <w:rsid w:val="006934B5"/>
    <w:rsid w:val="0069350E"/>
    <w:rsid w:val="00693BBA"/>
    <w:rsid w:val="00693CBC"/>
    <w:rsid w:val="0069436C"/>
    <w:rsid w:val="00694950"/>
    <w:rsid w:val="00694DCB"/>
    <w:rsid w:val="00694FB0"/>
    <w:rsid w:val="006951C8"/>
    <w:rsid w:val="006952F3"/>
    <w:rsid w:val="00696257"/>
    <w:rsid w:val="0069633F"/>
    <w:rsid w:val="0069699B"/>
    <w:rsid w:val="00696B38"/>
    <w:rsid w:val="0069753D"/>
    <w:rsid w:val="00697840"/>
    <w:rsid w:val="006979ED"/>
    <w:rsid w:val="006A0316"/>
    <w:rsid w:val="006A053B"/>
    <w:rsid w:val="006A0A36"/>
    <w:rsid w:val="006A0BCE"/>
    <w:rsid w:val="006A1769"/>
    <w:rsid w:val="006A2EE5"/>
    <w:rsid w:val="006A347C"/>
    <w:rsid w:val="006A4032"/>
    <w:rsid w:val="006A42D0"/>
    <w:rsid w:val="006A4417"/>
    <w:rsid w:val="006A50C1"/>
    <w:rsid w:val="006A519A"/>
    <w:rsid w:val="006A60CD"/>
    <w:rsid w:val="006A6484"/>
    <w:rsid w:val="006A65CE"/>
    <w:rsid w:val="006A6A2A"/>
    <w:rsid w:val="006A6ED9"/>
    <w:rsid w:val="006A6FE9"/>
    <w:rsid w:val="006A783F"/>
    <w:rsid w:val="006B0F7E"/>
    <w:rsid w:val="006B303D"/>
    <w:rsid w:val="006B3516"/>
    <w:rsid w:val="006B3626"/>
    <w:rsid w:val="006B3C66"/>
    <w:rsid w:val="006B41A2"/>
    <w:rsid w:val="006B4FD6"/>
    <w:rsid w:val="006B5100"/>
    <w:rsid w:val="006B54D5"/>
    <w:rsid w:val="006B58DC"/>
    <w:rsid w:val="006B72AF"/>
    <w:rsid w:val="006B7561"/>
    <w:rsid w:val="006B7874"/>
    <w:rsid w:val="006C03C9"/>
    <w:rsid w:val="006C0418"/>
    <w:rsid w:val="006C0475"/>
    <w:rsid w:val="006C0856"/>
    <w:rsid w:val="006C0ADC"/>
    <w:rsid w:val="006C113C"/>
    <w:rsid w:val="006C15C4"/>
    <w:rsid w:val="006C2A66"/>
    <w:rsid w:val="006C2B71"/>
    <w:rsid w:val="006C3EF7"/>
    <w:rsid w:val="006C41DE"/>
    <w:rsid w:val="006C4739"/>
    <w:rsid w:val="006C5A13"/>
    <w:rsid w:val="006C5CC2"/>
    <w:rsid w:val="006C6550"/>
    <w:rsid w:val="006C69FB"/>
    <w:rsid w:val="006C6C73"/>
    <w:rsid w:val="006C7327"/>
    <w:rsid w:val="006D05B5"/>
    <w:rsid w:val="006D06D4"/>
    <w:rsid w:val="006D077C"/>
    <w:rsid w:val="006D1ABE"/>
    <w:rsid w:val="006D1FE5"/>
    <w:rsid w:val="006D22A7"/>
    <w:rsid w:val="006D2450"/>
    <w:rsid w:val="006D2519"/>
    <w:rsid w:val="006D2777"/>
    <w:rsid w:val="006D333A"/>
    <w:rsid w:val="006D399A"/>
    <w:rsid w:val="006D3CAD"/>
    <w:rsid w:val="006D4475"/>
    <w:rsid w:val="006D4D08"/>
    <w:rsid w:val="006D4FA9"/>
    <w:rsid w:val="006D4FE5"/>
    <w:rsid w:val="006D5436"/>
    <w:rsid w:val="006D5592"/>
    <w:rsid w:val="006D61EC"/>
    <w:rsid w:val="006D6989"/>
    <w:rsid w:val="006D6AE0"/>
    <w:rsid w:val="006D6F92"/>
    <w:rsid w:val="006D7068"/>
    <w:rsid w:val="006D7503"/>
    <w:rsid w:val="006D78DB"/>
    <w:rsid w:val="006E054A"/>
    <w:rsid w:val="006E08F1"/>
    <w:rsid w:val="006E0B7E"/>
    <w:rsid w:val="006E11F9"/>
    <w:rsid w:val="006E3DCA"/>
    <w:rsid w:val="006E48CC"/>
    <w:rsid w:val="006E4FF3"/>
    <w:rsid w:val="006E5100"/>
    <w:rsid w:val="006E572D"/>
    <w:rsid w:val="006E5C0C"/>
    <w:rsid w:val="006E5E31"/>
    <w:rsid w:val="006E6368"/>
    <w:rsid w:val="006E71B7"/>
    <w:rsid w:val="006E74F5"/>
    <w:rsid w:val="006E78AF"/>
    <w:rsid w:val="006F03DB"/>
    <w:rsid w:val="006F0491"/>
    <w:rsid w:val="006F0AC2"/>
    <w:rsid w:val="006F1A8B"/>
    <w:rsid w:val="006F24B5"/>
    <w:rsid w:val="006F284F"/>
    <w:rsid w:val="006F2BAA"/>
    <w:rsid w:val="006F2ED8"/>
    <w:rsid w:val="006F3452"/>
    <w:rsid w:val="006F366D"/>
    <w:rsid w:val="006F429C"/>
    <w:rsid w:val="006F47AA"/>
    <w:rsid w:val="006F50B6"/>
    <w:rsid w:val="006F51B4"/>
    <w:rsid w:val="006F51BD"/>
    <w:rsid w:val="006F54F2"/>
    <w:rsid w:val="006F54FA"/>
    <w:rsid w:val="006F6091"/>
    <w:rsid w:val="006F6462"/>
    <w:rsid w:val="006F65D8"/>
    <w:rsid w:val="006F674B"/>
    <w:rsid w:val="006F6DF2"/>
    <w:rsid w:val="006F799D"/>
    <w:rsid w:val="006F79D7"/>
    <w:rsid w:val="006F7F2B"/>
    <w:rsid w:val="00700034"/>
    <w:rsid w:val="007008F7"/>
    <w:rsid w:val="00700A97"/>
    <w:rsid w:val="00700BF3"/>
    <w:rsid w:val="00701064"/>
    <w:rsid w:val="00701637"/>
    <w:rsid w:val="007017C3"/>
    <w:rsid w:val="00701B0F"/>
    <w:rsid w:val="0070245F"/>
    <w:rsid w:val="00702D15"/>
    <w:rsid w:val="00703DB6"/>
    <w:rsid w:val="007042F8"/>
    <w:rsid w:val="00704A49"/>
    <w:rsid w:val="007056C4"/>
    <w:rsid w:val="00706418"/>
    <w:rsid w:val="00706A57"/>
    <w:rsid w:val="0070769B"/>
    <w:rsid w:val="00707BC2"/>
    <w:rsid w:val="00707EEC"/>
    <w:rsid w:val="00710E0F"/>
    <w:rsid w:val="007116AE"/>
    <w:rsid w:val="00712675"/>
    <w:rsid w:val="00713351"/>
    <w:rsid w:val="00714291"/>
    <w:rsid w:val="007148C8"/>
    <w:rsid w:val="00714A0C"/>
    <w:rsid w:val="00715330"/>
    <w:rsid w:val="007153D3"/>
    <w:rsid w:val="007158BE"/>
    <w:rsid w:val="007163D0"/>
    <w:rsid w:val="00716B07"/>
    <w:rsid w:val="00720568"/>
    <w:rsid w:val="007208A7"/>
    <w:rsid w:val="00720944"/>
    <w:rsid w:val="00720A45"/>
    <w:rsid w:val="00720B22"/>
    <w:rsid w:val="00720EFC"/>
    <w:rsid w:val="0072106D"/>
    <w:rsid w:val="007215B2"/>
    <w:rsid w:val="0072183A"/>
    <w:rsid w:val="00721A3E"/>
    <w:rsid w:val="00722EC3"/>
    <w:rsid w:val="00722F21"/>
    <w:rsid w:val="0072449F"/>
    <w:rsid w:val="00724922"/>
    <w:rsid w:val="00724A32"/>
    <w:rsid w:val="007254E8"/>
    <w:rsid w:val="0072583E"/>
    <w:rsid w:val="0072589A"/>
    <w:rsid w:val="00725C4C"/>
    <w:rsid w:val="00725DDF"/>
    <w:rsid w:val="007264AC"/>
    <w:rsid w:val="0072693F"/>
    <w:rsid w:val="0072697F"/>
    <w:rsid w:val="00726C4C"/>
    <w:rsid w:val="00727236"/>
    <w:rsid w:val="00727C29"/>
    <w:rsid w:val="00731880"/>
    <w:rsid w:val="00731AAF"/>
    <w:rsid w:val="00731C5F"/>
    <w:rsid w:val="00731CCA"/>
    <w:rsid w:val="00731E87"/>
    <w:rsid w:val="007323AF"/>
    <w:rsid w:val="0073327F"/>
    <w:rsid w:val="00733315"/>
    <w:rsid w:val="0073342A"/>
    <w:rsid w:val="00733D0D"/>
    <w:rsid w:val="00733D28"/>
    <w:rsid w:val="00734124"/>
    <w:rsid w:val="007341BE"/>
    <w:rsid w:val="007348A0"/>
    <w:rsid w:val="00734F9C"/>
    <w:rsid w:val="00734FB7"/>
    <w:rsid w:val="007359F8"/>
    <w:rsid w:val="00735FB4"/>
    <w:rsid w:val="00736956"/>
    <w:rsid w:val="00736D52"/>
    <w:rsid w:val="00736DDC"/>
    <w:rsid w:val="00736E4B"/>
    <w:rsid w:val="00737C10"/>
    <w:rsid w:val="007407EE"/>
    <w:rsid w:val="00741EB7"/>
    <w:rsid w:val="00741F18"/>
    <w:rsid w:val="007427B2"/>
    <w:rsid w:val="00742C53"/>
    <w:rsid w:val="00742E25"/>
    <w:rsid w:val="00742FD3"/>
    <w:rsid w:val="00743132"/>
    <w:rsid w:val="00743297"/>
    <w:rsid w:val="0074374D"/>
    <w:rsid w:val="0074386D"/>
    <w:rsid w:val="00744C05"/>
    <w:rsid w:val="00745472"/>
    <w:rsid w:val="00746591"/>
    <w:rsid w:val="0074671D"/>
    <w:rsid w:val="00746CC3"/>
    <w:rsid w:val="00746D54"/>
    <w:rsid w:val="0074725D"/>
    <w:rsid w:val="00747479"/>
    <w:rsid w:val="00747A66"/>
    <w:rsid w:val="00747B50"/>
    <w:rsid w:val="007518E6"/>
    <w:rsid w:val="00751C0B"/>
    <w:rsid w:val="00751E82"/>
    <w:rsid w:val="0075225F"/>
    <w:rsid w:val="00752311"/>
    <w:rsid w:val="0075323A"/>
    <w:rsid w:val="00753476"/>
    <w:rsid w:val="0075359A"/>
    <w:rsid w:val="00753790"/>
    <w:rsid w:val="007541DD"/>
    <w:rsid w:val="00754513"/>
    <w:rsid w:val="00754F11"/>
    <w:rsid w:val="0075546A"/>
    <w:rsid w:val="0075550B"/>
    <w:rsid w:val="00756286"/>
    <w:rsid w:val="00756815"/>
    <w:rsid w:val="0075742E"/>
    <w:rsid w:val="00757529"/>
    <w:rsid w:val="00757A6F"/>
    <w:rsid w:val="00757D57"/>
    <w:rsid w:val="00757D86"/>
    <w:rsid w:val="007606C8"/>
    <w:rsid w:val="007608D2"/>
    <w:rsid w:val="00760A57"/>
    <w:rsid w:val="0076167C"/>
    <w:rsid w:val="00761B47"/>
    <w:rsid w:val="00762019"/>
    <w:rsid w:val="00763B76"/>
    <w:rsid w:val="0076467F"/>
    <w:rsid w:val="007648FB"/>
    <w:rsid w:val="00764F7D"/>
    <w:rsid w:val="0076523E"/>
    <w:rsid w:val="00766271"/>
    <w:rsid w:val="00766438"/>
    <w:rsid w:val="00766797"/>
    <w:rsid w:val="00767CE6"/>
    <w:rsid w:val="00767E26"/>
    <w:rsid w:val="00767E53"/>
    <w:rsid w:val="00767E72"/>
    <w:rsid w:val="00767EE9"/>
    <w:rsid w:val="0077025A"/>
    <w:rsid w:val="00770693"/>
    <w:rsid w:val="007707CB"/>
    <w:rsid w:val="00770DCA"/>
    <w:rsid w:val="00770FA5"/>
    <w:rsid w:val="00771389"/>
    <w:rsid w:val="007716CE"/>
    <w:rsid w:val="007717E0"/>
    <w:rsid w:val="007728D7"/>
    <w:rsid w:val="00772B11"/>
    <w:rsid w:val="007731A4"/>
    <w:rsid w:val="00773515"/>
    <w:rsid w:val="00773D75"/>
    <w:rsid w:val="007742D4"/>
    <w:rsid w:val="007749B8"/>
    <w:rsid w:val="00774B14"/>
    <w:rsid w:val="0077590D"/>
    <w:rsid w:val="00776404"/>
    <w:rsid w:val="00776D0C"/>
    <w:rsid w:val="00776D8B"/>
    <w:rsid w:val="00776FAC"/>
    <w:rsid w:val="00777784"/>
    <w:rsid w:val="00777BA7"/>
    <w:rsid w:val="00777CB1"/>
    <w:rsid w:val="007804CA"/>
    <w:rsid w:val="007812D2"/>
    <w:rsid w:val="007815E0"/>
    <w:rsid w:val="00781B6F"/>
    <w:rsid w:val="00782725"/>
    <w:rsid w:val="00782E70"/>
    <w:rsid w:val="00783137"/>
    <w:rsid w:val="00783335"/>
    <w:rsid w:val="00783676"/>
    <w:rsid w:val="00783885"/>
    <w:rsid w:val="0078424F"/>
    <w:rsid w:val="007845CC"/>
    <w:rsid w:val="00784834"/>
    <w:rsid w:val="00785724"/>
    <w:rsid w:val="00785A15"/>
    <w:rsid w:val="00785BE1"/>
    <w:rsid w:val="00786692"/>
    <w:rsid w:val="00786E7D"/>
    <w:rsid w:val="0078736F"/>
    <w:rsid w:val="007874F7"/>
    <w:rsid w:val="00787D4A"/>
    <w:rsid w:val="00787EEB"/>
    <w:rsid w:val="00790091"/>
    <w:rsid w:val="00791040"/>
    <w:rsid w:val="007911FF"/>
    <w:rsid w:val="0079180D"/>
    <w:rsid w:val="007925C8"/>
    <w:rsid w:val="007925D9"/>
    <w:rsid w:val="00792CCB"/>
    <w:rsid w:val="00792EE4"/>
    <w:rsid w:val="007930B0"/>
    <w:rsid w:val="0079361C"/>
    <w:rsid w:val="0079374C"/>
    <w:rsid w:val="00793856"/>
    <w:rsid w:val="00793AB1"/>
    <w:rsid w:val="00793D76"/>
    <w:rsid w:val="007940C8"/>
    <w:rsid w:val="0079467C"/>
    <w:rsid w:val="0079545B"/>
    <w:rsid w:val="00795646"/>
    <w:rsid w:val="00795D08"/>
    <w:rsid w:val="007961B0"/>
    <w:rsid w:val="007964B3"/>
    <w:rsid w:val="00796F60"/>
    <w:rsid w:val="007974EF"/>
    <w:rsid w:val="00797FD7"/>
    <w:rsid w:val="007A024A"/>
    <w:rsid w:val="007A09C0"/>
    <w:rsid w:val="007A20EB"/>
    <w:rsid w:val="007A21AB"/>
    <w:rsid w:val="007A2219"/>
    <w:rsid w:val="007A2853"/>
    <w:rsid w:val="007A28DB"/>
    <w:rsid w:val="007A300B"/>
    <w:rsid w:val="007A347B"/>
    <w:rsid w:val="007A39D7"/>
    <w:rsid w:val="007A3C67"/>
    <w:rsid w:val="007A3C8A"/>
    <w:rsid w:val="007A3E68"/>
    <w:rsid w:val="007A3F94"/>
    <w:rsid w:val="007A5311"/>
    <w:rsid w:val="007A5344"/>
    <w:rsid w:val="007A5508"/>
    <w:rsid w:val="007A5628"/>
    <w:rsid w:val="007A5D16"/>
    <w:rsid w:val="007A6D52"/>
    <w:rsid w:val="007A6EC0"/>
    <w:rsid w:val="007A77F9"/>
    <w:rsid w:val="007A78FF"/>
    <w:rsid w:val="007B0ABC"/>
    <w:rsid w:val="007B0D65"/>
    <w:rsid w:val="007B1076"/>
    <w:rsid w:val="007B17F4"/>
    <w:rsid w:val="007B1AEE"/>
    <w:rsid w:val="007B1DFE"/>
    <w:rsid w:val="007B1EF0"/>
    <w:rsid w:val="007B21E1"/>
    <w:rsid w:val="007B223D"/>
    <w:rsid w:val="007B263B"/>
    <w:rsid w:val="007B2A39"/>
    <w:rsid w:val="007B2D1E"/>
    <w:rsid w:val="007B2EC5"/>
    <w:rsid w:val="007B3216"/>
    <w:rsid w:val="007B346B"/>
    <w:rsid w:val="007B3872"/>
    <w:rsid w:val="007B401F"/>
    <w:rsid w:val="007B4056"/>
    <w:rsid w:val="007B4F3C"/>
    <w:rsid w:val="007B5E9D"/>
    <w:rsid w:val="007B6188"/>
    <w:rsid w:val="007B6610"/>
    <w:rsid w:val="007B6D52"/>
    <w:rsid w:val="007B6DA2"/>
    <w:rsid w:val="007B70B1"/>
    <w:rsid w:val="007B711F"/>
    <w:rsid w:val="007C0CBC"/>
    <w:rsid w:val="007C18FD"/>
    <w:rsid w:val="007C19A6"/>
    <w:rsid w:val="007C2065"/>
    <w:rsid w:val="007C2D70"/>
    <w:rsid w:val="007C2E77"/>
    <w:rsid w:val="007C2FCC"/>
    <w:rsid w:val="007C3212"/>
    <w:rsid w:val="007C33FB"/>
    <w:rsid w:val="007C3686"/>
    <w:rsid w:val="007C3C25"/>
    <w:rsid w:val="007C3CAB"/>
    <w:rsid w:val="007C3EE7"/>
    <w:rsid w:val="007C4A80"/>
    <w:rsid w:val="007C4EEC"/>
    <w:rsid w:val="007C5013"/>
    <w:rsid w:val="007C5378"/>
    <w:rsid w:val="007C54F3"/>
    <w:rsid w:val="007C5CE7"/>
    <w:rsid w:val="007C5ECD"/>
    <w:rsid w:val="007C666F"/>
    <w:rsid w:val="007C6AC0"/>
    <w:rsid w:val="007C768E"/>
    <w:rsid w:val="007D0098"/>
    <w:rsid w:val="007D0BA0"/>
    <w:rsid w:val="007D0D5E"/>
    <w:rsid w:val="007D0E25"/>
    <w:rsid w:val="007D0F9F"/>
    <w:rsid w:val="007D15F5"/>
    <w:rsid w:val="007D1675"/>
    <w:rsid w:val="007D183E"/>
    <w:rsid w:val="007D1B68"/>
    <w:rsid w:val="007D1EA7"/>
    <w:rsid w:val="007D2328"/>
    <w:rsid w:val="007D2B87"/>
    <w:rsid w:val="007D2CA7"/>
    <w:rsid w:val="007D2D63"/>
    <w:rsid w:val="007D2EE5"/>
    <w:rsid w:val="007D3D66"/>
    <w:rsid w:val="007D3D7C"/>
    <w:rsid w:val="007D4286"/>
    <w:rsid w:val="007D44B7"/>
    <w:rsid w:val="007D4916"/>
    <w:rsid w:val="007D4AE6"/>
    <w:rsid w:val="007D4D67"/>
    <w:rsid w:val="007D4D75"/>
    <w:rsid w:val="007D4DCE"/>
    <w:rsid w:val="007D574B"/>
    <w:rsid w:val="007D57B8"/>
    <w:rsid w:val="007D5BEB"/>
    <w:rsid w:val="007D668D"/>
    <w:rsid w:val="007D66F9"/>
    <w:rsid w:val="007D6A36"/>
    <w:rsid w:val="007D6B0B"/>
    <w:rsid w:val="007D6F7A"/>
    <w:rsid w:val="007D6FDA"/>
    <w:rsid w:val="007D6FE8"/>
    <w:rsid w:val="007D7250"/>
    <w:rsid w:val="007D7461"/>
    <w:rsid w:val="007D752A"/>
    <w:rsid w:val="007D7729"/>
    <w:rsid w:val="007D7731"/>
    <w:rsid w:val="007D798F"/>
    <w:rsid w:val="007D7A09"/>
    <w:rsid w:val="007D7C36"/>
    <w:rsid w:val="007D7CAA"/>
    <w:rsid w:val="007E06AE"/>
    <w:rsid w:val="007E1046"/>
    <w:rsid w:val="007E12E5"/>
    <w:rsid w:val="007E2108"/>
    <w:rsid w:val="007E240F"/>
    <w:rsid w:val="007E2462"/>
    <w:rsid w:val="007E33CD"/>
    <w:rsid w:val="007E3BF3"/>
    <w:rsid w:val="007E485B"/>
    <w:rsid w:val="007E4B7C"/>
    <w:rsid w:val="007E5445"/>
    <w:rsid w:val="007E5E05"/>
    <w:rsid w:val="007E6104"/>
    <w:rsid w:val="007E628D"/>
    <w:rsid w:val="007E63B1"/>
    <w:rsid w:val="007E63FD"/>
    <w:rsid w:val="007E6879"/>
    <w:rsid w:val="007E6B47"/>
    <w:rsid w:val="007E6CE4"/>
    <w:rsid w:val="007E6CFD"/>
    <w:rsid w:val="007E6DF1"/>
    <w:rsid w:val="007E6E35"/>
    <w:rsid w:val="007E7806"/>
    <w:rsid w:val="007E7CA8"/>
    <w:rsid w:val="007F096E"/>
    <w:rsid w:val="007F09A7"/>
    <w:rsid w:val="007F0E6B"/>
    <w:rsid w:val="007F0E8B"/>
    <w:rsid w:val="007F0E98"/>
    <w:rsid w:val="007F12E1"/>
    <w:rsid w:val="007F1CDB"/>
    <w:rsid w:val="007F1E9C"/>
    <w:rsid w:val="007F1F70"/>
    <w:rsid w:val="007F2ECD"/>
    <w:rsid w:val="007F3748"/>
    <w:rsid w:val="007F3DC3"/>
    <w:rsid w:val="007F466B"/>
    <w:rsid w:val="007F46B9"/>
    <w:rsid w:val="007F54C6"/>
    <w:rsid w:val="007F5738"/>
    <w:rsid w:val="007F5796"/>
    <w:rsid w:val="007F5951"/>
    <w:rsid w:val="007F5B51"/>
    <w:rsid w:val="007F60F0"/>
    <w:rsid w:val="007F6D80"/>
    <w:rsid w:val="007F7360"/>
    <w:rsid w:val="007F76BC"/>
    <w:rsid w:val="007F7B08"/>
    <w:rsid w:val="007F7FC3"/>
    <w:rsid w:val="00800021"/>
    <w:rsid w:val="008003C4"/>
    <w:rsid w:val="0080094E"/>
    <w:rsid w:val="0080144D"/>
    <w:rsid w:val="0080179D"/>
    <w:rsid w:val="00801851"/>
    <w:rsid w:val="008021D1"/>
    <w:rsid w:val="0080271C"/>
    <w:rsid w:val="00802997"/>
    <w:rsid w:val="0080359A"/>
    <w:rsid w:val="00803FAE"/>
    <w:rsid w:val="00804035"/>
    <w:rsid w:val="00804066"/>
    <w:rsid w:val="0080424A"/>
    <w:rsid w:val="00805D76"/>
    <w:rsid w:val="00806650"/>
    <w:rsid w:val="00806E37"/>
    <w:rsid w:val="00806F06"/>
    <w:rsid w:val="00806FDD"/>
    <w:rsid w:val="008116C1"/>
    <w:rsid w:val="00811A5C"/>
    <w:rsid w:val="00812D27"/>
    <w:rsid w:val="00812D78"/>
    <w:rsid w:val="00812E0B"/>
    <w:rsid w:val="00812E4B"/>
    <w:rsid w:val="00813F60"/>
    <w:rsid w:val="00813FF2"/>
    <w:rsid w:val="00814262"/>
    <w:rsid w:val="0081456A"/>
    <w:rsid w:val="00814AB5"/>
    <w:rsid w:val="00815C5B"/>
    <w:rsid w:val="00817598"/>
    <w:rsid w:val="008179E0"/>
    <w:rsid w:val="00820588"/>
    <w:rsid w:val="00820660"/>
    <w:rsid w:val="0082088F"/>
    <w:rsid w:val="00820F23"/>
    <w:rsid w:val="00821204"/>
    <w:rsid w:val="00822055"/>
    <w:rsid w:val="00822118"/>
    <w:rsid w:val="00822B23"/>
    <w:rsid w:val="00822B64"/>
    <w:rsid w:val="008233F9"/>
    <w:rsid w:val="0082461C"/>
    <w:rsid w:val="0082488A"/>
    <w:rsid w:val="00824CE1"/>
    <w:rsid w:val="00825001"/>
    <w:rsid w:val="0082500A"/>
    <w:rsid w:val="008250D7"/>
    <w:rsid w:val="0082526C"/>
    <w:rsid w:val="00826E25"/>
    <w:rsid w:val="0082746C"/>
    <w:rsid w:val="00827D57"/>
    <w:rsid w:val="00830E05"/>
    <w:rsid w:val="00830E10"/>
    <w:rsid w:val="00831A91"/>
    <w:rsid w:val="008324DE"/>
    <w:rsid w:val="00832B02"/>
    <w:rsid w:val="00833E91"/>
    <w:rsid w:val="0083466A"/>
    <w:rsid w:val="00835543"/>
    <w:rsid w:val="00835561"/>
    <w:rsid w:val="008355EB"/>
    <w:rsid w:val="008359BE"/>
    <w:rsid w:val="00835B44"/>
    <w:rsid w:val="00835C1E"/>
    <w:rsid w:val="00835FCA"/>
    <w:rsid w:val="00836CEB"/>
    <w:rsid w:val="008370DB"/>
    <w:rsid w:val="0083727D"/>
    <w:rsid w:val="00840650"/>
    <w:rsid w:val="00840C94"/>
    <w:rsid w:val="008410F2"/>
    <w:rsid w:val="0084131C"/>
    <w:rsid w:val="00841894"/>
    <w:rsid w:val="008418AE"/>
    <w:rsid w:val="00841BCC"/>
    <w:rsid w:val="00842199"/>
    <w:rsid w:val="0084234B"/>
    <w:rsid w:val="008428CE"/>
    <w:rsid w:val="00842A4B"/>
    <w:rsid w:val="00842DFE"/>
    <w:rsid w:val="00843795"/>
    <w:rsid w:val="008437B3"/>
    <w:rsid w:val="00843B28"/>
    <w:rsid w:val="00845025"/>
    <w:rsid w:val="0084502D"/>
    <w:rsid w:val="0084533F"/>
    <w:rsid w:val="00845709"/>
    <w:rsid w:val="00845C26"/>
    <w:rsid w:val="00846049"/>
    <w:rsid w:val="00846243"/>
    <w:rsid w:val="0084694D"/>
    <w:rsid w:val="00846FAC"/>
    <w:rsid w:val="00847642"/>
    <w:rsid w:val="00850CC5"/>
    <w:rsid w:val="00850DD6"/>
    <w:rsid w:val="0085146C"/>
    <w:rsid w:val="008518F5"/>
    <w:rsid w:val="00852AD1"/>
    <w:rsid w:val="00852ECA"/>
    <w:rsid w:val="00853224"/>
    <w:rsid w:val="0085337B"/>
    <w:rsid w:val="0085392B"/>
    <w:rsid w:val="0085451B"/>
    <w:rsid w:val="008546E7"/>
    <w:rsid w:val="00854713"/>
    <w:rsid w:val="00854BF1"/>
    <w:rsid w:val="00855144"/>
    <w:rsid w:val="008559FB"/>
    <w:rsid w:val="00855D73"/>
    <w:rsid w:val="00855DEE"/>
    <w:rsid w:val="00855E32"/>
    <w:rsid w:val="00855F04"/>
    <w:rsid w:val="008563ED"/>
    <w:rsid w:val="00856DD9"/>
    <w:rsid w:val="00857115"/>
    <w:rsid w:val="008573D2"/>
    <w:rsid w:val="008578F4"/>
    <w:rsid w:val="0085795F"/>
    <w:rsid w:val="00862971"/>
    <w:rsid w:val="00862E02"/>
    <w:rsid w:val="00863968"/>
    <w:rsid w:val="00863B5A"/>
    <w:rsid w:val="0086411A"/>
    <w:rsid w:val="008642B6"/>
    <w:rsid w:val="0086453B"/>
    <w:rsid w:val="00864A48"/>
    <w:rsid w:val="00864CCF"/>
    <w:rsid w:val="00864DDD"/>
    <w:rsid w:val="00864E28"/>
    <w:rsid w:val="00865BB1"/>
    <w:rsid w:val="00865C15"/>
    <w:rsid w:val="0086600D"/>
    <w:rsid w:val="0086664D"/>
    <w:rsid w:val="0086672B"/>
    <w:rsid w:val="00866ABA"/>
    <w:rsid w:val="00867308"/>
    <w:rsid w:val="008674C4"/>
    <w:rsid w:val="00867BBD"/>
    <w:rsid w:val="00867FB2"/>
    <w:rsid w:val="00870212"/>
    <w:rsid w:val="008704C6"/>
    <w:rsid w:val="00870794"/>
    <w:rsid w:val="00870BB7"/>
    <w:rsid w:val="00871318"/>
    <w:rsid w:val="0087138E"/>
    <w:rsid w:val="0087250A"/>
    <w:rsid w:val="00872D4B"/>
    <w:rsid w:val="00872D9A"/>
    <w:rsid w:val="008732AF"/>
    <w:rsid w:val="00873346"/>
    <w:rsid w:val="00873E15"/>
    <w:rsid w:val="00874210"/>
    <w:rsid w:val="008744D3"/>
    <w:rsid w:val="00874757"/>
    <w:rsid w:val="00874804"/>
    <w:rsid w:val="0087484E"/>
    <w:rsid w:val="00874ABE"/>
    <w:rsid w:val="00874D70"/>
    <w:rsid w:val="0087518E"/>
    <w:rsid w:val="008755F0"/>
    <w:rsid w:val="008756AB"/>
    <w:rsid w:val="008757A5"/>
    <w:rsid w:val="008757CC"/>
    <w:rsid w:val="00876E35"/>
    <w:rsid w:val="0087746D"/>
    <w:rsid w:val="00877C3D"/>
    <w:rsid w:val="00877FDA"/>
    <w:rsid w:val="008804A5"/>
    <w:rsid w:val="0088076A"/>
    <w:rsid w:val="00880D5B"/>
    <w:rsid w:val="00880E90"/>
    <w:rsid w:val="00880EDC"/>
    <w:rsid w:val="00881011"/>
    <w:rsid w:val="00881085"/>
    <w:rsid w:val="00881203"/>
    <w:rsid w:val="00881494"/>
    <w:rsid w:val="00881650"/>
    <w:rsid w:val="00881A99"/>
    <w:rsid w:val="0088278A"/>
    <w:rsid w:val="00882878"/>
    <w:rsid w:val="00882C41"/>
    <w:rsid w:val="00883426"/>
    <w:rsid w:val="008838BE"/>
    <w:rsid w:val="00883B16"/>
    <w:rsid w:val="00883B94"/>
    <w:rsid w:val="0088450A"/>
    <w:rsid w:val="008847EF"/>
    <w:rsid w:val="00884C0D"/>
    <w:rsid w:val="00885E98"/>
    <w:rsid w:val="00886C54"/>
    <w:rsid w:val="00886F98"/>
    <w:rsid w:val="008870F5"/>
    <w:rsid w:val="0089018B"/>
    <w:rsid w:val="008911FF"/>
    <w:rsid w:val="00891372"/>
    <w:rsid w:val="008919F1"/>
    <w:rsid w:val="00891E27"/>
    <w:rsid w:val="00892034"/>
    <w:rsid w:val="0089289A"/>
    <w:rsid w:val="008928DF"/>
    <w:rsid w:val="008934C5"/>
    <w:rsid w:val="008937C0"/>
    <w:rsid w:val="00893AF8"/>
    <w:rsid w:val="00893B45"/>
    <w:rsid w:val="00893C31"/>
    <w:rsid w:val="00894011"/>
    <w:rsid w:val="008946B6"/>
    <w:rsid w:val="008948A4"/>
    <w:rsid w:val="0089514E"/>
    <w:rsid w:val="00895B1A"/>
    <w:rsid w:val="00896163"/>
    <w:rsid w:val="00896214"/>
    <w:rsid w:val="008972EB"/>
    <w:rsid w:val="0089786B"/>
    <w:rsid w:val="00897FBC"/>
    <w:rsid w:val="008A1014"/>
    <w:rsid w:val="008A175D"/>
    <w:rsid w:val="008A1851"/>
    <w:rsid w:val="008A1B9E"/>
    <w:rsid w:val="008A29B3"/>
    <w:rsid w:val="008A2C0A"/>
    <w:rsid w:val="008A31FC"/>
    <w:rsid w:val="008A40DC"/>
    <w:rsid w:val="008A41B4"/>
    <w:rsid w:val="008A51D9"/>
    <w:rsid w:val="008A55E1"/>
    <w:rsid w:val="008A5897"/>
    <w:rsid w:val="008A6392"/>
    <w:rsid w:val="008A69E6"/>
    <w:rsid w:val="008A7195"/>
    <w:rsid w:val="008A752F"/>
    <w:rsid w:val="008A7867"/>
    <w:rsid w:val="008A7D87"/>
    <w:rsid w:val="008B02C7"/>
    <w:rsid w:val="008B06A7"/>
    <w:rsid w:val="008B0747"/>
    <w:rsid w:val="008B0CF1"/>
    <w:rsid w:val="008B0D4A"/>
    <w:rsid w:val="008B14B4"/>
    <w:rsid w:val="008B1C5D"/>
    <w:rsid w:val="008B23B6"/>
    <w:rsid w:val="008B2629"/>
    <w:rsid w:val="008B2D39"/>
    <w:rsid w:val="008B3152"/>
    <w:rsid w:val="008B333B"/>
    <w:rsid w:val="008B52DF"/>
    <w:rsid w:val="008B5321"/>
    <w:rsid w:val="008B584C"/>
    <w:rsid w:val="008B5CB0"/>
    <w:rsid w:val="008B60BA"/>
    <w:rsid w:val="008B6663"/>
    <w:rsid w:val="008B6D34"/>
    <w:rsid w:val="008B6E96"/>
    <w:rsid w:val="008B765A"/>
    <w:rsid w:val="008C08F6"/>
    <w:rsid w:val="008C0CDA"/>
    <w:rsid w:val="008C12C6"/>
    <w:rsid w:val="008C17B9"/>
    <w:rsid w:val="008C1ADF"/>
    <w:rsid w:val="008C1CA1"/>
    <w:rsid w:val="008C1D0D"/>
    <w:rsid w:val="008C2205"/>
    <w:rsid w:val="008C2652"/>
    <w:rsid w:val="008C2FD0"/>
    <w:rsid w:val="008C30F2"/>
    <w:rsid w:val="008C31EE"/>
    <w:rsid w:val="008C3450"/>
    <w:rsid w:val="008C38E2"/>
    <w:rsid w:val="008C399C"/>
    <w:rsid w:val="008C3A11"/>
    <w:rsid w:val="008C3D7A"/>
    <w:rsid w:val="008C4934"/>
    <w:rsid w:val="008C5102"/>
    <w:rsid w:val="008C51F6"/>
    <w:rsid w:val="008C7105"/>
    <w:rsid w:val="008C73B5"/>
    <w:rsid w:val="008C73E2"/>
    <w:rsid w:val="008C7E95"/>
    <w:rsid w:val="008D1115"/>
    <w:rsid w:val="008D11A4"/>
    <w:rsid w:val="008D15E6"/>
    <w:rsid w:val="008D187E"/>
    <w:rsid w:val="008D19DB"/>
    <w:rsid w:val="008D3455"/>
    <w:rsid w:val="008D3604"/>
    <w:rsid w:val="008D3AF5"/>
    <w:rsid w:val="008D3F91"/>
    <w:rsid w:val="008D458C"/>
    <w:rsid w:val="008D4B37"/>
    <w:rsid w:val="008D5543"/>
    <w:rsid w:val="008D655E"/>
    <w:rsid w:val="008D7472"/>
    <w:rsid w:val="008D7558"/>
    <w:rsid w:val="008D7F63"/>
    <w:rsid w:val="008E155E"/>
    <w:rsid w:val="008E1C0C"/>
    <w:rsid w:val="008E2BEF"/>
    <w:rsid w:val="008E33F4"/>
    <w:rsid w:val="008E3D9F"/>
    <w:rsid w:val="008E3EE1"/>
    <w:rsid w:val="008E449F"/>
    <w:rsid w:val="008E4D68"/>
    <w:rsid w:val="008E5981"/>
    <w:rsid w:val="008E5DA5"/>
    <w:rsid w:val="008E6233"/>
    <w:rsid w:val="008E6461"/>
    <w:rsid w:val="008E65D7"/>
    <w:rsid w:val="008E679C"/>
    <w:rsid w:val="008E695E"/>
    <w:rsid w:val="008E7D69"/>
    <w:rsid w:val="008E7FE8"/>
    <w:rsid w:val="008F04C6"/>
    <w:rsid w:val="008F0E25"/>
    <w:rsid w:val="008F144A"/>
    <w:rsid w:val="008F15DC"/>
    <w:rsid w:val="008F196A"/>
    <w:rsid w:val="008F1AF4"/>
    <w:rsid w:val="008F2032"/>
    <w:rsid w:val="008F20AF"/>
    <w:rsid w:val="008F2115"/>
    <w:rsid w:val="008F4070"/>
    <w:rsid w:val="008F588D"/>
    <w:rsid w:val="008F5A24"/>
    <w:rsid w:val="008F696D"/>
    <w:rsid w:val="008F731C"/>
    <w:rsid w:val="008F7374"/>
    <w:rsid w:val="008F7776"/>
    <w:rsid w:val="008F7DB1"/>
    <w:rsid w:val="00900AAE"/>
    <w:rsid w:val="00900C5C"/>
    <w:rsid w:val="009015FA"/>
    <w:rsid w:val="009018B7"/>
    <w:rsid w:val="0090258F"/>
    <w:rsid w:val="00903019"/>
    <w:rsid w:val="0090334E"/>
    <w:rsid w:val="009048D9"/>
    <w:rsid w:val="009050F3"/>
    <w:rsid w:val="00905163"/>
    <w:rsid w:val="0090555F"/>
    <w:rsid w:val="00905B16"/>
    <w:rsid w:val="00905F2D"/>
    <w:rsid w:val="00906573"/>
    <w:rsid w:val="009065B8"/>
    <w:rsid w:val="00906654"/>
    <w:rsid w:val="00906774"/>
    <w:rsid w:val="009068B3"/>
    <w:rsid w:val="009069B8"/>
    <w:rsid w:val="009076CA"/>
    <w:rsid w:val="00907A6F"/>
    <w:rsid w:val="009108D7"/>
    <w:rsid w:val="00910D96"/>
    <w:rsid w:val="009111B7"/>
    <w:rsid w:val="00912142"/>
    <w:rsid w:val="0091223C"/>
    <w:rsid w:val="0091229C"/>
    <w:rsid w:val="00912334"/>
    <w:rsid w:val="00912753"/>
    <w:rsid w:val="00912C52"/>
    <w:rsid w:val="00913444"/>
    <w:rsid w:val="00913EE2"/>
    <w:rsid w:val="00913F66"/>
    <w:rsid w:val="00914535"/>
    <w:rsid w:val="00914A35"/>
    <w:rsid w:val="00914A61"/>
    <w:rsid w:val="00915042"/>
    <w:rsid w:val="009152ED"/>
    <w:rsid w:val="00915720"/>
    <w:rsid w:val="00915A12"/>
    <w:rsid w:val="00915E99"/>
    <w:rsid w:val="00916A19"/>
    <w:rsid w:val="00916A41"/>
    <w:rsid w:val="00916EBD"/>
    <w:rsid w:val="00917468"/>
    <w:rsid w:val="00917EBB"/>
    <w:rsid w:val="0092043C"/>
    <w:rsid w:val="00920738"/>
    <w:rsid w:val="00920BCF"/>
    <w:rsid w:val="00920D53"/>
    <w:rsid w:val="00920F4D"/>
    <w:rsid w:val="009217D5"/>
    <w:rsid w:val="009221A8"/>
    <w:rsid w:val="009228A3"/>
    <w:rsid w:val="00922A5F"/>
    <w:rsid w:val="0092441A"/>
    <w:rsid w:val="0092472E"/>
    <w:rsid w:val="009249BF"/>
    <w:rsid w:val="00924AA2"/>
    <w:rsid w:val="00924CE5"/>
    <w:rsid w:val="0092511A"/>
    <w:rsid w:val="0092544D"/>
    <w:rsid w:val="0092590A"/>
    <w:rsid w:val="00925940"/>
    <w:rsid w:val="00925D57"/>
    <w:rsid w:val="00925E68"/>
    <w:rsid w:val="009261EA"/>
    <w:rsid w:val="00926D32"/>
    <w:rsid w:val="0093034F"/>
    <w:rsid w:val="0093079C"/>
    <w:rsid w:val="009311BC"/>
    <w:rsid w:val="009314E4"/>
    <w:rsid w:val="009318C0"/>
    <w:rsid w:val="00931989"/>
    <w:rsid w:val="00931AA3"/>
    <w:rsid w:val="00931CF4"/>
    <w:rsid w:val="0093220F"/>
    <w:rsid w:val="00932326"/>
    <w:rsid w:val="00932FEA"/>
    <w:rsid w:val="0093381B"/>
    <w:rsid w:val="00933C89"/>
    <w:rsid w:val="00934619"/>
    <w:rsid w:val="00934F19"/>
    <w:rsid w:val="00935073"/>
    <w:rsid w:val="00935B88"/>
    <w:rsid w:val="00935C33"/>
    <w:rsid w:val="00936E70"/>
    <w:rsid w:val="0093731D"/>
    <w:rsid w:val="0093789C"/>
    <w:rsid w:val="0094025C"/>
    <w:rsid w:val="0094069C"/>
    <w:rsid w:val="00941432"/>
    <w:rsid w:val="00941D18"/>
    <w:rsid w:val="00942187"/>
    <w:rsid w:val="00942F1F"/>
    <w:rsid w:val="00943B42"/>
    <w:rsid w:val="00943F0E"/>
    <w:rsid w:val="00944534"/>
    <w:rsid w:val="009448E6"/>
    <w:rsid w:val="00944DEF"/>
    <w:rsid w:val="00944F39"/>
    <w:rsid w:val="009450D9"/>
    <w:rsid w:val="0094519D"/>
    <w:rsid w:val="00945CDE"/>
    <w:rsid w:val="00946091"/>
    <w:rsid w:val="009464A8"/>
    <w:rsid w:val="009466EF"/>
    <w:rsid w:val="00946DDE"/>
    <w:rsid w:val="0094758C"/>
    <w:rsid w:val="00947A9C"/>
    <w:rsid w:val="00947BBD"/>
    <w:rsid w:val="009505EC"/>
    <w:rsid w:val="009507E5"/>
    <w:rsid w:val="00950D2A"/>
    <w:rsid w:val="00950DCB"/>
    <w:rsid w:val="0095162C"/>
    <w:rsid w:val="009525EE"/>
    <w:rsid w:val="00952938"/>
    <w:rsid w:val="009534B9"/>
    <w:rsid w:val="00953A52"/>
    <w:rsid w:val="00953BE8"/>
    <w:rsid w:val="00953DFF"/>
    <w:rsid w:val="009540EA"/>
    <w:rsid w:val="009541D2"/>
    <w:rsid w:val="009553CE"/>
    <w:rsid w:val="00955872"/>
    <w:rsid w:val="009558E2"/>
    <w:rsid w:val="00955AD4"/>
    <w:rsid w:val="00957420"/>
    <w:rsid w:val="00957541"/>
    <w:rsid w:val="0095766B"/>
    <w:rsid w:val="00960018"/>
    <w:rsid w:val="0096010E"/>
    <w:rsid w:val="00960166"/>
    <w:rsid w:val="009608D6"/>
    <w:rsid w:val="00960A2F"/>
    <w:rsid w:val="0096136F"/>
    <w:rsid w:val="009615F9"/>
    <w:rsid w:val="00961762"/>
    <w:rsid w:val="00961854"/>
    <w:rsid w:val="00961C2F"/>
    <w:rsid w:val="009620A9"/>
    <w:rsid w:val="009622DD"/>
    <w:rsid w:val="00962471"/>
    <w:rsid w:val="009625D2"/>
    <w:rsid w:val="0096354B"/>
    <w:rsid w:val="00963C87"/>
    <w:rsid w:val="00964080"/>
    <w:rsid w:val="00964BAF"/>
    <w:rsid w:val="00964DF6"/>
    <w:rsid w:val="00965830"/>
    <w:rsid w:val="00965DFD"/>
    <w:rsid w:val="00965E5A"/>
    <w:rsid w:val="00966032"/>
    <w:rsid w:val="00966187"/>
    <w:rsid w:val="009667CC"/>
    <w:rsid w:val="00966A61"/>
    <w:rsid w:val="00966FC4"/>
    <w:rsid w:val="009670C2"/>
    <w:rsid w:val="00967523"/>
    <w:rsid w:val="00967D66"/>
    <w:rsid w:val="00967FD9"/>
    <w:rsid w:val="0097089C"/>
    <w:rsid w:val="00971F03"/>
    <w:rsid w:val="0097255B"/>
    <w:rsid w:val="0097279B"/>
    <w:rsid w:val="00972AB0"/>
    <w:rsid w:val="009733F5"/>
    <w:rsid w:val="00973C89"/>
    <w:rsid w:val="00973DD5"/>
    <w:rsid w:val="009744CA"/>
    <w:rsid w:val="00974674"/>
    <w:rsid w:val="00974851"/>
    <w:rsid w:val="009749A7"/>
    <w:rsid w:val="009750FB"/>
    <w:rsid w:val="00976096"/>
    <w:rsid w:val="0097618A"/>
    <w:rsid w:val="0097667D"/>
    <w:rsid w:val="0097691E"/>
    <w:rsid w:val="00976980"/>
    <w:rsid w:val="00976C85"/>
    <w:rsid w:val="00977740"/>
    <w:rsid w:val="00977837"/>
    <w:rsid w:val="00977F21"/>
    <w:rsid w:val="00980004"/>
    <w:rsid w:val="009801A0"/>
    <w:rsid w:val="00980BE8"/>
    <w:rsid w:val="00981174"/>
    <w:rsid w:val="00981D11"/>
    <w:rsid w:val="00981DA2"/>
    <w:rsid w:val="009826C0"/>
    <w:rsid w:val="009835F4"/>
    <w:rsid w:val="00983D27"/>
    <w:rsid w:val="00984358"/>
    <w:rsid w:val="0098452A"/>
    <w:rsid w:val="00984A89"/>
    <w:rsid w:val="009855D4"/>
    <w:rsid w:val="00986348"/>
    <w:rsid w:val="00986487"/>
    <w:rsid w:val="009865AF"/>
    <w:rsid w:val="00987715"/>
    <w:rsid w:val="0098795D"/>
    <w:rsid w:val="00987BAD"/>
    <w:rsid w:val="00987F7E"/>
    <w:rsid w:val="009905BA"/>
    <w:rsid w:val="00990CCD"/>
    <w:rsid w:val="0099164D"/>
    <w:rsid w:val="00991855"/>
    <w:rsid w:val="00991C7C"/>
    <w:rsid w:val="00991E8D"/>
    <w:rsid w:val="009921A7"/>
    <w:rsid w:val="00992964"/>
    <w:rsid w:val="00993129"/>
    <w:rsid w:val="00993B24"/>
    <w:rsid w:val="00993CC1"/>
    <w:rsid w:val="00993F2A"/>
    <w:rsid w:val="009940C8"/>
    <w:rsid w:val="009944D5"/>
    <w:rsid w:val="00994AA0"/>
    <w:rsid w:val="00994F3D"/>
    <w:rsid w:val="00995138"/>
    <w:rsid w:val="00996268"/>
    <w:rsid w:val="00996368"/>
    <w:rsid w:val="009964F4"/>
    <w:rsid w:val="00996625"/>
    <w:rsid w:val="00997E49"/>
    <w:rsid w:val="009A08FA"/>
    <w:rsid w:val="009A0C85"/>
    <w:rsid w:val="009A0D1C"/>
    <w:rsid w:val="009A0F1C"/>
    <w:rsid w:val="009A2489"/>
    <w:rsid w:val="009A30E2"/>
    <w:rsid w:val="009A338A"/>
    <w:rsid w:val="009A33F4"/>
    <w:rsid w:val="009A3EAC"/>
    <w:rsid w:val="009A47A0"/>
    <w:rsid w:val="009A548F"/>
    <w:rsid w:val="009A5586"/>
    <w:rsid w:val="009A57E7"/>
    <w:rsid w:val="009A58F3"/>
    <w:rsid w:val="009A5B2B"/>
    <w:rsid w:val="009A5CCF"/>
    <w:rsid w:val="009A5F2A"/>
    <w:rsid w:val="009A5F34"/>
    <w:rsid w:val="009A6893"/>
    <w:rsid w:val="009A7DF6"/>
    <w:rsid w:val="009B0278"/>
    <w:rsid w:val="009B02ED"/>
    <w:rsid w:val="009B137D"/>
    <w:rsid w:val="009B170A"/>
    <w:rsid w:val="009B1CB1"/>
    <w:rsid w:val="009B1EBD"/>
    <w:rsid w:val="009B2452"/>
    <w:rsid w:val="009B29AF"/>
    <w:rsid w:val="009B32B7"/>
    <w:rsid w:val="009B33EB"/>
    <w:rsid w:val="009B3BE2"/>
    <w:rsid w:val="009B3C21"/>
    <w:rsid w:val="009B454A"/>
    <w:rsid w:val="009B549F"/>
    <w:rsid w:val="009B5530"/>
    <w:rsid w:val="009B5682"/>
    <w:rsid w:val="009B60E3"/>
    <w:rsid w:val="009B66EE"/>
    <w:rsid w:val="009B677A"/>
    <w:rsid w:val="009B7010"/>
    <w:rsid w:val="009B71FB"/>
    <w:rsid w:val="009C024B"/>
    <w:rsid w:val="009C02D9"/>
    <w:rsid w:val="009C0991"/>
    <w:rsid w:val="009C1321"/>
    <w:rsid w:val="009C1D4D"/>
    <w:rsid w:val="009C2359"/>
    <w:rsid w:val="009C2638"/>
    <w:rsid w:val="009C2D2B"/>
    <w:rsid w:val="009C2E97"/>
    <w:rsid w:val="009C2F0B"/>
    <w:rsid w:val="009C466A"/>
    <w:rsid w:val="009C4BB0"/>
    <w:rsid w:val="009C52E1"/>
    <w:rsid w:val="009C63BA"/>
    <w:rsid w:val="009C6FF2"/>
    <w:rsid w:val="009C76B1"/>
    <w:rsid w:val="009C7C81"/>
    <w:rsid w:val="009C7CD0"/>
    <w:rsid w:val="009D0272"/>
    <w:rsid w:val="009D0293"/>
    <w:rsid w:val="009D0554"/>
    <w:rsid w:val="009D06CB"/>
    <w:rsid w:val="009D0BD0"/>
    <w:rsid w:val="009D0D0F"/>
    <w:rsid w:val="009D1104"/>
    <w:rsid w:val="009D1420"/>
    <w:rsid w:val="009D17D2"/>
    <w:rsid w:val="009D184E"/>
    <w:rsid w:val="009D335D"/>
    <w:rsid w:val="009D3723"/>
    <w:rsid w:val="009D377F"/>
    <w:rsid w:val="009D40EF"/>
    <w:rsid w:val="009D4897"/>
    <w:rsid w:val="009D52E9"/>
    <w:rsid w:val="009D54E2"/>
    <w:rsid w:val="009D5704"/>
    <w:rsid w:val="009D5A81"/>
    <w:rsid w:val="009D5D74"/>
    <w:rsid w:val="009D6280"/>
    <w:rsid w:val="009D648A"/>
    <w:rsid w:val="009D6567"/>
    <w:rsid w:val="009D6E8C"/>
    <w:rsid w:val="009D709F"/>
    <w:rsid w:val="009D70F2"/>
    <w:rsid w:val="009D73A7"/>
    <w:rsid w:val="009D7473"/>
    <w:rsid w:val="009D784C"/>
    <w:rsid w:val="009D7AB7"/>
    <w:rsid w:val="009E18C5"/>
    <w:rsid w:val="009E200A"/>
    <w:rsid w:val="009E265E"/>
    <w:rsid w:val="009E2D13"/>
    <w:rsid w:val="009E2D73"/>
    <w:rsid w:val="009E3958"/>
    <w:rsid w:val="009E434D"/>
    <w:rsid w:val="009E4744"/>
    <w:rsid w:val="009E4A2B"/>
    <w:rsid w:val="009E50DC"/>
    <w:rsid w:val="009E52C2"/>
    <w:rsid w:val="009E640F"/>
    <w:rsid w:val="009E64A1"/>
    <w:rsid w:val="009E6653"/>
    <w:rsid w:val="009E6CEC"/>
    <w:rsid w:val="009E718B"/>
    <w:rsid w:val="009F0998"/>
    <w:rsid w:val="009F12D6"/>
    <w:rsid w:val="009F133F"/>
    <w:rsid w:val="009F325A"/>
    <w:rsid w:val="009F3D3F"/>
    <w:rsid w:val="009F3EB1"/>
    <w:rsid w:val="009F47C8"/>
    <w:rsid w:val="009F499B"/>
    <w:rsid w:val="009F4A80"/>
    <w:rsid w:val="009F4B03"/>
    <w:rsid w:val="009F4F0C"/>
    <w:rsid w:val="009F5476"/>
    <w:rsid w:val="009F5F90"/>
    <w:rsid w:val="009F70FF"/>
    <w:rsid w:val="009F7C8C"/>
    <w:rsid w:val="00A00289"/>
    <w:rsid w:val="00A00A92"/>
    <w:rsid w:val="00A00EDB"/>
    <w:rsid w:val="00A01779"/>
    <w:rsid w:val="00A0202C"/>
    <w:rsid w:val="00A02152"/>
    <w:rsid w:val="00A03323"/>
    <w:rsid w:val="00A034AE"/>
    <w:rsid w:val="00A036F5"/>
    <w:rsid w:val="00A03FFD"/>
    <w:rsid w:val="00A04105"/>
    <w:rsid w:val="00A044DB"/>
    <w:rsid w:val="00A046AF"/>
    <w:rsid w:val="00A04A48"/>
    <w:rsid w:val="00A04B03"/>
    <w:rsid w:val="00A04F9B"/>
    <w:rsid w:val="00A05042"/>
    <w:rsid w:val="00A053B7"/>
    <w:rsid w:val="00A064D2"/>
    <w:rsid w:val="00A06913"/>
    <w:rsid w:val="00A0727F"/>
    <w:rsid w:val="00A07305"/>
    <w:rsid w:val="00A108D1"/>
    <w:rsid w:val="00A10C05"/>
    <w:rsid w:val="00A11201"/>
    <w:rsid w:val="00A1185E"/>
    <w:rsid w:val="00A11E5A"/>
    <w:rsid w:val="00A11FFE"/>
    <w:rsid w:val="00A12021"/>
    <w:rsid w:val="00A120A9"/>
    <w:rsid w:val="00A12250"/>
    <w:rsid w:val="00A123F8"/>
    <w:rsid w:val="00A12627"/>
    <w:rsid w:val="00A12EA2"/>
    <w:rsid w:val="00A13AD7"/>
    <w:rsid w:val="00A14071"/>
    <w:rsid w:val="00A146F4"/>
    <w:rsid w:val="00A148A2"/>
    <w:rsid w:val="00A14B08"/>
    <w:rsid w:val="00A14C62"/>
    <w:rsid w:val="00A15099"/>
    <w:rsid w:val="00A1589F"/>
    <w:rsid w:val="00A16002"/>
    <w:rsid w:val="00A165EA"/>
    <w:rsid w:val="00A16936"/>
    <w:rsid w:val="00A17562"/>
    <w:rsid w:val="00A17962"/>
    <w:rsid w:val="00A17CE5"/>
    <w:rsid w:val="00A20404"/>
    <w:rsid w:val="00A2084A"/>
    <w:rsid w:val="00A21037"/>
    <w:rsid w:val="00A21C3D"/>
    <w:rsid w:val="00A22302"/>
    <w:rsid w:val="00A2273C"/>
    <w:rsid w:val="00A228EE"/>
    <w:rsid w:val="00A22929"/>
    <w:rsid w:val="00A22B04"/>
    <w:rsid w:val="00A22F52"/>
    <w:rsid w:val="00A23046"/>
    <w:rsid w:val="00A2351B"/>
    <w:rsid w:val="00A2393D"/>
    <w:rsid w:val="00A23D5D"/>
    <w:rsid w:val="00A24478"/>
    <w:rsid w:val="00A2475B"/>
    <w:rsid w:val="00A25E2C"/>
    <w:rsid w:val="00A25FC3"/>
    <w:rsid w:val="00A2614D"/>
    <w:rsid w:val="00A2626C"/>
    <w:rsid w:val="00A26C46"/>
    <w:rsid w:val="00A26C93"/>
    <w:rsid w:val="00A26EB5"/>
    <w:rsid w:val="00A27408"/>
    <w:rsid w:val="00A30885"/>
    <w:rsid w:val="00A31448"/>
    <w:rsid w:val="00A31F08"/>
    <w:rsid w:val="00A32478"/>
    <w:rsid w:val="00A3348B"/>
    <w:rsid w:val="00A3377F"/>
    <w:rsid w:val="00A341AB"/>
    <w:rsid w:val="00A345A2"/>
    <w:rsid w:val="00A34782"/>
    <w:rsid w:val="00A352EB"/>
    <w:rsid w:val="00A35370"/>
    <w:rsid w:val="00A359AE"/>
    <w:rsid w:val="00A35DF3"/>
    <w:rsid w:val="00A3633B"/>
    <w:rsid w:val="00A36B13"/>
    <w:rsid w:val="00A379AF"/>
    <w:rsid w:val="00A37EC9"/>
    <w:rsid w:val="00A40599"/>
    <w:rsid w:val="00A4086B"/>
    <w:rsid w:val="00A409AC"/>
    <w:rsid w:val="00A416F1"/>
    <w:rsid w:val="00A4261C"/>
    <w:rsid w:val="00A42C64"/>
    <w:rsid w:val="00A42F29"/>
    <w:rsid w:val="00A4310E"/>
    <w:rsid w:val="00A431AC"/>
    <w:rsid w:val="00A43228"/>
    <w:rsid w:val="00A435BF"/>
    <w:rsid w:val="00A44412"/>
    <w:rsid w:val="00A44CB7"/>
    <w:rsid w:val="00A44E9C"/>
    <w:rsid w:val="00A45200"/>
    <w:rsid w:val="00A4529C"/>
    <w:rsid w:val="00A45A31"/>
    <w:rsid w:val="00A4601D"/>
    <w:rsid w:val="00A46744"/>
    <w:rsid w:val="00A4722D"/>
    <w:rsid w:val="00A472E7"/>
    <w:rsid w:val="00A4752B"/>
    <w:rsid w:val="00A475BA"/>
    <w:rsid w:val="00A50151"/>
    <w:rsid w:val="00A502D4"/>
    <w:rsid w:val="00A51591"/>
    <w:rsid w:val="00A51B50"/>
    <w:rsid w:val="00A52282"/>
    <w:rsid w:val="00A529F7"/>
    <w:rsid w:val="00A53577"/>
    <w:rsid w:val="00A53596"/>
    <w:rsid w:val="00A5370A"/>
    <w:rsid w:val="00A5399B"/>
    <w:rsid w:val="00A53D91"/>
    <w:rsid w:val="00A53DF2"/>
    <w:rsid w:val="00A5437D"/>
    <w:rsid w:val="00A55662"/>
    <w:rsid w:val="00A557F7"/>
    <w:rsid w:val="00A55B5D"/>
    <w:rsid w:val="00A57414"/>
    <w:rsid w:val="00A57791"/>
    <w:rsid w:val="00A5788E"/>
    <w:rsid w:val="00A600C3"/>
    <w:rsid w:val="00A60D15"/>
    <w:rsid w:val="00A61052"/>
    <w:rsid w:val="00A613E0"/>
    <w:rsid w:val="00A61678"/>
    <w:rsid w:val="00A61B4F"/>
    <w:rsid w:val="00A6239D"/>
    <w:rsid w:val="00A6253B"/>
    <w:rsid w:val="00A62EB2"/>
    <w:rsid w:val="00A63150"/>
    <w:rsid w:val="00A63707"/>
    <w:rsid w:val="00A63A00"/>
    <w:rsid w:val="00A63E0D"/>
    <w:rsid w:val="00A64CF8"/>
    <w:rsid w:val="00A6565D"/>
    <w:rsid w:val="00A6565E"/>
    <w:rsid w:val="00A66719"/>
    <w:rsid w:val="00A66B80"/>
    <w:rsid w:val="00A66D26"/>
    <w:rsid w:val="00A66E5F"/>
    <w:rsid w:val="00A67422"/>
    <w:rsid w:val="00A67FE6"/>
    <w:rsid w:val="00A713E6"/>
    <w:rsid w:val="00A720CE"/>
    <w:rsid w:val="00A751AC"/>
    <w:rsid w:val="00A759FA"/>
    <w:rsid w:val="00A75E60"/>
    <w:rsid w:val="00A76345"/>
    <w:rsid w:val="00A7636B"/>
    <w:rsid w:val="00A76478"/>
    <w:rsid w:val="00A76836"/>
    <w:rsid w:val="00A76952"/>
    <w:rsid w:val="00A76AFF"/>
    <w:rsid w:val="00A771E4"/>
    <w:rsid w:val="00A800BD"/>
    <w:rsid w:val="00A800D8"/>
    <w:rsid w:val="00A801C0"/>
    <w:rsid w:val="00A8065C"/>
    <w:rsid w:val="00A80B81"/>
    <w:rsid w:val="00A80D59"/>
    <w:rsid w:val="00A80DB4"/>
    <w:rsid w:val="00A80DC4"/>
    <w:rsid w:val="00A811CD"/>
    <w:rsid w:val="00A8135A"/>
    <w:rsid w:val="00A8157D"/>
    <w:rsid w:val="00A815AC"/>
    <w:rsid w:val="00A82119"/>
    <w:rsid w:val="00A823EA"/>
    <w:rsid w:val="00A823F4"/>
    <w:rsid w:val="00A82433"/>
    <w:rsid w:val="00A82847"/>
    <w:rsid w:val="00A82C30"/>
    <w:rsid w:val="00A83FD3"/>
    <w:rsid w:val="00A8444F"/>
    <w:rsid w:val="00A84E6F"/>
    <w:rsid w:val="00A84FD1"/>
    <w:rsid w:val="00A85FB4"/>
    <w:rsid w:val="00A86492"/>
    <w:rsid w:val="00A87103"/>
    <w:rsid w:val="00A877E8"/>
    <w:rsid w:val="00A90028"/>
    <w:rsid w:val="00A90311"/>
    <w:rsid w:val="00A90C88"/>
    <w:rsid w:val="00A91222"/>
    <w:rsid w:val="00A91313"/>
    <w:rsid w:val="00A9152E"/>
    <w:rsid w:val="00A9163E"/>
    <w:rsid w:val="00A92BDE"/>
    <w:rsid w:val="00A92DD0"/>
    <w:rsid w:val="00A93223"/>
    <w:rsid w:val="00A933AB"/>
    <w:rsid w:val="00A93796"/>
    <w:rsid w:val="00A94F4D"/>
    <w:rsid w:val="00A96262"/>
    <w:rsid w:val="00A967D2"/>
    <w:rsid w:val="00AA0CB7"/>
    <w:rsid w:val="00AA1EC7"/>
    <w:rsid w:val="00AA2085"/>
    <w:rsid w:val="00AA21D7"/>
    <w:rsid w:val="00AA293E"/>
    <w:rsid w:val="00AA2C50"/>
    <w:rsid w:val="00AA3556"/>
    <w:rsid w:val="00AA3594"/>
    <w:rsid w:val="00AA3968"/>
    <w:rsid w:val="00AA3F40"/>
    <w:rsid w:val="00AA3F82"/>
    <w:rsid w:val="00AA4B90"/>
    <w:rsid w:val="00AA4DC1"/>
    <w:rsid w:val="00AA50FF"/>
    <w:rsid w:val="00AA55C4"/>
    <w:rsid w:val="00AA5DB4"/>
    <w:rsid w:val="00AA613F"/>
    <w:rsid w:val="00AA6542"/>
    <w:rsid w:val="00AA6D62"/>
    <w:rsid w:val="00AA6F08"/>
    <w:rsid w:val="00AA7B10"/>
    <w:rsid w:val="00AA7E94"/>
    <w:rsid w:val="00AB007F"/>
    <w:rsid w:val="00AB0BA4"/>
    <w:rsid w:val="00AB0D3B"/>
    <w:rsid w:val="00AB0E4F"/>
    <w:rsid w:val="00AB1C3C"/>
    <w:rsid w:val="00AB2075"/>
    <w:rsid w:val="00AB21DB"/>
    <w:rsid w:val="00AB2706"/>
    <w:rsid w:val="00AB2E0D"/>
    <w:rsid w:val="00AB31C8"/>
    <w:rsid w:val="00AB325B"/>
    <w:rsid w:val="00AB48B1"/>
    <w:rsid w:val="00AB4A9D"/>
    <w:rsid w:val="00AB4C6D"/>
    <w:rsid w:val="00AB57E4"/>
    <w:rsid w:val="00AB58FF"/>
    <w:rsid w:val="00AB5A53"/>
    <w:rsid w:val="00AB6095"/>
    <w:rsid w:val="00AB6F8F"/>
    <w:rsid w:val="00AC0034"/>
    <w:rsid w:val="00AC02A4"/>
    <w:rsid w:val="00AC0B63"/>
    <w:rsid w:val="00AC0B80"/>
    <w:rsid w:val="00AC0D50"/>
    <w:rsid w:val="00AC12DF"/>
    <w:rsid w:val="00AC1587"/>
    <w:rsid w:val="00AC1B99"/>
    <w:rsid w:val="00AC1D12"/>
    <w:rsid w:val="00AC2319"/>
    <w:rsid w:val="00AC284F"/>
    <w:rsid w:val="00AC3142"/>
    <w:rsid w:val="00AC31CD"/>
    <w:rsid w:val="00AC33EC"/>
    <w:rsid w:val="00AC5CE7"/>
    <w:rsid w:val="00AC6002"/>
    <w:rsid w:val="00AC611C"/>
    <w:rsid w:val="00AC697D"/>
    <w:rsid w:val="00AC6D23"/>
    <w:rsid w:val="00AC717E"/>
    <w:rsid w:val="00AC71DE"/>
    <w:rsid w:val="00AD014B"/>
    <w:rsid w:val="00AD02A2"/>
    <w:rsid w:val="00AD0467"/>
    <w:rsid w:val="00AD0643"/>
    <w:rsid w:val="00AD08FC"/>
    <w:rsid w:val="00AD0932"/>
    <w:rsid w:val="00AD0A0C"/>
    <w:rsid w:val="00AD1CDC"/>
    <w:rsid w:val="00AD1E01"/>
    <w:rsid w:val="00AD2252"/>
    <w:rsid w:val="00AD278E"/>
    <w:rsid w:val="00AD2AD4"/>
    <w:rsid w:val="00AD2E03"/>
    <w:rsid w:val="00AD2E46"/>
    <w:rsid w:val="00AD35BD"/>
    <w:rsid w:val="00AD3B36"/>
    <w:rsid w:val="00AD3B41"/>
    <w:rsid w:val="00AD3C59"/>
    <w:rsid w:val="00AD3E02"/>
    <w:rsid w:val="00AD4CAA"/>
    <w:rsid w:val="00AD4EA6"/>
    <w:rsid w:val="00AD5162"/>
    <w:rsid w:val="00AD532B"/>
    <w:rsid w:val="00AD54BD"/>
    <w:rsid w:val="00AD615F"/>
    <w:rsid w:val="00AD616C"/>
    <w:rsid w:val="00AD68BE"/>
    <w:rsid w:val="00AD6ED9"/>
    <w:rsid w:val="00AD7919"/>
    <w:rsid w:val="00AE025F"/>
    <w:rsid w:val="00AE0322"/>
    <w:rsid w:val="00AE055C"/>
    <w:rsid w:val="00AE0815"/>
    <w:rsid w:val="00AE09F5"/>
    <w:rsid w:val="00AE102F"/>
    <w:rsid w:val="00AE1996"/>
    <w:rsid w:val="00AE1D2A"/>
    <w:rsid w:val="00AE3729"/>
    <w:rsid w:val="00AE37A2"/>
    <w:rsid w:val="00AE44CF"/>
    <w:rsid w:val="00AE4BE8"/>
    <w:rsid w:val="00AE5522"/>
    <w:rsid w:val="00AE5D0E"/>
    <w:rsid w:val="00AE60BC"/>
    <w:rsid w:val="00AE72EF"/>
    <w:rsid w:val="00AE73C5"/>
    <w:rsid w:val="00AE7EC5"/>
    <w:rsid w:val="00AF0F4C"/>
    <w:rsid w:val="00AF1078"/>
    <w:rsid w:val="00AF137E"/>
    <w:rsid w:val="00AF18CA"/>
    <w:rsid w:val="00AF20B0"/>
    <w:rsid w:val="00AF22D0"/>
    <w:rsid w:val="00AF2733"/>
    <w:rsid w:val="00AF2EF5"/>
    <w:rsid w:val="00AF310F"/>
    <w:rsid w:val="00AF394E"/>
    <w:rsid w:val="00AF3BBC"/>
    <w:rsid w:val="00AF3F12"/>
    <w:rsid w:val="00AF4494"/>
    <w:rsid w:val="00AF4B55"/>
    <w:rsid w:val="00AF4E0D"/>
    <w:rsid w:val="00AF4F54"/>
    <w:rsid w:val="00AF57C3"/>
    <w:rsid w:val="00AF5914"/>
    <w:rsid w:val="00AF6338"/>
    <w:rsid w:val="00AF6539"/>
    <w:rsid w:val="00AF6971"/>
    <w:rsid w:val="00AF6D0B"/>
    <w:rsid w:val="00AF701D"/>
    <w:rsid w:val="00AF70DE"/>
    <w:rsid w:val="00AF754E"/>
    <w:rsid w:val="00AF77DA"/>
    <w:rsid w:val="00AF79BB"/>
    <w:rsid w:val="00AF79FF"/>
    <w:rsid w:val="00B000C5"/>
    <w:rsid w:val="00B007A2"/>
    <w:rsid w:val="00B00F84"/>
    <w:rsid w:val="00B01508"/>
    <w:rsid w:val="00B02438"/>
    <w:rsid w:val="00B02544"/>
    <w:rsid w:val="00B02A96"/>
    <w:rsid w:val="00B02B96"/>
    <w:rsid w:val="00B02E20"/>
    <w:rsid w:val="00B036FC"/>
    <w:rsid w:val="00B03B9D"/>
    <w:rsid w:val="00B03D2D"/>
    <w:rsid w:val="00B03E3E"/>
    <w:rsid w:val="00B044E8"/>
    <w:rsid w:val="00B04B13"/>
    <w:rsid w:val="00B04B28"/>
    <w:rsid w:val="00B04C7C"/>
    <w:rsid w:val="00B04FCE"/>
    <w:rsid w:val="00B0542A"/>
    <w:rsid w:val="00B058DF"/>
    <w:rsid w:val="00B066BB"/>
    <w:rsid w:val="00B067FC"/>
    <w:rsid w:val="00B06951"/>
    <w:rsid w:val="00B06A71"/>
    <w:rsid w:val="00B074CB"/>
    <w:rsid w:val="00B0776B"/>
    <w:rsid w:val="00B10081"/>
    <w:rsid w:val="00B10479"/>
    <w:rsid w:val="00B106B6"/>
    <w:rsid w:val="00B10745"/>
    <w:rsid w:val="00B11B08"/>
    <w:rsid w:val="00B12212"/>
    <w:rsid w:val="00B12ECF"/>
    <w:rsid w:val="00B13370"/>
    <w:rsid w:val="00B1366C"/>
    <w:rsid w:val="00B13E11"/>
    <w:rsid w:val="00B13F6A"/>
    <w:rsid w:val="00B14893"/>
    <w:rsid w:val="00B14907"/>
    <w:rsid w:val="00B14CB2"/>
    <w:rsid w:val="00B14E33"/>
    <w:rsid w:val="00B15301"/>
    <w:rsid w:val="00B154BE"/>
    <w:rsid w:val="00B15AEE"/>
    <w:rsid w:val="00B162EE"/>
    <w:rsid w:val="00B16373"/>
    <w:rsid w:val="00B16D4D"/>
    <w:rsid w:val="00B178DD"/>
    <w:rsid w:val="00B179F7"/>
    <w:rsid w:val="00B17CE8"/>
    <w:rsid w:val="00B20537"/>
    <w:rsid w:val="00B21257"/>
    <w:rsid w:val="00B217FD"/>
    <w:rsid w:val="00B2220D"/>
    <w:rsid w:val="00B22A4C"/>
    <w:rsid w:val="00B24453"/>
    <w:rsid w:val="00B2532F"/>
    <w:rsid w:val="00B2592F"/>
    <w:rsid w:val="00B25F7D"/>
    <w:rsid w:val="00B262AC"/>
    <w:rsid w:val="00B26E09"/>
    <w:rsid w:val="00B26EB8"/>
    <w:rsid w:val="00B305E3"/>
    <w:rsid w:val="00B30654"/>
    <w:rsid w:val="00B30C6D"/>
    <w:rsid w:val="00B312F4"/>
    <w:rsid w:val="00B31BC4"/>
    <w:rsid w:val="00B31F4C"/>
    <w:rsid w:val="00B321BB"/>
    <w:rsid w:val="00B32600"/>
    <w:rsid w:val="00B3267F"/>
    <w:rsid w:val="00B32917"/>
    <w:rsid w:val="00B32B44"/>
    <w:rsid w:val="00B32E5D"/>
    <w:rsid w:val="00B330E3"/>
    <w:rsid w:val="00B33255"/>
    <w:rsid w:val="00B333DE"/>
    <w:rsid w:val="00B33835"/>
    <w:rsid w:val="00B33BFF"/>
    <w:rsid w:val="00B33E74"/>
    <w:rsid w:val="00B34532"/>
    <w:rsid w:val="00B3460C"/>
    <w:rsid w:val="00B349D0"/>
    <w:rsid w:val="00B34DDD"/>
    <w:rsid w:val="00B3500B"/>
    <w:rsid w:val="00B3636D"/>
    <w:rsid w:val="00B365BA"/>
    <w:rsid w:val="00B36621"/>
    <w:rsid w:val="00B36AB5"/>
    <w:rsid w:val="00B37675"/>
    <w:rsid w:val="00B408FC"/>
    <w:rsid w:val="00B40B5B"/>
    <w:rsid w:val="00B40DAB"/>
    <w:rsid w:val="00B40E6D"/>
    <w:rsid w:val="00B41048"/>
    <w:rsid w:val="00B4115D"/>
    <w:rsid w:val="00B415CA"/>
    <w:rsid w:val="00B41724"/>
    <w:rsid w:val="00B42279"/>
    <w:rsid w:val="00B423DC"/>
    <w:rsid w:val="00B4261D"/>
    <w:rsid w:val="00B42A29"/>
    <w:rsid w:val="00B42CE6"/>
    <w:rsid w:val="00B43123"/>
    <w:rsid w:val="00B43A75"/>
    <w:rsid w:val="00B43ABF"/>
    <w:rsid w:val="00B43F82"/>
    <w:rsid w:val="00B4516E"/>
    <w:rsid w:val="00B45893"/>
    <w:rsid w:val="00B45BCC"/>
    <w:rsid w:val="00B4621B"/>
    <w:rsid w:val="00B462C8"/>
    <w:rsid w:val="00B46541"/>
    <w:rsid w:val="00B46A75"/>
    <w:rsid w:val="00B46C4E"/>
    <w:rsid w:val="00B47478"/>
    <w:rsid w:val="00B47772"/>
    <w:rsid w:val="00B503F6"/>
    <w:rsid w:val="00B50BF8"/>
    <w:rsid w:val="00B51B72"/>
    <w:rsid w:val="00B51CAC"/>
    <w:rsid w:val="00B527E2"/>
    <w:rsid w:val="00B52A42"/>
    <w:rsid w:val="00B5345E"/>
    <w:rsid w:val="00B53BEE"/>
    <w:rsid w:val="00B53E67"/>
    <w:rsid w:val="00B540D8"/>
    <w:rsid w:val="00B54109"/>
    <w:rsid w:val="00B5415A"/>
    <w:rsid w:val="00B5459E"/>
    <w:rsid w:val="00B54E67"/>
    <w:rsid w:val="00B54F41"/>
    <w:rsid w:val="00B55E2C"/>
    <w:rsid w:val="00B5609E"/>
    <w:rsid w:val="00B56501"/>
    <w:rsid w:val="00B569C5"/>
    <w:rsid w:val="00B56B26"/>
    <w:rsid w:val="00B56DE9"/>
    <w:rsid w:val="00B574DD"/>
    <w:rsid w:val="00B5760B"/>
    <w:rsid w:val="00B60C7F"/>
    <w:rsid w:val="00B614E4"/>
    <w:rsid w:val="00B616BD"/>
    <w:rsid w:val="00B617A7"/>
    <w:rsid w:val="00B619B2"/>
    <w:rsid w:val="00B61E6C"/>
    <w:rsid w:val="00B62105"/>
    <w:rsid w:val="00B623B2"/>
    <w:rsid w:val="00B62E68"/>
    <w:rsid w:val="00B63885"/>
    <w:rsid w:val="00B638DB"/>
    <w:rsid w:val="00B63BAE"/>
    <w:rsid w:val="00B63D09"/>
    <w:rsid w:val="00B64ACC"/>
    <w:rsid w:val="00B64B2F"/>
    <w:rsid w:val="00B65345"/>
    <w:rsid w:val="00B65512"/>
    <w:rsid w:val="00B6557D"/>
    <w:rsid w:val="00B66B6B"/>
    <w:rsid w:val="00B66D48"/>
    <w:rsid w:val="00B66D7F"/>
    <w:rsid w:val="00B66F2A"/>
    <w:rsid w:val="00B67AAC"/>
    <w:rsid w:val="00B67BF6"/>
    <w:rsid w:val="00B67CE6"/>
    <w:rsid w:val="00B67E4B"/>
    <w:rsid w:val="00B701B7"/>
    <w:rsid w:val="00B70850"/>
    <w:rsid w:val="00B70E11"/>
    <w:rsid w:val="00B71A2D"/>
    <w:rsid w:val="00B71F6D"/>
    <w:rsid w:val="00B72174"/>
    <w:rsid w:val="00B72862"/>
    <w:rsid w:val="00B72A74"/>
    <w:rsid w:val="00B72B5C"/>
    <w:rsid w:val="00B73B76"/>
    <w:rsid w:val="00B74230"/>
    <w:rsid w:val="00B74460"/>
    <w:rsid w:val="00B74579"/>
    <w:rsid w:val="00B745A5"/>
    <w:rsid w:val="00B759CB"/>
    <w:rsid w:val="00B75D34"/>
    <w:rsid w:val="00B760C6"/>
    <w:rsid w:val="00B761F0"/>
    <w:rsid w:val="00B7696D"/>
    <w:rsid w:val="00B77694"/>
    <w:rsid w:val="00B77B9B"/>
    <w:rsid w:val="00B800A8"/>
    <w:rsid w:val="00B800AC"/>
    <w:rsid w:val="00B80252"/>
    <w:rsid w:val="00B8091C"/>
    <w:rsid w:val="00B80C70"/>
    <w:rsid w:val="00B81CAF"/>
    <w:rsid w:val="00B82A1D"/>
    <w:rsid w:val="00B82A4D"/>
    <w:rsid w:val="00B852E5"/>
    <w:rsid w:val="00B854CA"/>
    <w:rsid w:val="00B8690A"/>
    <w:rsid w:val="00B86FB6"/>
    <w:rsid w:val="00B872CC"/>
    <w:rsid w:val="00B87937"/>
    <w:rsid w:val="00B87989"/>
    <w:rsid w:val="00B87E95"/>
    <w:rsid w:val="00B90173"/>
    <w:rsid w:val="00B9029F"/>
    <w:rsid w:val="00B90500"/>
    <w:rsid w:val="00B905EB"/>
    <w:rsid w:val="00B90AD4"/>
    <w:rsid w:val="00B90C47"/>
    <w:rsid w:val="00B91762"/>
    <w:rsid w:val="00B92556"/>
    <w:rsid w:val="00B9297A"/>
    <w:rsid w:val="00B93079"/>
    <w:rsid w:val="00B93341"/>
    <w:rsid w:val="00B93510"/>
    <w:rsid w:val="00B94DFF"/>
    <w:rsid w:val="00B94E4F"/>
    <w:rsid w:val="00B95A54"/>
    <w:rsid w:val="00B95C76"/>
    <w:rsid w:val="00B9607F"/>
    <w:rsid w:val="00B96676"/>
    <w:rsid w:val="00B96AF9"/>
    <w:rsid w:val="00B96DEE"/>
    <w:rsid w:val="00B973AF"/>
    <w:rsid w:val="00B975BB"/>
    <w:rsid w:val="00B978AA"/>
    <w:rsid w:val="00BA07D5"/>
    <w:rsid w:val="00BA0B6A"/>
    <w:rsid w:val="00BA0F5E"/>
    <w:rsid w:val="00BA15B1"/>
    <w:rsid w:val="00BA1718"/>
    <w:rsid w:val="00BA1793"/>
    <w:rsid w:val="00BA1B5D"/>
    <w:rsid w:val="00BA2F13"/>
    <w:rsid w:val="00BA49AB"/>
    <w:rsid w:val="00BA5289"/>
    <w:rsid w:val="00BA63E8"/>
    <w:rsid w:val="00BA6A31"/>
    <w:rsid w:val="00BA6B07"/>
    <w:rsid w:val="00BA7878"/>
    <w:rsid w:val="00BB0664"/>
    <w:rsid w:val="00BB08F5"/>
    <w:rsid w:val="00BB0AC1"/>
    <w:rsid w:val="00BB0C64"/>
    <w:rsid w:val="00BB0C70"/>
    <w:rsid w:val="00BB123D"/>
    <w:rsid w:val="00BB15A1"/>
    <w:rsid w:val="00BB18E7"/>
    <w:rsid w:val="00BB2BE9"/>
    <w:rsid w:val="00BB303A"/>
    <w:rsid w:val="00BB341F"/>
    <w:rsid w:val="00BB39CD"/>
    <w:rsid w:val="00BB3D0C"/>
    <w:rsid w:val="00BB4D44"/>
    <w:rsid w:val="00BB4E39"/>
    <w:rsid w:val="00BB5626"/>
    <w:rsid w:val="00BB5F43"/>
    <w:rsid w:val="00BB6D1C"/>
    <w:rsid w:val="00BB75F6"/>
    <w:rsid w:val="00BB7D4F"/>
    <w:rsid w:val="00BC01AA"/>
    <w:rsid w:val="00BC04C0"/>
    <w:rsid w:val="00BC06B9"/>
    <w:rsid w:val="00BC0BA4"/>
    <w:rsid w:val="00BC1038"/>
    <w:rsid w:val="00BC18F1"/>
    <w:rsid w:val="00BC1E8E"/>
    <w:rsid w:val="00BC2A05"/>
    <w:rsid w:val="00BC2A16"/>
    <w:rsid w:val="00BC3439"/>
    <w:rsid w:val="00BC3753"/>
    <w:rsid w:val="00BC39D2"/>
    <w:rsid w:val="00BC3A3C"/>
    <w:rsid w:val="00BC3A40"/>
    <w:rsid w:val="00BC42C9"/>
    <w:rsid w:val="00BC4748"/>
    <w:rsid w:val="00BC4A67"/>
    <w:rsid w:val="00BC4BE7"/>
    <w:rsid w:val="00BC4FC4"/>
    <w:rsid w:val="00BC5672"/>
    <w:rsid w:val="00BC5864"/>
    <w:rsid w:val="00BC5D75"/>
    <w:rsid w:val="00BC6965"/>
    <w:rsid w:val="00BC69C6"/>
    <w:rsid w:val="00BC6B18"/>
    <w:rsid w:val="00BC77FD"/>
    <w:rsid w:val="00BC7985"/>
    <w:rsid w:val="00BC7F74"/>
    <w:rsid w:val="00BD0A71"/>
    <w:rsid w:val="00BD0B05"/>
    <w:rsid w:val="00BD0BC2"/>
    <w:rsid w:val="00BD10B8"/>
    <w:rsid w:val="00BD1C56"/>
    <w:rsid w:val="00BD2104"/>
    <w:rsid w:val="00BD29F5"/>
    <w:rsid w:val="00BD2CB8"/>
    <w:rsid w:val="00BD2FB2"/>
    <w:rsid w:val="00BD3A05"/>
    <w:rsid w:val="00BD491D"/>
    <w:rsid w:val="00BD4C21"/>
    <w:rsid w:val="00BD4C26"/>
    <w:rsid w:val="00BD52D9"/>
    <w:rsid w:val="00BD598E"/>
    <w:rsid w:val="00BD5AF4"/>
    <w:rsid w:val="00BD5DF0"/>
    <w:rsid w:val="00BD67A6"/>
    <w:rsid w:val="00BD6CC1"/>
    <w:rsid w:val="00BE070C"/>
    <w:rsid w:val="00BE09F4"/>
    <w:rsid w:val="00BE0ECE"/>
    <w:rsid w:val="00BE1223"/>
    <w:rsid w:val="00BE13F8"/>
    <w:rsid w:val="00BE155D"/>
    <w:rsid w:val="00BE1C5D"/>
    <w:rsid w:val="00BE1D6C"/>
    <w:rsid w:val="00BE2669"/>
    <w:rsid w:val="00BE2D4E"/>
    <w:rsid w:val="00BE2E9A"/>
    <w:rsid w:val="00BE31B2"/>
    <w:rsid w:val="00BE443D"/>
    <w:rsid w:val="00BE468E"/>
    <w:rsid w:val="00BE4C74"/>
    <w:rsid w:val="00BE51DF"/>
    <w:rsid w:val="00BE54AE"/>
    <w:rsid w:val="00BE5CCA"/>
    <w:rsid w:val="00BE5DBD"/>
    <w:rsid w:val="00BE619A"/>
    <w:rsid w:val="00BE6F5D"/>
    <w:rsid w:val="00BE70D8"/>
    <w:rsid w:val="00BF030D"/>
    <w:rsid w:val="00BF0979"/>
    <w:rsid w:val="00BF0985"/>
    <w:rsid w:val="00BF122B"/>
    <w:rsid w:val="00BF16A3"/>
    <w:rsid w:val="00BF2C99"/>
    <w:rsid w:val="00BF2D68"/>
    <w:rsid w:val="00BF30B3"/>
    <w:rsid w:val="00BF3EC8"/>
    <w:rsid w:val="00BF410D"/>
    <w:rsid w:val="00BF4383"/>
    <w:rsid w:val="00BF4596"/>
    <w:rsid w:val="00BF5EEC"/>
    <w:rsid w:val="00BF62B9"/>
    <w:rsid w:val="00BF72BE"/>
    <w:rsid w:val="00BF74DB"/>
    <w:rsid w:val="00BF7FD2"/>
    <w:rsid w:val="00C007F5"/>
    <w:rsid w:val="00C0280A"/>
    <w:rsid w:val="00C0283D"/>
    <w:rsid w:val="00C03036"/>
    <w:rsid w:val="00C0304E"/>
    <w:rsid w:val="00C032FD"/>
    <w:rsid w:val="00C038BD"/>
    <w:rsid w:val="00C03B9C"/>
    <w:rsid w:val="00C03C6E"/>
    <w:rsid w:val="00C03DC8"/>
    <w:rsid w:val="00C044C3"/>
    <w:rsid w:val="00C04D06"/>
    <w:rsid w:val="00C05A2F"/>
    <w:rsid w:val="00C05BD1"/>
    <w:rsid w:val="00C060D3"/>
    <w:rsid w:val="00C06977"/>
    <w:rsid w:val="00C06CE8"/>
    <w:rsid w:val="00C07E68"/>
    <w:rsid w:val="00C10B77"/>
    <w:rsid w:val="00C1147F"/>
    <w:rsid w:val="00C128FB"/>
    <w:rsid w:val="00C1338E"/>
    <w:rsid w:val="00C136CA"/>
    <w:rsid w:val="00C13A57"/>
    <w:rsid w:val="00C13CDD"/>
    <w:rsid w:val="00C14154"/>
    <w:rsid w:val="00C14218"/>
    <w:rsid w:val="00C14B68"/>
    <w:rsid w:val="00C154AE"/>
    <w:rsid w:val="00C1608C"/>
    <w:rsid w:val="00C17501"/>
    <w:rsid w:val="00C17E4E"/>
    <w:rsid w:val="00C17FE2"/>
    <w:rsid w:val="00C20493"/>
    <w:rsid w:val="00C20728"/>
    <w:rsid w:val="00C20B62"/>
    <w:rsid w:val="00C20F5D"/>
    <w:rsid w:val="00C2177E"/>
    <w:rsid w:val="00C21A55"/>
    <w:rsid w:val="00C225E0"/>
    <w:rsid w:val="00C2266C"/>
    <w:rsid w:val="00C234F1"/>
    <w:rsid w:val="00C23BCA"/>
    <w:rsid w:val="00C2400F"/>
    <w:rsid w:val="00C242B0"/>
    <w:rsid w:val="00C248F0"/>
    <w:rsid w:val="00C2550B"/>
    <w:rsid w:val="00C261D6"/>
    <w:rsid w:val="00C26590"/>
    <w:rsid w:val="00C26631"/>
    <w:rsid w:val="00C26994"/>
    <w:rsid w:val="00C2758A"/>
    <w:rsid w:val="00C2784B"/>
    <w:rsid w:val="00C27A4E"/>
    <w:rsid w:val="00C308B7"/>
    <w:rsid w:val="00C30D56"/>
    <w:rsid w:val="00C311B5"/>
    <w:rsid w:val="00C326F0"/>
    <w:rsid w:val="00C327A8"/>
    <w:rsid w:val="00C32AC1"/>
    <w:rsid w:val="00C32AF1"/>
    <w:rsid w:val="00C32AF8"/>
    <w:rsid w:val="00C32C87"/>
    <w:rsid w:val="00C32CB3"/>
    <w:rsid w:val="00C3311E"/>
    <w:rsid w:val="00C3409F"/>
    <w:rsid w:val="00C34CF6"/>
    <w:rsid w:val="00C3504B"/>
    <w:rsid w:val="00C35AE5"/>
    <w:rsid w:val="00C35EA7"/>
    <w:rsid w:val="00C364C7"/>
    <w:rsid w:val="00C366B4"/>
    <w:rsid w:val="00C37ADC"/>
    <w:rsid w:val="00C400FC"/>
    <w:rsid w:val="00C401BA"/>
    <w:rsid w:val="00C4043D"/>
    <w:rsid w:val="00C409FA"/>
    <w:rsid w:val="00C40A23"/>
    <w:rsid w:val="00C415A0"/>
    <w:rsid w:val="00C422CB"/>
    <w:rsid w:val="00C424F5"/>
    <w:rsid w:val="00C4269E"/>
    <w:rsid w:val="00C42871"/>
    <w:rsid w:val="00C42A20"/>
    <w:rsid w:val="00C43152"/>
    <w:rsid w:val="00C43366"/>
    <w:rsid w:val="00C433AF"/>
    <w:rsid w:val="00C4394D"/>
    <w:rsid w:val="00C43FA4"/>
    <w:rsid w:val="00C443AF"/>
    <w:rsid w:val="00C44655"/>
    <w:rsid w:val="00C4523B"/>
    <w:rsid w:val="00C4556D"/>
    <w:rsid w:val="00C458DA"/>
    <w:rsid w:val="00C46704"/>
    <w:rsid w:val="00C46E9F"/>
    <w:rsid w:val="00C4726E"/>
    <w:rsid w:val="00C475C9"/>
    <w:rsid w:val="00C47D75"/>
    <w:rsid w:val="00C50211"/>
    <w:rsid w:val="00C52222"/>
    <w:rsid w:val="00C52380"/>
    <w:rsid w:val="00C5270E"/>
    <w:rsid w:val="00C5341D"/>
    <w:rsid w:val="00C5351C"/>
    <w:rsid w:val="00C538BC"/>
    <w:rsid w:val="00C53942"/>
    <w:rsid w:val="00C53CD1"/>
    <w:rsid w:val="00C540F0"/>
    <w:rsid w:val="00C541C5"/>
    <w:rsid w:val="00C54E5C"/>
    <w:rsid w:val="00C54F4E"/>
    <w:rsid w:val="00C550CE"/>
    <w:rsid w:val="00C56469"/>
    <w:rsid w:val="00C56E35"/>
    <w:rsid w:val="00C57243"/>
    <w:rsid w:val="00C5746B"/>
    <w:rsid w:val="00C60231"/>
    <w:rsid w:val="00C60B57"/>
    <w:rsid w:val="00C60D9C"/>
    <w:rsid w:val="00C60F9A"/>
    <w:rsid w:val="00C61185"/>
    <w:rsid w:val="00C61227"/>
    <w:rsid w:val="00C6178D"/>
    <w:rsid w:val="00C6269C"/>
    <w:rsid w:val="00C62C7C"/>
    <w:rsid w:val="00C62F16"/>
    <w:rsid w:val="00C6340C"/>
    <w:rsid w:val="00C63618"/>
    <w:rsid w:val="00C63978"/>
    <w:rsid w:val="00C63DF9"/>
    <w:rsid w:val="00C64146"/>
    <w:rsid w:val="00C642C1"/>
    <w:rsid w:val="00C646D1"/>
    <w:rsid w:val="00C64E79"/>
    <w:rsid w:val="00C663A7"/>
    <w:rsid w:val="00C66795"/>
    <w:rsid w:val="00C66B7F"/>
    <w:rsid w:val="00C66D11"/>
    <w:rsid w:val="00C675A1"/>
    <w:rsid w:val="00C70C4D"/>
    <w:rsid w:val="00C710B6"/>
    <w:rsid w:val="00C71291"/>
    <w:rsid w:val="00C71D0D"/>
    <w:rsid w:val="00C724C2"/>
    <w:rsid w:val="00C727E2"/>
    <w:rsid w:val="00C72868"/>
    <w:rsid w:val="00C73F05"/>
    <w:rsid w:val="00C73FD4"/>
    <w:rsid w:val="00C74237"/>
    <w:rsid w:val="00C745F9"/>
    <w:rsid w:val="00C747FB"/>
    <w:rsid w:val="00C748A8"/>
    <w:rsid w:val="00C74F44"/>
    <w:rsid w:val="00C75A4A"/>
    <w:rsid w:val="00C75A69"/>
    <w:rsid w:val="00C761B1"/>
    <w:rsid w:val="00C77188"/>
    <w:rsid w:val="00C801CA"/>
    <w:rsid w:val="00C80DE4"/>
    <w:rsid w:val="00C81037"/>
    <w:rsid w:val="00C8200E"/>
    <w:rsid w:val="00C82DC7"/>
    <w:rsid w:val="00C839F1"/>
    <w:rsid w:val="00C83BC6"/>
    <w:rsid w:val="00C83BC7"/>
    <w:rsid w:val="00C83C71"/>
    <w:rsid w:val="00C8446F"/>
    <w:rsid w:val="00C844E9"/>
    <w:rsid w:val="00C845E7"/>
    <w:rsid w:val="00C848A4"/>
    <w:rsid w:val="00C84A9F"/>
    <w:rsid w:val="00C84D39"/>
    <w:rsid w:val="00C85A93"/>
    <w:rsid w:val="00C85CF8"/>
    <w:rsid w:val="00C8605C"/>
    <w:rsid w:val="00C8613F"/>
    <w:rsid w:val="00C8633C"/>
    <w:rsid w:val="00C8696F"/>
    <w:rsid w:val="00C86C06"/>
    <w:rsid w:val="00C86C44"/>
    <w:rsid w:val="00C87128"/>
    <w:rsid w:val="00C90431"/>
    <w:rsid w:val="00C90984"/>
    <w:rsid w:val="00C90C45"/>
    <w:rsid w:val="00C90FDA"/>
    <w:rsid w:val="00C9168A"/>
    <w:rsid w:val="00C916AD"/>
    <w:rsid w:val="00C92F40"/>
    <w:rsid w:val="00C945F8"/>
    <w:rsid w:val="00C95472"/>
    <w:rsid w:val="00C95D93"/>
    <w:rsid w:val="00C96FEC"/>
    <w:rsid w:val="00C97784"/>
    <w:rsid w:val="00C979B3"/>
    <w:rsid w:val="00C97CAD"/>
    <w:rsid w:val="00CA00C9"/>
    <w:rsid w:val="00CA012A"/>
    <w:rsid w:val="00CA0601"/>
    <w:rsid w:val="00CA0D80"/>
    <w:rsid w:val="00CA12DE"/>
    <w:rsid w:val="00CA18A2"/>
    <w:rsid w:val="00CA2027"/>
    <w:rsid w:val="00CA22BB"/>
    <w:rsid w:val="00CA2FF6"/>
    <w:rsid w:val="00CA31A6"/>
    <w:rsid w:val="00CA3A65"/>
    <w:rsid w:val="00CA3B22"/>
    <w:rsid w:val="00CA4226"/>
    <w:rsid w:val="00CA4890"/>
    <w:rsid w:val="00CA4998"/>
    <w:rsid w:val="00CA4D9F"/>
    <w:rsid w:val="00CA4EFB"/>
    <w:rsid w:val="00CA5444"/>
    <w:rsid w:val="00CA57C0"/>
    <w:rsid w:val="00CA586F"/>
    <w:rsid w:val="00CA6823"/>
    <w:rsid w:val="00CA6D55"/>
    <w:rsid w:val="00CB00AF"/>
    <w:rsid w:val="00CB049B"/>
    <w:rsid w:val="00CB06CE"/>
    <w:rsid w:val="00CB109A"/>
    <w:rsid w:val="00CB1106"/>
    <w:rsid w:val="00CB1B4A"/>
    <w:rsid w:val="00CB1D2C"/>
    <w:rsid w:val="00CB2237"/>
    <w:rsid w:val="00CB24CF"/>
    <w:rsid w:val="00CB297D"/>
    <w:rsid w:val="00CB2A14"/>
    <w:rsid w:val="00CB2E8C"/>
    <w:rsid w:val="00CB37CB"/>
    <w:rsid w:val="00CB3C18"/>
    <w:rsid w:val="00CB3F42"/>
    <w:rsid w:val="00CB5A37"/>
    <w:rsid w:val="00CB5FA1"/>
    <w:rsid w:val="00CB5FD4"/>
    <w:rsid w:val="00CB641B"/>
    <w:rsid w:val="00CC01DB"/>
    <w:rsid w:val="00CC039A"/>
    <w:rsid w:val="00CC057A"/>
    <w:rsid w:val="00CC0BE5"/>
    <w:rsid w:val="00CC0DA5"/>
    <w:rsid w:val="00CC1216"/>
    <w:rsid w:val="00CC1C43"/>
    <w:rsid w:val="00CC2891"/>
    <w:rsid w:val="00CC34DF"/>
    <w:rsid w:val="00CC3BBE"/>
    <w:rsid w:val="00CC4514"/>
    <w:rsid w:val="00CC4C2C"/>
    <w:rsid w:val="00CC5C3A"/>
    <w:rsid w:val="00CC5E79"/>
    <w:rsid w:val="00CC68DA"/>
    <w:rsid w:val="00CC74A9"/>
    <w:rsid w:val="00CC75F7"/>
    <w:rsid w:val="00CC77EE"/>
    <w:rsid w:val="00CC7CF0"/>
    <w:rsid w:val="00CC7DD0"/>
    <w:rsid w:val="00CC7FE6"/>
    <w:rsid w:val="00CD00B5"/>
    <w:rsid w:val="00CD04D0"/>
    <w:rsid w:val="00CD0710"/>
    <w:rsid w:val="00CD123E"/>
    <w:rsid w:val="00CD12F5"/>
    <w:rsid w:val="00CD16A4"/>
    <w:rsid w:val="00CD17D4"/>
    <w:rsid w:val="00CD17DF"/>
    <w:rsid w:val="00CD1EC9"/>
    <w:rsid w:val="00CD2020"/>
    <w:rsid w:val="00CD21FC"/>
    <w:rsid w:val="00CD27EE"/>
    <w:rsid w:val="00CD2825"/>
    <w:rsid w:val="00CD2F32"/>
    <w:rsid w:val="00CD2F9F"/>
    <w:rsid w:val="00CD34C2"/>
    <w:rsid w:val="00CD38C1"/>
    <w:rsid w:val="00CD3D4D"/>
    <w:rsid w:val="00CD4B71"/>
    <w:rsid w:val="00CD517E"/>
    <w:rsid w:val="00CD58A3"/>
    <w:rsid w:val="00CD5A2D"/>
    <w:rsid w:val="00CD5AAC"/>
    <w:rsid w:val="00CD5BA5"/>
    <w:rsid w:val="00CD5C15"/>
    <w:rsid w:val="00CD5C4F"/>
    <w:rsid w:val="00CD5E19"/>
    <w:rsid w:val="00CD5E96"/>
    <w:rsid w:val="00CD6163"/>
    <w:rsid w:val="00CD6789"/>
    <w:rsid w:val="00CD6DEE"/>
    <w:rsid w:val="00CD6EA5"/>
    <w:rsid w:val="00CD6EF4"/>
    <w:rsid w:val="00CD6FDC"/>
    <w:rsid w:val="00CD7743"/>
    <w:rsid w:val="00CD797F"/>
    <w:rsid w:val="00CE000F"/>
    <w:rsid w:val="00CE0735"/>
    <w:rsid w:val="00CE0BBB"/>
    <w:rsid w:val="00CE0BE0"/>
    <w:rsid w:val="00CE0CE1"/>
    <w:rsid w:val="00CE0F83"/>
    <w:rsid w:val="00CE14FD"/>
    <w:rsid w:val="00CE1A13"/>
    <w:rsid w:val="00CE30F7"/>
    <w:rsid w:val="00CE3299"/>
    <w:rsid w:val="00CE32E5"/>
    <w:rsid w:val="00CE39EA"/>
    <w:rsid w:val="00CE3FC0"/>
    <w:rsid w:val="00CE440D"/>
    <w:rsid w:val="00CE4520"/>
    <w:rsid w:val="00CE4E39"/>
    <w:rsid w:val="00CE5711"/>
    <w:rsid w:val="00CE5E7E"/>
    <w:rsid w:val="00CE62A4"/>
    <w:rsid w:val="00CE6C29"/>
    <w:rsid w:val="00CF127E"/>
    <w:rsid w:val="00CF129C"/>
    <w:rsid w:val="00CF183F"/>
    <w:rsid w:val="00CF1E44"/>
    <w:rsid w:val="00CF2BCE"/>
    <w:rsid w:val="00CF2FB4"/>
    <w:rsid w:val="00CF3144"/>
    <w:rsid w:val="00CF3274"/>
    <w:rsid w:val="00CF3DC6"/>
    <w:rsid w:val="00CF4508"/>
    <w:rsid w:val="00CF4DB0"/>
    <w:rsid w:val="00CF4E97"/>
    <w:rsid w:val="00CF572C"/>
    <w:rsid w:val="00CF6390"/>
    <w:rsid w:val="00CF7841"/>
    <w:rsid w:val="00D00532"/>
    <w:rsid w:val="00D00A48"/>
    <w:rsid w:val="00D00B33"/>
    <w:rsid w:val="00D02520"/>
    <w:rsid w:val="00D03641"/>
    <w:rsid w:val="00D03A71"/>
    <w:rsid w:val="00D03F1D"/>
    <w:rsid w:val="00D044B1"/>
    <w:rsid w:val="00D046B6"/>
    <w:rsid w:val="00D0572D"/>
    <w:rsid w:val="00D06192"/>
    <w:rsid w:val="00D06196"/>
    <w:rsid w:val="00D06482"/>
    <w:rsid w:val="00D0662B"/>
    <w:rsid w:val="00D06B8B"/>
    <w:rsid w:val="00D06C79"/>
    <w:rsid w:val="00D06FAC"/>
    <w:rsid w:val="00D076F6"/>
    <w:rsid w:val="00D078C9"/>
    <w:rsid w:val="00D07993"/>
    <w:rsid w:val="00D07A9D"/>
    <w:rsid w:val="00D07F9E"/>
    <w:rsid w:val="00D1034F"/>
    <w:rsid w:val="00D10AA6"/>
    <w:rsid w:val="00D10E01"/>
    <w:rsid w:val="00D12E1A"/>
    <w:rsid w:val="00D14425"/>
    <w:rsid w:val="00D14959"/>
    <w:rsid w:val="00D150C8"/>
    <w:rsid w:val="00D15144"/>
    <w:rsid w:val="00D1545B"/>
    <w:rsid w:val="00D1550D"/>
    <w:rsid w:val="00D15786"/>
    <w:rsid w:val="00D1580A"/>
    <w:rsid w:val="00D15998"/>
    <w:rsid w:val="00D159F8"/>
    <w:rsid w:val="00D15ABD"/>
    <w:rsid w:val="00D15C5A"/>
    <w:rsid w:val="00D16883"/>
    <w:rsid w:val="00D16C6C"/>
    <w:rsid w:val="00D17949"/>
    <w:rsid w:val="00D20070"/>
    <w:rsid w:val="00D20424"/>
    <w:rsid w:val="00D204BB"/>
    <w:rsid w:val="00D20CBC"/>
    <w:rsid w:val="00D22092"/>
    <w:rsid w:val="00D229F4"/>
    <w:rsid w:val="00D22D77"/>
    <w:rsid w:val="00D2305F"/>
    <w:rsid w:val="00D23A4D"/>
    <w:rsid w:val="00D24C52"/>
    <w:rsid w:val="00D263A7"/>
    <w:rsid w:val="00D26699"/>
    <w:rsid w:val="00D26A2F"/>
    <w:rsid w:val="00D26D54"/>
    <w:rsid w:val="00D278AB"/>
    <w:rsid w:val="00D27C6F"/>
    <w:rsid w:val="00D30013"/>
    <w:rsid w:val="00D303B5"/>
    <w:rsid w:val="00D3072F"/>
    <w:rsid w:val="00D30B0B"/>
    <w:rsid w:val="00D31AD2"/>
    <w:rsid w:val="00D320A3"/>
    <w:rsid w:val="00D323C3"/>
    <w:rsid w:val="00D32C3B"/>
    <w:rsid w:val="00D32D84"/>
    <w:rsid w:val="00D32EE2"/>
    <w:rsid w:val="00D3404B"/>
    <w:rsid w:val="00D3418B"/>
    <w:rsid w:val="00D347F1"/>
    <w:rsid w:val="00D34AB4"/>
    <w:rsid w:val="00D355C3"/>
    <w:rsid w:val="00D35F65"/>
    <w:rsid w:val="00D367B6"/>
    <w:rsid w:val="00D368FA"/>
    <w:rsid w:val="00D36FA9"/>
    <w:rsid w:val="00D378ED"/>
    <w:rsid w:val="00D40395"/>
    <w:rsid w:val="00D40D4A"/>
    <w:rsid w:val="00D415B0"/>
    <w:rsid w:val="00D41904"/>
    <w:rsid w:val="00D42F9E"/>
    <w:rsid w:val="00D4331C"/>
    <w:rsid w:val="00D4334F"/>
    <w:rsid w:val="00D437FD"/>
    <w:rsid w:val="00D44111"/>
    <w:rsid w:val="00D44F66"/>
    <w:rsid w:val="00D4506B"/>
    <w:rsid w:val="00D454AD"/>
    <w:rsid w:val="00D45FD9"/>
    <w:rsid w:val="00D500B4"/>
    <w:rsid w:val="00D5034C"/>
    <w:rsid w:val="00D5045B"/>
    <w:rsid w:val="00D51AAF"/>
    <w:rsid w:val="00D51B07"/>
    <w:rsid w:val="00D52691"/>
    <w:rsid w:val="00D5333F"/>
    <w:rsid w:val="00D53824"/>
    <w:rsid w:val="00D53B42"/>
    <w:rsid w:val="00D5516C"/>
    <w:rsid w:val="00D55D3B"/>
    <w:rsid w:val="00D56758"/>
    <w:rsid w:val="00D57311"/>
    <w:rsid w:val="00D5759F"/>
    <w:rsid w:val="00D6057F"/>
    <w:rsid w:val="00D60E85"/>
    <w:rsid w:val="00D6177B"/>
    <w:rsid w:val="00D631A1"/>
    <w:rsid w:val="00D63D88"/>
    <w:rsid w:val="00D641B3"/>
    <w:rsid w:val="00D647E2"/>
    <w:rsid w:val="00D649ED"/>
    <w:rsid w:val="00D64E06"/>
    <w:rsid w:val="00D64EBE"/>
    <w:rsid w:val="00D65079"/>
    <w:rsid w:val="00D650C1"/>
    <w:rsid w:val="00D654D6"/>
    <w:rsid w:val="00D654E1"/>
    <w:rsid w:val="00D657C7"/>
    <w:rsid w:val="00D669FC"/>
    <w:rsid w:val="00D67031"/>
    <w:rsid w:val="00D67F2B"/>
    <w:rsid w:val="00D700EB"/>
    <w:rsid w:val="00D706E3"/>
    <w:rsid w:val="00D70CB9"/>
    <w:rsid w:val="00D70DDF"/>
    <w:rsid w:val="00D7251D"/>
    <w:rsid w:val="00D7260D"/>
    <w:rsid w:val="00D72618"/>
    <w:rsid w:val="00D72731"/>
    <w:rsid w:val="00D728FA"/>
    <w:rsid w:val="00D72C3B"/>
    <w:rsid w:val="00D730ED"/>
    <w:rsid w:val="00D73615"/>
    <w:rsid w:val="00D73B9A"/>
    <w:rsid w:val="00D73C90"/>
    <w:rsid w:val="00D7401F"/>
    <w:rsid w:val="00D75326"/>
    <w:rsid w:val="00D75E0B"/>
    <w:rsid w:val="00D76654"/>
    <w:rsid w:val="00D767D7"/>
    <w:rsid w:val="00D76A68"/>
    <w:rsid w:val="00D76C55"/>
    <w:rsid w:val="00D77343"/>
    <w:rsid w:val="00D77403"/>
    <w:rsid w:val="00D77671"/>
    <w:rsid w:val="00D77A23"/>
    <w:rsid w:val="00D77E1D"/>
    <w:rsid w:val="00D80A08"/>
    <w:rsid w:val="00D814BD"/>
    <w:rsid w:val="00D815DE"/>
    <w:rsid w:val="00D81D55"/>
    <w:rsid w:val="00D81E97"/>
    <w:rsid w:val="00D81F29"/>
    <w:rsid w:val="00D824FA"/>
    <w:rsid w:val="00D82962"/>
    <w:rsid w:val="00D82B35"/>
    <w:rsid w:val="00D82C69"/>
    <w:rsid w:val="00D82ED8"/>
    <w:rsid w:val="00D8327F"/>
    <w:rsid w:val="00D83327"/>
    <w:rsid w:val="00D83BCA"/>
    <w:rsid w:val="00D8401B"/>
    <w:rsid w:val="00D8460A"/>
    <w:rsid w:val="00D853CD"/>
    <w:rsid w:val="00D85A26"/>
    <w:rsid w:val="00D85C53"/>
    <w:rsid w:val="00D86A26"/>
    <w:rsid w:val="00D86A57"/>
    <w:rsid w:val="00D86FD7"/>
    <w:rsid w:val="00D87308"/>
    <w:rsid w:val="00D87ACB"/>
    <w:rsid w:val="00D87C3C"/>
    <w:rsid w:val="00D90162"/>
    <w:rsid w:val="00D90177"/>
    <w:rsid w:val="00D908ED"/>
    <w:rsid w:val="00D91375"/>
    <w:rsid w:val="00D92540"/>
    <w:rsid w:val="00D92C46"/>
    <w:rsid w:val="00D93223"/>
    <w:rsid w:val="00D933E4"/>
    <w:rsid w:val="00D9354E"/>
    <w:rsid w:val="00D9496E"/>
    <w:rsid w:val="00D94EE1"/>
    <w:rsid w:val="00D9510C"/>
    <w:rsid w:val="00D9518D"/>
    <w:rsid w:val="00D95761"/>
    <w:rsid w:val="00D95FCC"/>
    <w:rsid w:val="00D96CE9"/>
    <w:rsid w:val="00D97128"/>
    <w:rsid w:val="00D97254"/>
    <w:rsid w:val="00D97273"/>
    <w:rsid w:val="00D97275"/>
    <w:rsid w:val="00D973C9"/>
    <w:rsid w:val="00DA047C"/>
    <w:rsid w:val="00DA0E88"/>
    <w:rsid w:val="00DA0ED0"/>
    <w:rsid w:val="00DA14AC"/>
    <w:rsid w:val="00DA1714"/>
    <w:rsid w:val="00DA1DAE"/>
    <w:rsid w:val="00DA21B6"/>
    <w:rsid w:val="00DA278C"/>
    <w:rsid w:val="00DA295E"/>
    <w:rsid w:val="00DA3172"/>
    <w:rsid w:val="00DA35E0"/>
    <w:rsid w:val="00DA3AAA"/>
    <w:rsid w:val="00DA3DD6"/>
    <w:rsid w:val="00DA455B"/>
    <w:rsid w:val="00DA47D8"/>
    <w:rsid w:val="00DA4804"/>
    <w:rsid w:val="00DA4C2A"/>
    <w:rsid w:val="00DA5A79"/>
    <w:rsid w:val="00DA623E"/>
    <w:rsid w:val="00DA7281"/>
    <w:rsid w:val="00DA73DF"/>
    <w:rsid w:val="00DB0B73"/>
    <w:rsid w:val="00DB0BC1"/>
    <w:rsid w:val="00DB0CFD"/>
    <w:rsid w:val="00DB0D3B"/>
    <w:rsid w:val="00DB0D85"/>
    <w:rsid w:val="00DB134D"/>
    <w:rsid w:val="00DB17A8"/>
    <w:rsid w:val="00DB184A"/>
    <w:rsid w:val="00DB1CBC"/>
    <w:rsid w:val="00DB20C8"/>
    <w:rsid w:val="00DB2535"/>
    <w:rsid w:val="00DB29EA"/>
    <w:rsid w:val="00DB2DCE"/>
    <w:rsid w:val="00DB2DE2"/>
    <w:rsid w:val="00DB3100"/>
    <w:rsid w:val="00DB3707"/>
    <w:rsid w:val="00DB3FEF"/>
    <w:rsid w:val="00DB4803"/>
    <w:rsid w:val="00DB5DB9"/>
    <w:rsid w:val="00DB5E0E"/>
    <w:rsid w:val="00DB6206"/>
    <w:rsid w:val="00DB626C"/>
    <w:rsid w:val="00DB640D"/>
    <w:rsid w:val="00DB64B6"/>
    <w:rsid w:val="00DB6A3A"/>
    <w:rsid w:val="00DB6DCB"/>
    <w:rsid w:val="00DB73F4"/>
    <w:rsid w:val="00DB7B43"/>
    <w:rsid w:val="00DB7EAE"/>
    <w:rsid w:val="00DC019D"/>
    <w:rsid w:val="00DC0C48"/>
    <w:rsid w:val="00DC0CE5"/>
    <w:rsid w:val="00DC0EEC"/>
    <w:rsid w:val="00DC112B"/>
    <w:rsid w:val="00DC16E3"/>
    <w:rsid w:val="00DC1B66"/>
    <w:rsid w:val="00DC1CBA"/>
    <w:rsid w:val="00DC1E3F"/>
    <w:rsid w:val="00DC2016"/>
    <w:rsid w:val="00DC25F0"/>
    <w:rsid w:val="00DC2A5D"/>
    <w:rsid w:val="00DC2E13"/>
    <w:rsid w:val="00DC2E89"/>
    <w:rsid w:val="00DC2F94"/>
    <w:rsid w:val="00DC2FC4"/>
    <w:rsid w:val="00DC3861"/>
    <w:rsid w:val="00DC49F8"/>
    <w:rsid w:val="00DC5AF9"/>
    <w:rsid w:val="00DC5C60"/>
    <w:rsid w:val="00DC6607"/>
    <w:rsid w:val="00DC691A"/>
    <w:rsid w:val="00DC7426"/>
    <w:rsid w:val="00DC77D9"/>
    <w:rsid w:val="00DD0295"/>
    <w:rsid w:val="00DD02CA"/>
    <w:rsid w:val="00DD06B3"/>
    <w:rsid w:val="00DD0B0C"/>
    <w:rsid w:val="00DD1928"/>
    <w:rsid w:val="00DD2636"/>
    <w:rsid w:val="00DD2D84"/>
    <w:rsid w:val="00DD2E3E"/>
    <w:rsid w:val="00DD30E4"/>
    <w:rsid w:val="00DD32E3"/>
    <w:rsid w:val="00DD425D"/>
    <w:rsid w:val="00DD4C95"/>
    <w:rsid w:val="00DD54F1"/>
    <w:rsid w:val="00DD5AD4"/>
    <w:rsid w:val="00DD5CED"/>
    <w:rsid w:val="00DD60F5"/>
    <w:rsid w:val="00DD610D"/>
    <w:rsid w:val="00DD6275"/>
    <w:rsid w:val="00DD6726"/>
    <w:rsid w:val="00DD7857"/>
    <w:rsid w:val="00DE006D"/>
    <w:rsid w:val="00DE06F0"/>
    <w:rsid w:val="00DE17E3"/>
    <w:rsid w:val="00DE1890"/>
    <w:rsid w:val="00DE1FF7"/>
    <w:rsid w:val="00DE30A4"/>
    <w:rsid w:val="00DE31FB"/>
    <w:rsid w:val="00DE43E5"/>
    <w:rsid w:val="00DE4871"/>
    <w:rsid w:val="00DE4EC7"/>
    <w:rsid w:val="00DE5071"/>
    <w:rsid w:val="00DE55BF"/>
    <w:rsid w:val="00DE63B1"/>
    <w:rsid w:val="00DE6B5D"/>
    <w:rsid w:val="00DE7AF2"/>
    <w:rsid w:val="00DE7F2F"/>
    <w:rsid w:val="00DF0320"/>
    <w:rsid w:val="00DF0AAE"/>
    <w:rsid w:val="00DF0DFF"/>
    <w:rsid w:val="00DF1A1B"/>
    <w:rsid w:val="00DF22F2"/>
    <w:rsid w:val="00DF244E"/>
    <w:rsid w:val="00DF282D"/>
    <w:rsid w:val="00DF28F5"/>
    <w:rsid w:val="00DF2BA6"/>
    <w:rsid w:val="00DF2BFF"/>
    <w:rsid w:val="00DF2F4F"/>
    <w:rsid w:val="00DF3075"/>
    <w:rsid w:val="00DF36DE"/>
    <w:rsid w:val="00DF3724"/>
    <w:rsid w:val="00DF3E5C"/>
    <w:rsid w:val="00DF59B1"/>
    <w:rsid w:val="00DF59ED"/>
    <w:rsid w:val="00DF5A29"/>
    <w:rsid w:val="00DF6472"/>
    <w:rsid w:val="00DF6E82"/>
    <w:rsid w:val="00DF734F"/>
    <w:rsid w:val="00E00C4E"/>
    <w:rsid w:val="00E0118F"/>
    <w:rsid w:val="00E01F0E"/>
    <w:rsid w:val="00E02107"/>
    <w:rsid w:val="00E02126"/>
    <w:rsid w:val="00E024CE"/>
    <w:rsid w:val="00E02633"/>
    <w:rsid w:val="00E0464E"/>
    <w:rsid w:val="00E046FD"/>
    <w:rsid w:val="00E05A91"/>
    <w:rsid w:val="00E06251"/>
    <w:rsid w:val="00E072F8"/>
    <w:rsid w:val="00E0788F"/>
    <w:rsid w:val="00E07F9C"/>
    <w:rsid w:val="00E07FF7"/>
    <w:rsid w:val="00E10F91"/>
    <w:rsid w:val="00E11609"/>
    <w:rsid w:val="00E1189C"/>
    <w:rsid w:val="00E11DB0"/>
    <w:rsid w:val="00E12096"/>
    <w:rsid w:val="00E1247D"/>
    <w:rsid w:val="00E12D77"/>
    <w:rsid w:val="00E12F06"/>
    <w:rsid w:val="00E1338B"/>
    <w:rsid w:val="00E1349C"/>
    <w:rsid w:val="00E1367B"/>
    <w:rsid w:val="00E14372"/>
    <w:rsid w:val="00E144B7"/>
    <w:rsid w:val="00E14724"/>
    <w:rsid w:val="00E15116"/>
    <w:rsid w:val="00E15902"/>
    <w:rsid w:val="00E16526"/>
    <w:rsid w:val="00E1677D"/>
    <w:rsid w:val="00E16BF9"/>
    <w:rsid w:val="00E16C82"/>
    <w:rsid w:val="00E16D9A"/>
    <w:rsid w:val="00E16E29"/>
    <w:rsid w:val="00E1745E"/>
    <w:rsid w:val="00E17813"/>
    <w:rsid w:val="00E179C8"/>
    <w:rsid w:val="00E17FD9"/>
    <w:rsid w:val="00E202C3"/>
    <w:rsid w:val="00E209D2"/>
    <w:rsid w:val="00E214A0"/>
    <w:rsid w:val="00E2163D"/>
    <w:rsid w:val="00E21A4D"/>
    <w:rsid w:val="00E21E70"/>
    <w:rsid w:val="00E21F04"/>
    <w:rsid w:val="00E22A7B"/>
    <w:rsid w:val="00E23192"/>
    <w:rsid w:val="00E23348"/>
    <w:rsid w:val="00E24C3D"/>
    <w:rsid w:val="00E25638"/>
    <w:rsid w:val="00E25854"/>
    <w:rsid w:val="00E259CC"/>
    <w:rsid w:val="00E25B07"/>
    <w:rsid w:val="00E26164"/>
    <w:rsid w:val="00E26FDC"/>
    <w:rsid w:val="00E27082"/>
    <w:rsid w:val="00E271F9"/>
    <w:rsid w:val="00E275E4"/>
    <w:rsid w:val="00E27CC6"/>
    <w:rsid w:val="00E27F1C"/>
    <w:rsid w:val="00E30E2C"/>
    <w:rsid w:val="00E3143B"/>
    <w:rsid w:val="00E318E1"/>
    <w:rsid w:val="00E323FD"/>
    <w:rsid w:val="00E324A0"/>
    <w:rsid w:val="00E327C4"/>
    <w:rsid w:val="00E330C0"/>
    <w:rsid w:val="00E3315B"/>
    <w:rsid w:val="00E3377D"/>
    <w:rsid w:val="00E33AB7"/>
    <w:rsid w:val="00E33D4B"/>
    <w:rsid w:val="00E344BC"/>
    <w:rsid w:val="00E34DC0"/>
    <w:rsid w:val="00E35293"/>
    <w:rsid w:val="00E359D8"/>
    <w:rsid w:val="00E35B60"/>
    <w:rsid w:val="00E364FE"/>
    <w:rsid w:val="00E3658D"/>
    <w:rsid w:val="00E3673C"/>
    <w:rsid w:val="00E379D3"/>
    <w:rsid w:val="00E40357"/>
    <w:rsid w:val="00E408CC"/>
    <w:rsid w:val="00E409DD"/>
    <w:rsid w:val="00E40DB6"/>
    <w:rsid w:val="00E40F99"/>
    <w:rsid w:val="00E411C5"/>
    <w:rsid w:val="00E41B33"/>
    <w:rsid w:val="00E42599"/>
    <w:rsid w:val="00E431E8"/>
    <w:rsid w:val="00E43556"/>
    <w:rsid w:val="00E43948"/>
    <w:rsid w:val="00E445EE"/>
    <w:rsid w:val="00E4540A"/>
    <w:rsid w:val="00E45DAC"/>
    <w:rsid w:val="00E46172"/>
    <w:rsid w:val="00E4634E"/>
    <w:rsid w:val="00E46D74"/>
    <w:rsid w:val="00E46EC8"/>
    <w:rsid w:val="00E470C2"/>
    <w:rsid w:val="00E4765D"/>
    <w:rsid w:val="00E4785F"/>
    <w:rsid w:val="00E478CB"/>
    <w:rsid w:val="00E47979"/>
    <w:rsid w:val="00E47DED"/>
    <w:rsid w:val="00E500C3"/>
    <w:rsid w:val="00E500E3"/>
    <w:rsid w:val="00E50A36"/>
    <w:rsid w:val="00E50C08"/>
    <w:rsid w:val="00E50D6B"/>
    <w:rsid w:val="00E50D86"/>
    <w:rsid w:val="00E51019"/>
    <w:rsid w:val="00E51796"/>
    <w:rsid w:val="00E51812"/>
    <w:rsid w:val="00E51AA1"/>
    <w:rsid w:val="00E51F1B"/>
    <w:rsid w:val="00E51FFD"/>
    <w:rsid w:val="00E5263F"/>
    <w:rsid w:val="00E52FBC"/>
    <w:rsid w:val="00E5349B"/>
    <w:rsid w:val="00E534BB"/>
    <w:rsid w:val="00E53D7B"/>
    <w:rsid w:val="00E53F74"/>
    <w:rsid w:val="00E54AE8"/>
    <w:rsid w:val="00E554FC"/>
    <w:rsid w:val="00E5631C"/>
    <w:rsid w:val="00E56783"/>
    <w:rsid w:val="00E57232"/>
    <w:rsid w:val="00E5761D"/>
    <w:rsid w:val="00E60903"/>
    <w:rsid w:val="00E6228D"/>
    <w:rsid w:val="00E6273E"/>
    <w:rsid w:val="00E62C8A"/>
    <w:rsid w:val="00E634D0"/>
    <w:rsid w:val="00E64322"/>
    <w:rsid w:val="00E64747"/>
    <w:rsid w:val="00E659B8"/>
    <w:rsid w:val="00E65F1C"/>
    <w:rsid w:val="00E66116"/>
    <w:rsid w:val="00E66B4B"/>
    <w:rsid w:val="00E67418"/>
    <w:rsid w:val="00E6747A"/>
    <w:rsid w:val="00E67576"/>
    <w:rsid w:val="00E67A40"/>
    <w:rsid w:val="00E67BA5"/>
    <w:rsid w:val="00E70EF5"/>
    <w:rsid w:val="00E71335"/>
    <w:rsid w:val="00E7147C"/>
    <w:rsid w:val="00E7166E"/>
    <w:rsid w:val="00E718A5"/>
    <w:rsid w:val="00E71A05"/>
    <w:rsid w:val="00E71FBA"/>
    <w:rsid w:val="00E72410"/>
    <w:rsid w:val="00E7243F"/>
    <w:rsid w:val="00E726CF"/>
    <w:rsid w:val="00E72709"/>
    <w:rsid w:val="00E729CB"/>
    <w:rsid w:val="00E72B7F"/>
    <w:rsid w:val="00E73556"/>
    <w:rsid w:val="00E73AC1"/>
    <w:rsid w:val="00E74597"/>
    <w:rsid w:val="00E7481B"/>
    <w:rsid w:val="00E752C3"/>
    <w:rsid w:val="00E7536E"/>
    <w:rsid w:val="00E75E5F"/>
    <w:rsid w:val="00E76035"/>
    <w:rsid w:val="00E76152"/>
    <w:rsid w:val="00E76744"/>
    <w:rsid w:val="00E76F46"/>
    <w:rsid w:val="00E77214"/>
    <w:rsid w:val="00E77388"/>
    <w:rsid w:val="00E774AD"/>
    <w:rsid w:val="00E77EEE"/>
    <w:rsid w:val="00E8041B"/>
    <w:rsid w:val="00E80440"/>
    <w:rsid w:val="00E811BF"/>
    <w:rsid w:val="00E81820"/>
    <w:rsid w:val="00E82F9E"/>
    <w:rsid w:val="00E8301B"/>
    <w:rsid w:val="00E84048"/>
    <w:rsid w:val="00E84083"/>
    <w:rsid w:val="00E84E50"/>
    <w:rsid w:val="00E8544B"/>
    <w:rsid w:val="00E85866"/>
    <w:rsid w:val="00E86244"/>
    <w:rsid w:val="00E86592"/>
    <w:rsid w:val="00E87412"/>
    <w:rsid w:val="00E8771C"/>
    <w:rsid w:val="00E877B1"/>
    <w:rsid w:val="00E87D4B"/>
    <w:rsid w:val="00E87E7A"/>
    <w:rsid w:val="00E90334"/>
    <w:rsid w:val="00E9034E"/>
    <w:rsid w:val="00E9063C"/>
    <w:rsid w:val="00E90678"/>
    <w:rsid w:val="00E90A19"/>
    <w:rsid w:val="00E90AE2"/>
    <w:rsid w:val="00E91215"/>
    <w:rsid w:val="00E91459"/>
    <w:rsid w:val="00E91A2C"/>
    <w:rsid w:val="00E92257"/>
    <w:rsid w:val="00E92442"/>
    <w:rsid w:val="00E92C57"/>
    <w:rsid w:val="00E92D44"/>
    <w:rsid w:val="00E934C8"/>
    <w:rsid w:val="00E93E3D"/>
    <w:rsid w:val="00E9400B"/>
    <w:rsid w:val="00E94A90"/>
    <w:rsid w:val="00E94E7D"/>
    <w:rsid w:val="00E94EE7"/>
    <w:rsid w:val="00E94FEF"/>
    <w:rsid w:val="00E95401"/>
    <w:rsid w:val="00E95692"/>
    <w:rsid w:val="00E9583B"/>
    <w:rsid w:val="00E969E1"/>
    <w:rsid w:val="00E97719"/>
    <w:rsid w:val="00EA04C3"/>
    <w:rsid w:val="00EA0773"/>
    <w:rsid w:val="00EA07EF"/>
    <w:rsid w:val="00EA08F6"/>
    <w:rsid w:val="00EA1614"/>
    <w:rsid w:val="00EA1820"/>
    <w:rsid w:val="00EA1D2D"/>
    <w:rsid w:val="00EA1E06"/>
    <w:rsid w:val="00EA2AC1"/>
    <w:rsid w:val="00EA2BB6"/>
    <w:rsid w:val="00EA2D9A"/>
    <w:rsid w:val="00EA2FA8"/>
    <w:rsid w:val="00EA3C4E"/>
    <w:rsid w:val="00EA3E0E"/>
    <w:rsid w:val="00EA4A2C"/>
    <w:rsid w:val="00EA552C"/>
    <w:rsid w:val="00EA5635"/>
    <w:rsid w:val="00EA5F6E"/>
    <w:rsid w:val="00EA628F"/>
    <w:rsid w:val="00EA6B03"/>
    <w:rsid w:val="00EA70DE"/>
    <w:rsid w:val="00EA71E7"/>
    <w:rsid w:val="00EA75BE"/>
    <w:rsid w:val="00EB039A"/>
    <w:rsid w:val="00EB05B3"/>
    <w:rsid w:val="00EB068B"/>
    <w:rsid w:val="00EB0AEA"/>
    <w:rsid w:val="00EB0E51"/>
    <w:rsid w:val="00EB1335"/>
    <w:rsid w:val="00EB179B"/>
    <w:rsid w:val="00EB1A2E"/>
    <w:rsid w:val="00EB23D3"/>
    <w:rsid w:val="00EB2619"/>
    <w:rsid w:val="00EB3784"/>
    <w:rsid w:val="00EB38B8"/>
    <w:rsid w:val="00EB423C"/>
    <w:rsid w:val="00EB533F"/>
    <w:rsid w:val="00EB5665"/>
    <w:rsid w:val="00EB5D23"/>
    <w:rsid w:val="00EB5D84"/>
    <w:rsid w:val="00EB5E4E"/>
    <w:rsid w:val="00EB656D"/>
    <w:rsid w:val="00EB66B8"/>
    <w:rsid w:val="00EB66C6"/>
    <w:rsid w:val="00EB681D"/>
    <w:rsid w:val="00EB68D5"/>
    <w:rsid w:val="00EB77C4"/>
    <w:rsid w:val="00EB78FB"/>
    <w:rsid w:val="00EC0041"/>
    <w:rsid w:val="00EC05B5"/>
    <w:rsid w:val="00EC0B60"/>
    <w:rsid w:val="00EC0BD2"/>
    <w:rsid w:val="00EC0E2A"/>
    <w:rsid w:val="00EC1758"/>
    <w:rsid w:val="00EC19F9"/>
    <w:rsid w:val="00EC2048"/>
    <w:rsid w:val="00EC2897"/>
    <w:rsid w:val="00EC3029"/>
    <w:rsid w:val="00EC3CD5"/>
    <w:rsid w:val="00EC3CDF"/>
    <w:rsid w:val="00EC3F01"/>
    <w:rsid w:val="00EC42CA"/>
    <w:rsid w:val="00EC4323"/>
    <w:rsid w:val="00EC444A"/>
    <w:rsid w:val="00EC57CD"/>
    <w:rsid w:val="00EC59A6"/>
    <w:rsid w:val="00EC5F44"/>
    <w:rsid w:val="00EC6235"/>
    <w:rsid w:val="00EC627E"/>
    <w:rsid w:val="00EC659F"/>
    <w:rsid w:val="00EC669C"/>
    <w:rsid w:val="00EC712A"/>
    <w:rsid w:val="00ED07E5"/>
    <w:rsid w:val="00ED08AD"/>
    <w:rsid w:val="00ED13F7"/>
    <w:rsid w:val="00ED232B"/>
    <w:rsid w:val="00ED259C"/>
    <w:rsid w:val="00ED2B7C"/>
    <w:rsid w:val="00ED2C7C"/>
    <w:rsid w:val="00ED3637"/>
    <w:rsid w:val="00ED3ED7"/>
    <w:rsid w:val="00ED4354"/>
    <w:rsid w:val="00ED473F"/>
    <w:rsid w:val="00ED480E"/>
    <w:rsid w:val="00ED4D25"/>
    <w:rsid w:val="00ED502D"/>
    <w:rsid w:val="00ED50CB"/>
    <w:rsid w:val="00ED5257"/>
    <w:rsid w:val="00ED5894"/>
    <w:rsid w:val="00ED5E70"/>
    <w:rsid w:val="00ED6ECE"/>
    <w:rsid w:val="00ED759B"/>
    <w:rsid w:val="00ED7D7B"/>
    <w:rsid w:val="00EE016B"/>
    <w:rsid w:val="00EE12FF"/>
    <w:rsid w:val="00EE184B"/>
    <w:rsid w:val="00EE1A36"/>
    <w:rsid w:val="00EE230B"/>
    <w:rsid w:val="00EE242E"/>
    <w:rsid w:val="00EE2A78"/>
    <w:rsid w:val="00EE3656"/>
    <w:rsid w:val="00EE3951"/>
    <w:rsid w:val="00EE3AC8"/>
    <w:rsid w:val="00EE41D4"/>
    <w:rsid w:val="00EE50DA"/>
    <w:rsid w:val="00EE50DC"/>
    <w:rsid w:val="00EE528F"/>
    <w:rsid w:val="00EE5294"/>
    <w:rsid w:val="00EE539D"/>
    <w:rsid w:val="00EE5540"/>
    <w:rsid w:val="00EE56BA"/>
    <w:rsid w:val="00EE5826"/>
    <w:rsid w:val="00EE5E89"/>
    <w:rsid w:val="00EE644F"/>
    <w:rsid w:val="00EE798C"/>
    <w:rsid w:val="00EF0E88"/>
    <w:rsid w:val="00EF1571"/>
    <w:rsid w:val="00EF2A69"/>
    <w:rsid w:val="00EF3563"/>
    <w:rsid w:val="00EF3BDF"/>
    <w:rsid w:val="00EF3CCF"/>
    <w:rsid w:val="00EF43BD"/>
    <w:rsid w:val="00EF472C"/>
    <w:rsid w:val="00EF5E3F"/>
    <w:rsid w:val="00EF687C"/>
    <w:rsid w:val="00EF69D9"/>
    <w:rsid w:val="00EF714F"/>
    <w:rsid w:val="00EF77EB"/>
    <w:rsid w:val="00EF7DA0"/>
    <w:rsid w:val="00F00809"/>
    <w:rsid w:val="00F012C7"/>
    <w:rsid w:val="00F0199B"/>
    <w:rsid w:val="00F02532"/>
    <w:rsid w:val="00F02FDB"/>
    <w:rsid w:val="00F0367A"/>
    <w:rsid w:val="00F036B2"/>
    <w:rsid w:val="00F03A82"/>
    <w:rsid w:val="00F03FED"/>
    <w:rsid w:val="00F043D2"/>
    <w:rsid w:val="00F047CE"/>
    <w:rsid w:val="00F05336"/>
    <w:rsid w:val="00F07F64"/>
    <w:rsid w:val="00F10103"/>
    <w:rsid w:val="00F10167"/>
    <w:rsid w:val="00F10D38"/>
    <w:rsid w:val="00F11BFD"/>
    <w:rsid w:val="00F11F3B"/>
    <w:rsid w:val="00F125A3"/>
    <w:rsid w:val="00F1294B"/>
    <w:rsid w:val="00F12AC8"/>
    <w:rsid w:val="00F131AD"/>
    <w:rsid w:val="00F14187"/>
    <w:rsid w:val="00F14789"/>
    <w:rsid w:val="00F15558"/>
    <w:rsid w:val="00F1599D"/>
    <w:rsid w:val="00F15A6A"/>
    <w:rsid w:val="00F15B25"/>
    <w:rsid w:val="00F15F63"/>
    <w:rsid w:val="00F16CF5"/>
    <w:rsid w:val="00F171A6"/>
    <w:rsid w:val="00F179AC"/>
    <w:rsid w:val="00F17B4D"/>
    <w:rsid w:val="00F17F0C"/>
    <w:rsid w:val="00F204EC"/>
    <w:rsid w:val="00F2056B"/>
    <w:rsid w:val="00F21363"/>
    <w:rsid w:val="00F2137B"/>
    <w:rsid w:val="00F2139F"/>
    <w:rsid w:val="00F21503"/>
    <w:rsid w:val="00F2177B"/>
    <w:rsid w:val="00F21994"/>
    <w:rsid w:val="00F21B90"/>
    <w:rsid w:val="00F21DE3"/>
    <w:rsid w:val="00F22125"/>
    <w:rsid w:val="00F22494"/>
    <w:rsid w:val="00F224D8"/>
    <w:rsid w:val="00F23678"/>
    <w:rsid w:val="00F239A8"/>
    <w:rsid w:val="00F23D10"/>
    <w:rsid w:val="00F240B2"/>
    <w:rsid w:val="00F248A8"/>
    <w:rsid w:val="00F2509A"/>
    <w:rsid w:val="00F26BD2"/>
    <w:rsid w:val="00F26D2D"/>
    <w:rsid w:val="00F2703A"/>
    <w:rsid w:val="00F2778D"/>
    <w:rsid w:val="00F27998"/>
    <w:rsid w:val="00F3030E"/>
    <w:rsid w:val="00F304B1"/>
    <w:rsid w:val="00F321E4"/>
    <w:rsid w:val="00F3221E"/>
    <w:rsid w:val="00F328FB"/>
    <w:rsid w:val="00F32EE8"/>
    <w:rsid w:val="00F339D7"/>
    <w:rsid w:val="00F34681"/>
    <w:rsid w:val="00F34707"/>
    <w:rsid w:val="00F34CD8"/>
    <w:rsid w:val="00F352E2"/>
    <w:rsid w:val="00F35CE6"/>
    <w:rsid w:val="00F3609F"/>
    <w:rsid w:val="00F371E2"/>
    <w:rsid w:val="00F37B0B"/>
    <w:rsid w:val="00F40BA1"/>
    <w:rsid w:val="00F40EC9"/>
    <w:rsid w:val="00F40F23"/>
    <w:rsid w:val="00F4130B"/>
    <w:rsid w:val="00F414FE"/>
    <w:rsid w:val="00F41D8A"/>
    <w:rsid w:val="00F41E99"/>
    <w:rsid w:val="00F41EC5"/>
    <w:rsid w:val="00F42AB1"/>
    <w:rsid w:val="00F42EA4"/>
    <w:rsid w:val="00F43AD9"/>
    <w:rsid w:val="00F43D8A"/>
    <w:rsid w:val="00F4453D"/>
    <w:rsid w:val="00F44DDB"/>
    <w:rsid w:val="00F4566D"/>
    <w:rsid w:val="00F45A84"/>
    <w:rsid w:val="00F45F81"/>
    <w:rsid w:val="00F46874"/>
    <w:rsid w:val="00F468C1"/>
    <w:rsid w:val="00F4694B"/>
    <w:rsid w:val="00F46A53"/>
    <w:rsid w:val="00F46A83"/>
    <w:rsid w:val="00F475A7"/>
    <w:rsid w:val="00F47CE1"/>
    <w:rsid w:val="00F50094"/>
    <w:rsid w:val="00F5014D"/>
    <w:rsid w:val="00F5099C"/>
    <w:rsid w:val="00F51082"/>
    <w:rsid w:val="00F5135E"/>
    <w:rsid w:val="00F52569"/>
    <w:rsid w:val="00F53328"/>
    <w:rsid w:val="00F5446B"/>
    <w:rsid w:val="00F544B5"/>
    <w:rsid w:val="00F54AAD"/>
    <w:rsid w:val="00F54E4F"/>
    <w:rsid w:val="00F55253"/>
    <w:rsid w:val="00F5562B"/>
    <w:rsid w:val="00F557A5"/>
    <w:rsid w:val="00F55AEB"/>
    <w:rsid w:val="00F56587"/>
    <w:rsid w:val="00F566CF"/>
    <w:rsid w:val="00F56D6A"/>
    <w:rsid w:val="00F576CF"/>
    <w:rsid w:val="00F603FB"/>
    <w:rsid w:val="00F608EE"/>
    <w:rsid w:val="00F60C4A"/>
    <w:rsid w:val="00F60CFA"/>
    <w:rsid w:val="00F60DC5"/>
    <w:rsid w:val="00F61268"/>
    <w:rsid w:val="00F62105"/>
    <w:rsid w:val="00F627DD"/>
    <w:rsid w:val="00F6287B"/>
    <w:rsid w:val="00F62B9C"/>
    <w:rsid w:val="00F62BA9"/>
    <w:rsid w:val="00F631AA"/>
    <w:rsid w:val="00F6383B"/>
    <w:rsid w:val="00F63D20"/>
    <w:rsid w:val="00F64506"/>
    <w:rsid w:val="00F65BA4"/>
    <w:rsid w:val="00F65F65"/>
    <w:rsid w:val="00F66D29"/>
    <w:rsid w:val="00F66D82"/>
    <w:rsid w:val="00F67063"/>
    <w:rsid w:val="00F67ACF"/>
    <w:rsid w:val="00F70017"/>
    <w:rsid w:val="00F706A9"/>
    <w:rsid w:val="00F7073F"/>
    <w:rsid w:val="00F70906"/>
    <w:rsid w:val="00F70E43"/>
    <w:rsid w:val="00F70E6B"/>
    <w:rsid w:val="00F71006"/>
    <w:rsid w:val="00F719A8"/>
    <w:rsid w:val="00F71B92"/>
    <w:rsid w:val="00F71C93"/>
    <w:rsid w:val="00F722FF"/>
    <w:rsid w:val="00F72AA7"/>
    <w:rsid w:val="00F72B88"/>
    <w:rsid w:val="00F72F15"/>
    <w:rsid w:val="00F72F30"/>
    <w:rsid w:val="00F730B0"/>
    <w:rsid w:val="00F73693"/>
    <w:rsid w:val="00F73D35"/>
    <w:rsid w:val="00F7528E"/>
    <w:rsid w:val="00F76248"/>
    <w:rsid w:val="00F7665D"/>
    <w:rsid w:val="00F76C98"/>
    <w:rsid w:val="00F777CD"/>
    <w:rsid w:val="00F77B7E"/>
    <w:rsid w:val="00F77DBB"/>
    <w:rsid w:val="00F800CA"/>
    <w:rsid w:val="00F80384"/>
    <w:rsid w:val="00F80572"/>
    <w:rsid w:val="00F810DB"/>
    <w:rsid w:val="00F81C0A"/>
    <w:rsid w:val="00F81EB5"/>
    <w:rsid w:val="00F8271C"/>
    <w:rsid w:val="00F82A4D"/>
    <w:rsid w:val="00F82F0C"/>
    <w:rsid w:val="00F8336A"/>
    <w:rsid w:val="00F835C1"/>
    <w:rsid w:val="00F83FD0"/>
    <w:rsid w:val="00F841C4"/>
    <w:rsid w:val="00F84A10"/>
    <w:rsid w:val="00F84CE2"/>
    <w:rsid w:val="00F85939"/>
    <w:rsid w:val="00F85C68"/>
    <w:rsid w:val="00F86991"/>
    <w:rsid w:val="00F86A16"/>
    <w:rsid w:val="00F86BEB"/>
    <w:rsid w:val="00F86DB1"/>
    <w:rsid w:val="00F87C84"/>
    <w:rsid w:val="00F87CDA"/>
    <w:rsid w:val="00F90E42"/>
    <w:rsid w:val="00F92100"/>
    <w:rsid w:val="00F9271D"/>
    <w:rsid w:val="00F927DA"/>
    <w:rsid w:val="00F928AF"/>
    <w:rsid w:val="00F934F3"/>
    <w:rsid w:val="00F93D0D"/>
    <w:rsid w:val="00F945A4"/>
    <w:rsid w:val="00F945B9"/>
    <w:rsid w:val="00F94AB6"/>
    <w:rsid w:val="00F94CE9"/>
    <w:rsid w:val="00F95058"/>
    <w:rsid w:val="00F95B59"/>
    <w:rsid w:val="00F95D20"/>
    <w:rsid w:val="00F961F4"/>
    <w:rsid w:val="00F964AD"/>
    <w:rsid w:val="00F965F4"/>
    <w:rsid w:val="00F9742E"/>
    <w:rsid w:val="00FA01FD"/>
    <w:rsid w:val="00FA1A0F"/>
    <w:rsid w:val="00FA2565"/>
    <w:rsid w:val="00FA27A7"/>
    <w:rsid w:val="00FA3523"/>
    <w:rsid w:val="00FA3827"/>
    <w:rsid w:val="00FA3885"/>
    <w:rsid w:val="00FA3BB2"/>
    <w:rsid w:val="00FA3BC3"/>
    <w:rsid w:val="00FA3E37"/>
    <w:rsid w:val="00FA4162"/>
    <w:rsid w:val="00FA488B"/>
    <w:rsid w:val="00FA566E"/>
    <w:rsid w:val="00FA5B63"/>
    <w:rsid w:val="00FA624D"/>
    <w:rsid w:val="00FA64CD"/>
    <w:rsid w:val="00FA6D9F"/>
    <w:rsid w:val="00FA70C8"/>
    <w:rsid w:val="00FA7740"/>
    <w:rsid w:val="00FA7BC4"/>
    <w:rsid w:val="00FB0E0A"/>
    <w:rsid w:val="00FB0EF2"/>
    <w:rsid w:val="00FB1381"/>
    <w:rsid w:val="00FB1A47"/>
    <w:rsid w:val="00FB1E85"/>
    <w:rsid w:val="00FB28A1"/>
    <w:rsid w:val="00FB298F"/>
    <w:rsid w:val="00FB2A3D"/>
    <w:rsid w:val="00FB2C3C"/>
    <w:rsid w:val="00FB34E0"/>
    <w:rsid w:val="00FB373D"/>
    <w:rsid w:val="00FB37A4"/>
    <w:rsid w:val="00FB4729"/>
    <w:rsid w:val="00FB481A"/>
    <w:rsid w:val="00FB4BFC"/>
    <w:rsid w:val="00FB4C18"/>
    <w:rsid w:val="00FB4E8C"/>
    <w:rsid w:val="00FB70B5"/>
    <w:rsid w:val="00FB71A5"/>
    <w:rsid w:val="00FB7312"/>
    <w:rsid w:val="00FB7444"/>
    <w:rsid w:val="00FB7994"/>
    <w:rsid w:val="00FB7B91"/>
    <w:rsid w:val="00FB7C70"/>
    <w:rsid w:val="00FB7D7C"/>
    <w:rsid w:val="00FC0B3C"/>
    <w:rsid w:val="00FC1439"/>
    <w:rsid w:val="00FC14C0"/>
    <w:rsid w:val="00FC1809"/>
    <w:rsid w:val="00FC2252"/>
    <w:rsid w:val="00FC2882"/>
    <w:rsid w:val="00FC2AB8"/>
    <w:rsid w:val="00FC376C"/>
    <w:rsid w:val="00FC38E5"/>
    <w:rsid w:val="00FC3AFB"/>
    <w:rsid w:val="00FC3CB4"/>
    <w:rsid w:val="00FC3F2D"/>
    <w:rsid w:val="00FC4625"/>
    <w:rsid w:val="00FC495A"/>
    <w:rsid w:val="00FC4CF4"/>
    <w:rsid w:val="00FC4F6F"/>
    <w:rsid w:val="00FC552A"/>
    <w:rsid w:val="00FC578D"/>
    <w:rsid w:val="00FC5D81"/>
    <w:rsid w:val="00FC5EDA"/>
    <w:rsid w:val="00FC6003"/>
    <w:rsid w:val="00FC60B1"/>
    <w:rsid w:val="00FC626B"/>
    <w:rsid w:val="00FC6B23"/>
    <w:rsid w:val="00FC6BA1"/>
    <w:rsid w:val="00FC730B"/>
    <w:rsid w:val="00FC76A3"/>
    <w:rsid w:val="00FC77C9"/>
    <w:rsid w:val="00FC7BF6"/>
    <w:rsid w:val="00FD058A"/>
    <w:rsid w:val="00FD062E"/>
    <w:rsid w:val="00FD0DDB"/>
    <w:rsid w:val="00FD157D"/>
    <w:rsid w:val="00FD1ABB"/>
    <w:rsid w:val="00FD2601"/>
    <w:rsid w:val="00FD3527"/>
    <w:rsid w:val="00FD3BDC"/>
    <w:rsid w:val="00FD3D79"/>
    <w:rsid w:val="00FD4C55"/>
    <w:rsid w:val="00FD4EBE"/>
    <w:rsid w:val="00FD4EF8"/>
    <w:rsid w:val="00FD5543"/>
    <w:rsid w:val="00FD56CA"/>
    <w:rsid w:val="00FD5BA3"/>
    <w:rsid w:val="00FD625F"/>
    <w:rsid w:val="00FD66EA"/>
    <w:rsid w:val="00FD6DA8"/>
    <w:rsid w:val="00FD7574"/>
    <w:rsid w:val="00FD78F7"/>
    <w:rsid w:val="00FD7D91"/>
    <w:rsid w:val="00FD7E5E"/>
    <w:rsid w:val="00FE031D"/>
    <w:rsid w:val="00FE046F"/>
    <w:rsid w:val="00FE07A9"/>
    <w:rsid w:val="00FE07FE"/>
    <w:rsid w:val="00FE1D00"/>
    <w:rsid w:val="00FE2221"/>
    <w:rsid w:val="00FE2E51"/>
    <w:rsid w:val="00FE4457"/>
    <w:rsid w:val="00FE4CDB"/>
    <w:rsid w:val="00FE5856"/>
    <w:rsid w:val="00FE5EAF"/>
    <w:rsid w:val="00FE6357"/>
    <w:rsid w:val="00FE67C1"/>
    <w:rsid w:val="00FE79C4"/>
    <w:rsid w:val="00FF0174"/>
    <w:rsid w:val="00FF0669"/>
    <w:rsid w:val="00FF07B8"/>
    <w:rsid w:val="00FF19AD"/>
    <w:rsid w:val="00FF1A36"/>
    <w:rsid w:val="00FF1DC6"/>
    <w:rsid w:val="00FF2894"/>
    <w:rsid w:val="00FF3EFD"/>
    <w:rsid w:val="00FF4463"/>
    <w:rsid w:val="00FF4731"/>
    <w:rsid w:val="00FF4949"/>
    <w:rsid w:val="00FF4F73"/>
    <w:rsid w:val="00FF554D"/>
    <w:rsid w:val="00FF565C"/>
    <w:rsid w:val="00FF570A"/>
    <w:rsid w:val="00FF5761"/>
    <w:rsid w:val="00FF59CE"/>
    <w:rsid w:val="00FF6498"/>
    <w:rsid w:val="00FF668F"/>
    <w:rsid w:val="00FF67FF"/>
    <w:rsid w:val="00FF6BF1"/>
    <w:rsid w:val="00FF7029"/>
    <w:rsid w:val="00FF7724"/>
    <w:rsid w:val="00FF7B67"/>
    <w:rsid w:val="00FF7CAF"/>
    <w:rsid w:val="00FF7CBA"/>
    <w:rsid w:val="00FF7EBD"/>
    <w:rsid w:val="0139F1E7"/>
    <w:rsid w:val="018F0186"/>
    <w:rsid w:val="01BFFDC0"/>
    <w:rsid w:val="0264B702"/>
    <w:rsid w:val="02B2F88C"/>
    <w:rsid w:val="02DE780A"/>
    <w:rsid w:val="03ADC17E"/>
    <w:rsid w:val="040ECDE2"/>
    <w:rsid w:val="052B0DA8"/>
    <w:rsid w:val="05E8B6A3"/>
    <w:rsid w:val="060FACD2"/>
    <w:rsid w:val="0626A4E1"/>
    <w:rsid w:val="06997AE5"/>
    <w:rsid w:val="06B79B70"/>
    <w:rsid w:val="06B9F5B5"/>
    <w:rsid w:val="06BF87FB"/>
    <w:rsid w:val="076C63FE"/>
    <w:rsid w:val="08063090"/>
    <w:rsid w:val="08BAE8EA"/>
    <w:rsid w:val="08E1EA91"/>
    <w:rsid w:val="09A450F6"/>
    <w:rsid w:val="09B72D7E"/>
    <w:rsid w:val="09EA5C77"/>
    <w:rsid w:val="0A38D388"/>
    <w:rsid w:val="0B2F4A00"/>
    <w:rsid w:val="0B5B702C"/>
    <w:rsid w:val="0BA862D5"/>
    <w:rsid w:val="0BBCB842"/>
    <w:rsid w:val="0D07C480"/>
    <w:rsid w:val="0D70744A"/>
    <w:rsid w:val="0E355409"/>
    <w:rsid w:val="0E71AF87"/>
    <w:rsid w:val="0E7F35B1"/>
    <w:rsid w:val="0EBFD8BE"/>
    <w:rsid w:val="0F563A2F"/>
    <w:rsid w:val="113EE8FB"/>
    <w:rsid w:val="1155CE2A"/>
    <w:rsid w:val="11AD12D6"/>
    <w:rsid w:val="126C63C3"/>
    <w:rsid w:val="126E1DCA"/>
    <w:rsid w:val="12DECE71"/>
    <w:rsid w:val="1348E337"/>
    <w:rsid w:val="1419BC9C"/>
    <w:rsid w:val="15946DE0"/>
    <w:rsid w:val="15B2C9D3"/>
    <w:rsid w:val="164B13E9"/>
    <w:rsid w:val="16CFBC5D"/>
    <w:rsid w:val="17175690"/>
    <w:rsid w:val="179BC80F"/>
    <w:rsid w:val="185757AA"/>
    <w:rsid w:val="19ACA4DF"/>
    <w:rsid w:val="1A36F38D"/>
    <w:rsid w:val="1A6BAF83"/>
    <w:rsid w:val="1A9573FD"/>
    <w:rsid w:val="1A9F85E5"/>
    <w:rsid w:val="1AB2763F"/>
    <w:rsid w:val="1AF5193D"/>
    <w:rsid w:val="1B3ACCBF"/>
    <w:rsid w:val="1C16A92F"/>
    <w:rsid w:val="1CD32BA9"/>
    <w:rsid w:val="1D690221"/>
    <w:rsid w:val="1DB6FC98"/>
    <w:rsid w:val="1DDAC3C1"/>
    <w:rsid w:val="1DF843F2"/>
    <w:rsid w:val="1EBC21C6"/>
    <w:rsid w:val="1F3FF07F"/>
    <w:rsid w:val="1F49E090"/>
    <w:rsid w:val="1F4E5BFD"/>
    <w:rsid w:val="1F516705"/>
    <w:rsid w:val="2001C473"/>
    <w:rsid w:val="20404855"/>
    <w:rsid w:val="206D199C"/>
    <w:rsid w:val="20806531"/>
    <w:rsid w:val="20AFE023"/>
    <w:rsid w:val="216952C3"/>
    <w:rsid w:val="2198D36C"/>
    <w:rsid w:val="21B1FBC9"/>
    <w:rsid w:val="22C28057"/>
    <w:rsid w:val="22D41DFF"/>
    <w:rsid w:val="23040203"/>
    <w:rsid w:val="236A017E"/>
    <w:rsid w:val="238010E9"/>
    <w:rsid w:val="249C5C0C"/>
    <w:rsid w:val="2672AC78"/>
    <w:rsid w:val="26FFD785"/>
    <w:rsid w:val="2755C43F"/>
    <w:rsid w:val="28065BF9"/>
    <w:rsid w:val="28D0601D"/>
    <w:rsid w:val="28FDF487"/>
    <w:rsid w:val="299D3132"/>
    <w:rsid w:val="2A66B94B"/>
    <w:rsid w:val="2A7320EA"/>
    <w:rsid w:val="2A975C5C"/>
    <w:rsid w:val="2B94B888"/>
    <w:rsid w:val="2C519E5C"/>
    <w:rsid w:val="2CB49065"/>
    <w:rsid w:val="2CCE2ED8"/>
    <w:rsid w:val="2DED8D8C"/>
    <w:rsid w:val="2ED59AB6"/>
    <w:rsid w:val="2F7C452B"/>
    <w:rsid w:val="3146DAAE"/>
    <w:rsid w:val="31D68A08"/>
    <w:rsid w:val="323AE3C8"/>
    <w:rsid w:val="32636C69"/>
    <w:rsid w:val="334331D8"/>
    <w:rsid w:val="34CA959C"/>
    <w:rsid w:val="34E0968C"/>
    <w:rsid w:val="368582A7"/>
    <w:rsid w:val="3794B8EB"/>
    <w:rsid w:val="379C0386"/>
    <w:rsid w:val="38DDCD13"/>
    <w:rsid w:val="38DFE3C8"/>
    <w:rsid w:val="39C1F6A1"/>
    <w:rsid w:val="3ABBE976"/>
    <w:rsid w:val="3AEAF0E0"/>
    <w:rsid w:val="3BC1875E"/>
    <w:rsid w:val="3C30CA8F"/>
    <w:rsid w:val="3C6B1FD4"/>
    <w:rsid w:val="3DA16B6D"/>
    <w:rsid w:val="3E2830C4"/>
    <w:rsid w:val="3EA34527"/>
    <w:rsid w:val="3EA3D239"/>
    <w:rsid w:val="3EFEA561"/>
    <w:rsid w:val="3F386089"/>
    <w:rsid w:val="3FC21B34"/>
    <w:rsid w:val="40313825"/>
    <w:rsid w:val="40E3C3CF"/>
    <w:rsid w:val="41CD9D4F"/>
    <w:rsid w:val="41E15899"/>
    <w:rsid w:val="43AF1BF4"/>
    <w:rsid w:val="44149049"/>
    <w:rsid w:val="45335F57"/>
    <w:rsid w:val="476CBFEA"/>
    <w:rsid w:val="47DF28E2"/>
    <w:rsid w:val="4843C413"/>
    <w:rsid w:val="487D4F82"/>
    <w:rsid w:val="4887F9D2"/>
    <w:rsid w:val="4888D778"/>
    <w:rsid w:val="49569076"/>
    <w:rsid w:val="499A060D"/>
    <w:rsid w:val="4A1BE26A"/>
    <w:rsid w:val="4A20F66A"/>
    <w:rsid w:val="4B03A015"/>
    <w:rsid w:val="4B73EACC"/>
    <w:rsid w:val="4BC6B4B8"/>
    <w:rsid w:val="4BF928B0"/>
    <w:rsid w:val="4C946A95"/>
    <w:rsid w:val="50489994"/>
    <w:rsid w:val="50F26140"/>
    <w:rsid w:val="511914EB"/>
    <w:rsid w:val="519A484E"/>
    <w:rsid w:val="51CFE4B5"/>
    <w:rsid w:val="520D0D50"/>
    <w:rsid w:val="5222B88F"/>
    <w:rsid w:val="530F4A70"/>
    <w:rsid w:val="543542BE"/>
    <w:rsid w:val="549520A0"/>
    <w:rsid w:val="54A16FF1"/>
    <w:rsid w:val="54BFB322"/>
    <w:rsid w:val="54C307B5"/>
    <w:rsid w:val="552B948F"/>
    <w:rsid w:val="5630F101"/>
    <w:rsid w:val="566A1F85"/>
    <w:rsid w:val="5775F42C"/>
    <w:rsid w:val="57780FAC"/>
    <w:rsid w:val="58A34625"/>
    <w:rsid w:val="59EFDC64"/>
    <w:rsid w:val="5A2F8438"/>
    <w:rsid w:val="5A5EC405"/>
    <w:rsid w:val="5B7F1ED8"/>
    <w:rsid w:val="5BCF8F22"/>
    <w:rsid w:val="5C8F89D5"/>
    <w:rsid w:val="5CBA6870"/>
    <w:rsid w:val="5D455247"/>
    <w:rsid w:val="5D98DA1F"/>
    <w:rsid w:val="5E325B4E"/>
    <w:rsid w:val="5F9C49EE"/>
    <w:rsid w:val="6018452E"/>
    <w:rsid w:val="605E330E"/>
    <w:rsid w:val="62BAC253"/>
    <w:rsid w:val="63FDAA81"/>
    <w:rsid w:val="64263107"/>
    <w:rsid w:val="644948B8"/>
    <w:rsid w:val="65FC605F"/>
    <w:rsid w:val="66777DBB"/>
    <w:rsid w:val="66CE1428"/>
    <w:rsid w:val="66E62608"/>
    <w:rsid w:val="66F760DF"/>
    <w:rsid w:val="67100297"/>
    <w:rsid w:val="6803A6DC"/>
    <w:rsid w:val="68EEE4D1"/>
    <w:rsid w:val="6A18577C"/>
    <w:rsid w:val="6A97F37A"/>
    <w:rsid w:val="6BDB35B0"/>
    <w:rsid w:val="6CD09A92"/>
    <w:rsid w:val="6D5B6AFE"/>
    <w:rsid w:val="6D66A263"/>
    <w:rsid w:val="6D7698FB"/>
    <w:rsid w:val="6D8B641E"/>
    <w:rsid w:val="6DFD74FA"/>
    <w:rsid w:val="6E88B6BE"/>
    <w:rsid w:val="6E92CB74"/>
    <w:rsid w:val="6EF28BD3"/>
    <w:rsid w:val="6F22190B"/>
    <w:rsid w:val="6F3F3C7C"/>
    <w:rsid w:val="704FBE39"/>
    <w:rsid w:val="70DB727F"/>
    <w:rsid w:val="7150A94A"/>
    <w:rsid w:val="719FA73F"/>
    <w:rsid w:val="72A0D911"/>
    <w:rsid w:val="72D3CD9A"/>
    <w:rsid w:val="72F381BC"/>
    <w:rsid w:val="73235C33"/>
    <w:rsid w:val="733B20D4"/>
    <w:rsid w:val="73A977E6"/>
    <w:rsid w:val="744F3C1E"/>
    <w:rsid w:val="74877D0A"/>
    <w:rsid w:val="75188E25"/>
    <w:rsid w:val="7549D3EA"/>
    <w:rsid w:val="7579A1CE"/>
    <w:rsid w:val="75FCF60C"/>
    <w:rsid w:val="76107465"/>
    <w:rsid w:val="77582031"/>
    <w:rsid w:val="77AA85A3"/>
    <w:rsid w:val="789CFEF9"/>
    <w:rsid w:val="7A732E51"/>
    <w:rsid w:val="7AFFD160"/>
    <w:rsid w:val="7C062BB9"/>
    <w:rsid w:val="7C6155AD"/>
    <w:rsid w:val="7C811AE8"/>
    <w:rsid w:val="7D991275"/>
    <w:rsid w:val="7EFFD2C5"/>
    <w:rsid w:val="7F09C822"/>
    <w:rsid w:val="7F208414"/>
    <w:rsid w:val="7FD6119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A67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D08"/>
    <w:pPr>
      <w:spacing w:after="120"/>
    </w:pPr>
    <w:rPr>
      <w:rFonts w:asciiTheme="majorHAnsi" w:hAnsiTheme="majorHAnsi" w:cstheme="majorHAnsi"/>
      <w:sz w:val="22"/>
      <w:szCs w:val="22"/>
    </w:rPr>
  </w:style>
  <w:style w:type="paragraph" w:styleId="Heading1">
    <w:name w:val="heading 1"/>
    <w:basedOn w:val="Normal"/>
    <w:next w:val="Normal"/>
    <w:link w:val="Heading1Char"/>
    <w:uiPriority w:val="9"/>
    <w:qFormat/>
    <w:rsid w:val="0010008F"/>
    <w:pPr>
      <w:keepNext/>
      <w:keepLines/>
      <w:numPr>
        <w:numId w:val="1"/>
      </w:numPr>
      <w:spacing w:before="240"/>
      <w:outlineLvl w:val="0"/>
    </w:pPr>
    <w:rPr>
      <w:rFonts w:eastAsiaTheme="majorEastAsia" w:cstheme="majorBidi"/>
      <w:color w:val="002060"/>
      <w:sz w:val="36"/>
      <w:szCs w:val="36"/>
    </w:rPr>
  </w:style>
  <w:style w:type="paragraph" w:styleId="Heading2">
    <w:name w:val="heading 2"/>
    <w:basedOn w:val="Heading1"/>
    <w:next w:val="Normal"/>
    <w:link w:val="Heading2Char"/>
    <w:uiPriority w:val="9"/>
    <w:unhideWhenUsed/>
    <w:qFormat/>
    <w:rsid w:val="00686033"/>
    <w:pPr>
      <w:numPr>
        <w:ilvl w:val="1"/>
      </w:numPr>
      <w:outlineLvl w:val="1"/>
    </w:pPr>
    <w:rPr>
      <w:rFonts w:cstheme="majorHAnsi"/>
      <w:b/>
      <w:bCs/>
      <w:sz w:val="28"/>
      <w:szCs w:val="28"/>
      <w:lang w:val="en-GB"/>
    </w:rPr>
  </w:style>
  <w:style w:type="paragraph" w:styleId="Heading3">
    <w:name w:val="heading 3"/>
    <w:basedOn w:val="Heading2"/>
    <w:next w:val="Normal"/>
    <w:link w:val="Heading3Char"/>
    <w:uiPriority w:val="9"/>
    <w:unhideWhenUsed/>
    <w:qFormat/>
    <w:rsid w:val="00AB58FF"/>
    <w:pPr>
      <w:numPr>
        <w:ilvl w:val="2"/>
      </w:numPr>
      <w:ind w:left="709" w:hanging="709"/>
      <w:outlineLvl w:val="2"/>
    </w:pPr>
    <w:rPr>
      <w:i/>
      <w:iCs/>
      <w:color w:val="1F3864" w:themeColor="accent1" w:themeShade="80"/>
      <w:sz w:val="22"/>
      <w:szCs w:val="22"/>
    </w:rPr>
  </w:style>
  <w:style w:type="paragraph" w:styleId="Heading4">
    <w:name w:val="heading 4"/>
    <w:basedOn w:val="Normal"/>
    <w:next w:val="Normal"/>
    <w:link w:val="Heading4Char"/>
    <w:uiPriority w:val="9"/>
    <w:unhideWhenUsed/>
    <w:qFormat/>
    <w:rsid w:val="00905163"/>
    <w:pPr>
      <w:keepNext/>
      <w:keepLines/>
      <w:spacing w:before="60" w:after="60"/>
      <w:outlineLvl w:val="3"/>
    </w:pPr>
    <w:rPr>
      <w:rFonts w:eastAsiaTheme="majorEastAsia" w:cstheme="majorBidi"/>
      <w:b/>
      <w:bCs/>
      <w:i/>
      <w:iCs/>
      <w:u w:val="single"/>
    </w:rPr>
  </w:style>
  <w:style w:type="paragraph" w:styleId="Heading5">
    <w:name w:val="heading 5"/>
    <w:basedOn w:val="Normal"/>
    <w:next w:val="Normal"/>
    <w:link w:val="Heading5Char"/>
    <w:uiPriority w:val="9"/>
    <w:unhideWhenUsed/>
    <w:qFormat/>
    <w:rsid w:val="003D4852"/>
    <w:pPr>
      <w:outlineLvl w:val="4"/>
    </w:pPr>
    <w:rPr>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2C3C"/>
    <w:rPr>
      <w:rFonts w:eastAsiaTheme="minorEastAsia"/>
      <w:sz w:val="22"/>
      <w:szCs w:val="22"/>
      <w:lang w:val="en-US" w:eastAsia="zh-CN"/>
    </w:rPr>
  </w:style>
  <w:style w:type="character" w:customStyle="1" w:styleId="NoSpacingChar">
    <w:name w:val="No Spacing Char"/>
    <w:basedOn w:val="DefaultParagraphFont"/>
    <w:link w:val="NoSpacing"/>
    <w:uiPriority w:val="1"/>
    <w:rsid w:val="00FB2C3C"/>
    <w:rPr>
      <w:rFonts w:eastAsiaTheme="minorEastAsia"/>
      <w:sz w:val="22"/>
      <w:szCs w:val="22"/>
      <w:lang w:val="en-US" w:eastAsia="zh-CN"/>
    </w:rPr>
  </w:style>
  <w:style w:type="paragraph" w:customStyle="1" w:styleId="Subheading">
    <w:name w:val="Subheading"/>
    <w:basedOn w:val="Normal"/>
    <w:qFormat/>
    <w:rsid w:val="00B066BB"/>
    <w:pPr>
      <w:tabs>
        <w:tab w:val="left" w:pos="7780"/>
      </w:tabs>
      <w:spacing w:before="120"/>
    </w:pPr>
    <w:rPr>
      <w:rFonts w:cs="Times New Roman (Body CS)"/>
      <w:color w:val="806000" w:themeColor="accent4" w:themeShade="80"/>
      <w:spacing w:val="30"/>
    </w:rPr>
  </w:style>
  <w:style w:type="character" w:customStyle="1" w:styleId="MajorHeading">
    <w:name w:val="Major Heading"/>
    <w:basedOn w:val="DefaultParagraphFont"/>
    <w:uiPriority w:val="1"/>
    <w:qFormat/>
    <w:rsid w:val="00BE13F8"/>
    <w:rPr>
      <w:rFonts w:asciiTheme="majorHAnsi" w:hAnsiTheme="majorHAnsi" w:cs="Times New Roman (Body CS)"/>
      <w:b/>
      <w:color w:val="002060"/>
      <w:spacing w:val="120"/>
      <w:sz w:val="52"/>
      <w:szCs w:val="52"/>
    </w:rPr>
  </w:style>
  <w:style w:type="character" w:customStyle="1" w:styleId="Heading">
    <w:name w:val="Heading"/>
    <w:basedOn w:val="DefaultParagraphFont"/>
    <w:uiPriority w:val="1"/>
    <w:qFormat/>
    <w:rsid w:val="002F3685"/>
    <w:rPr>
      <w:rFonts w:asciiTheme="majorHAnsi" w:hAnsiTheme="majorHAnsi" w:cs="Times New Roman (Body CS)"/>
      <w:color w:val="0E1428"/>
      <w:sz w:val="36"/>
      <w:szCs w:val="36"/>
    </w:rPr>
  </w:style>
  <w:style w:type="paragraph" w:styleId="Header">
    <w:name w:val="header"/>
    <w:basedOn w:val="Normal"/>
    <w:link w:val="HeaderChar"/>
    <w:uiPriority w:val="99"/>
    <w:unhideWhenUsed/>
    <w:rsid w:val="00FB2C3C"/>
    <w:pPr>
      <w:tabs>
        <w:tab w:val="center" w:pos="4680"/>
        <w:tab w:val="right" w:pos="9360"/>
      </w:tabs>
    </w:pPr>
  </w:style>
  <w:style w:type="character" w:customStyle="1" w:styleId="HeaderChar">
    <w:name w:val="Header Char"/>
    <w:basedOn w:val="DefaultParagraphFont"/>
    <w:link w:val="Header"/>
    <w:uiPriority w:val="99"/>
    <w:rsid w:val="00FB2C3C"/>
  </w:style>
  <w:style w:type="paragraph" w:styleId="Footer">
    <w:name w:val="footer"/>
    <w:basedOn w:val="Normal"/>
    <w:link w:val="FooterChar"/>
    <w:uiPriority w:val="99"/>
    <w:unhideWhenUsed/>
    <w:rsid w:val="00FB2C3C"/>
    <w:pPr>
      <w:tabs>
        <w:tab w:val="center" w:pos="4680"/>
        <w:tab w:val="right" w:pos="9360"/>
      </w:tabs>
    </w:pPr>
  </w:style>
  <w:style w:type="character" w:customStyle="1" w:styleId="FooterChar">
    <w:name w:val="Footer Char"/>
    <w:basedOn w:val="DefaultParagraphFont"/>
    <w:link w:val="Footer"/>
    <w:uiPriority w:val="99"/>
    <w:rsid w:val="00FB2C3C"/>
  </w:style>
  <w:style w:type="character" w:styleId="PageNumber">
    <w:name w:val="page number"/>
    <w:basedOn w:val="DefaultParagraphFont"/>
    <w:uiPriority w:val="99"/>
    <w:semiHidden/>
    <w:unhideWhenUsed/>
    <w:rsid w:val="00FB2C3C"/>
  </w:style>
  <w:style w:type="paragraph" w:customStyle="1" w:styleId="BasicParagraph">
    <w:name w:val="[Basic Paragraph]"/>
    <w:basedOn w:val="Normal"/>
    <w:uiPriority w:val="99"/>
    <w:rsid w:val="00FB2C3C"/>
    <w:pPr>
      <w:autoSpaceDE w:val="0"/>
      <w:autoSpaceDN w:val="0"/>
      <w:adjustRightInd w:val="0"/>
      <w:spacing w:line="288" w:lineRule="auto"/>
      <w:textAlignment w:val="center"/>
    </w:pPr>
    <w:rPr>
      <w:rFonts w:ascii="Minion Pro" w:hAnsi="Minion Pro" w:cs="Minion Pro"/>
      <w:color w:val="000000"/>
      <w:lang w:val="en-US"/>
    </w:rPr>
  </w:style>
  <w:style w:type="paragraph" w:customStyle="1" w:styleId="Bodycopy">
    <w:name w:val="Body copy"/>
    <w:basedOn w:val="BasicParagraph"/>
    <w:qFormat/>
    <w:rsid w:val="00FB2C3C"/>
    <w:pPr>
      <w:tabs>
        <w:tab w:val="left" w:pos="454"/>
      </w:tabs>
      <w:suppressAutoHyphens/>
    </w:pPr>
    <w:rPr>
      <w:rFonts w:ascii="Roboto Light" w:hAnsi="Roboto Light" w:cs="Roboto Light"/>
      <w:color w:val="0E1428"/>
      <w:sz w:val="18"/>
      <w:szCs w:val="18"/>
    </w:rPr>
  </w:style>
  <w:style w:type="character" w:styleId="Hyperlink">
    <w:name w:val="Hyperlink"/>
    <w:basedOn w:val="DefaultParagraphFont"/>
    <w:uiPriority w:val="99"/>
    <w:unhideWhenUsed/>
    <w:rsid w:val="00FB2C3C"/>
    <w:rPr>
      <w:color w:val="0563C1" w:themeColor="hyperlink"/>
      <w:u w:val="single"/>
    </w:rPr>
  </w:style>
  <w:style w:type="paragraph" w:customStyle="1" w:styleId="BodyCopy1">
    <w:name w:val="Body Copy 1"/>
    <w:basedOn w:val="Normal"/>
    <w:qFormat/>
    <w:rsid w:val="00FB2C3C"/>
    <w:pPr>
      <w:suppressAutoHyphens/>
      <w:autoSpaceDE w:val="0"/>
      <w:autoSpaceDN w:val="0"/>
      <w:adjustRightInd w:val="0"/>
      <w:spacing w:line="288" w:lineRule="auto"/>
      <w:textAlignment w:val="center"/>
    </w:pPr>
    <w:rPr>
      <w:rFonts w:ascii="Roboto Light" w:hAnsi="Roboto Light" w:cs="Roboto Light"/>
      <w:color w:val="00000F"/>
      <w:lang w:val="en-US"/>
    </w:rPr>
  </w:style>
  <w:style w:type="table" w:styleId="GridTable2-Accent2">
    <w:name w:val="Grid Table 2 Accent 2"/>
    <w:basedOn w:val="TableNormal"/>
    <w:uiPriority w:val="47"/>
    <w:rsid w:val="005B64B5"/>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5B64B5"/>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E86244"/>
    <w:pPr>
      <w:tabs>
        <w:tab w:val="right" w:leader="dot" w:pos="9010"/>
      </w:tabs>
      <w:spacing w:after="100"/>
    </w:pPr>
    <w:rPr>
      <w:b/>
      <w:bCs/>
      <w:noProof/>
    </w:rPr>
  </w:style>
  <w:style w:type="paragraph" w:styleId="TOC2">
    <w:name w:val="toc 2"/>
    <w:basedOn w:val="Normal"/>
    <w:next w:val="Normal"/>
    <w:autoRedefine/>
    <w:uiPriority w:val="39"/>
    <w:unhideWhenUsed/>
    <w:rsid w:val="00C2550B"/>
    <w:pPr>
      <w:tabs>
        <w:tab w:val="left" w:pos="880"/>
        <w:tab w:val="right" w:leader="dot" w:pos="9010"/>
      </w:tabs>
      <w:spacing w:after="100"/>
      <w:ind w:left="240"/>
    </w:pPr>
  </w:style>
  <w:style w:type="paragraph" w:styleId="TOC3">
    <w:name w:val="toc 3"/>
    <w:basedOn w:val="Normal"/>
    <w:next w:val="Normal"/>
    <w:autoRedefine/>
    <w:uiPriority w:val="39"/>
    <w:unhideWhenUsed/>
    <w:rsid w:val="00D77403"/>
    <w:pPr>
      <w:spacing w:after="100"/>
      <w:ind w:left="480"/>
    </w:pPr>
  </w:style>
  <w:style w:type="table" w:styleId="TableGrid">
    <w:name w:val="Table Grid"/>
    <w:basedOn w:val="TableNormal"/>
    <w:uiPriority w:val="39"/>
    <w:rsid w:val="00B363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ullet1,List Paragraph1,Recommendation,List Paragraph11,List Paragraph2,Bulit List -  Paragraph,Colorful Shading - Accent 31,AusAID List Paragraph,Bullets,Bullet paras,Numbered Paragraph,Main numbered paragraph,123 List Paragraph,L,COOP,C"/>
    <w:basedOn w:val="Normal"/>
    <w:link w:val="ListParagraphChar"/>
    <w:uiPriority w:val="34"/>
    <w:qFormat/>
    <w:rsid w:val="00D82962"/>
    <w:pPr>
      <w:ind w:left="720"/>
      <w:contextualSpacing/>
    </w:pPr>
  </w:style>
  <w:style w:type="character" w:customStyle="1" w:styleId="ListParagraphChar">
    <w:name w:val="List Paragraph Char"/>
    <w:aliases w:val="Bullet1 Char,List Paragraph1 Char,Recommendation Char,List Paragraph11 Char,List Paragraph2 Char,Bulit List -  Paragraph Char,Colorful Shading - Accent 31 Char,AusAID List Paragraph Char,Bullets Char,Bullet paras Char,L Char,C Char"/>
    <w:basedOn w:val="DefaultParagraphFont"/>
    <w:link w:val="ListParagraph"/>
    <w:uiPriority w:val="34"/>
    <w:qFormat/>
    <w:locked/>
    <w:rsid w:val="009228A3"/>
  </w:style>
  <w:style w:type="character" w:customStyle="1" w:styleId="normaltextrun">
    <w:name w:val="normaltextrun"/>
    <w:basedOn w:val="DefaultParagraphFont"/>
    <w:rsid w:val="00E12F06"/>
  </w:style>
  <w:style w:type="character" w:styleId="CommentReference">
    <w:name w:val="annotation reference"/>
    <w:basedOn w:val="DefaultParagraphFont"/>
    <w:uiPriority w:val="99"/>
    <w:semiHidden/>
    <w:unhideWhenUsed/>
    <w:rsid w:val="00C03B9C"/>
    <w:rPr>
      <w:sz w:val="16"/>
      <w:szCs w:val="16"/>
    </w:rPr>
  </w:style>
  <w:style w:type="paragraph" w:styleId="CommentText">
    <w:name w:val="annotation text"/>
    <w:basedOn w:val="Normal"/>
    <w:link w:val="CommentTextChar"/>
    <w:uiPriority w:val="99"/>
    <w:unhideWhenUsed/>
    <w:rsid w:val="00C03B9C"/>
    <w:rPr>
      <w:sz w:val="20"/>
      <w:szCs w:val="20"/>
    </w:rPr>
  </w:style>
  <w:style w:type="character" w:customStyle="1" w:styleId="CommentTextChar">
    <w:name w:val="Comment Text Char"/>
    <w:basedOn w:val="DefaultParagraphFont"/>
    <w:link w:val="CommentText"/>
    <w:uiPriority w:val="99"/>
    <w:rsid w:val="00C03B9C"/>
    <w:rPr>
      <w:sz w:val="20"/>
      <w:szCs w:val="20"/>
    </w:rPr>
  </w:style>
  <w:style w:type="paragraph" w:styleId="CommentSubject">
    <w:name w:val="annotation subject"/>
    <w:basedOn w:val="CommentText"/>
    <w:next w:val="CommentText"/>
    <w:link w:val="CommentSubjectChar"/>
    <w:uiPriority w:val="99"/>
    <w:semiHidden/>
    <w:unhideWhenUsed/>
    <w:rsid w:val="00C03B9C"/>
    <w:rPr>
      <w:b/>
      <w:bCs/>
    </w:rPr>
  </w:style>
  <w:style w:type="character" w:customStyle="1" w:styleId="CommentSubjectChar">
    <w:name w:val="Comment Subject Char"/>
    <w:basedOn w:val="CommentTextChar"/>
    <w:link w:val="CommentSubject"/>
    <w:uiPriority w:val="99"/>
    <w:semiHidden/>
    <w:rsid w:val="00C03B9C"/>
    <w:rPr>
      <w:b/>
      <w:bCs/>
      <w:sz w:val="20"/>
      <w:szCs w:val="20"/>
    </w:rPr>
  </w:style>
  <w:style w:type="character" w:styleId="Mention">
    <w:name w:val="Mention"/>
    <w:basedOn w:val="DefaultParagraphFont"/>
    <w:uiPriority w:val="99"/>
    <w:unhideWhenUsed/>
    <w:rsid w:val="00C03B9C"/>
    <w:rPr>
      <w:color w:val="2B579A"/>
      <w:shd w:val="clear" w:color="auto" w:fill="E1DFDD"/>
    </w:rPr>
  </w:style>
  <w:style w:type="paragraph" w:customStyle="1" w:styleId="paragraph">
    <w:name w:val="paragraph"/>
    <w:basedOn w:val="Normal"/>
    <w:rsid w:val="00DC2F94"/>
    <w:pPr>
      <w:spacing w:before="100" w:beforeAutospacing="1" w:after="100" w:afterAutospacing="1"/>
    </w:pPr>
    <w:rPr>
      <w:rFonts w:ascii="Times New Roman" w:eastAsia="Times New Roman" w:hAnsi="Times New Roman" w:cs="Times New Roman"/>
      <w:lang w:eastAsia="en-AU"/>
    </w:rPr>
  </w:style>
  <w:style w:type="character" w:customStyle="1" w:styleId="eop">
    <w:name w:val="eop"/>
    <w:basedOn w:val="DefaultParagraphFont"/>
    <w:rsid w:val="00DC2F94"/>
  </w:style>
  <w:style w:type="paragraph" w:styleId="FootnoteText">
    <w:name w:val="footnote text"/>
    <w:aliases w:val="Footnote Text1,FOOTNOTES,fn,single space Char,single space,ft,Fußnote,ft Char Char,Footnote Text Char Char Char Char,Footnote Text Char Char Char Char Char,Footnote Text Char Char Char Char Char Char Char Char Char"/>
    <w:basedOn w:val="Normal"/>
    <w:link w:val="FootnoteTextChar"/>
    <w:uiPriority w:val="99"/>
    <w:unhideWhenUsed/>
    <w:qFormat/>
    <w:rsid w:val="00155E84"/>
    <w:rPr>
      <w:sz w:val="20"/>
      <w:szCs w:val="20"/>
    </w:rPr>
  </w:style>
  <w:style w:type="character" w:customStyle="1" w:styleId="FootnoteTextChar">
    <w:name w:val="Footnote Text Char"/>
    <w:aliases w:val="Footnote Text1 Char,FOOTNOTES Char,fn Char,single space Char Char,single space Char1,ft Char,Fußnote Char,ft Char Char Char,Footnote Text Char Char Char Char Char1,Footnote Text Char Char Char Char Char Char"/>
    <w:basedOn w:val="DefaultParagraphFont"/>
    <w:link w:val="FootnoteText"/>
    <w:uiPriority w:val="99"/>
    <w:rsid w:val="008B6663"/>
    <w:rPr>
      <w:sz w:val="20"/>
      <w:szCs w:val="20"/>
    </w:rPr>
  </w:style>
  <w:style w:type="character" w:styleId="FootnoteReference">
    <w:name w:val="footnote reference"/>
    <w:aliases w:val="Normal + Font:9 Point,Superscript 3 Point Times,ftref,BVI fnr,Знак сноски 1,(NECG) Footnote Reference,16 Point,Superscript 6 Point,fr,Footnote + Arial,10 pt,Black,Fußnotenzeichen DISS,Superscript 6 Point + 11 pt,Footnote Ref in FtNote"/>
    <w:basedOn w:val="DefaultParagraphFont"/>
    <w:link w:val="Char2"/>
    <w:uiPriority w:val="99"/>
    <w:unhideWhenUsed/>
    <w:qFormat/>
    <w:rsid w:val="008B6663"/>
    <w:rPr>
      <w:vertAlign w:val="superscript"/>
    </w:rPr>
  </w:style>
  <w:style w:type="character" w:styleId="UnresolvedMention">
    <w:name w:val="Unresolved Mention"/>
    <w:basedOn w:val="DefaultParagraphFont"/>
    <w:uiPriority w:val="99"/>
    <w:semiHidden/>
    <w:unhideWhenUsed/>
    <w:rsid w:val="008B6663"/>
    <w:rPr>
      <w:color w:val="605E5C"/>
      <w:shd w:val="clear" w:color="auto" w:fill="E1DFDD"/>
    </w:rPr>
  </w:style>
  <w:style w:type="paragraph" w:styleId="Caption">
    <w:name w:val="caption"/>
    <w:basedOn w:val="Normal"/>
    <w:next w:val="Normal"/>
    <w:uiPriority w:val="35"/>
    <w:unhideWhenUsed/>
    <w:qFormat/>
    <w:rsid w:val="00BF2C99"/>
    <w:pPr>
      <w:spacing w:after="200"/>
    </w:pPr>
    <w:rPr>
      <w:i/>
      <w:iCs/>
      <w:color w:val="44546A" w:themeColor="text2"/>
      <w:sz w:val="18"/>
      <w:szCs w:val="18"/>
    </w:rPr>
  </w:style>
  <w:style w:type="character" w:customStyle="1" w:styleId="findhit">
    <w:name w:val="findhit"/>
    <w:basedOn w:val="DefaultParagraphFont"/>
    <w:rsid w:val="00024179"/>
  </w:style>
  <w:style w:type="numbering" w:customStyle="1" w:styleId="NoList1">
    <w:name w:val="No List1"/>
    <w:next w:val="NoList"/>
    <w:uiPriority w:val="99"/>
    <w:semiHidden/>
    <w:unhideWhenUsed/>
    <w:rsid w:val="0078736F"/>
  </w:style>
  <w:style w:type="table" w:customStyle="1" w:styleId="TableGrid1">
    <w:name w:val="Table Grid1"/>
    <w:basedOn w:val="TableNormal"/>
    <w:next w:val="TableGrid"/>
    <w:uiPriority w:val="39"/>
    <w:rsid w:val="0078736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78736F"/>
    <w:pPr>
      <w:spacing w:after="160" w:line="240" w:lineRule="exact"/>
      <w:jc w:val="both"/>
    </w:pPr>
    <w:rPr>
      <w:vertAlign w:val="superscript"/>
    </w:rPr>
  </w:style>
  <w:style w:type="table" w:styleId="GridTable4-Accent5">
    <w:name w:val="Grid Table 4 Accent 5"/>
    <w:basedOn w:val="TableNormal"/>
    <w:uiPriority w:val="49"/>
    <w:rsid w:val="00C64E7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6">
    <w:name w:val="List Table 3 Accent 6"/>
    <w:basedOn w:val="TableNormal"/>
    <w:uiPriority w:val="48"/>
    <w:rsid w:val="00C6269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5">
    <w:name w:val="List Table 3 Accent 5"/>
    <w:basedOn w:val="TableNormal"/>
    <w:uiPriority w:val="48"/>
    <w:rsid w:val="00C6269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2">
    <w:name w:val="List Table 3 Accent 2"/>
    <w:basedOn w:val="TableNormal"/>
    <w:uiPriority w:val="48"/>
    <w:rsid w:val="00C03036"/>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Revision">
    <w:name w:val="Revision"/>
    <w:hidden/>
    <w:uiPriority w:val="99"/>
    <w:semiHidden/>
    <w:rsid w:val="0090334E"/>
  </w:style>
  <w:style w:type="table" w:styleId="ListTable3-Accent1">
    <w:name w:val="List Table 3 Accent 1"/>
    <w:basedOn w:val="TableNormal"/>
    <w:uiPriority w:val="48"/>
    <w:rsid w:val="00F14187"/>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SubtleEmphasis">
    <w:name w:val="Subtle Emphasis"/>
    <w:basedOn w:val="DefaultParagraphFont"/>
    <w:uiPriority w:val="19"/>
    <w:qFormat/>
    <w:rsid w:val="00137C94"/>
    <w:rPr>
      <w:i/>
      <w:iCs/>
      <w:color w:val="404040" w:themeColor="text1" w:themeTint="BF"/>
    </w:rPr>
  </w:style>
  <w:style w:type="table" w:customStyle="1" w:styleId="TableGrid2">
    <w:name w:val="Table Grid2"/>
    <w:basedOn w:val="TableNormal"/>
    <w:next w:val="TableGrid"/>
    <w:uiPriority w:val="39"/>
    <w:rsid w:val="000C1139"/>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24743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336E6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10008F"/>
    <w:rPr>
      <w:rFonts w:asciiTheme="majorHAnsi" w:eastAsiaTheme="majorEastAsia" w:hAnsiTheme="majorHAnsi" w:cstheme="majorBidi"/>
      <w:color w:val="002060"/>
      <w:sz w:val="36"/>
      <w:szCs w:val="36"/>
    </w:rPr>
  </w:style>
  <w:style w:type="character" w:customStyle="1" w:styleId="Heading2Char">
    <w:name w:val="Heading 2 Char"/>
    <w:basedOn w:val="DefaultParagraphFont"/>
    <w:link w:val="Heading2"/>
    <w:uiPriority w:val="9"/>
    <w:rsid w:val="00686033"/>
    <w:rPr>
      <w:rFonts w:asciiTheme="majorHAnsi" w:eastAsiaTheme="majorEastAsia" w:hAnsiTheme="majorHAnsi" w:cstheme="majorHAnsi"/>
      <w:b/>
      <w:bCs/>
      <w:color w:val="002060"/>
      <w:sz w:val="28"/>
      <w:szCs w:val="28"/>
      <w:lang w:val="en-GB"/>
    </w:rPr>
  </w:style>
  <w:style w:type="character" w:customStyle="1" w:styleId="Heading3Char">
    <w:name w:val="Heading 3 Char"/>
    <w:basedOn w:val="DefaultParagraphFont"/>
    <w:link w:val="Heading3"/>
    <w:uiPriority w:val="9"/>
    <w:rsid w:val="00AB58FF"/>
    <w:rPr>
      <w:rFonts w:asciiTheme="majorHAnsi" w:eastAsiaTheme="majorEastAsia" w:hAnsiTheme="majorHAnsi" w:cstheme="majorHAnsi"/>
      <w:b/>
      <w:bCs/>
      <w:i/>
      <w:iCs/>
      <w:color w:val="1F3864" w:themeColor="accent1" w:themeShade="80"/>
      <w:sz w:val="22"/>
      <w:szCs w:val="22"/>
      <w:lang w:val="en-GB"/>
    </w:rPr>
  </w:style>
  <w:style w:type="character" w:customStyle="1" w:styleId="Heading4Char">
    <w:name w:val="Heading 4 Char"/>
    <w:basedOn w:val="DefaultParagraphFont"/>
    <w:link w:val="Heading4"/>
    <w:uiPriority w:val="9"/>
    <w:rsid w:val="00905163"/>
    <w:rPr>
      <w:rFonts w:asciiTheme="majorHAnsi" w:eastAsiaTheme="majorEastAsia" w:hAnsiTheme="majorHAnsi" w:cstheme="majorBidi"/>
      <w:b/>
      <w:bCs/>
      <w:i/>
      <w:iCs/>
      <w:sz w:val="22"/>
      <w:szCs w:val="22"/>
      <w:u w:val="single"/>
    </w:rPr>
  </w:style>
  <w:style w:type="character" w:customStyle="1" w:styleId="Heading5Char">
    <w:name w:val="Heading 5 Char"/>
    <w:basedOn w:val="DefaultParagraphFont"/>
    <w:link w:val="Heading5"/>
    <w:uiPriority w:val="9"/>
    <w:rsid w:val="003D4852"/>
    <w:rPr>
      <w:rFonts w:asciiTheme="majorHAnsi" w:hAnsiTheme="majorHAnsi" w:cstheme="majorHAnsi"/>
      <w:b/>
      <w:bCs/>
      <w:i/>
      <w:iCs/>
      <w:color w:val="4472C4" w:themeColor="accent1"/>
      <w:sz w:val="22"/>
      <w:szCs w:val="22"/>
    </w:rPr>
  </w:style>
  <w:style w:type="paragraph" w:styleId="TOCHeading">
    <w:name w:val="TOC Heading"/>
    <w:basedOn w:val="Heading1"/>
    <w:next w:val="Normal"/>
    <w:uiPriority w:val="39"/>
    <w:unhideWhenUsed/>
    <w:qFormat/>
    <w:rsid w:val="005C3028"/>
    <w:pPr>
      <w:spacing w:after="0" w:line="259" w:lineRule="auto"/>
      <w:outlineLvl w:val="9"/>
    </w:pPr>
    <w:rPr>
      <w:sz w:val="32"/>
      <w:szCs w:val="32"/>
      <w:lang w:val="en-US"/>
    </w:rPr>
  </w:style>
  <w:style w:type="table" w:styleId="ListTable4-Accent5">
    <w:name w:val="List Table 4 Accent 5"/>
    <w:basedOn w:val="TableNormal"/>
    <w:uiPriority w:val="49"/>
    <w:rsid w:val="000117E1"/>
    <w:rPr>
      <w:kern w:val="2"/>
      <w:sz w:val="22"/>
      <w:szCs w:val="22"/>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ExecSumH1">
    <w:name w:val="Exec Sum H1"/>
    <w:basedOn w:val="Heading1"/>
    <w:link w:val="ExecSumH1Char"/>
    <w:qFormat/>
    <w:rsid w:val="00BE13F8"/>
    <w:pPr>
      <w:numPr>
        <w:numId w:val="0"/>
      </w:numPr>
    </w:pPr>
  </w:style>
  <w:style w:type="character" w:customStyle="1" w:styleId="ExecSumH1Char">
    <w:name w:val="Exec Sum H1 Char"/>
    <w:basedOn w:val="Heading1Char"/>
    <w:link w:val="ExecSumH1"/>
    <w:rsid w:val="00BE13F8"/>
    <w:rPr>
      <w:rFonts w:asciiTheme="majorHAnsi" w:eastAsiaTheme="majorEastAsia" w:hAnsiTheme="majorHAnsi" w:cstheme="majorBidi"/>
      <w:color w:val="002060"/>
      <w:sz w:val="36"/>
      <w:szCs w:val="36"/>
    </w:rPr>
  </w:style>
  <w:style w:type="paragraph" w:customStyle="1" w:styleId="ExecSumH2">
    <w:name w:val="Exec Sum H2"/>
    <w:basedOn w:val="Heading2"/>
    <w:link w:val="ExecSumH2Char"/>
    <w:qFormat/>
    <w:rsid w:val="00881A99"/>
    <w:pPr>
      <w:numPr>
        <w:ilvl w:val="0"/>
        <w:numId w:val="0"/>
      </w:numPr>
    </w:pPr>
  </w:style>
  <w:style w:type="character" w:customStyle="1" w:styleId="ExecSumH2Char">
    <w:name w:val="Exec Sum H2 Char"/>
    <w:basedOn w:val="Heading2Char"/>
    <w:link w:val="ExecSumH2"/>
    <w:rsid w:val="00881A99"/>
    <w:rPr>
      <w:rFonts w:asciiTheme="majorHAnsi" w:eastAsiaTheme="majorEastAsia" w:hAnsiTheme="majorHAnsi" w:cstheme="majorBidi"/>
      <w:b/>
      <w:bCs/>
      <w:color w:val="2F5496" w:themeColor="accent1" w:themeShade="BF"/>
      <w:sz w:val="28"/>
      <w:szCs w:val="28"/>
      <w:lang w:val="en-GB"/>
    </w:rPr>
  </w:style>
  <w:style w:type="paragraph" w:customStyle="1" w:styleId="ExecSumH3">
    <w:name w:val="Exec Sum H3"/>
    <w:basedOn w:val="Heading3"/>
    <w:link w:val="ExecSumH3Char"/>
    <w:qFormat/>
    <w:rsid w:val="00881A99"/>
    <w:pPr>
      <w:numPr>
        <w:ilvl w:val="0"/>
        <w:numId w:val="0"/>
      </w:numPr>
    </w:pPr>
  </w:style>
  <w:style w:type="character" w:customStyle="1" w:styleId="ExecSumH3Char">
    <w:name w:val="Exec Sum H3 Char"/>
    <w:basedOn w:val="Heading3Char"/>
    <w:link w:val="ExecSumH3"/>
    <w:rsid w:val="00881A99"/>
    <w:rPr>
      <w:rFonts w:asciiTheme="majorHAnsi" w:eastAsiaTheme="majorEastAsia" w:hAnsiTheme="majorHAnsi" w:cstheme="majorBidi"/>
      <w:b/>
      <w:bCs/>
      <w:i/>
      <w:iCs/>
      <w:color w:val="1F3864" w:themeColor="accent1" w:themeShade="80"/>
      <w:sz w:val="22"/>
      <w:szCs w:val="22"/>
      <w:lang w:val="en-GB"/>
    </w:rPr>
  </w:style>
  <w:style w:type="paragraph" w:customStyle="1" w:styleId="FootnoteText2">
    <w:name w:val="Footnote Text2"/>
    <w:basedOn w:val="FootnoteText"/>
    <w:link w:val="FootnotetextChar0"/>
    <w:qFormat/>
    <w:rsid w:val="00DD4C95"/>
    <w:pPr>
      <w:spacing w:after="0"/>
      <w:ind w:left="142" w:hanging="142"/>
    </w:pPr>
    <w:rPr>
      <w:sz w:val="18"/>
      <w:szCs w:val="18"/>
    </w:rPr>
  </w:style>
  <w:style w:type="character" w:customStyle="1" w:styleId="FootnotetextChar0">
    <w:name w:val="Footnote text Char"/>
    <w:basedOn w:val="FootnoteTextChar"/>
    <w:link w:val="FootnoteText2"/>
    <w:rsid w:val="00DD4C95"/>
    <w:rPr>
      <w:rFonts w:asciiTheme="majorHAnsi" w:hAnsiTheme="majorHAnsi" w:cstheme="majorHAnsi"/>
      <w:sz w:val="18"/>
      <w:szCs w:val="18"/>
    </w:rPr>
  </w:style>
  <w:style w:type="paragraph" w:customStyle="1" w:styleId="Headlinefinding">
    <w:name w:val="Headline finding"/>
    <w:basedOn w:val="Normal"/>
    <w:link w:val="HeadlinefindingChar"/>
    <w:qFormat/>
    <w:rsid w:val="00AB5A53"/>
    <w:rPr>
      <w:b/>
      <w:bCs/>
    </w:rPr>
  </w:style>
  <w:style w:type="character" w:customStyle="1" w:styleId="HeadlinefindingChar">
    <w:name w:val="Headline finding Char"/>
    <w:basedOn w:val="DefaultParagraphFont"/>
    <w:link w:val="Headlinefinding"/>
    <w:rsid w:val="00AB5A53"/>
    <w:rPr>
      <w:rFonts w:asciiTheme="majorHAnsi" w:hAnsiTheme="majorHAnsi" w:cstheme="majorHAnsi"/>
      <w:b/>
      <w:bCs/>
      <w:sz w:val="22"/>
      <w:szCs w:val="22"/>
    </w:rPr>
  </w:style>
  <w:style w:type="paragraph" w:styleId="Quote">
    <w:name w:val="Quote"/>
    <w:basedOn w:val="Normal"/>
    <w:next w:val="Normal"/>
    <w:link w:val="QuoteChar"/>
    <w:uiPriority w:val="29"/>
    <w:qFormat/>
    <w:rsid w:val="00554629"/>
    <w:pPr>
      <w:shd w:val="clear" w:color="auto" w:fill="F2F2F2" w:themeFill="background1" w:themeFillShade="F2"/>
      <w:spacing w:after="160"/>
      <w:ind w:left="567" w:right="798"/>
    </w:pPr>
    <w:rPr>
      <w:i/>
      <w:iCs/>
      <w:color w:val="404040" w:themeColor="text1" w:themeTint="BF"/>
    </w:rPr>
  </w:style>
  <w:style w:type="character" w:customStyle="1" w:styleId="QuoteChar">
    <w:name w:val="Quote Char"/>
    <w:basedOn w:val="DefaultParagraphFont"/>
    <w:link w:val="Quote"/>
    <w:uiPriority w:val="29"/>
    <w:rsid w:val="00554629"/>
    <w:rPr>
      <w:rFonts w:asciiTheme="majorHAnsi" w:hAnsiTheme="majorHAnsi" w:cstheme="majorHAnsi"/>
      <w:i/>
      <w:iCs/>
      <w:color w:val="404040" w:themeColor="text1" w:themeTint="BF"/>
      <w:sz w:val="22"/>
      <w:szCs w:val="22"/>
      <w:shd w:val="clear" w:color="auto" w:fill="F2F2F2" w:themeFill="background1" w:themeFillShade="F2"/>
    </w:rPr>
  </w:style>
  <w:style w:type="paragraph" w:customStyle="1" w:styleId="TableText">
    <w:name w:val="Table Text"/>
    <w:basedOn w:val="Normal"/>
    <w:link w:val="TableTextChar"/>
    <w:qFormat/>
    <w:rsid w:val="001347E0"/>
    <w:pPr>
      <w:spacing w:after="0"/>
    </w:pPr>
    <w:rPr>
      <w:sz w:val="20"/>
      <w:szCs w:val="20"/>
    </w:rPr>
  </w:style>
  <w:style w:type="character" w:customStyle="1" w:styleId="TableTextChar">
    <w:name w:val="Table Text Char"/>
    <w:basedOn w:val="DefaultParagraphFont"/>
    <w:link w:val="TableText"/>
    <w:rsid w:val="001347E0"/>
    <w:rPr>
      <w:rFonts w:asciiTheme="majorHAnsi" w:hAnsiTheme="majorHAnsi" w:cstheme="majorHAnsi"/>
      <w:sz w:val="20"/>
      <w:szCs w:val="20"/>
    </w:rPr>
  </w:style>
  <w:style w:type="paragraph" w:customStyle="1" w:styleId="Default">
    <w:name w:val="Default"/>
    <w:rsid w:val="007D0D5E"/>
    <w:pPr>
      <w:autoSpaceDE w:val="0"/>
      <w:autoSpaceDN w:val="0"/>
      <w:adjustRightInd w:val="0"/>
    </w:pPr>
    <w:rPr>
      <w:rFonts w:ascii="Calibri Light" w:hAnsi="Calibri Light" w:cs="Calibri Light"/>
      <w:color w:val="000000"/>
    </w:rPr>
  </w:style>
  <w:style w:type="table" w:styleId="GridTable5Dark-Accent1">
    <w:name w:val="Grid Table 5 Dark Accent 1"/>
    <w:basedOn w:val="TableNormal"/>
    <w:uiPriority w:val="50"/>
    <w:rsid w:val="00032A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GridLight">
    <w:name w:val="Grid Table Light"/>
    <w:basedOn w:val="TableNormal"/>
    <w:uiPriority w:val="40"/>
    <w:rsid w:val="00FE1D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5109BF"/>
    <w:pPr>
      <w:spacing w:after="0"/>
    </w:pPr>
  </w:style>
  <w:style w:type="table" w:customStyle="1" w:styleId="TableGridLight1">
    <w:name w:val="Table Grid Light1"/>
    <w:basedOn w:val="TableNormal"/>
    <w:next w:val="TableGridLight"/>
    <w:uiPriority w:val="40"/>
    <w:rsid w:val="00966A61"/>
    <w:rPr>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BA1718"/>
    <w:pPr>
      <w:spacing w:before="100" w:beforeAutospacing="1" w:after="100" w:afterAutospacing="1"/>
    </w:pPr>
    <w:rPr>
      <w:rFonts w:ascii="Times New Roman" w:eastAsia="Times New Roman" w:hAnsi="Times New Roman" w:cs="Times New Roman"/>
      <w:sz w:val="24"/>
      <w:szCs w:val="24"/>
      <w:lang w:eastAsia="zh-CN" w:bidi="th-TH"/>
    </w:rPr>
  </w:style>
  <w:style w:type="table" w:customStyle="1" w:styleId="TableGrid11">
    <w:name w:val="Table Grid11"/>
    <w:basedOn w:val="TableNormal"/>
    <w:next w:val="TableGrid"/>
    <w:uiPriority w:val="39"/>
    <w:rsid w:val="000C0C0A"/>
    <w:rPr>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4">
    <w:name w:val="Plain Table 4"/>
    <w:basedOn w:val="TableNormal"/>
    <w:uiPriority w:val="44"/>
    <w:rsid w:val="000C0C0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19161A"/>
    <w:pPr>
      <w:suppressAutoHyphens/>
      <w:spacing w:before="120" w:after="60" w:line="260" w:lineRule="atLeast"/>
    </w:pPr>
    <w:rPr>
      <w:rFonts w:asciiTheme="minorHAnsi" w:hAnsiTheme="minorHAnsi" w:cstheme="minorBidi"/>
      <w:color w:val="44546A" w:themeColor="text2"/>
      <w:lang w:val="en-GB"/>
    </w:rPr>
  </w:style>
  <w:style w:type="character" w:customStyle="1" w:styleId="BodyTextChar">
    <w:name w:val="Body Text Char"/>
    <w:basedOn w:val="DefaultParagraphFont"/>
    <w:link w:val="BodyText"/>
    <w:uiPriority w:val="99"/>
    <w:rsid w:val="0019161A"/>
    <w:rPr>
      <w:color w:val="44546A" w:themeColor="text2"/>
      <w:sz w:val="22"/>
      <w:szCs w:val="22"/>
      <w:lang w:val="en-GB"/>
    </w:rPr>
  </w:style>
  <w:style w:type="character" w:customStyle="1" w:styleId="cf21">
    <w:name w:val="cf21"/>
    <w:basedOn w:val="DefaultParagraphFont"/>
    <w:rsid w:val="00267F32"/>
    <w:rPr>
      <w:rFonts w:asciiTheme="minorHAnsi" w:hAnsiTheme="minorHAnsi" w:cs="Calibri"/>
      <w:lang w:val="en-GB"/>
    </w:rPr>
  </w:style>
  <w:style w:type="character" w:styleId="Emphasis">
    <w:name w:val="Emphasis"/>
    <w:basedOn w:val="DefaultParagraphFont"/>
    <w:uiPriority w:val="20"/>
    <w:qFormat/>
    <w:rsid w:val="007E240F"/>
    <w:rPr>
      <w:i/>
      <w:iCs/>
    </w:rPr>
  </w:style>
  <w:style w:type="numbering" w:customStyle="1" w:styleId="CurrentList1">
    <w:name w:val="Current List1"/>
    <w:uiPriority w:val="99"/>
    <w:rsid w:val="0091229C"/>
    <w:pPr>
      <w:numPr>
        <w:numId w:val="19"/>
      </w:numPr>
    </w:pPr>
  </w:style>
  <w:style w:type="numbering" w:customStyle="1" w:styleId="CurrentList2">
    <w:name w:val="Current List2"/>
    <w:uiPriority w:val="99"/>
    <w:rsid w:val="0091229C"/>
    <w:pPr>
      <w:numPr>
        <w:numId w:val="20"/>
      </w:numPr>
    </w:pPr>
  </w:style>
  <w:style w:type="character" w:styleId="FollowedHyperlink">
    <w:name w:val="FollowedHyperlink"/>
    <w:basedOn w:val="DefaultParagraphFont"/>
    <w:uiPriority w:val="99"/>
    <w:semiHidden/>
    <w:unhideWhenUsed/>
    <w:rsid w:val="003B601D"/>
    <w:rPr>
      <w:color w:val="954F72" w:themeColor="followedHyperlink"/>
      <w:u w:val="single"/>
    </w:rPr>
  </w:style>
  <w:style w:type="character" w:customStyle="1" w:styleId="cf01">
    <w:name w:val="cf01"/>
    <w:basedOn w:val="DefaultParagraphFont"/>
    <w:rsid w:val="00867FB2"/>
    <w:rPr>
      <w:rFonts w:ascii="Segoe UI" w:hAnsi="Segoe UI" w:cs="Segoe UI" w:hint="default"/>
      <w:sz w:val="18"/>
      <w:szCs w:val="18"/>
    </w:rPr>
  </w:style>
  <w:style w:type="paragraph" w:customStyle="1" w:styleId="pf0">
    <w:name w:val="pf0"/>
    <w:basedOn w:val="Normal"/>
    <w:rsid w:val="001712CD"/>
    <w:pPr>
      <w:spacing w:before="100" w:beforeAutospacing="1" w:after="100" w:afterAutospacing="1"/>
    </w:pPr>
    <w:rPr>
      <w:rFonts w:ascii="Times New Roman" w:eastAsia="Times New Roman" w:hAnsi="Times New Roman" w:cs="Times New Roman"/>
      <w:sz w:val="24"/>
      <w:szCs w:val="24"/>
      <w:lang w:eastAsia="en-AU"/>
    </w:rPr>
  </w:style>
  <w:style w:type="table" w:styleId="GridTable1Light-Accent5">
    <w:name w:val="Grid Table 1 Light Accent 5"/>
    <w:basedOn w:val="TableNormal"/>
    <w:uiPriority w:val="46"/>
    <w:rsid w:val="0000389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35">
      <w:bodyDiv w:val="1"/>
      <w:marLeft w:val="0"/>
      <w:marRight w:val="0"/>
      <w:marTop w:val="0"/>
      <w:marBottom w:val="0"/>
      <w:divBdr>
        <w:top w:val="none" w:sz="0" w:space="0" w:color="auto"/>
        <w:left w:val="none" w:sz="0" w:space="0" w:color="auto"/>
        <w:bottom w:val="none" w:sz="0" w:space="0" w:color="auto"/>
        <w:right w:val="none" w:sz="0" w:space="0" w:color="auto"/>
      </w:divBdr>
      <w:divsChild>
        <w:div w:id="1003633308">
          <w:marLeft w:val="547"/>
          <w:marRight w:val="0"/>
          <w:marTop w:val="0"/>
          <w:marBottom w:val="0"/>
          <w:divBdr>
            <w:top w:val="none" w:sz="0" w:space="0" w:color="auto"/>
            <w:left w:val="none" w:sz="0" w:space="0" w:color="auto"/>
            <w:bottom w:val="none" w:sz="0" w:space="0" w:color="auto"/>
            <w:right w:val="none" w:sz="0" w:space="0" w:color="auto"/>
          </w:divBdr>
        </w:div>
      </w:divsChild>
    </w:div>
    <w:div w:id="49041141">
      <w:bodyDiv w:val="1"/>
      <w:marLeft w:val="0"/>
      <w:marRight w:val="0"/>
      <w:marTop w:val="0"/>
      <w:marBottom w:val="0"/>
      <w:divBdr>
        <w:top w:val="none" w:sz="0" w:space="0" w:color="auto"/>
        <w:left w:val="none" w:sz="0" w:space="0" w:color="auto"/>
        <w:bottom w:val="none" w:sz="0" w:space="0" w:color="auto"/>
        <w:right w:val="none" w:sz="0" w:space="0" w:color="auto"/>
      </w:divBdr>
      <w:divsChild>
        <w:div w:id="664628859">
          <w:marLeft w:val="547"/>
          <w:marRight w:val="0"/>
          <w:marTop w:val="0"/>
          <w:marBottom w:val="0"/>
          <w:divBdr>
            <w:top w:val="none" w:sz="0" w:space="0" w:color="auto"/>
            <w:left w:val="none" w:sz="0" w:space="0" w:color="auto"/>
            <w:bottom w:val="none" w:sz="0" w:space="0" w:color="auto"/>
            <w:right w:val="none" w:sz="0" w:space="0" w:color="auto"/>
          </w:divBdr>
        </w:div>
        <w:div w:id="1361778443">
          <w:marLeft w:val="1267"/>
          <w:marRight w:val="0"/>
          <w:marTop w:val="0"/>
          <w:marBottom w:val="0"/>
          <w:divBdr>
            <w:top w:val="none" w:sz="0" w:space="0" w:color="auto"/>
            <w:left w:val="none" w:sz="0" w:space="0" w:color="auto"/>
            <w:bottom w:val="none" w:sz="0" w:space="0" w:color="auto"/>
            <w:right w:val="none" w:sz="0" w:space="0" w:color="auto"/>
          </w:divBdr>
        </w:div>
        <w:div w:id="1918515584">
          <w:marLeft w:val="547"/>
          <w:marRight w:val="0"/>
          <w:marTop w:val="0"/>
          <w:marBottom w:val="0"/>
          <w:divBdr>
            <w:top w:val="none" w:sz="0" w:space="0" w:color="auto"/>
            <w:left w:val="none" w:sz="0" w:space="0" w:color="auto"/>
            <w:bottom w:val="none" w:sz="0" w:space="0" w:color="auto"/>
            <w:right w:val="none" w:sz="0" w:space="0" w:color="auto"/>
          </w:divBdr>
        </w:div>
      </w:divsChild>
    </w:div>
    <w:div w:id="58329871">
      <w:bodyDiv w:val="1"/>
      <w:marLeft w:val="0"/>
      <w:marRight w:val="0"/>
      <w:marTop w:val="0"/>
      <w:marBottom w:val="0"/>
      <w:divBdr>
        <w:top w:val="none" w:sz="0" w:space="0" w:color="auto"/>
        <w:left w:val="none" w:sz="0" w:space="0" w:color="auto"/>
        <w:bottom w:val="none" w:sz="0" w:space="0" w:color="auto"/>
        <w:right w:val="none" w:sz="0" w:space="0" w:color="auto"/>
      </w:divBdr>
      <w:divsChild>
        <w:div w:id="737940748">
          <w:marLeft w:val="1296"/>
          <w:marRight w:val="0"/>
          <w:marTop w:val="100"/>
          <w:marBottom w:val="0"/>
          <w:divBdr>
            <w:top w:val="none" w:sz="0" w:space="0" w:color="auto"/>
            <w:left w:val="none" w:sz="0" w:space="0" w:color="auto"/>
            <w:bottom w:val="none" w:sz="0" w:space="0" w:color="auto"/>
            <w:right w:val="none" w:sz="0" w:space="0" w:color="auto"/>
          </w:divBdr>
        </w:div>
      </w:divsChild>
    </w:div>
    <w:div w:id="89011561">
      <w:bodyDiv w:val="1"/>
      <w:marLeft w:val="0"/>
      <w:marRight w:val="0"/>
      <w:marTop w:val="0"/>
      <w:marBottom w:val="0"/>
      <w:divBdr>
        <w:top w:val="none" w:sz="0" w:space="0" w:color="auto"/>
        <w:left w:val="none" w:sz="0" w:space="0" w:color="auto"/>
        <w:bottom w:val="none" w:sz="0" w:space="0" w:color="auto"/>
        <w:right w:val="none" w:sz="0" w:space="0" w:color="auto"/>
      </w:divBdr>
    </w:div>
    <w:div w:id="94906708">
      <w:bodyDiv w:val="1"/>
      <w:marLeft w:val="0"/>
      <w:marRight w:val="0"/>
      <w:marTop w:val="0"/>
      <w:marBottom w:val="0"/>
      <w:divBdr>
        <w:top w:val="none" w:sz="0" w:space="0" w:color="auto"/>
        <w:left w:val="none" w:sz="0" w:space="0" w:color="auto"/>
        <w:bottom w:val="none" w:sz="0" w:space="0" w:color="auto"/>
        <w:right w:val="none" w:sz="0" w:space="0" w:color="auto"/>
      </w:divBdr>
      <w:divsChild>
        <w:div w:id="887376504">
          <w:marLeft w:val="576"/>
          <w:marRight w:val="0"/>
          <w:marTop w:val="200"/>
          <w:marBottom w:val="0"/>
          <w:divBdr>
            <w:top w:val="none" w:sz="0" w:space="0" w:color="auto"/>
            <w:left w:val="none" w:sz="0" w:space="0" w:color="auto"/>
            <w:bottom w:val="none" w:sz="0" w:space="0" w:color="auto"/>
            <w:right w:val="none" w:sz="0" w:space="0" w:color="auto"/>
          </w:divBdr>
        </w:div>
      </w:divsChild>
    </w:div>
    <w:div w:id="155149681">
      <w:bodyDiv w:val="1"/>
      <w:marLeft w:val="0"/>
      <w:marRight w:val="0"/>
      <w:marTop w:val="0"/>
      <w:marBottom w:val="0"/>
      <w:divBdr>
        <w:top w:val="none" w:sz="0" w:space="0" w:color="auto"/>
        <w:left w:val="none" w:sz="0" w:space="0" w:color="auto"/>
        <w:bottom w:val="none" w:sz="0" w:space="0" w:color="auto"/>
        <w:right w:val="none" w:sz="0" w:space="0" w:color="auto"/>
      </w:divBdr>
    </w:div>
    <w:div w:id="163251612">
      <w:bodyDiv w:val="1"/>
      <w:marLeft w:val="0"/>
      <w:marRight w:val="0"/>
      <w:marTop w:val="0"/>
      <w:marBottom w:val="0"/>
      <w:divBdr>
        <w:top w:val="none" w:sz="0" w:space="0" w:color="auto"/>
        <w:left w:val="none" w:sz="0" w:space="0" w:color="auto"/>
        <w:bottom w:val="none" w:sz="0" w:space="0" w:color="auto"/>
        <w:right w:val="none" w:sz="0" w:space="0" w:color="auto"/>
      </w:divBdr>
      <w:divsChild>
        <w:div w:id="1981613844">
          <w:marLeft w:val="547"/>
          <w:marRight w:val="0"/>
          <w:marTop w:val="0"/>
          <w:marBottom w:val="0"/>
          <w:divBdr>
            <w:top w:val="none" w:sz="0" w:space="0" w:color="auto"/>
            <w:left w:val="none" w:sz="0" w:space="0" w:color="auto"/>
            <w:bottom w:val="none" w:sz="0" w:space="0" w:color="auto"/>
            <w:right w:val="none" w:sz="0" w:space="0" w:color="auto"/>
          </w:divBdr>
        </w:div>
      </w:divsChild>
    </w:div>
    <w:div w:id="184632715">
      <w:bodyDiv w:val="1"/>
      <w:marLeft w:val="0"/>
      <w:marRight w:val="0"/>
      <w:marTop w:val="0"/>
      <w:marBottom w:val="0"/>
      <w:divBdr>
        <w:top w:val="none" w:sz="0" w:space="0" w:color="auto"/>
        <w:left w:val="none" w:sz="0" w:space="0" w:color="auto"/>
        <w:bottom w:val="none" w:sz="0" w:space="0" w:color="auto"/>
        <w:right w:val="none" w:sz="0" w:space="0" w:color="auto"/>
      </w:divBdr>
      <w:divsChild>
        <w:div w:id="1012100217">
          <w:marLeft w:val="1296"/>
          <w:marRight w:val="0"/>
          <w:marTop w:val="200"/>
          <w:marBottom w:val="0"/>
          <w:divBdr>
            <w:top w:val="none" w:sz="0" w:space="0" w:color="auto"/>
            <w:left w:val="none" w:sz="0" w:space="0" w:color="auto"/>
            <w:bottom w:val="none" w:sz="0" w:space="0" w:color="auto"/>
            <w:right w:val="none" w:sz="0" w:space="0" w:color="auto"/>
          </w:divBdr>
        </w:div>
      </w:divsChild>
    </w:div>
    <w:div w:id="200016942">
      <w:bodyDiv w:val="1"/>
      <w:marLeft w:val="0"/>
      <w:marRight w:val="0"/>
      <w:marTop w:val="0"/>
      <w:marBottom w:val="0"/>
      <w:divBdr>
        <w:top w:val="none" w:sz="0" w:space="0" w:color="auto"/>
        <w:left w:val="none" w:sz="0" w:space="0" w:color="auto"/>
        <w:bottom w:val="none" w:sz="0" w:space="0" w:color="auto"/>
        <w:right w:val="none" w:sz="0" w:space="0" w:color="auto"/>
      </w:divBdr>
      <w:divsChild>
        <w:div w:id="51586251">
          <w:marLeft w:val="1296"/>
          <w:marRight w:val="0"/>
          <w:marTop w:val="0"/>
          <w:marBottom w:val="0"/>
          <w:divBdr>
            <w:top w:val="none" w:sz="0" w:space="0" w:color="auto"/>
            <w:left w:val="none" w:sz="0" w:space="0" w:color="auto"/>
            <w:bottom w:val="none" w:sz="0" w:space="0" w:color="auto"/>
            <w:right w:val="none" w:sz="0" w:space="0" w:color="auto"/>
          </w:divBdr>
        </w:div>
        <w:div w:id="128523666">
          <w:marLeft w:val="1296"/>
          <w:marRight w:val="0"/>
          <w:marTop w:val="0"/>
          <w:marBottom w:val="0"/>
          <w:divBdr>
            <w:top w:val="none" w:sz="0" w:space="0" w:color="auto"/>
            <w:left w:val="none" w:sz="0" w:space="0" w:color="auto"/>
            <w:bottom w:val="none" w:sz="0" w:space="0" w:color="auto"/>
            <w:right w:val="none" w:sz="0" w:space="0" w:color="auto"/>
          </w:divBdr>
        </w:div>
        <w:div w:id="249700658">
          <w:marLeft w:val="1296"/>
          <w:marRight w:val="0"/>
          <w:marTop w:val="0"/>
          <w:marBottom w:val="0"/>
          <w:divBdr>
            <w:top w:val="none" w:sz="0" w:space="0" w:color="auto"/>
            <w:left w:val="none" w:sz="0" w:space="0" w:color="auto"/>
            <w:bottom w:val="none" w:sz="0" w:space="0" w:color="auto"/>
            <w:right w:val="none" w:sz="0" w:space="0" w:color="auto"/>
          </w:divBdr>
        </w:div>
      </w:divsChild>
    </w:div>
    <w:div w:id="205725625">
      <w:bodyDiv w:val="1"/>
      <w:marLeft w:val="0"/>
      <w:marRight w:val="0"/>
      <w:marTop w:val="0"/>
      <w:marBottom w:val="0"/>
      <w:divBdr>
        <w:top w:val="none" w:sz="0" w:space="0" w:color="auto"/>
        <w:left w:val="none" w:sz="0" w:space="0" w:color="auto"/>
        <w:bottom w:val="none" w:sz="0" w:space="0" w:color="auto"/>
        <w:right w:val="none" w:sz="0" w:space="0" w:color="auto"/>
      </w:divBdr>
      <w:divsChild>
        <w:div w:id="1661733899">
          <w:marLeft w:val="576"/>
          <w:marRight w:val="0"/>
          <w:marTop w:val="200"/>
          <w:marBottom w:val="0"/>
          <w:divBdr>
            <w:top w:val="none" w:sz="0" w:space="0" w:color="auto"/>
            <w:left w:val="none" w:sz="0" w:space="0" w:color="auto"/>
            <w:bottom w:val="none" w:sz="0" w:space="0" w:color="auto"/>
            <w:right w:val="none" w:sz="0" w:space="0" w:color="auto"/>
          </w:divBdr>
        </w:div>
      </w:divsChild>
    </w:div>
    <w:div w:id="206770187">
      <w:bodyDiv w:val="1"/>
      <w:marLeft w:val="0"/>
      <w:marRight w:val="0"/>
      <w:marTop w:val="0"/>
      <w:marBottom w:val="0"/>
      <w:divBdr>
        <w:top w:val="none" w:sz="0" w:space="0" w:color="auto"/>
        <w:left w:val="none" w:sz="0" w:space="0" w:color="auto"/>
        <w:bottom w:val="none" w:sz="0" w:space="0" w:color="auto"/>
        <w:right w:val="none" w:sz="0" w:space="0" w:color="auto"/>
      </w:divBdr>
      <w:divsChild>
        <w:div w:id="1020155966">
          <w:marLeft w:val="1296"/>
          <w:marRight w:val="0"/>
          <w:marTop w:val="0"/>
          <w:marBottom w:val="0"/>
          <w:divBdr>
            <w:top w:val="none" w:sz="0" w:space="0" w:color="auto"/>
            <w:left w:val="none" w:sz="0" w:space="0" w:color="auto"/>
            <w:bottom w:val="none" w:sz="0" w:space="0" w:color="auto"/>
            <w:right w:val="none" w:sz="0" w:space="0" w:color="auto"/>
          </w:divBdr>
        </w:div>
        <w:div w:id="1323394179">
          <w:marLeft w:val="1296"/>
          <w:marRight w:val="0"/>
          <w:marTop w:val="0"/>
          <w:marBottom w:val="0"/>
          <w:divBdr>
            <w:top w:val="none" w:sz="0" w:space="0" w:color="auto"/>
            <w:left w:val="none" w:sz="0" w:space="0" w:color="auto"/>
            <w:bottom w:val="none" w:sz="0" w:space="0" w:color="auto"/>
            <w:right w:val="none" w:sz="0" w:space="0" w:color="auto"/>
          </w:divBdr>
        </w:div>
      </w:divsChild>
    </w:div>
    <w:div w:id="207843519">
      <w:bodyDiv w:val="1"/>
      <w:marLeft w:val="0"/>
      <w:marRight w:val="0"/>
      <w:marTop w:val="0"/>
      <w:marBottom w:val="0"/>
      <w:divBdr>
        <w:top w:val="none" w:sz="0" w:space="0" w:color="auto"/>
        <w:left w:val="none" w:sz="0" w:space="0" w:color="auto"/>
        <w:bottom w:val="none" w:sz="0" w:space="0" w:color="auto"/>
        <w:right w:val="none" w:sz="0" w:space="0" w:color="auto"/>
      </w:divBdr>
      <w:divsChild>
        <w:div w:id="743185675">
          <w:marLeft w:val="1296"/>
          <w:marRight w:val="0"/>
          <w:marTop w:val="100"/>
          <w:marBottom w:val="0"/>
          <w:divBdr>
            <w:top w:val="none" w:sz="0" w:space="0" w:color="auto"/>
            <w:left w:val="none" w:sz="0" w:space="0" w:color="auto"/>
            <w:bottom w:val="none" w:sz="0" w:space="0" w:color="auto"/>
            <w:right w:val="none" w:sz="0" w:space="0" w:color="auto"/>
          </w:divBdr>
        </w:div>
        <w:div w:id="2110931039">
          <w:marLeft w:val="1296"/>
          <w:marRight w:val="0"/>
          <w:marTop w:val="100"/>
          <w:marBottom w:val="0"/>
          <w:divBdr>
            <w:top w:val="none" w:sz="0" w:space="0" w:color="auto"/>
            <w:left w:val="none" w:sz="0" w:space="0" w:color="auto"/>
            <w:bottom w:val="none" w:sz="0" w:space="0" w:color="auto"/>
            <w:right w:val="none" w:sz="0" w:space="0" w:color="auto"/>
          </w:divBdr>
        </w:div>
      </w:divsChild>
    </w:div>
    <w:div w:id="266546762">
      <w:bodyDiv w:val="1"/>
      <w:marLeft w:val="0"/>
      <w:marRight w:val="0"/>
      <w:marTop w:val="0"/>
      <w:marBottom w:val="0"/>
      <w:divBdr>
        <w:top w:val="none" w:sz="0" w:space="0" w:color="auto"/>
        <w:left w:val="none" w:sz="0" w:space="0" w:color="auto"/>
        <w:bottom w:val="none" w:sz="0" w:space="0" w:color="auto"/>
        <w:right w:val="none" w:sz="0" w:space="0" w:color="auto"/>
      </w:divBdr>
      <w:divsChild>
        <w:div w:id="1024094209">
          <w:marLeft w:val="576"/>
          <w:marRight w:val="0"/>
          <w:marTop w:val="200"/>
          <w:marBottom w:val="0"/>
          <w:divBdr>
            <w:top w:val="none" w:sz="0" w:space="0" w:color="auto"/>
            <w:left w:val="none" w:sz="0" w:space="0" w:color="auto"/>
            <w:bottom w:val="none" w:sz="0" w:space="0" w:color="auto"/>
            <w:right w:val="none" w:sz="0" w:space="0" w:color="auto"/>
          </w:divBdr>
        </w:div>
      </w:divsChild>
    </w:div>
    <w:div w:id="323289756">
      <w:bodyDiv w:val="1"/>
      <w:marLeft w:val="0"/>
      <w:marRight w:val="0"/>
      <w:marTop w:val="0"/>
      <w:marBottom w:val="0"/>
      <w:divBdr>
        <w:top w:val="none" w:sz="0" w:space="0" w:color="auto"/>
        <w:left w:val="none" w:sz="0" w:space="0" w:color="auto"/>
        <w:bottom w:val="none" w:sz="0" w:space="0" w:color="auto"/>
        <w:right w:val="none" w:sz="0" w:space="0" w:color="auto"/>
      </w:divBdr>
      <w:divsChild>
        <w:div w:id="2145388058">
          <w:marLeft w:val="0"/>
          <w:marRight w:val="0"/>
          <w:marTop w:val="0"/>
          <w:marBottom w:val="0"/>
          <w:divBdr>
            <w:top w:val="none" w:sz="0" w:space="0" w:color="auto"/>
            <w:left w:val="none" w:sz="0" w:space="0" w:color="auto"/>
            <w:bottom w:val="none" w:sz="0" w:space="0" w:color="auto"/>
            <w:right w:val="none" w:sz="0" w:space="0" w:color="auto"/>
          </w:divBdr>
          <w:divsChild>
            <w:div w:id="400257836">
              <w:marLeft w:val="0"/>
              <w:marRight w:val="0"/>
              <w:marTop w:val="0"/>
              <w:marBottom w:val="0"/>
              <w:divBdr>
                <w:top w:val="none" w:sz="0" w:space="0" w:color="auto"/>
                <w:left w:val="none" w:sz="0" w:space="0" w:color="auto"/>
                <w:bottom w:val="none" w:sz="0" w:space="0" w:color="auto"/>
                <w:right w:val="none" w:sz="0" w:space="0" w:color="auto"/>
              </w:divBdr>
              <w:divsChild>
                <w:div w:id="322709447">
                  <w:marLeft w:val="0"/>
                  <w:marRight w:val="0"/>
                  <w:marTop w:val="0"/>
                  <w:marBottom w:val="0"/>
                  <w:divBdr>
                    <w:top w:val="none" w:sz="0" w:space="0" w:color="auto"/>
                    <w:left w:val="none" w:sz="0" w:space="0" w:color="auto"/>
                    <w:bottom w:val="none" w:sz="0" w:space="0" w:color="auto"/>
                    <w:right w:val="none" w:sz="0" w:space="0" w:color="auto"/>
                  </w:divBdr>
                  <w:divsChild>
                    <w:div w:id="3236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786894">
      <w:bodyDiv w:val="1"/>
      <w:marLeft w:val="0"/>
      <w:marRight w:val="0"/>
      <w:marTop w:val="0"/>
      <w:marBottom w:val="0"/>
      <w:divBdr>
        <w:top w:val="none" w:sz="0" w:space="0" w:color="auto"/>
        <w:left w:val="none" w:sz="0" w:space="0" w:color="auto"/>
        <w:bottom w:val="none" w:sz="0" w:space="0" w:color="auto"/>
        <w:right w:val="none" w:sz="0" w:space="0" w:color="auto"/>
      </w:divBdr>
      <w:divsChild>
        <w:div w:id="212236184">
          <w:marLeft w:val="1296"/>
          <w:marRight w:val="0"/>
          <w:marTop w:val="100"/>
          <w:marBottom w:val="0"/>
          <w:divBdr>
            <w:top w:val="none" w:sz="0" w:space="0" w:color="auto"/>
            <w:left w:val="none" w:sz="0" w:space="0" w:color="auto"/>
            <w:bottom w:val="none" w:sz="0" w:space="0" w:color="auto"/>
            <w:right w:val="none" w:sz="0" w:space="0" w:color="auto"/>
          </w:divBdr>
        </w:div>
        <w:div w:id="232279533">
          <w:marLeft w:val="1296"/>
          <w:marRight w:val="0"/>
          <w:marTop w:val="100"/>
          <w:marBottom w:val="0"/>
          <w:divBdr>
            <w:top w:val="none" w:sz="0" w:space="0" w:color="auto"/>
            <w:left w:val="none" w:sz="0" w:space="0" w:color="auto"/>
            <w:bottom w:val="none" w:sz="0" w:space="0" w:color="auto"/>
            <w:right w:val="none" w:sz="0" w:space="0" w:color="auto"/>
          </w:divBdr>
        </w:div>
        <w:div w:id="367263918">
          <w:marLeft w:val="1296"/>
          <w:marRight w:val="0"/>
          <w:marTop w:val="100"/>
          <w:marBottom w:val="0"/>
          <w:divBdr>
            <w:top w:val="none" w:sz="0" w:space="0" w:color="auto"/>
            <w:left w:val="none" w:sz="0" w:space="0" w:color="auto"/>
            <w:bottom w:val="none" w:sz="0" w:space="0" w:color="auto"/>
            <w:right w:val="none" w:sz="0" w:space="0" w:color="auto"/>
          </w:divBdr>
        </w:div>
        <w:div w:id="460153316">
          <w:marLeft w:val="576"/>
          <w:marRight w:val="0"/>
          <w:marTop w:val="200"/>
          <w:marBottom w:val="0"/>
          <w:divBdr>
            <w:top w:val="none" w:sz="0" w:space="0" w:color="auto"/>
            <w:left w:val="none" w:sz="0" w:space="0" w:color="auto"/>
            <w:bottom w:val="none" w:sz="0" w:space="0" w:color="auto"/>
            <w:right w:val="none" w:sz="0" w:space="0" w:color="auto"/>
          </w:divBdr>
        </w:div>
        <w:div w:id="751317867">
          <w:marLeft w:val="576"/>
          <w:marRight w:val="0"/>
          <w:marTop w:val="200"/>
          <w:marBottom w:val="0"/>
          <w:divBdr>
            <w:top w:val="none" w:sz="0" w:space="0" w:color="auto"/>
            <w:left w:val="none" w:sz="0" w:space="0" w:color="auto"/>
            <w:bottom w:val="none" w:sz="0" w:space="0" w:color="auto"/>
            <w:right w:val="none" w:sz="0" w:space="0" w:color="auto"/>
          </w:divBdr>
        </w:div>
        <w:div w:id="823014397">
          <w:marLeft w:val="576"/>
          <w:marRight w:val="0"/>
          <w:marTop w:val="200"/>
          <w:marBottom w:val="0"/>
          <w:divBdr>
            <w:top w:val="none" w:sz="0" w:space="0" w:color="auto"/>
            <w:left w:val="none" w:sz="0" w:space="0" w:color="auto"/>
            <w:bottom w:val="none" w:sz="0" w:space="0" w:color="auto"/>
            <w:right w:val="none" w:sz="0" w:space="0" w:color="auto"/>
          </w:divBdr>
        </w:div>
        <w:div w:id="847214929">
          <w:marLeft w:val="576"/>
          <w:marRight w:val="0"/>
          <w:marTop w:val="200"/>
          <w:marBottom w:val="0"/>
          <w:divBdr>
            <w:top w:val="none" w:sz="0" w:space="0" w:color="auto"/>
            <w:left w:val="none" w:sz="0" w:space="0" w:color="auto"/>
            <w:bottom w:val="none" w:sz="0" w:space="0" w:color="auto"/>
            <w:right w:val="none" w:sz="0" w:space="0" w:color="auto"/>
          </w:divBdr>
        </w:div>
        <w:div w:id="893658084">
          <w:marLeft w:val="1296"/>
          <w:marRight w:val="0"/>
          <w:marTop w:val="100"/>
          <w:marBottom w:val="0"/>
          <w:divBdr>
            <w:top w:val="none" w:sz="0" w:space="0" w:color="auto"/>
            <w:left w:val="none" w:sz="0" w:space="0" w:color="auto"/>
            <w:bottom w:val="none" w:sz="0" w:space="0" w:color="auto"/>
            <w:right w:val="none" w:sz="0" w:space="0" w:color="auto"/>
          </w:divBdr>
        </w:div>
        <w:div w:id="905381404">
          <w:marLeft w:val="1296"/>
          <w:marRight w:val="0"/>
          <w:marTop w:val="100"/>
          <w:marBottom w:val="0"/>
          <w:divBdr>
            <w:top w:val="none" w:sz="0" w:space="0" w:color="auto"/>
            <w:left w:val="none" w:sz="0" w:space="0" w:color="auto"/>
            <w:bottom w:val="none" w:sz="0" w:space="0" w:color="auto"/>
            <w:right w:val="none" w:sz="0" w:space="0" w:color="auto"/>
          </w:divBdr>
        </w:div>
        <w:div w:id="2134860408">
          <w:marLeft w:val="1296"/>
          <w:marRight w:val="0"/>
          <w:marTop w:val="100"/>
          <w:marBottom w:val="0"/>
          <w:divBdr>
            <w:top w:val="none" w:sz="0" w:space="0" w:color="auto"/>
            <w:left w:val="none" w:sz="0" w:space="0" w:color="auto"/>
            <w:bottom w:val="none" w:sz="0" w:space="0" w:color="auto"/>
            <w:right w:val="none" w:sz="0" w:space="0" w:color="auto"/>
          </w:divBdr>
        </w:div>
      </w:divsChild>
    </w:div>
    <w:div w:id="345324300">
      <w:bodyDiv w:val="1"/>
      <w:marLeft w:val="0"/>
      <w:marRight w:val="0"/>
      <w:marTop w:val="0"/>
      <w:marBottom w:val="0"/>
      <w:divBdr>
        <w:top w:val="none" w:sz="0" w:space="0" w:color="auto"/>
        <w:left w:val="none" w:sz="0" w:space="0" w:color="auto"/>
        <w:bottom w:val="none" w:sz="0" w:space="0" w:color="auto"/>
        <w:right w:val="none" w:sz="0" w:space="0" w:color="auto"/>
      </w:divBdr>
      <w:divsChild>
        <w:div w:id="258176252">
          <w:marLeft w:val="1296"/>
          <w:marRight w:val="0"/>
          <w:marTop w:val="100"/>
          <w:marBottom w:val="0"/>
          <w:divBdr>
            <w:top w:val="none" w:sz="0" w:space="0" w:color="auto"/>
            <w:left w:val="none" w:sz="0" w:space="0" w:color="auto"/>
            <w:bottom w:val="none" w:sz="0" w:space="0" w:color="auto"/>
            <w:right w:val="none" w:sz="0" w:space="0" w:color="auto"/>
          </w:divBdr>
        </w:div>
        <w:div w:id="1324621223">
          <w:marLeft w:val="1296"/>
          <w:marRight w:val="0"/>
          <w:marTop w:val="100"/>
          <w:marBottom w:val="0"/>
          <w:divBdr>
            <w:top w:val="none" w:sz="0" w:space="0" w:color="auto"/>
            <w:left w:val="none" w:sz="0" w:space="0" w:color="auto"/>
            <w:bottom w:val="none" w:sz="0" w:space="0" w:color="auto"/>
            <w:right w:val="none" w:sz="0" w:space="0" w:color="auto"/>
          </w:divBdr>
        </w:div>
        <w:div w:id="1792430871">
          <w:marLeft w:val="576"/>
          <w:marRight w:val="0"/>
          <w:marTop w:val="200"/>
          <w:marBottom w:val="0"/>
          <w:divBdr>
            <w:top w:val="none" w:sz="0" w:space="0" w:color="auto"/>
            <w:left w:val="none" w:sz="0" w:space="0" w:color="auto"/>
            <w:bottom w:val="none" w:sz="0" w:space="0" w:color="auto"/>
            <w:right w:val="none" w:sz="0" w:space="0" w:color="auto"/>
          </w:divBdr>
        </w:div>
        <w:div w:id="1968316175">
          <w:marLeft w:val="1296"/>
          <w:marRight w:val="0"/>
          <w:marTop w:val="100"/>
          <w:marBottom w:val="0"/>
          <w:divBdr>
            <w:top w:val="none" w:sz="0" w:space="0" w:color="auto"/>
            <w:left w:val="none" w:sz="0" w:space="0" w:color="auto"/>
            <w:bottom w:val="none" w:sz="0" w:space="0" w:color="auto"/>
            <w:right w:val="none" w:sz="0" w:space="0" w:color="auto"/>
          </w:divBdr>
        </w:div>
      </w:divsChild>
    </w:div>
    <w:div w:id="367995553">
      <w:bodyDiv w:val="1"/>
      <w:marLeft w:val="0"/>
      <w:marRight w:val="0"/>
      <w:marTop w:val="0"/>
      <w:marBottom w:val="0"/>
      <w:divBdr>
        <w:top w:val="none" w:sz="0" w:space="0" w:color="auto"/>
        <w:left w:val="none" w:sz="0" w:space="0" w:color="auto"/>
        <w:bottom w:val="none" w:sz="0" w:space="0" w:color="auto"/>
        <w:right w:val="none" w:sz="0" w:space="0" w:color="auto"/>
      </w:divBdr>
      <w:divsChild>
        <w:div w:id="1318148673">
          <w:marLeft w:val="1296"/>
          <w:marRight w:val="0"/>
          <w:marTop w:val="100"/>
          <w:marBottom w:val="0"/>
          <w:divBdr>
            <w:top w:val="none" w:sz="0" w:space="0" w:color="auto"/>
            <w:left w:val="none" w:sz="0" w:space="0" w:color="auto"/>
            <w:bottom w:val="none" w:sz="0" w:space="0" w:color="auto"/>
            <w:right w:val="none" w:sz="0" w:space="0" w:color="auto"/>
          </w:divBdr>
        </w:div>
      </w:divsChild>
    </w:div>
    <w:div w:id="427123816">
      <w:bodyDiv w:val="1"/>
      <w:marLeft w:val="0"/>
      <w:marRight w:val="0"/>
      <w:marTop w:val="0"/>
      <w:marBottom w:val="0"/>
      <w:divBdr>
        <w:top w:val="none" w:sz="0" w:space="0" w:color="auto"/>
        <w:left w:val="none" w:sz="0" w:space="0" w:color="auto"/>
        <w:bottom w:val="none" w:sz="0" w:space="0" w:color="auto"/>
        <w:right w:val="none" w:sz="0" w:space="0" w:color="auto"/>
      </w:divBdr>
    </w:div>
    <w:div w:id="450711331">
      <w:bodyDiv w:val="1"/>
      <w:marLeft w:val="0"/>
      <w:marRight w:val="0"/>
      <w:marTop w:val="0"/>
      <w:marBottom w:val="0"/>
      <w:divBdr>
        <w:top w:val="none" w:sz="0" w:space="0" w:color="auto"/>
        <w:left w:val="none" w:sz="0" w:space="0" w:color="auto"/>
        <w:bottom w:val="none" w:sz="0" w:space="0" w:color="auto"/>
        <w:right w:val="none" w:sz="0" w:space="0" w:color="auto"/>
      </w:divBdr>
      <w:divsChild>
        <w:div w:id="514349790">
          <w:marLeft w:val="576"/>
          <w:marRight w:val="0"/>
          <w:marTop w:val="200"/>
          <w:marBottom w:val="0"/>
          <w:divBdr>
            <w:top w:val="none" w:sz="0" w:space="0" w:color="auto"/>
            <w:left w:val="none" w:sz="0" w:space="0" w:color="auto"/>
            <w:bottom w:val="none" w:sz="0" w:space="0" w:color="auto"/>
            <w:right w:val="none" w:sz="0" w:space="0" w:color="auto"/>
          </w:divBdr>
        </w:div>
        <w:div w:id="607277448">
          <w:marLeft w:val="1296"/>
          <w:marRight w:val="0"/>
          <w:marTop w:val="100"/>
          <w:marBottom w:val="0"/>
          <w:divBdr>
            <w:top w:val="none" w:sz="0" w:space="0" w:color="auto"/>
            <w:left w:val="none" w:sz="0" w:space="0" w:color="auto"/>
            <w:bottom w:val="none" w:sz="0" w:space="0" w:color="auto"/>
            <w:right w:val="none" w:sz="0" w:space="0" w:color="auto"/>
          </w:divBdr>
        </w:div>
        <w:div w:id="965044749">
          <w:marLeft w:val="1296"/>
          <w:marRight w:val="0"/>
          <w:marTop w:val="100"/>
          <w:marBottom w:val="0"/>
          <w:divBdr>
            <w:top w:val="none" w:sz="0" w:space="0" w:color="auto"/>
            <w:left w:val="none" w:sz="0" w:space="0" w:color="auto"/>
            <w:bottom w:val="none" w:sz="0" w:space="0" w:color="auto"/>
            <w:right w:val="none" w:sz="0" w:space="0" w:color="auto"/>
          </w:divBdr>
        </w:div>
      </w:divsChild>
    </w:div>
    <w:div w:id="480269853">
      <w:bodyDiv w:val="1"/>
      <w:marLeft w:val="0"/>
      <w:marRight w:val="0"/>
      <w:marTop w:val="0"/>
      <w:marBottom w:val="0"/>
      <w:divBdr>
        <w:top w:val="none" w:sz="0" w:space="0" w:color="auto"/>
        <w:left w:val="none" w:sz="0" w:space="0" w:color="auto"/>
        <w:bottom w:val="none" w:sz="0" w:space="0" w:color="auto"/>
        <w:right w:val="none" w:sz="0" w:space="0" w:color="auto"/>
      </w:divBdr>
      <w:divsChild>
        <w:div w:id="480117154">
          <w:marLeft w:val="547"/>
          <w:marRight w:val="0"/>
          <w:marTop w:val="0"/>
          <w:marBottom w:val="0"/>
          <w:divBdr>
            <w:top w:val="none" w:sz="0" w:space="0" w:color="auto"/>
            <w:left w:val="none" w:sz="0" w:space="0" w:color="auto"/>
            <w:bottom w:val="none" w:sz="0" w:space="0" w:color="auto"/>
            <w:right w:val="none" w:sz="0" w:space="0" w:color="auto"/>
          </w:divBdr>
        </w:div>
      </w:divsChild>
    </w:div>
    <w:div w:id="552233654">
      <w:bodyDiv w:val="1"/>
      <w:marLeft w:val="0"/>
      <w:marRight w:val="0"/>
      <w:marTop w:val="0"/>
      <w:marBottom w:val="0"/>
      <w:divBdr>
        <w:top w:val="none" w:sz="0" w:space="0" w:color="auto"/>
        <w:left w:val="none" w:sz="0" w:space="0" w:color="auto"/>
        <w:bottom w:val="none" w:sz="0" w:space="0" w:color="auto"/>
        <w:right w:val="none" w:sz="0" w:space="0" w:color="auto"/>
      </w:divBdr>
      <w:divsChild>
        <w:div w:id="1938632254">
          <w:marLeft w:val="576"/>
          <w:marRight w:val="0"/>
          <w:marTop w:val="200"/>
          <w:marBottom w:val="0"/>
          <w:divBdr>
            <w:top w:val="none" w:sz="0" w:space="0" w:color="auto"/>
            <w:left w:val="none" w:sz="0" w:space="0" w:color="auto"/>
            <w:bottom w:val="none" w:sz="0" w:space="0" w:color="auto"/>
            <w:right w:val="none" w:sz="0" w:space="0" w:color="auto"/>
          </w:divBdr>
        </w:div>
      </w:divsChild>
    </w:div>
    <w:div w:id="578750896">
      <w:bodyDiv w:val="1"/>
      <w:marLeft w:val="0"/>
      <w:marRight w:val="0"/>
      <w:marTop w:val="0"/>
      <w:marBottom w:val="0"/>
      <w:divBdr>
        <w:top w:val="none" w:sz="0" w:space="0" w:color="auto"/>
        <w:left w:val="none" w:sz="0" w:space="0" w:color="auto"/>
        <w:bottom w:val="none" w:sz="0" w:space="0" w:color="auto"/>
        <w:right w:val="none" w:sz="0" w:space="0" w:color="auto"/>
      </w:divBdr>
      <w:divsChild>
        <w:div w:id="82800715">
          <w:marLeft w:val="1296"/>
          <w:marRight w:val="0"/>
          <w:marTop w:val="0"/>
          <w:marBottom w:val="0"/>
          <w:divBdr>
            <w:top w:val="none" w:sz="0" w:space="0" w:color="auto"/>
            <w:left w:val="none" w:sz="0" w:space="0" w:color="auto"/>
            <w:bottom w:val="none" w:sz="0" w:space="0" w:color="auto"/>
            <w:right w:val="none" w:sz="0" w:space="0" w:color="auto"/>
          </w:divBdr>
        </w:div>
        <w:div w:id="234366108">
          <w:marLeft w:val="1296"/>
          <w:marRight w:val="0"/>
          <w:marTop w:val="0"/>
          <w:marBottom w:val="0"/>
          <w:divBdr>
            <w:top w:val="none" w:sz="0" w:space="0" w:color="auto"/>
            <w:left w:val="none" w:sz="0" w:space="0" w:color="auto"/>
            <w:bottom w:val="none" w:sz="0" w:space="0" w:color="auto"/>
            <w:right w:val="none" w:sz="0" w:space="0" w:color="auto"/>
          </w:divBdr>
        </w:div>
        <w:div w:id="608046759">
          <w:marLeft w:val="1296"/>
          <w:marRight w:val="0"/>
          <w:marTop w:val="0"/>
          <w:marBottom w:val="0"/>
          <w:divBdr>
            <w:top w:val="none" w:sz="0" w:space="0" w:color="auto"/>
            <w:left w:val="none" w:sz="0" w:space="0" w:color="auto"/>
            <w:bottom w:val="none" w:sz="0" w:space="0" w:color="auto"/>
            <w:right w:val="none" w:sz="0" w:space="0" w:color="auto"/>
          </w:divBdr>
        </w:div>
      </w:divsChild>
    </w:div>
    <w:div w:id="600454035">
      <w:bodyDiv w:val="1"/>
      <w:marLeft w:val="0"/>
      <w:marRight w:val="0"/>
      <w:marTop w:val="0"/>
      <w:marBottom w:val="0"/>
      <w:divBdr>
        <w:top w:val="none" w:sz="0" w:space="0" w:color="auto"/>
        <w:left w:val="none" w:sz="0" w:space="0" w:color="auto"/>
        <w:bottom w:val="none" w:sz="0" w:space="0" w:color="auto"/>
        <w:right w:val="none" w:sz="0" w:space="0" w:color="auto"/>
      </w:divBdr>
    </w:div>
    <w:div w:id="623972584">
      <w:bodyDiv w:val="1"/>
      <w:marLeft w:val="0"/>
      <w:marRight w:val="0"/>
      <w:marTop w:val="0"/>
      <w:marBottom w:val="0"/>
      <w:divBdr>
        <w:top w:val="none" w:sz="0" w:space="0" w:color="auto"/>
        <w:left w:val="none" w:sz="0" w:space="0" w:color="auto"/>
        <w:bottom w:val="none" w:sz="0" w:space="0" w:color="auto"/>
        <w:right w:val="none" w:sz="0" w:space="0" w:color="auto"/>
      </w:divBdr>
      <w:divsChild>
        <w:div w:id="85198144">
          <w:marLeft w:val="1296"/>
          <w:marRight w:val="0"/>
          <w:marTop w:val="0"/>
          <w:marBottom w:val="0"/>
          <w:divBdr>
            <w:top w:val="none" w:sz="0" w:space="0" w:color="auto"/>
            <w:left w:val="none" w:sz="0" w:space="0" w:color="auto"/>
            <w:bottom w:val="none" w:sz="0" w:space="0" w:color="auto"/>
            <w:right w:val="none" w:sz="0" w:space="0" w:color="auto"/>
          </w:divBdr>
        </w:div>
        <w:div w:id="795948181">
          <w:marLeft w:val="1296"/>
          <w:marRight w:val="0"/>
          <w:marTop w:val="0"/>
          <w:marBottom w:val="0"/>
          <w:divBdr>
            <w:top w:val="none" w:sz="0" w:space="0" w:color="auto"/>
            <w:left w:val="none" w:sz="0" w:space="0" w:color="auto"/>
            <w:bottom w:val="none" w:sz="0" w:space="0" w:color="auto"/>
            <w:right w:val="none" w:sz="0" w:space="0" w:color="auto"/>
          </w:divBdr>
        </w:div>
        <w:div w:id="1023824743">
          <w:marLeft w:val="1296"/>
          <w:marRight w:val="0"/>
          <w:marTop w:val="0"/>
          <w:marBottom w:val="0"/>
          <w:divBdr>
            <w:top w:val="none" w:sz="0" w:space="0" w:color="auto"/>
            <w:left w:val="none" w:sz="0" w:space="0" w:color="auto"/>
            <w:bottom w:val="none" w:sz="0" w:space="0" w:color="auto"/>
            <w:right w:val="none" w:sz="0" w:space="0" w:color="auto"/>
          </w:divBdr>
        </w:div>
      </w:divsChild>
    </w:div>
    <w:div w:id="658390541">
      <w:bodyDiv w:val="1"/>
      <w:marLeft w:val="0"/>
      <w:marRight w:val="0"/>
      <w:marTop w:val="0"/>
      <w:marBottom w:val="0"/>
      <w:divBdr>
        <w:top w:val="none" w:sz="0" w:space="0" w:color="auto"/>
        <w:left w:val="none" w:sz="0" w:space="0" w:color="auto"/>
        <w:bottom w:val="none" w:sz="0" w:space="0" w:color="auto"/>
        <w:right w:val="none" w:sz="0" w:space="0" w:color="auto"/>
      </w:divBdr>
      <w:divsChild>
        <w:div w:id="59835340">
          <w:marLeft w:val="1296"/>
          <w:marRight w:val="0"/>
          <w:marTop w:val="0"/>
          <w:marBottom w:val="0"/>
          <w:divBdr>
            <w:top w:val="none" w:sz="0" w:space="0" w:color="auto"/>
            <w:left w:val="none" w:sz="0" w:space="0" w:color="auto"/>
            <w:bottom w:val="none" w:sz="0" w:space="0" w:color="auto"/>
            <w:right w:val="none" w:sz="0" w:space="0" w:color="auto"/>
          </w:divBdr>
        </w:div>
        <w:div w:id="204559871">
          <w:marLeft w:val="1296"/>
          <w:marRight w:val="0"/>
          <w:marTop w:val="0"/>
          <w:marBottom w:val="0"/>
          <w:divBdr>
            <w:top w:val="none" w:sz="0" w:space="0" w:color="auto"/>
            <w:left w:val="none" w:sz="0" w:space="0" w:color="auto"/>
            <w:bottom w:val="none" w:sz="0" w:space="0" w:color="auto"/>
            <w:right w:val="none" w:sz="0" w:space="0" w:color="auto"/>
          </w:divBdr>
        </w:div>
      </w:divsChild>
    </w:div>
    <w:div w:id="661934862">
      <w:bodyDiv w:val="1"/>
      <w:marLeft w:val="0"/>
      <w:marRight w:val="0"/>
      <w:marTop w:val="0"/>
      <w:marBottom w:val="0"/>
      <w:divBdr>
        <w:top w:val="none" w:sz="0" w:space="0" w:color="auto"/>
        <w:left w:val="none" w:sz="0" w:space="0" w:color="auto"/>
        <w:bottom w:val="none" w:sz="0" w:space="0" w:color="auto"/>
        <w:right w:val="none" w:sz="0" w:space="0" w:color="auto"/>
      </w:divBdr>
      <w:divsChild>
        <w:div w:id="675183852">
          <w:marLeft w:val="0"/>
          <w:marRight w:val="0"/>
          <w:marTop w:val="0"/>
          <w:marBottom w:val="0"/>
          <w:divBdr>
            <w:top w:val="none" w:sz="0" w:space="0" w:color="auto"/>
            <w:left w:val="none" w:sz="0" w:space="0" w:color="auto"/>
            <w:bottom w:val="none" w:sz="0" w:space="0" w:color="auto"/>
            <w:right w:val="none" w:sz="0" w:space="0" w:color="auto"/>
          </w:divBdr>
          <w:divsChild>
            <w:div w:id="2042852835">
              <w:marLeft w:val="0"/>
              <w:marRight w:val="0"/>
              <w:marTop w:val="0"/>
              <w:marBottom w:val="0"/>
              <w:divBdr>
                <w:top w:val="none" w:sz="0" w:space="0" w:color="auto"/>
                <w:left w:val="none" w:sz="0" w:space="0" w:color="auto"/>
                <w:bottom w:val="none" w:sz="0" w:space="0" w:color="auto"/>
                <w:right w:val="none" w:sz="0" w:space="0" w:color="auto"/>
              </w:divBdr>
              <w:divsChild>
                <w:div w:id="199444558">
                  <w:marLeft w:val="0"/>
                  <w:marRight w:val="0"/>
                  <w:marTop w:val="0"/>
                  <w:marBottom w:val="0"/>
                  <w:divBdr>
                    <w:top w:val="none" w:sz="0" w:space="0" w:color="auto"/>
                    <w:left w:val="none" w:sz="0" w:space="0" w:color="auto"/>
                    <w:bottom w:val="none" w:sz="0" w:space="0" w:color="auto"/>
                    <w:right w:val="none" w:sz="0" w:space="0" w:color="auto"/>
                  </w:divBdr>
                  <w:divsChild>
                    <w:div w:id="626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855273">
      <w:bodyDiv w:val="1"/>
      <w:marLeft w:val="0"/>
      <w:marRight w:val="0"/>
      <w:marTop w:val="0"/>
      <w:marBottom w:val="0"/>
      <w:divBdr>
        <w:top w:val="none" w:sz="0" w:space="0" w:color="auto"/>
        <w:left w:val="none" w:sz="0" w:space="0" w:color="auto"/>
        <w:bottom w:val="none" w:sz="0" w:space="0" w:color="auto"/>
        <w:right w:val="none" w:sz="0" w:space="0" w:color="auto"/>
      </w:divBdr>
    </w:div>
    <w:div w:id="676928002">
      <w:bodyDiv w:val="1"/>
      <w:marLeft w:val="0"/>
      <w:marRight w:val="0"/>
      <w:marTop w:val="0"/>
      <w:marBottom w:val="0"/>
      <w:divBdr>
        <w:top w:val="none" w:sz="0" w:space="0" w:color="auto"/>
        <w:left w:val="none" w:sz="0" w:space="0" w:color="auto"/>
        <w:bottom w:val="none" w:sz="0" w:space="0" w:color="auto"/>
        <w:right w:val="none" w:sz="0" w:space="0" w:color="auto"/>
      </w:divBdr>
    </w:div>
    <w:div w:id="704210313">
      <w:bodyDiv w:val="1"/>
      <w:marLeft w:val="0"/>
      <w:marRight w:val="0"/>
      <w:marTop w:val="0"/>
      <w:marBottom w:val="0"/>
      <w:divBdr>
        <w:top w:val="none" w:sz="0" w:space="0" w:color="auto"/>
        <w:left w:val="none" w:sz="0" w:space="0" w:color="auto"/>
        <w:bottom w:val="none" w:sz="0" w:space="0" w:color="auto"/>
        <w:right w:val="none" w:sz="0" w:space="0" w:color="auto"/>
      </w:divBdr>
      <w:divsChild>
        <w:div w:id="32309839">
          <w:marLeft w:val="1296"/>
          <w:marRight w:val="0"/>
          <w:marTop w:val="200"/>
          <w:marBottom w:val="0"/>
          <w:divBdr>
            <w:top w:val="none" w:sz="0" w:space="0" w:color="auto"/>
            <w:left w:val="none" w:sz="0" w:space="0" w:color="auto"/>
            <w:bottom w:val="none" w:sz="0" w:space="0" w:color="auto"/>
            <w:right w:val="none" w:sz="0" w:space="0" w:color="auto"/>
          </w:divBdr>
        </w:div>
        <w:div w:id="1479032806">
          <w:marLeft w:val="1296"/>
          <w:marRight w:val="0"/>
          <w:marTop w:val="200"/>
          <w:marBottom w:val="0"/>
          <w:divBdr>
            <w:top w:val="none" w:sz="0" w:space="0" w:color="auto"/>
            <w:left w:val="none" w:sz="0" w:space="0" w:color="auto"/>
            <w:bottom w:val="none" w:sz="0" w:space="0" w:color="auto"/>
            <w:right w:val="none" w:sz="0" w:space="0" w:color="auto"/>
          </w:divBdr>
        </w:div>
      </w:divsChild>
    </w:div>
    <w:div w:id="793333316">
      <w:bodyDiv w:val="1"/>
      <w:marLeft w:val="0"/>
      <w:marRight w:val="0"/>
      <w:marTop w:val="0"/>
      <w:marBottom w:val="0"/>
      <w:divBdr>
        <w:top w:val="none" w:sz="0" w:space="0" w:color="auto"/>
        <w:left w:val="none" w:sz="0" w:space="0" w:color="auto"/>
        <w:bottom w:val="none" w:sz="0" w:space="0" w:color="auto"/>
        <w:right w:val="none" w:sz="0" w:space="0" w:color="auto"/>
      </w:divBdr>
      <w:divsChild>
        <w:div w:id="1584795537">
          <w:marLeft w:val="1267"/>
          <w:marRight w:val="0"/>
          <w:marTop w:val="0"/>
          <w:marBottom w:val="0"/>
          <w:divBdr>
            <w:top w:val="none" w:sz="0" w:space="0" w:color="auto"/>
            <w:left w:val="none" w:sz="0" w:space="0" w:color="auto"/>
            <w:bottom w:val="none" w:sz="0" w:space="0" w:color="auto"/>
            <w:right w:val="none" w:sz="0" w:space="0" w:color="auto"/>
          </w:divBdr>
        </w:div>
      </w:divsChild>
    </w:div>
    <w:div w:id="838664981">
      <w:bodyDiv w:val="1"/>
      <w:marLeft w:val="0"/>
      <w:marRight w:val="0"/>
      <w:marTop w:val="0"/>
      <w:marBottom w:val="0"/>
      <w:divBdr>
        <w:top w:val="none" w:sz="0" w:space="0" w:color="auto"/>
        <w:left w:val="none" w:sz="0" w:space="0" w:color="auto"/>
        <w:bottom w:val="none" w:sz="0" w:space="0" w:color="auto"/>
        <w:right w:val="none" w:sz="0" w:space="0" w:color="auto"/>
      </w:divBdr>
      <w:divsChild>
        <w:div w:id="1677264280">
          <w:marLeft w:val="1296"/>
          <w:marRight w:val="0"/>
          <w:marTop w:val="0"/>
          <w:marBottom w:val="0"/>
          <w:divBdr>
            <w:top w:val="none" w:sz="0" w:space="0" w:color="auto"/>
            <w:left w:val="none" w:sz="0" w:space="0" w:color="auto"/>
            <w:bottom w:val="none" w:sz="0" w:space="0" w:color="auto"/>
            <w:right w:val="none" w:sz="0" w:space="0" w:color="auto"/>
          </w:divBdr>
        </w:div>
      </w:divsChild>
    </w:div>
    <w:div w:id="895504892">
      <w:bodyDiv w:val="1"/>
      <w:marLeft w:val="0"/>
      <w:marRight w:val="0"/>
      <w:marTop w:val="0"/>
      <w:marBottom w:val="0"/>
      <w:divBdr>
        <w:top w:val="none" w:sz="0" w:space="0" w:color="auto"/>
        <w:left w:val="none" w:sz="0" w:space="0" w:color="auto"/>
        <w:bottom w:val="none" w:sz="0" w:space="0" w:color="auto"/>
        <w:right w:val="none" w:sz="0" w:space="0" w:color="auto"/>
      </w:divBdr>
      <w:divsChild>
        <w:div w:id="551581188">
          <w:marLeft w:val="576"/>
          <w:marRight w:val="0"/>
          <w:marTop w:val="200"/>
          <w:marBottom w:val="0"/>
          <w:divBdr>
            <w:top w:val="none" w:sz="0" w:space="0" w:color="auto"/>
            <w:left w:val="none" w:sz="0" w:space="0" w:color="auto"/>
            <w:bottom w:val="none" w:sz="0" w:space="0" w:color="auto"/>
            <w:right w:val="none" w:sz="0" w:space="0" w:color="auto"/>
          </w:divBdr>
        </w:div>
      </w:divsChild>
    </w:div>
    <w:div w:id="938293541">
      <w:bodyDiv w:val="1"/>
      <w:marLeft w:val="0"/>
      <w:marRight w:val="0"/>
      <w:marTop w:val="0"/>
      <w:marBottom w:val="0"/>
      <w:divBdr>
        <w:top w:val="none" w:sz="0" w:space="0" w:color="auto"/>
        <w:left w:val="none" w:sz="0" w:space="0" w:color="auto"/>
        <w:bottom w:val="none" w:sz="0" w:space="0" w:color="auto"/>
        <w:right w:val="none" w:sz="0" w:space="0" w:color="auto"/>
      </w:divBdr>
      <w:divsChild>
        <w:div w:id="445274823">
          <w:marLeft w:val="1440"/>
          <w:marRight w:val="0"/>
          <w:marTop w:val="100"/>
          <w:marBottom w:val="0"/>
          <w:divBdr>
            <w:top w:val="none" w:sz="0" w:space="0" w:color="auto"/>
            <w:left w:val="none" w:sz="0" w:space="0" w:color="auto"/>
            <w:bottom w:val="none" w:sz="0" w:space="0" w:color="auto"/>
            <w:right w:val="none" w:sz="0" w:space="0" w:color="auto"/>
          </w:divBdr>
        </w:div>
        <w:div w:id="481774121">
          <w:marLeft w:val="1440"/>
          <w:marRight w:val="0"/>
          <w:marTop w:val="100"/>
          <w:marBottom w:val="0"/>
          <w:divBdr>
            <w:top w:val="none" w:sz="0" w:space="0" w:color="auto"/>
            <w:left w:val="none" w:sz="0" w:space="0" w:color="auto"/>
            <w:bottom w:val="none" w:sz="0" w:space="0" w:color="auto"/>
            <w:right w:val="none" w:sz="0" w:space="0" w:color="auto"/>
          </w:divBdr>
        </w:div>
        <w:div w:id="1677145597">
          <w:marLeft w:val="1440"/>
          <w:marRight w:val="0"/>
          <w:marTop w:val="100"/>
          <w:marBottom w:val="0"/>
          <w:divBdr>
            <w:top w:val="none" w:sz="0" w:space="0" w:color="auto"/>
            <w:left w:val="none" w:sz="0" w:space="0" w:color="auto"/>
            <w:bottom w:val="none" w:sz="0" w:space="0" w:color="auto"/>
            <w:right w:val="none" w:sz="0" w:space="0" w:color="auto"/>
          </w:divBdr>
        </w:div>
      </w:divsChild>
    </w:div>
    <w:div w:id="955259307">
      <w:bodyDiv w:val="1"/>
      <w:marLeft w:val="0"/>
      <w:marRight w:val="0"/>
      <w:marTop w:val="0"/>
      <w:marBottom w:val="0"/>
      <w:divBdr>
        <w:top w:val="none" w:sz="0" w:space="0" w:color="auto"/>
        <w:left w:val="none" w:sz="0" w:space="0" w:color="auto"/>
        <w:bottom w:val="none" w:sz="0" w:space="0" w:color="auto"/>
        <w:right w:val="none" w:sz="0" w:space="0" w:color="auto"/>
      </w:divBdr>
    </w:div>
    <w:div w:id="1004208167">
      <w:bodyDiv w:val="1"/>
      <w:marLeft w:val="0"/>
      <w:marRight w:val="0"/>
      <w:marTop w:val="0"/>
      <w:marBottom w:val="0"/>
      <w:divBdr>
        <w:top w:val="none" w:sz="0" w:space="0" w:color="auto"/>
        <w:left w:val="none" w:sz="0" w:space="0" w:color="auto"/>
        <w:bottom w:val="none" w:sz="0" w:space="0" w:color="auto"/>
        <w:right w:val="none" w:sz="0" w:space="0" w:color="auto"/>
      </w:divBdr>
      <w:divsChild>
        <w:div w:id="1256204082">
          <w:marLeft w:val="1296"/>
          <w:marRight w:val="0"/>
          <w:marTop w:val="0"/>
          <w:marBottom w:val="0"/>
          <w:divBdr>
            <w:top w:val="none" w:sz="0" w:space="0" w:color="auto"/>
            <w:left w:val="none" w:sz="0" w:space="0" w:color="auto"/>
            <w:bottom w:val="none" w:sz="0" w:space="0" w:color="auto"/>
            <w:right w:val="none" w:sz="0" w:space="0" w:color="auto"/>
          </w:divBdr>
        </w:div>
        <w:div w:id="1867476947">
          <w:marLeft w:val="1296"/>
          <w:marRight w:val="0"/>
          <w:marTop w:val="0"/>
          <w:marBottom w:val="0"/>
          <w:divBdr>
            <w:top w:val="none" w:sz="0" w:space="0" w:color="auto"/>
            <w:left w:val="none" w:sz="0" w:space="0" w:color="auto"/>
            <w:bottom w:val="none" w:sz="0" w:space="0" w:color="auto"/>
            <w:right w:val="none" w:sz="0" w:space="0" w:color="auto"/>
          </w:divBdr>
        </w:div>
      </w:divsChild>
    </w:div>
    <w:div w:id="1033073129">
      <w:bodyDiv w:val="1"/>
      <w:marLeft w:val="0"/>
      <w:marRight w:val="0"/>
      <w:marTop w:val="0"/>
      <w:marBottom w:val="0"/>
      <w:divBdr>
        <w:top w:val="none" w:sz="0" w:space="0" w:color="auto"/>
        <w:left w:val="none" w:sz="0" w:space="0" w:color="auto"/>
        <w:bottom w:val="none" w:sz="0" w:space="0" w:color="auto"/>
        <w:right w:val="none" w:sz="0" w:space="0" w:color="auto"/>
      </w:divBdr>
    </w:div>
    <w:div w:id="1093672267">
      <w:bodyDiv w:val="1"/>
      <w:marLeft w:val="0"/>
      <w:marRight w:val="0"/>
      <w:marTop w:val="0"/>
      <w:marBottom w:val="0"/>
      <w:divBdr>
        <w:top w:val="none" w:sz="0" w:space="0" w:color="auto"/>
        <w:left w:val="none" w:sz="0" w:space="0" w:color="auto"/>
        <w:bottom w:val="none" w:sz="0" w:space="0" w:color="auto"/>
        <w:right w:val="none" w:sz="0" w:space="0" w:color="auto"/>
      </w:divBdr>
      <w:divsChild>
        <w:div w:id="387923874">
          <w:marLeft w:val="0"/>
          <w:marRight w:val="0"/>
          <w:marTop w:val="0"/>
          <w:marBottom w:val="0"/>
          <w:divBdr>
            <w:top w:val="none" w:sz="0" w:space="0" w:color="auto"/>
            <w:left w:val="none" w:sz="0" w:space="0" w:color="auto"/>
            <w:bottom w:val="none" w:sz="0" w:space="0" w:color="auto"/>
            <w:right w:val="none" w:sz="0" w:space="0" w:color="auto"/>
          </w:divBdr>
          <w:divsChild>
            <w:div w:id="1833522933">
              <w:marLeft w:val="0"/>
              <w:marRight w:val="0"/>
              <w:marTop w:val="0"/>
              <w:marBottom w:val="0"/>
              <w:divBdr>
                <w:top w:val="none" w:sz="0" w:space="0" w:color="auto"/>
                <w:left w:val="none" w:sz="0" w:space="0" w:color="auto"/>
                <w:bottom w:val="none" w:sz="0" w:space="0" w:color="auto"/>
                <w:right w:val="none" w:sz="0" w:space="0" w:color="auto"/>
              </w:divBdr>
              <w:divsChild>
                <w:div w:id="39718098">
                  <w:marLeft w:val="0"/>
                  <w:marRight w:val="0"/>
                  <w:marTop w:val="0"/>
                  <w:marBottom w:val="0"/>
                  <w:divBdr>
                    <w:top w:val="none" w:sz="0" w:space="0" w:color="auto"/>
                    <w:left w:val="none" w:sz="0" w:space="0" w:color="auto"/>
                    <w:bottom w:val="none" w:sz="0" w:space="0" w:color="auto"/>
                    <w:right w:val="none" w:sz="0" w:space="0" w:color="auto"/>
                  </w:divBdr>
                  <w:divsChild>
                    <w:div w:id="760445146">
                      <w:marLeft w:val="0"/>
                      <w:marRight w:val="0"/>
                      <w:marTop w:val="0"/>
                      <w:marBottom w:val="0"/>
                      <w:divBdr>
                        <w:top w:val="none" w:sz="0" w:space="0" w:color="auto"/>
                        <w:left w:val="none" w:sz="0" w:space="0" w:color="auto"/>
                        <w:bottom w:val="none" w:sz="0" w:space="0" w:color="auto"/>
                        <w:right w:val="none" w:sz="0" w:space="0" w:color="auto"/>
                      </w:divBdr>
                      <w:divsChild>
                        <w:div w:id="4279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208159">
          <w:marLeft w:val="0"/>
          <w:marRight w:val="0"/>
          <w:marTop w:val="0"/>
          <w:marBottom w:val="0"/>
          <w:divBdr>
            <w:top w:val="none" w:sz="0" w:space="0" w:color="auto"/>
            <w:left w:val="none" w:sz="0" w:space="0" w:color="auto"/>
            <w:bottom w:val="none" w:sz="0" w:space="0" w:color="auto"/>
            <w:right w:val="none" w:sz="0" w:space="0" w:color="auto"/>
          </w:divBdr>
          <w:divsChild>
            <w:div w:id="2800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3162">
      <w:bodyDiv w:val="1"/>
      <w:marLeft w:val="0"/>
      <w:marRight w:val="0"/>
      <w:marTop w:val="0"/>
      <w:marBottom w:val="0"/>
      <w:divBdr>
        <w:top w:val="none" w:sz="0" w:space="0" w:color="auto"/>
        <w:left w:val="none" w:sz="0" w:space="0" w:color="auto"/>
        <w:bottom w:val="none" w:sz="0" w:space="0" w:color="auto"/>
        <w:right w:val="none" w:sz="0" w:space="0" w:color="auto"/>
      </w:divBdr>
      <w:divsChild>
        <w:div w:id="1100300938">
          <w:marLeft w:val="1296"/>
          <w:marRight w:val="0"/>
          <w:marTop w:val="0"/>
          <w:marBottom w:val="0"/>
          <w:divBdr>
            <w:top w:val="none" w:sz="0" w:space="0" w:color="auto"/>
            <w:left w:val="none" w:sz="0" w:space="0" w:color="auto"/>
            <w:bottom w:val="none" w:sz="0" w:space="0" w:color="auto"/>
            <w:right w:val="none" w:sz="0" w:space="0" w:color="auto"/>
          </w:divBdr>
        </w:div>
      </w:divsChild>
    </w:div>
    <w:div w:id="1121411412">
      <w:bodyDiv w:val="1"/>
      <w:marLeft w:val="0"/>
      <w:marRight w:val="0"/>
      <w:marTop w:val="0"/>
      <w:marBottom w:val="0"/>
      <w:divBdr>
        <w:top w:val="none" w:sz="0" w:space="0" w:color="auto"/>
        <w:left w:val="none" w:sz="0" w:space="0" w:color="auto"/>
        <w:bottom w:val="none" w:sz="0" w:space="0" w:color="auto"/>
        <w:right w:val="none" w:sz="0" w:space="0" w:color="auto"/>
      </w:divBdr>
      <w:divsChild>
        <w:div w:id="60370127">
          <w:marLeft w:val="1296"/>
          <w:marRight w:val="0"/>
          <w:marTop w:val="0"/>
          <w:marBottom w:val="0"/>
          <w:divBdr>
            <w:top w:val="none" w:sz="0" w:space="0" w:color="auto"/>
            <w:left w:val="none" w:sz="0" w:space="0" w:color="auto"/>
            <w:bottom w:val="none" w:sz="0" w:space="0" w:color="auto"/>
            <w:right w:val="none" w:sz="0" w:space="0" w:color="auto"/>
          </w:divBdr>
        </w:div>
        <w:div w:id="1830248840">
          <w:marLeft w:val="1296"/>
          <w:marRight w:val="0"/>
          <w:marTop w:val="0"/>
          <w:marBottom w:val="0"/>
          <w:divBdr>
            <w:top w:val="none" w:sz="0" w:space="0" w:color="auto"/>
            <w:left w:val="none" w:sz="0" w:space="0" w:color="auto"/>
            <w:bottom w:val="none" w:sz="0" w:space="0" w:color="auto"/>
            <w:right w:val="none" w:sz="0" w:space="0" w:color="auto"/>
          </w:divBdr>
        </w:div>
      </w:divsChild>
    </w:div>
    <w:div w:id="1332683460">
      <w:bodyDiv w:val="1"/>
      <w:marLeft w:val="0"/>
      <w:marRight w:val="0"/>
      <w:marTop w:val="0"/>
      <w:marBottom w:val="0"/>
      <w:divBdr>
        <w:top w:val="none" w:sz="0" w:space="0" w:color="auto"/>
        <w:left w:val="none" w:sz="0" w:space="0" w:color="auto"/>
        <w:bottom w:val="none" w:sz="0" w:space="0" w:color="auto"/>
        <w:right w:val="none" w:sz="0" w:space="0" w:color="auto"/>
      </w:divBdr>
    </w:div>
    <w:div w:id="1340816708">
      <w:bodyDiv w:val="1"/>
      <w:marLeft w:val="0"/>
      <w:marRight w:val="0"/>
      <w:marTop w:val="0"/>
      <w:marBottom w:val="0"/>
      <w:divBdr>
        <w:top w:val="none" w:sz="0" w:space="0" w:color="auto"/>
        <w:left w:val="none" w:sz="0" w:space="0" w:color="auto"/>
        <w:bottom w:val="none" w:sz="0" w:space="0" w:color="auto"/>
        <w:right w:val="none" w:sz="0" w:space="0" w:color="auto"/>
      </w:divBdr>
      <w:divsChild>
        <w:div w:id="209925862">
          <w:marLeft w:val="1296"/>
          <w:marRight w:val="0"/>
          <w:marTop w:val="100"/>
          <w:marBottom w:val="0"/>
          <w:divBdr>
            <w:top w:val="none" w:sz="0" w:space="0" w:color="auto"/>
            <w:left w:val="none" w:sz="0" w:space="0" w:color="auto"/>
            <w:bottom w:val="none" w:sz="0" w:space="0" w:color="auto"/>
            <w:right w:val="none" w:sz="0" w:space="0" w:color="auto"/>
          </w:divBdr>
        </w:div>
        <w:div w:id="1309558360">
          <w:marLeft w:val="1296"/>
          <w:marRight w:val="0"/>
          <w:marTop w:val="100"/>
          <w:marBottom w:val="0"/>
          <w:divBdr>
            <w:top w:val="none" w:sz="0" w:space="0" w:color="auto"/>
            <w:left w:val="none" w:sz="0" w:space="0" w:color="auto"/>
            <w:bottom w:val="none" w:sz="0" w:space="0" w:color="auto"/>
            <w:right w:val="none" w:sz="0" w:space="0" w:color="auto"/>
          </w:divBdr>
        </w:div>
        <w:div w:id="1350376502">
          <w:marLeft w:val="1296"/>
          <w:marRight w:val="0"/>
          <w:marTop w:val="100"/>
          <w:marBottom w:val="0"/>
          <w:divBdr>
            <w:top w:val="none" w:sz="0" w:space="0" w:color="auto"/>
            <w:left w:val="none" w:sz="0" w:space="0" w:color="auto"/>
            <w:bottom w:val="none" w:sz="0" w:space="0" w:color="auto"/>
            <w:right w:val="none" w:sz="0" w:space="0" w:color="auto"/>
          </w:divBdr>
        </w:div>
        <w:div w:id="1829132619">
          <w:marLeft w:val="576"/>
          <w:marRight w:val="0"/>
          <w:marTop w:val="200"/>
          <w:marBottom w:val="0"/>
          <w:divBdr>
            <w:top w:val="none" w:sz="0" w:space="0" w:color="auto"/>
            <w:left w:val="none" w:sz="0" w:space="0" w:color="auto"/>
            <w:bottom w:val="none" w:sz="0" w:space="0" w:color="auto"/>
            <w:right w:val="none" w:sz="0" w:space="0" w:color="auto"/>
          </w:divBdr>
        </w:div>
      </w:divsChild>
    </w:div>
    <w:div w:id="1360742378">
      <w:bodyDiv w:val="1"/>
      <w:marLeft w:val="0"/>
      <w:marRight w:val="0"/>
      <w:marTop w:val="0"/>
      <w:marBottom w:val="0"/>
      <w:divBdr>
        <w:top w:val="none" w:sz="0" w:space="0" w:color="auto"/>
        <w:left w:val="none" w:sz="0" w:space="0" w:color="auto"/>
        <w:bottom w:val="none" w:sz="0" w:space="0" w:color="auto"/>
        <w:right w:val="none" w:sz="0" w:space="0" w:color="auto"/>
      </w:divBdr>
      <w:divsChild>
        <w:div w:id="504594076">
          <w:marLeft w:val="1296"/>
          <w:marRight w:val="0"/>
          <w:marTop w:val="200"/>
          <w:marBottom w:val="0"/>
          <w:divBdr>
            <w:top w:val="none" w:sz="0" w:space="0" w:color="auto"/>
            <w:left w:val="none" w:sz="0" w:space="0" w:color="auto"/>
            <w:bottom w:val="none" w:sz="0" w:space="0" w:color="auto"/>
            <w:right w:val="none" w:sz="0" w:space="0" w:color="auto"/>
          </w:divBdr>
        </w:div>
        <w:div w:id="2007129580">
          <w:marLeft w:val="1296"/>
          <w:marRight w:val="0"/>
          <w:marTop w:val="200"/>
          <w:marBottom w:val="0"/>
          <w:divBdr>
            <w:top w:val="none" w:sz="0" w:space="0" w:color="auto"/>
            <w:left w:val="none" w:sz="0" w:space="0" w:color="auto"/>
            <w:bottom w:val="none" w:sz="0" w:space="0" w:color="auto"/>
            <w:right w:val="none" w:sz="0" w:space="0" w:color="auto"/>
          </w:divBdr>
        </w:div>
      </w:divsChild>
    </w:div>
    <w:div w:id="1371494335">
      <w:bodyDiv w:val="1"/>
      <w:marLeft w:val="0"/>
      <w:marRight w:val="0"/>
      <w:marTop w:val="0"/>
      <w:marBottom w:val="0"/>
      <w:divBdr>
        <w:top w:val="none" w:sz="0" w:space="0" w:color="auto"/>
        <w:left w:val="none" w:sz="0" w:space="0" w:color="auto"/>
        <w:bottom w:val="none" w:sz="0" w:space="0" w:color="auto"/>
        <w:right w:val="none" w:sz="0" w:space="0" w:color="auto"/>
      </w:divBdr>
      <w:divsChild>
        <w:div w:id="660280140">
          <w:marLeft w:val="1296"/>
          <w:marRight w:val="0"/>
          <w:marTop w:val="200"/>
          <w:marBottom w:val="0"/>
          <w:divBdr>
            <w:top w:val="none" w:sz="0" w:space="0" w:color="auto"/>
            <w:left w:val="none" w:sz="0" w:space="0" w:color="auto"/>
            <w:bottom w:val="none" w:sz="0" w:space="0" w:color="auto"/>
            <w:right w:val="none" w:sz="0" w:space="0" w:color="auto"/>
          </w:divBdr>
        </w:div>
      </w:divsChild>
    </w:div>
    <w:div w:id="1407338100">
      <w:bodyDiv w:val="1"/>
      <w:marLeft w:val="0"/>
      <w:marRight w:val="0"/>
      <w:marTop w:val="0"/>
      <w:marBottom w:val="0"/>
      <w:divBdr>
        <w:top w:val="none" w:sz="0" w:space="0" w:color="auto"/>
        <w:left w:val="none" w:sz="0" w:space="0" w:color="auto"/>
        <w:bottom w:val="none" w:sz="0" w:space="0" w:color="auto"/>
        <w:right w:val="none" w:sz="0" w:space="0" w:color="auto"/>
      </w:divBdr>
      <w:divsChild>
        <w:div w:id="1874726828">
          <w:marLeft w:val="1296"/>
          <w:marRight w:val="0"/>
          <w:marTop w:val="200"/>
          <w:marBottom w:val="0"/>
          <w:divBdr>
            <w:top w:val="none" w:sz="0" w:space="0" w:color="auto"/>
            <w:left w:val="none" w:sz="0" w:space="0" w:color="auto"/>
            <w:bottom w:val="none" w:sz="0" w:space="0" w:color="auto"/>
            <w:right w:val="none" w:sz="0" w:space="0" w:color="auto"/>
          </w:divBdr>
        </w:div>
      </w:divsChild>
    </w:div>
    <w:div w:id="1465852259">
      <w:bodyDiv w:val="1"/>
      <w:marLeft w:val="0"/>
      <w:marRight w:val="0"/>
      <w:marTop w:val="0"/>
      <w:marBottom w:val="0"/>
      <w:divBdr>
        <w:top w:val="none" w:sz="0" w:space="0" w:color="auto"/>
        <w:left w:val="none" w:sz="0" w:space="0" w:color="auto"/>
        <w:bottom w:val="none" w:sz="0" w:space="0" w:color="auto"/>
        <w:right w:val="none" w:sz="0" w:space="0" w:color="auto"/>
      </w:divBdr>
    </w:div>
    <w:div w:id="1480533875">
      <w:bodyDiv w:val="1"/>
      <w:marLeft w:val="0"/>
      <w:marRight w:val="0"/>
      <w:marTop w:val="0"/>
      <w:marBottom w:val="0"/>
      <w:divBdr>
        <w:top w:val="none" w:sz="0" w:space="0" w:color="auto"/>
        <w:left w:val="none" w:sz="0" w:space="0" w:color="auto"/>
        <w:bottom w:val="none" w:sz="0" w:space="0" w:color="auto"/>
        <w:right w:val="none" w:sz="0" w:space="0" w:color="auto"/>
      </w:divBdr>
      <w:divsChild>
        <w:div w:id="891960700">
          <w:marLeft w:val="576"/>
          <w:marRight w:val="0"/>
          <w:marTop w:val="200"/>
          <w:marBottom w:val="0"/>
          <w:divBdr>
            <w:top w:val="none" w:sz="0" w:space="0" w:color="auto"/>
            <w:left w:val="none" w:sz="0" w:space="0" w:color="auto"/>
            <w:bottom w:val="none" w:sz="0" w:space="0" w:color="auto"/>
            <w:right w:val="none" w:sz="0" w:space="0" w:color="auto"/>
          </w:divBdr>
        </w:div>
      </w:divsChild>
    </w:div>
    <w:div w:id="1489051473">
      <w:bodyDiv w:val="1"/>
      <w:marLeft w:val="0"/>
      <w:marRight w:val="0"/>
      <w:marTop w:val="0"/>
      <w:marBottom w:val="0"/>
      <w:divBdr>
        <w:top w:val="none" w:sz="0" w:space="0" w:color="auto"/>
        <w:left w:val="none" w:sz="0" w:space="0" w:color="auto"/>
        <w:bottom w:val="none" w:sz="0" w:space="0" w:color="auto"/>
        <w:right w:val="none" w:sz="0" w:space="0" w:color="auto"/>
      </w:divBdr>
    </w:div>
    <w:div w:id="1540967646">
      <w:bodyDiv w:val="1"/>
      <w:marLeft w:val="0"/>
      <w:marRight w:val="0"/>
      <w:marTop w:val="0"/>
      <w:marBottom w:val="0"/>
      <w:divBdr>
        <w:top w:val="none" w:sz="0" w:space="0" w:color="auto"/>
        <w:left w:val="none" w:sz="0" w:space="0" w:color="auto"/>
        <w:bottom w:val="none" w:sz="0" w:space="0" w:color="auto"/>
        <w:right w:val="none" w:sz="0" w:space="0" w:color="auto"/>
      </w:divBdr>
      <w:divsChild>
        <w:div w:id="776825786">
          <w:marLeft w:val="1296"/>
          <w:marRight w:val="0"/>
          <w:marTop w:val="100"/>
          <w:marBottom w:val="0"/>
          <w:divBdr>
            <w:top w:val="none" w:sz="0" w:space="0" w:color="auto"/>
            <w:left w:val="none" w:sz="0" w:space="0" w:color="auto"/>
            <w:bottom w:val="none" w:sz="0" w:space="0" w:color="auto"/>
            <w:right w:val="none" w:sz="0" w:space="0" w:color="auto"/>
          </w:divBdr>
        </w:div>
        <w:div w:id="777532271">
          <w:marLeft w:val="1296"/>
          <w:marRight w:val="0"/>
          <w:marTop w:val="100"/>
          <w:marBottom w:val="0"/>
          <w:divBdr>
            <w:top w:val="none" w:sz="0" w:space="0" w:color="auto"/>
            <w:left w:val="none" w:sz="0" w:space="0" w:color="auto"/>
            <w:bottom w:val="none" w:sz="0" w:space="0" w:color="auto"/>
            <w:right w:val="none" w:sz="0" w:space="0" w:color="auto"/>
          </w:divBdr>
        </w:div>
        <w:div w:id="1135828794">
          <w:marLeft w:val="1296"/>
          <w:marRight w:val="0"/>
          <w:marTop w:val="100"/>
          <w:marBottom w:val="0"/>
          <w:divBdr>
            <w:top w:val="none" w:sz="0" w:space="0" w:color="auto"/>
            <w:left w:val="none" w:sz="0" w:space="0" w:color="auto"/>
            <w:bottom w:val="none" w:sz="0" w:space="0" w:color="auto"/>
            <w:right w:val="none" w:sz="0" w:space="0" w:color="auto"/>
          </w:divBdr>
        </w:div>
        <w:div w:id="1425878661">
          <w:marLeft w:val="1296"/>
          <w:marRight w:val="0"/>
          <w:marTop w:val="100"/>
          <w:marBottom w:val="0"/>
          <w:divBdr>
            <w:top w:val="none" w:sz="0" w:space="0" w:color="auto"/>
            <w:left w:val="none" w:sz="0" w:space="0" w:color="auto"/>
            <w:bottom w:val="none" w:sz="0" w:space="0" w:color="auto"/>
            <w:right w:val="none" w:sz="0" w:space="0" w:color="auto"/>
          </w:divBdr>
        </w:div>
      </w:divsChild>
    </w:div>
    <w:div w:id="1546914234">
      <w:bodyDiv w:val="1"/>
      <w:marLeft w:val="0"/>
      <w:marRight w:val="0"/>
      <w:marTop w:val="0"/>
      <w:marBottom w:val="0"/>
      <w:divBdr>
        <w:top w:val="none" w:sz="0" w:space="0" w:color="auto"/>
        <w:left w:val="none" w:sz="0" w:space="0" w:color="auto"/>
        <w:bottom w:val="none" w:sz="0" w:space="0" w:color="auto"/>
        <w:right w:val="none" w:sz="0" w:space="0" w:color="auto"/>
      </w:divBdr>
      <w:divsChild>
        <w:div w:id="1858960935">
          <w:marLeft w:val="576"/>
          <w:marRight w:val="0"/>
          <w:marTop w:val="200"/>
          <w:marBottom w:val="0"/>
          <w:divBdr>
            <w:top w:val="none" w:sz="0" w:space="0" w:color="auto"/>
            <w:left w:val="none" w:sz="0" w:space="0" w:color="auto"/>
            <w:bottom w:val="none" w:sz="0" w:space="0" w:color="auto"/>
            <w:right w:val="none" w:sz="0" w:space="0" w:color="auto"/>
          </w:divBdr>
        </w:div>
      </w:divsChild>
    </w:div>
    <w:div w:id="1576162234">
      <w:bodyDiv w:val="1"/>
      <w:marLeft w:val="0"/>
      <w:marRight w:val="0"/>
      <w:marTop w:val="0"/>
      <w:marBottom w:val="0"/>
      <w:divBdr>
        <w:top w:val="none" w:sz="0" w:space="0" w:color="auto"/>
        <w:left w:val="none" w:sz="0" w:space="0" w:color="auto"/>
        <w:bottom w:val="none" w:sz="0" w:space="0" w:color="auto"/>
        <w:right w:val="none" w:sz="0" w:space="0" w:color="auto"/>
      </w:divBdr>
      <w:divsChild>
        <w:div w:id="425463880">
          <w:marLeft w:val="2016"/>
          <w:marRight w:val="0"/>
          <w:marTop w:val="0"/>
          <w:marBottom w:val="0"/>
          <w:divBdr>
            <w:top w:val="none" w:sz="0" w:space="0" w:color="auto"/>
            <w:left w:val="none" w:sz="0" w:space="0" w:color="auto"/>
            <w:bottom w:val="none" w:sz="0" w:space="0" w:color="auto"/>
            <w:right w:val="none" w:sz="0" w:space="0" w:color="auto"/>
          </w:divBdr>
        </w:div>
        <w:div w:id="436029445">
          <w:marLeft w:val="1296"/>
          <w:marRight w:val="0"/>
          <w:marTop w:val="0"/>
          <w:marBottom w:val="0"/>
          <w:divBdr>
            <w:top w:val="none" w:sz="0" w:space="0" w:color="auto"/>
            <w:left w:val="none" w:sz="0" w:space="0" w:color="auto"/>
            <w:bottom w:val="none" w:sz="0" w:space="0" w:color="auto"/>
            <w:right w:val="none" w:sz="0" w:space="0" w:color="auto"/>
          </w:divBdr>
        </w:div>
        <w:div w:id="1180663570">
          <w:marLeft w:val="1296"/>
          <w:marRight w:val="0"/>
          <w:marTop w:val="0"/>
          <w:marBottom w:val="0"/>
          <w:divBdr>
            <w:top w:val="none" w:sz="0" w:space="0" w:color="auto"/>
            <w:left w:val="none" w:sz="0" w:space="0" w:color="auto"/>
            <w:bottom w:val="none" w:sz="0" w:space="0" w:color="auto"/>
            <w:right w:val="none" w:sz="0" w:space="0" w:color="auto"/>
          </w:divBdr>
        </w:div>
        <w:div w:id="1639265610">
          <w:marLeft w:val="2016"/>
          <w:marRight w:val="0"/>
          <w:marTop w:val="0"/>
          <w:marBottom w:val="0"/>
          <w:divBdr>
            <w:top w:val="none" w:sz="0" w:space="0" w:color="auto"/>
            <w:left w:val="none" w:sz="0" w:space="0" w:color="auto"/>
            <w:bottom w:val="none" w:sz="0" w:space="0" w:color="auto"/>
            <w:right w:val="none" w:sz="0" w:space="0" w:color="auto"/>
          </w:divBdr>
        </w:div>
      </w:divsChild>
    </w:div>
    <w:div w:id="1584608470">
      <w:bodyDiv w:val="1"/>
      <w:marLeft w:val="0"/>
      <w:marRight w:val="0"/>
      <w:marTop w:val="0"/>
      <w:marBottom w:val="0"/>
      <w:divBdr>
        <w:top w:val="none" w:sz="0" w:space="0" w:color="auto"/>
        <w:left w:val="none" w:sz="0" w:space="0" w:color="auto"/>
        <w:bottom w:val="none" w:sz="0" w:space="0" w:color="auto"/>
        <w:right w:val="none" w:sz="0" w:space="0" w:color="auto"/>
      </w:divBdr>
      <w:divsChild>
        <w:div w:id="249507529">
          <w:marLeft w:val="1526"/>
          <w:marRight w:val="0"/>
          <w:marTop w:val="0"/>
          <w:marBottom w:val="0"/>
          <w:divBdr>
            <w:top w:val="none" w:sz="0" w:space="0" w:color="auto"/>
            <w:left w:val="none" w:sz="0" w:space="0" w:color="auto"/>
            <w:bottom w:val="none" w:sz="0" w:space="0" w:color="auto"/>
            <w:right w:val="none" w:sz="0" w:space="0" w:color="auto"/>
          </w:divBdr>
        </w:div>
        <w:div w:id="269244389">
          <w:marLeft w:val="576"/>
          <w:marRight w:val="0"/>
          <w:marTop w:val="0"/>
          <w:marBottom w:val="0"/>
          <w:divBdr>
            <w:top w:val="none" w:sz="0" w:space="0" w:color="auto"/>
            <w:left w:val="none" w:sz="0" w:space="0" w:color="auto"/>
            <w:bottom w:val="none" w:sz="0" w:space="0" w:color="auto"/>
            <w:right w:val="none" w:sz="0" w:space="0" w:color="auto"/>
          </w:divBdr>
        </w:div>
        <w:div w:id="1536849832">
          <w:marLeft w:val="1526"/>
          <w:marRight w:val="0"/>
          <w:marTop w:val="0"/>
          <w:marBottom w:val="0"/>
          <w:divBdr>
            <w:top w:val="none" w:sz="0" w:space="0" w:color="auto"/>
            <w:left w:val="none" w:sz="0" w:space="0" w:color="auto"/>
            <w:bottom w:val="none" w:sz="0" w:space="0" w:color="auto"/>
            <w:right w:val="none" w:sz="0" w:space="0" w:color="auto"/>
          </w:divBdr>
        </w:div>
      </w:divsChild>
    </w:div>
    <w:div w:id="1639069008">
      <w:bodyDiv w:val="1"/>
      <w:marLeft w:val="0"/>
      <w:marRight w:val="0"/>
      <w:marTop w:val="0"/>
      <w:marBottom w:val="0"/>
      <w:divBdr>
        <w:top w:val="none" w:sz="0" w:space="0" w:color="auto"/>
        <w:left w:val="none" w:sz="0" w:space="0" w:color="auto"/>
        <w:bottom w:val="none" w:sz="0" w:space="0" w:color="auto"/>
        <w:right w:val="none" w:sz="0" w:space="0" w:color="auto"/>
      </w:divBdr>
      <w:divsChild>
        <w:div w:id="312225785">
          <w:marLeft w:val="1296"/>
          <w:marRight w:val="0"/>
          <w:marTop w:val="100"/>
          <w:marBottom w:val="0"/>
          <w:divBdr>
            <w:top w:val="none" w:sz="0" w:space="0" w:color="auto"/>
            <w:left w:val="none" w:sz="0" w:space="0" w:color="auto"/>
            <w:bottom w:val="none" w:sz="0" w:space="0" w:color="auto"/>
            <w:right w:val="none" w:sz="0" w:space="0" w:color="auto"/>
          </w:divBdr>
        </w:div>
        <w:div w:id="1026370885">
          <w:marLeft w:val="1296"/>
          <w:marRight w:val="0"/>
          <w:marTop w:val="100"/>
          <w:marBottom w:val="0"/>
          <w:divBdr>
            <w:top w:val="none" w:sz="0" w:space="0" w:color="auto"/>
            <w:left w:val="none" w:sz="0" w:space="0" w:color="auto"/>
            <w:bottom w:val="none" w:sz="0" w:space="0" w:color="auto"/>
            <w:right w:val="none" w:sz="0" w:space="0" w:color="auto"/>
          </w:divBdr>
        </w:div>
        <w:div w:id="1123157264">
          <w:marLeft w:val="576"/>
          <w:marRight w:val="0"/>
          <w:marTop w:val="200"/>
          <w:marBottom w:val="0"/>
          <w:divBdr>
            <w:top w:val="none" w:sz="0" w:space="0" w:color="auto"/>
            <w:left w:val="none" w:sz="0" w:space="0" w:color="auto"/>
            <w:bottom w:val="none" w:sz="0" w:space="0" w:color="auto"/>
            <w:right w:val="none" w:sz="0" w:space="0" w:color="auto"/>
          </w:divBdr>
        </w:div>
        <w:div w:id="1220899430">
          <w:marLeft w:val="1296"/>
          <w:marRight w:val="0"/>
          <w:marTop w:val="100"/>
          <w:marBottom w:val="0"/>
          <w:divBdr>
            <w:top w:val="none" w:sz="0" w:space="0" w:color="auto"/>
            <w:left w:val="none" w:sz="0" w:space="0" w:color="auto"/>
            <w:bottom w:val="none" w:sz="0" w:space="0" w:color="auto"/>
            <w:right w:val="none" w:sz="0" w:space="0" w:color="auto"/>
          </w:divBdr>
        </w:div>
        <w:div w:id="1490368210">
          <w:marLeft w:val="1296"/>
          <w:marRight w:val="0"/>
          <w:marTop w:val="100"/>
          <w:marBottom w:val="0"/>
          <w:divBdr>
            <w:top w:val="none" w:sz="0" w:space="0" w:color="auto"/>
            <w:left w:val="none" w:sz="0" w:space="0" w:color="auto"/>
            <w:bottom w:val="none" w:sz="0" w:space="0" w:color="auto"/>
            <w:right w:val="none" w:sz="0" w:space="0" w:color="auto"/>
          </w:divBdr>
        </w:div>
        <w:div w:id="1505899811">
          <w:marLeft w:val="1296"/>
          <w:marRight w:val="0"/>
          <w:marTop w:val="100"/>
          <w:marBottom w:val="0"/>
          <w:divBdr>
            <w:top w:val="none" w:sz="0" w:space="0" w:color="auto"/>
            <w:left w:val="none" w:sz="0" w:space="0" w:color="auto"/>
            <w:bottom w:val="none" w:sz="0" w:space="0" w:color="auto"/>
            <w:right w:val="none" w:sz="0" w:space="0" w:color="auto"/>
          </w:divBdr>
        </w:div>
        <w:div w:id="1784230510">
          <w:marLeft w:val="1296"/>
          <w:marRight w:val="0"/>
          <w:marTop w:val="100"/>
          <w:marBottom w:val="0"/>
          <w:divBdr>
            <w:top w:val="none" w:sz="0" w:space="0" w:color="auto"/>
            <w:left w:val="none" w:sz="0" w:space="0" w:color="auto"/>
            <w:bottom w:val="none" w:sz="0" w:space="0" w:color="auto"/>
            <w:right w:val="none" w:sz="0" w:space="0" w:color="auto"/>
          </w:divBdr>
        </w:div>
      </w:divsChild>
    </w:div>
    <w:div w:id="1799252010">
      <w:bodyDiv w:val="1"/>
      <w:marLeft w:val="0"/>
      <w:marRight w:val="0"/>
      <w:marTop w:val="0"/>
      <w:marBottom w:val="0"/>
      <w:divBdr>
        <w:top w:val="none" w:sz="0" w:space="0" w:color="auto"/>
        <w:left w:val="none" w:sz="0" w:space="0" w:color="auto"/>
        <w:bottom w:val="none" w:sz="0" w:space="0" w:color="auto"/>
        <w:right w:val="none" w:sz="0" w:space="0" w:color="auto"/>
      </w:divBdr>
      <w:divsChild>
        <w:div w:id="247010381">
          <w:marLeft w:val="576"/>
          <w:marRight w:val="0"/>
          <w:marTop w:val="0"/>
          <w:marBottom w:val="0"/>
          <w:divBdr>
            <w:top w:val="none" w:sz="0" w:space="0" w:color="auto"/>
            <w:left w:val="none" w:sz="0" w:space="0" w:color="auto"/>
            <w:bottom w:val="none" w:sz="0" w:space="0" w:color="auto"/>
            <w:right w:val="none" w:sz="0" w:space="0" w:color="auto"/>
          </w:divBdr>
        </w:div>
        <w:div w:id="735980747">
          <w:marLeft w:val="1296"/>
          <w:marRight w:val="0"/>
          <w:marTop w:val="0"/>
          <w:marBottom w:val="0"/>
          <w:divBdr>
            <w:top w:val="none" w:sz="0" w:space="0" w:color="auto"/>
            <w:left w:val="none" w:sz="0" w:space="0" w:color="auto"/>
            <w:bottom w:val="none" w:sz="0" w:space="0" w:color="auto"/>
            <w:right w:val="none" w:sz="0" w:space="0" w:color="auto"/>
          </w:divBdr>
        </w:div>
        <w:div w:id="1841920875">
          <w:marLeft w:val="1296"/>
          <w:marRight w:val="0"/>
          <w:marTop w:val="0"/>
          <w:marBottom w:val="0"/>
          <w:divBdr>
            <w:top w:val="none" w:sz="0" w:space="0" w:color="auto"/>
            <w:left w:val="none" w:sz="0" w:space="0" w:color="auto"/>
            <w:bottom w:val="none" w:sz="0" w:space="0" w:color="auto"/>
            <w:right w:val="none" w:sz="0" w:space="0" w:color="auto"/>
          </w:divBdr>
        </w:div>
        <w:div w:id="1969359200">
          <w:marLeft w:val="1296"/>
          <w:marRight w:val="0"/>
          <w:marTop w:val="0"/>
          <w:marBottom w:val="0"/>
          <w:divBdr>
            <w:top w:val="none" w:sz="0" w:space="0" w:color="auto"/>
            <w:left w:val="none" w:sz="0" w:space="0" w:color="auto"/>
            <w:bottom w:val="none" w:sz="0" w:space="0" w:color="auto"/>
            <w:right w:val="none" w:sz="0" w:space="0" w:color="auto"/>
          </w:divBdr>
        </w:div>
      </w:divsChild>
    </w:div>
    <w:div w:id="1806391652">
      <w:bodyDiv w:val="1"/>
      <w:marLeft w:val="0"/>
      <w:marRight w:val="0"/>
      <w:marTop w:val="0"/>
      <w:marBottom w:val="0"/>
      <w:divBdr>
        <w:top w:val="none" w:sz="0" w:space="0" w:color="auto"/>
        <w:left w:val="none" w:sz="0" w:space="0" w:color="auto"/>
        <w:bottom w:val="none" w:sz="0" w:space="0" w:color="auto"/>
        <w:right w:val="none" w:sz="0" w:space="0" w:color="auto"/>
      </w:divBdr>
      <w:divsChild>
        <w:div w:id="1710686221">
          <w:marLeft w:val="1296"/>
          <w:marRight w:val="0"/>
          <w:marTop w:val="0"/>
          <w:marBottom w:val="0"/>
          <w:divBdr>
            <w:top w:val="none" w:sz="0" w:space="0" w:color="auto"/>
            <w:left w:val="none" w:sz="0" w:space="0" w:color="auto"/>
            <w:bottom w:val="none" w:sz="0" w:space="0" w:color="auto"/>
            <w:right w:val="none" w:sz="0" w:space="0" w:color="auto"/>
          </w:divBdr>
        </w:div>
      </w:divsChild>
    </w:div>
    <w:div w:id="1810705398">
      <w:bodyDiv w:val="1"/>
      <w:marLeft w:val="0"/>
      <w:marRight w:val="0"/>
      <w:marTop w:val="0"/>
      <w:marBottom w:val="0"/>
      <w:divBdr>
        <w:top w:val="none" w:sz="0" w:space="0" w:color="auto"/>
        <w:left w:val="none" w:sz="0" w:space="0" w:color="auto"/>
        <w:bottom w:val="none" w:sz="0" w:space="0" w:color="auto"/>
        <w:right w:val="none" w:sz="0" w:space="0" w:color="auto"/>
      </w:divBdr>
      <w:divsChild>
        <w:div w:id="132798363">
          <w:marLeft w:val="576"/>
          <w:marRight w:val="0"/>
          <w:marTop w:val="0"/>
          <w:marBottom w:val="0"/>
          <w:divBdr>
            <w:top w:val="none" w:sz="0" w:space="0" w:color="auto"/>
            <w:left w:val="none" w:sz="0" w:space="0" w:color="auto"/>
            <w:bottom w:val="none" w:sz="0" w:space="0" w:color="auto"/>
            <w:right w:val="none" w:sz="0" w:space="0" w:color="auto"/>
          </w:divBdr>
        </w:div>
      </w:divsChild>
    </w:div>
    <w:div w:id="1889490487">
      <w:bodyDiv w:val="1"/>
      <w:marLeft w:val="0"/>
      <w:marRight w:val="0"/>
      <w:marTop w:val="0"/>
      <w:marBottom w:val="0"/>
      <w:divBdr>
        <w:top w:val="none" w:sz="0" w:space="0" w:color="auto"/>
        <w:left w:val="none" w:sz="0" w:space="0" w:color="auto"/>
        <w:bottom w:val="none" w:sz="0" w:space="0" w:color="auto"/>
        <w:right w:val="none" w:sz="0" w:space="0" w:color="auto"/>
      </w:divBdr>
      <w:divsChild>
        <w:div w:id="1079593111">
          <w:marLeft w:val="1296"/>
          <w:marRight w:val="0"/>
          <w:marTop w:val="0"/>
          <w:marBottom w:val="0"/>
          <w:divBdr>
            <w:top w:val="none" w:sz="0" w:space="0" w:color="auto"/>
            <w:left w:val="none" w:sz="0" w:space="0" w:color="auto"/>
            <w:bottom w:val="none" w:sz="0" w:space="0" w:color="auto"/>
            <w:right w:val="none" w:sz="0" w:space="0" w:color="auto"/>
          </w:divBdr>
        </w:div>
        <w:div w:id="1430924732">
          <w:marLeft w:val="1296"/>
          <w:marRight w:val="0"/>
          <w:marTop w:val="0"/>
          <w:marBottom w:val="0"/>
          <w:divBdr>
            <w:top w:val="none" w:sz="0" w:space="0" w:color="auto"/>
            <w:left w:val="none" w:sz="0" w:space="0" w:color="auto"/>
            <w:bottom w:val="none" w:sz="0" w:space="0" w:color="auto"/>
            <w:right w:val="none" w:sz="0" w:space="0" w:color="auto"/>
          </w:divBdr>
        </w:div>
        <w:div w:id="1469198973">
          <w:marLeft w:val="1296"/>
          <w:marRight w:val="0"/>
          <w:marTop w:val="0"/>
          <w:marBottom w:val="0"/>
          <w:divBdr>
            <w:top w:val="none" w:sz="0" w:space="0" w:color="auto"/>
            <w:left w:val="none" w:sz="0" w:space="0" w:color="auto"/>
            <w:bottom w:val="none" w:sz="0" w:space="0" w:color="auto"/>
            <w:right w:val="none" w:sz="0" w:space="0" w:color="auto"/>
          </w:divBdr>
        </w:div>
        <w:div w:id="1817409915">
          <w:marLeft w:val="1296"/>
          <w:marRight w:val="0"/>
          <w:marTop w:val="0"/>
          <w:marBottom w:val="0"/>
          <w:divBdr>
            <w:top w:val="none" w:sz="0" w:space="0" w:color="auto"/>
            <w:left w:val="none" w:sz="0" w:space="0" w:color="auto"/>
            <w:bottom w:val="none" w:sz="0" w:space="0" w:color="auto"/>
            <w:right w:val="none" w:sz="0" w:space="0" w:color="auto"/>
          </w:divBdr>
        </w:div>
      </w:divsChild>
    </w:div>
    <w:div w:id="1943344735">
      <w:bodyDiv w:val="1"/>
      <w:marLeft w:val="0"/>
      <w:marRight w:val="0"/>
      <w:marTop w:val="0"/>
      <w:marBottom w:val="0"/>
      <w:divBdr>
        <w:top w:val="none" w:sz="0" w:space="0" w:color="auto"/>
        <w:left w:val="none" w:sz="0" w:space="0" w:color="auto"/>
        <w:bottom w:val="none" w:sz="0" w:space="0" w:color="auto"/>
        <w:right w:val="none" w:sz="0" w:space="0" w:color="auto"/>
      </w:divBdr>
      <w:divsChild>
        <w:div w:id="279999626">
          <w:marLeft w:val="1296"/>
          <w:marRight w:val="0"/>
          <w:marTop w:val="0"/>
          <w:marBottom w:val="0"/>
          <w:divBdr>
            <w:top w:val="none" w:sz="0" w:space="0" w:color="auto"/>
            <w:left w:val="none" w:sz="0" w:space="0" w:color="auto"/>
            <w:bottom w:val="none" w:sz="0" w:space="0" w:color="auto"/>
            <w:right w:val="none" w:sz="0" w:space="0" w:color="auto"/>
          </w:divBdr>
        </w:div>
        <w:div w:id="601568294">
          <w:marLeft w:val="1296"/>
          <w:marRight w:val="0"/>
          <w:marTop w:val="0"/>
          <w:marBottom w:val="0"/>
          <w:divBdr>
            <w:top w:val="none" w:sz="0" w:space="0" w:color="auto"/>
            <w:left w:val="none" w:sz="0" w:space="0" w:color="auto"/>
            <w:bottom w:val="none" w:sz="0" w:space="0" w:color="auto"/>
            <w:right w:val="none" w:sz="0" w:space="0" w:color="auto"/>
          </w:divBdr>
        </w:div>
        <w:div w:id="2054771404">
          <w:marLeft w:val="1296"/>
          <w:marRight w:val="0"/>
          <w:marTop w:val="0"/>
          <w:marBottom w:val="0"/>
          <w:divBdr>
            <w:top w:val="none" w:sz="0" w:space="0" w:color="auto"/>
            <w:left w:val="none" w:sz="0" w:space="0" w:color="auto"/>
            <w:bottom w:val="none" w:sz="0" w:space="0" w:color="auto"/>
            <w:right w:val="none" w:sz="0" w:space="0" w:color="auto"/>
          </w:divBdr>
        </w:div>
      </w:divsChild>
    </w:div>
    <w:div w:id="2044742819">
      <w:bodyDiv w:val="1"/>
      <w:marLeft w:val="0"/>
      <w:marRight w:val="0"/>
      <w:marTop w:val="0"/>
      <w:marBottom w:val="0"/>
      <w:divBdr>
        <w:top w:val="none" w:sz="0" w:space="0" w:color="auto"/>
        <w:left w:val="none" w:sz="0" w:space="0" w:color="auto"/>
        <w:bottom w:val="none" w:sz="0" w:space="0" w:color="auto"/>
        <w:right w:val="none" w:sz="0" w:space="0" w:color="auto"/>
      </w:divBdr>
      <w:divsChild>
        <w:div w:id="1488670305">
          <w:marLeft w:val="0"/>
          <w:marRight w:val="0"/>
          <w:marTop w:val="0"/>
          <w:marBottom w:val="0"/>
          <w:divBdr>
            <w:top w:val="none" w:sz="0" w:space="0" w:color="auto"/>
            <w:left w:val="none" w:sz="0" w:space="0" w:color="auto"/>
            <w:bottom w:val="none" w:sz="0" w:space="0" w:color="auto"/>
            <w:right w:val="none" w:sz="0" w:space="0" w:color="auto"/>
          </w:divBdr>
          <w:divsChild>
            <w:div w:id="1258444024">
              <w:marLeft w:val="0"/>
              <w:marRight w:val="0"/>
              <w:marTop w:val="0"/>
              <w:marBottom w:val="0"/>
              <w:divBdr>
                <w:top w:val="none" w:sz="0" w:space="0" w:color="auto"/>
                <w:left w:val="none" w:sz="0" w:space="0" w:color="auto"/>
                <w:bottom w:val="none" w:sz="0" w:space="0" w:color="auto"/>
                <w:right w:val="none" w:sz="0" w:space="0" w:color="auto"/>
              </w:divBdr>
              <w:divsChild>
                <w:div w:id="1673678185">
                  <w:marLeft w:val="0"/>
                  <w:marRight w:val="0"/>
                  <w:marTop w:val="0"/>
                  <w:marBottom w:val="0"/>
                  <w:divBdr>
                    <w:top w:val="none" w:sz="0" w:space="0" w:color="auto"/>
                    <w:left w:val="none" w:sz="0" w:space="0" w:color="auto"/>
                    <w:bottom w:val="none" w:sz="0" w:space="0" w:color="auto"/>
                    <w:right w:val="none" w:sz="0" w:space="0" w:color="auto"/>
                  </w:divBdr>
                  <w:divsChild>
                    <w:div w:id="1671371540">
                      <w:marLeft w:val="0"/>
                      <w:marRight w:val="0"/>
                      <w:marTop w:val="0"/>
                      <w:marBottom w:val="0"/>
                      <w:divBdr>
                        <w:top w:val="none" w:sz="0" w:space="0" w:color="auto"/>
                        <w:left w:val="none" w:sz="0" w:space="0" w:color="auto"/>
                        <w:bottom w:val="none" w:sz="0" w:space="0" w:color="auto"/>
                        <w:right w:val="none" w:sz="0" w:space="0" w:color="auto"/>
                      </w:divBdr>
                      <w:divsChild>
                        <w:div w:id="4284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117691">
          <w:marLeft w:val="0"/>
          <w:marRight w:val="0"/>
          <w:marTop w:val="0"/>
          <w:marBottom w:val="0"/>
          <w:divBdr>
            <w:top w:val="none" w:sz="0" w:space="0" w:color="auto"/>
            <w:left w:val="none" w:sz="0" w:space="0" w:color="auto"/>
            <w:bottom w:val="none" w:sz="0" w:space="0" w:color="auto"/>
            <w:right w:val="none" w:sz="0" w:space="0" w:color="auto"/>
          </w:divBdr>
          <w:divsChild>
            <w:div w:id="8015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5947">
      <w:bodyDiv w:val="1"/>
      <w:marLeft w:val="0"/>
      <w:marRight w:val="0"/>
      <w:marTop w:val="0"/>
      <w:marBottom w:val="0"/>
      <w:divBdr>
        <w:top w:val="none" w:sz="0" w:space="0" w:color="auto"/>
        <w:left w:val="none" w:sz="0" w:space="0" w:color="auto"/>
        <w:bottom w:val="none" w:sz="0" w:space="0" w:color="auto"/>
        <w:right w:val="none" w:sz="0" w:space="0" w:color="auto"/>
      </w:divBdr>
      <w:divsChild>
        <w:div w:id="626200042">
          <w:marLeft w:val="1296"/>
          <w:marRight w:val="0"/>
          <w:marTop w:val="0"/>
          <w:marBottom w:val="0"/>
          <w:divBdr>
            <w:top w:val="none" w:sz="0" w:space="0" w:color="auto"/>
            <w:left w:val="none" w:sz="0" w:space="0" w:color="auto"/>
            <w:bottom w:val="none" w:sz="0" w:space="0" w:color="auto"/>
            <w:right w:val="none" w:sz="0" w:space="0" w:color="auto"/>
          </w:divBdr>
        </w:div>
        <w:div w:id="950092991">
          <w:marLeft w:val="129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1.xml"/><Relationship Id="rId26" Type="http://schemas.openxmlformats.org/officeDocument/2006/relationships/hyperlink" Target="https://www.agriculture.gov.au/about/news/global-biosecurity-collaboration" TargetMode="External"/><Relationship Id="rId39" Type="http://schemas.openxmlformats.org/officeDocument/2006/relationships/hyperlink" Target="https://www.dfat.gov.au/publications/development/australias-development-policy-performance-and-delivery-framework" TargetMode="External"/><Relationship Id="rId3" Type="http://schemas.openxmlformats.org/officeDocument/2006/relationships/customXml" Target="../customXml/item3.xml"/><Relationship Id="rId21" Type="http://schemas.openxmlformats.org/officeDocument/2006/relationships/hyperlink" Target="https://apecservicessr.com/" TargetMode="External"/><Relationship Id="rId34" Type="http://schemas.openxmlformats.org/officeDocument/2006/relationships/hyperlink" Target="https://www.dfat.gov.au/development/performance-assessment/development-evaluation"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dfat.gov.au/international-relations/global-themes/international-relations/disability-equity-and-rights" TargetMode="External"/><Relationship Id="rId25" Type="http://schemas.openxmlformats.org/officeDocument/2006/relationships/hyperlink" Target="https://aasc.knack.com/mra-inventory" TargetMode="External"/><Relationship Id="rId33" Type="http://schemas.openxmlformats.org/officeDocument/2006/relationships/image" Target="media/image3.png"/><Relationship Id="rId38" Type="http://schemas.openxmlformats.org/officeDocument/2006/relationships/hyperlink" Target="http://dfatintranet.titan.satin.lo/managing-aid/international-development-programming-guide/Documents/2022-IPR-Good-Practice-Note.pdf" TargetMode="Externa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yperlink" Target="https://www.apec.org/meeting-papers/sectoral-ministerial-meetings/small-and-medium-enterprise/chair-s-statement-of-the-28th-apec-small-and-medium-enterprises-ministerial-meeting" TargetMode="External"/><Relationship Id="rId29" Type="http://schemas.openxmlformats.org/officeDocument/2006/relationships/hyperlink" Target="https://www.apec.org/docs/default-source/satellite/EDNET/Resources/APEC-Education-Strategy.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aimp2.apec.org/sites/PDB/Lists/Proposals/DispForm.aspx?ID=3415" TargetMode="External"/><Relationship Id="rId32" Type="http://schemas.openxmlformats.org/officeDocument/2006/relationships/image" Target="media/image2.png"/><Relationship Id="rId37" Type="http://schemas.openxmlformats.org/officeDocument/2006/relationships/hyperlink" Target="https://www.dfat.gov.au/sites/default/files/performance-delivery-framework.pdf" TargetMode="External"/><Relationship Id="rId40" Type="http://schemas.openxmlformats.org/officeDocument/2006/relationships/hyperlink" Target="https://www.dfat.gov.au/development/new-international-development-policy" TargetMode="Externa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hyperlink" Target="https://www.apec.org/projects/funding-sources" TargetMode="External"/><Relationship Id="rId28" Type="http://schemas.openxmlformats.org/officeDocument/2006/relationships/hyperlink" Target="https://www.apec.org/press/news-releases/2023/apec-steps-up-environmental-services-efforts-and-marine-debris-clean-up" TargetMode="External"/><Relationship Id="rId36" Type="http://schemas.openxmlformats.org/officeDocument/2006/relationships/hyperlink" Target="https://www.dfat.gov.au/about-us/publications/dfat-design-monitoring-evaluation-learning-standards" TargetMode="External"/><Relationship Id="rId10" Type="http://schemas.openxmlformats.org/officeDocument/2006/relationships/endnotes" Target="endnotes.xml"/><Relationship Id="rId19" Type="http://schemas.openxmlformats.org/officeDocument/2006/relationships/hyperlink" Target="https://www.apec.org/publications/2023/07/report-on-the-environmental-goods-trade-policy-dialogue"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hyperlink" Target="https://apecservicessr.com/research/policy-briefs/" TargetMode="External"/><Relationship Id="rId27" Type="http://schemas.openxmlformats.org/officeDocument/2006/relationships/hyperlink" Target="https://www.apec.org/publications/2022/02/apec-food-safety-risk-communication-framework-and-associated-guidelines" TargetMode="External"/><Relationship Id="rId30" Type="http://schemas.openxmlformats.org/officeDocument/2006/relationships/hyperlink" Target="https://www.education.gov.au/australian-strategy-international-education-2021-2030" TargetMode="External"/><Relationship Id="rId35" Type="http://schemas.openxmlformats.org/officeDocument/2006/relationships/hyperlink" Target="http://dfatintranet.titan.satin.lo/managing-aid/international-development-programming-guide/Pages/chapter-6.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us01.safelinks.protection.outlook.com/?url=https%3A%2F%2Fwww.linkedin.com%2Ffeed%2Fupdate%2Furn%3Ali%3Aactivity%3A7178932734449315841%2F&amp;data=05%7C02%7Cmatt.smith%40strategicdevelopment.com.au%7C1dc063226c0d46c66c6d08dcd09ab5a7%7C85195f358c734694803b27157e4e9e20%7C0%7C0%7C638614610114659283%7CUnknown%7CTWFpbGZsb3d8eyJWIjoiMC4wLjAwMDAiLCJQIjoiV2luMzIiLCJBTiI6Ik1haWwiLCJXVCI6Mn0%3D%7C0%7C%7C%7C&amp;sdata=bL6P1tUeuxCFrAJhJ0kkKC9a8iP0xBv%2F9%2F6ARG1nrgY%3D&amp;reserved=0" TargetMode="External"/><Relationship Id="rId3" Type="http://schemas.openxmlformats.org/officeDocument/2006/relationships/hyperlink" Target="https://www.apec.org/press/news-releases/2023/ambassador-tai-s-statement-on-the-apec-trade-ministers-meeting" TargetMode="External"/><Relationship Id="rId7" Type="http://schemas.openxmlformats.org/officeDocument/2006/relationships/hyperlink" Target="https://vimeo.com/903586920/d1db27dc09" TargetMode="External"/><Relationship Id="rId2" Type="http://schemas.openxmlformats.org/officeDocument/2006/relationships/hyperlink" Target="https://www.apec.org/publications/2023/10/mutual-recognition-agreements-toolkit" TargetMode="External"/><Relationship Id="rId1" Type="http://schemas.openxmlformats.org/officeDocument/2006/relationships/hyperlink" Target="https://www.apec.org/publications/2024/02/mutual-recognition-agreements-for-professional-qualifications-and-licensure-in-apec-experiences-impediments-and-opportunities" TargetMode="External"/><Relationship Id="rId6" Type="http://schemas.openxmlformats.org/officeDocument/2006/relationships/hyperlink" Target="https://vimeo.com/903177790/9823544f75" TargetMode="External"/><Relationship Id="rId5" Type="http://schemas.openxmlformats.org/officeDocument/2006/relationships/hyperlink" Target="https://vimeo.com/891339954/c7f1c40852?share=copy" TargetMode="External"/><Relationship Id="rId4" Type="http://schemas.openxmlformats.org/officeDocument/2006/relationships/hyperlink" Target="https://www.apec.org/meeting-papers/sectoral-ministerial-meetings/trade/2023-apec-ministers-responsible-for-trade-statement-of-the-chair/annex-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rrentProject xmlns="6bbb3dd9-7716-4ca1-b6cc-2fb97cc232b2">true</CurrentProject>
    <TaxCatchAll xmlns="8479d073-124d-4fab-9172-72a259666d8b" xsi:nil="true"/>
    <lcf76f155ced4ddcb4097134ff3c332f xmlns="6bbb3dd9-7716-4ca1-b6cc-2fb97cc232b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D55D72DC206446852EC8CE0569046D" ma:contentTypeVersion="28" ma:contentTypeDescription="Create a new document." ma:contentTypeScope="" ma:versionID="c7ebbac233b8502b46637f65a9b4c876">
  <xsd:schema xmlns:xsd="http://www.w3.org/2001/XMLSchema" xmlns:xs="http://www.w3.org/2001/XMLSchema" xmlns:p="http://schemas.microsoft.com/office/2006/metadata/properties" xmlns:ns2="6bbb3dd9-7716-4ca1-b6cc-2fb97cc232b2" xmlns:ns3="8479d073-124d-4fab-9172-72a259666d8b" targetNamespace="http://schemas.microsoft.com/office/2006/metadata/properties" ma:root="true" ma:fieldsID="b33d34fb812fa2a53b6846a61cb14287" ns2:_="" ns3:_="">
    <xsd:import namespace="6bbb3dd9-7716-4ca1-b6cc-2fb97cc232b2"/>
    <xsd:import namespace="8479d073-124d-4fab-9172-72a259666d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CurrentProject"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b3dd9-7716-4ca1-b6cc-2fb97cc23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CurrentProject" ma:index="19" nillable="true" ma:displayName="Current Project" ma:default="1" ma:description="Filter so it is possible to view All or current projects only" ma:format="Dropdown" ma:indexed="true" ma:internalName="CurrentProject">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1d2ab2-8d4f-44c7-90a1-5ae6f42df6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79d073-124d-4fab-9172-72a259666d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102f45-c4b2-4f3c-8972-816d495cb903}" ma:internalName="TaxCatchAll" ma:showField="CatchAllData" ma:web="8479d073-124d-4fab-9172-72a259666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6B52E-2DB5-444E-9FE3-4C04BA9F3BE5}">
  <ds:schemaRefs>
    <ds:schemaRef ds:uri="http://purl.org/dc/terms/"/>
    <ds:schemaRef ds:uri="http://schemas.openxmlformats.org/package/2006/metadata/core-properties"/>
    <ds:schemaRef ds:uri="6bbb3dd9-7716-4ca1-b6cc-2fb97cc232b2"/>
    <ds:schemaRef ds:uri="http://schemas.microsoft.com/office/2006/documentManagement/types"/>
    <ds:schemaRef ds:uri="http://schemas.microsoft.com/office/infopath/2007/PartnerControls"/>
    <ds:schemaRef ds:uri="http://purl.org/dc/elements/1.1/"/>
    <ds:schemaRef ds:uri="http://schemas.microsoft.com/office/2006/metadata/properties"/>
    <ds:schemaRef ds:uri="8479d073-124d-4fab-9172-72a259666d8b"/>
    <ds:schemaRef ds:uri="http://www.w3.org/XML/1998/namespace"/>
    <ds:schemaRef ds:uri="http://purl.org/dc/dcmitype/"/>
  </ds:schemaRefs>
</ds:datastoreItem>
</file>

<file path=customXml/itemProps2.xml><?xml version="1.0" encoding="utf-8"?>
<ds:datastoreItem xmlns:ds="http://schemas.openxmlformats.org/officeDocument/2006/customXml" ds:itemID="{78149F0B-6A33-4EAE-9410-F16FD7995A70}">
  <ds:schemaRefs>
    <ds:schemaRef ds:uri="http://schemas.openxmlformats.org/officeDocument/2006/bibliography"/>
  </ds:schemaRefs>
</ds:datastoreItem>
</file>

<file path=customXml/itemProps3.xml><?xml version="1.0" encoding="utf-8"?>
<ds:datastoreItem xmlns:ds="http://schemas.openxmlformats.org/officeDocument/2006/customXml" ds:itemID="{E399C5B2-AE20-4F83-84B1-B306A983E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b3dd9-7716-4ca1-b6cc-2fb97cc232b2"/>
    <ds:schemaRef ds:uri="8479d073-124d-4fab-9172-72a25966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87F529-ED6D-4193-A244-8CBB69B5A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17797</Words>
  <Characters>105518</Characters>
  <Application>Microsoft Office Word</Application>
  <DocSecurity>0</DocSecurity>
  <Lines>1702</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122950</CharactersWithSpaces>
  <SharedDoc>false</SharedDoc>
  <HLinks>
    <vt:vector size="324" baseType="variant">
      <vt:variant>
        <vt:i4>131164</vt:i4>
      </vt:variant>
      <vt:variant>
        <vt:i4>228</vt:i4>
      </vt:variant>
      <vt:variant>
        <vt:i4>0</vt:i4>
      </vt:variant>
      <vt:variant>
        <vt:i4>5</vt:i4>
      </vt:variant>
      <vt:variant>
        <vt:lpwstr>https://www.dfat.gov.au/development/new-international-development-policy</vt:lpwstr>
      </vt:variant>
      <vt:variant>
        <vt:lpwstr/>
      </vt:variant>
      <vt:variant>
        <vt:i4>4390937</vt:i4>
      </vt:variant>
      <vt:variant>
        <vt:i4>225</vt:i4>
      </vt:variant>
      <vt:variant>
        <vt:i4>0</vt:i4>
      </vt:variant>
      <vt:variant>
        <vt:i4>5</vt:i4>
      </vt:variant>
      <vt:variant>
        <vt:lpwstr>https://www.dfat.gov.au/publications/development/australias-development-policy-performance-and-delivery-framework</vt:lpwstr>
      </vt:variant>
      <vt:variant>
        <vt:lpwstr/>
      </vt:variant>
      <vt:variant>
        <vt:i4>5570576</vt:i4>
      </vt:variant>
      <vt:variant>
        <vt:i4>222</vt:i4>
      </vt:variant>
      <vt:variant>
        <vt:i4>0</vt:i4>
      </vt:variant>
      <vt:variant>
        <vt:i4>5</vt:i4>
      </vt:variant>
      <vt:variant>
        <vt:lpwstr>http://dfatintranet.titan.satin.lo/managing-aid/international-development-programming-guide/Documents/2022-IPR-Good-Practice-Note.pdf</vt:lpwstr>
      </vt:variant>
      <vt:variant>
        <vt:lpwstr/>
      </vt:variant>
      <vt:variant>
        <vt:i4>8126507</vt:i4>
      </vt:variant>
      <vt:variant>
        <vt:i4>219</vt:i4>
      </vt:variant>
      <vt:variant>
        <vt:i4>0</vt:i4>
      </vt:variant>
      <vt:variant>
        <vt:i4>5</vt:i4>
      </vt:variant>
      <vt:variant>
        <vt:lpwstr>https://www.dfat.gov.au/sites/default/files/performance-delivery-framework.pdf</vt:lpwstr>
      </vt:variant>
      <vt:variant>
        <vt:lpwstr/>
      </vt:variant>
      <vt:variant>
        <vt:i4>8323106</vt:i4>
      </vt:variant>
      <vt:variant>
        <vt:i4>216</vt:i4>
      </vt:variant>
      <vt:variant>
        <vt:i4>0</vt:i4>
      </vt:variant>
      <vt:variant>
        <vt:i4>5</vt:i4>
      </vt:variant>
      <vt:variant>
        <vt:lpwstr>https://www.dfat.gov.au/about-us/publications/dfat-design-monitoring-evaluation-learning-standards</vt:lpwstr>
      </vt:variant>
      <vt:variant>
        <vt:lpwstr/>
      </vt:variant>
      <vt:variant>
        <vt:i4>6160394</vt:i4>
      </vt:variant>
      <vt:variant>
        <vt:i4>213</vt:i4>
      </vt:variant>
      <vt:variant>
        <vt:i4>0</vt:i4>
      </vt:variant>
      <vt:variant>
        <vt:i4>5</vt:i4>
      </vt:variant>
      <vt:variant>
        <vt:lpwstr>http://dfatintranet.titan.satin.lo/managing-aid/international-development-programming-guide/Pages/chapter-6.aspx</vt:lpwstr>
      </vt:variant>
      <vt:variant>
        <vt:lpwstr/>
      </vt:variant>
      <vt:variant>
        <vt:i4>1638485</vt:i4>
      </vt:variant>
      <vt:variant>
        <vt:i4>210</vt:i4>
      </vt:variant>
      <vt:variant>
        <vt:i4>0</vt:i4>
      </vt:variant>
      <vt:variant>
        <vt:i4>5</vt:i4>
      </vt:variant>
      <vt:variant>
        <vt:lpwstr>https://www.dfat.gov.au/development/performance-assessment/development-evaluation</vt:lpwstr>
      </vt:variant>
      <vt:variant>
        <vt:lpwstr/>
      </vt:variant>
      <vt:variant>
        <vt:i4>3735602</vt:i4>
      </vt:variant>
      <vt:variant>
        <vt:i4>186</vt:i4>
      </vt:variant>
      <vt:variant>
        <vt:i4>0</vt:i4>
      </vt:variant>
      <vt:variant>
        <vt:i4>5</vt:i4>
      </vt:variant>
      <vt:variant>
        <vt:lpwstr>https://www.education.gov.au/australian-strategy-international-education-2021-2030</vt:lpwstr>
      </vt:variant>
      <vt:variant>
        <vt:lpwstr/>
      </vt:variant>
      <vt:variant>
        <vt:i4>3997808</vt:i4>
      </vt:variant>
      <vt:variant>
        <vt:i4>183</vt:i4>
      </vt:variant>
      <vt:variant>
        <vt:i4>0</vt:i4>
      </vt:variant>
      <vt:variant>
        <vt:i4>5</vt:i4>
      </vt:variant>
      <vt:variant>
        <vt:lpwstr>https://www.apec.org/docs/default-source/satellite/EDNET/Resources/APEC-Education-Strategy.pdf</vt:lpwstr>
      </vt:variant>
      <vt:variant>
        <vt:lpwstr/>
      </vt:variant>
      <vt:variant>
        <vt:i4>393223</vt:i4>
      </vt:variant>
      <vt:variant>
        <vt:i4>180</vt:i4>
      </vt:variant>
      <vt:variant>
        <vt:i4>0</vt:i4>
      </vt:variant>
      <vt:variant>
        <vt:i4>5</vt:i4>
      </vt:variant>
      <vt:variant>
        <vt:lpwstr>https://www.apec.org/press/news-releases/2023/apec-steps-up-environmental-services-efforts-and-marine-debris-clean-up</vt:lpwstr>
      </vt:variant>
      <vt:variant>
        <vt:lpwstr/>
      </vt:variant>
      <vt:variant>
        <vt:i4>5570568</vt:i4>
      </vt:variant>
      <vt:variant>
        <vt:i4>177</vt:i4>
      </vt:variant>
      <vt:variant>
        <vt:i4>0</vt:i4>
      </vt:variant>
      <vt:variant>
        <vt:i4>5</vt:i4>
      </vt:variant>
      <vt:variant>
        <vt:lpwstr>https://www.apec.org/publications/2022/02/apec-food-safety-risk-communication-framework-and-associated-guidelines</vt:lpwstr>
      </vt:variant>
      <vt:variant>
        <vt:lpwstr/>
      </vt:variant>
      <vt:variant>
        <vt:i4>7012387</vt:i4>
      </vt:variant>
      <vt:variant>
        <vt:i4>174</vt:i4>
      </vt:variant>
      <vt:variant>
        <vt:i4>0</vt:i4>
      </vt:variant>
      <vt:variant>
        <vt:i4>5</vt:i4>
      </vt:variant>
      <vt:variant>
        <vt:lpwstr>https://www.agriculture.gov.au/about/news/global-biosecurity-collaboration</vt:lpwstr>
      </vt:variant>
      <vt:variant>
        <vt:lpwstr/>
      </vt:variant>
      <vt:variant>
        <vt:i4>1507405</vt:i4>
      </vt:variant>
      <vt:variant>
        <vt:i4>171</vt:i4>
      </vt:variant>
      <vt:variant>
        <vt:i4>0</vt:i4>
      </vt:variant>
      <vt:variant>
        <vt:i4>5</vt:i4>
      </vt:variant>
      <vt:variant>
        <vt:lpwstr>https://aasc.knack.com/mra-inventory</vt:lpwstr>
      </vt:variant>
      <vt:variant>
        <vt:lpwstr/>
      </vt:variant>
      <vt:variant>
        <vt:i4>7078008</vt:i4>
      </vt:variant>
      <vt:variant>
        <vt:i4>168</vt:i4>
      </vt:variant>
      <vt:variant>
        <vt:i4>0</vt:i4>
      </vt:variant>
      <vt:variant>
        <vt:i4>5</vt:i4>
      </vt:variant>
      <vt:variant>
        <vt:lpwstr>https://apecservicessr.com/research/policy-briefs/</vt:lpwstr>
      </vt:variant>
      <vt:variant>
        <vt:lpwstr/>
      </vt:variant>
      <vt:variant>
        <vt:i4>8192123</vt:i4>
      </vt:variant>
      <vt:variant>
        <vt:i4>165</vt:i4>
      </vt:variant>
      <vt:variant>
        <vt:i4>0</vt:i4>
      </vt:variant>
      <vt:variant>
        <vt:i4>5</vt:i4>
      </vt:variant>
      <vt:variant>
        <vt:lpwstr>https://apecservicessr.com/</vt:lpwstr>
      </vt:variant>
      <vt:variant>
        <vt:lpwstr/>
      </vt:variant>
      <vt:variant>
        <vt:i4>1572943</vt:i4>
      </vt:variant>
      <vt:variant>
        <vt:i4>162</vt:i4>
      </vt:variant>
      <vt:variant>
        <vt:i4>0</vt:i4>
      </vt:variant>
      <vt:variant>
        <vt:i4>5</vt:i4>
      </vt:variant>
      <vt:variant>
        <vt:lpwstr>https://www.apec.org/meeting-papers/sectoral-ministerial-meetings/small-and-medium-enterprise/chair-s-statement-of-the-28th-apec-small-and-medium-enterprises-ministerial-meeting</vt:lpwstr>
      </vt:variant>
      <vt:variant>
        <vt:lpwstr/>
      </vt:variant>
      <vt:variant>
        <vt:i4>3473448</vt:i4>
      </vt:variant>
      <vt:variant>
        <vt:i4>159</vt:i4>
      </vt:variant>
      <vt:variant>
        <vt:i4>0</vt:i4>
      </vt:variant>
      <vt:variant>
        <vt:i4>5</vt:i4>
      </vt:variant>
      <vt:variant>
        <vt:lpwstr>https://www.dfat.gov.au/international-relations/global-themes/international-relations/disability-equity-and-rights</vt:lpwstr>
      </vt:variant>
      <vt:variant>
        <vt:lpwstr/>
      </vt:variant>
      <vt:variant>
        <vt:i4>1966142</vt:i4>
      </vt:variant>
      <vt:variant>
        <vt:i4>149</vt:i4>
      </vt:variant>
      <vt:variant>
        <vt:i4>0</vt:i4>
      </vt:variant>
      <vt:variant>
        <vt:i4>5</vt:i4>
      </vt:variant>
      <vt:variant>
        <vt:lpwstr/>
      </vt:variant>
      <vt:variant>
        <vt:lpwstr>_Toc179630580</vt:lpwstr>
      </vt:variant>
      <vt:variant>
        <vt:i4>1114174</vt:i4>
      </vt:variant>
      <vt:variant>
        <vt:i4>143</vt:i4>
      </vt:variant>
      <vt:variant>
        <vt:i4>0</vt:i4>
      </vt:variant>
      <vt:variant>
        <vt:i4>5</vt:i4>
      </vt:variant>
      <vt:variant>
        <vt:lpwstr/>
      </vt:variant>
      <vt:variant>
        <vt:lpwstr>_Toc179630579</vt:lpwstr>
      </vt:variant>
      <vt:variant>
        <vt:i4>1114174</vt:i4>
      </vt:variant>
      <vt:variant>
        <vt:i4>137</vt:i4>
      </vt:variant>
      <vt:variant>
        <vt:i4>0</vt:i4>
      </vt:variant>
      <vt:variant>
        <vt:i4>5</vt:i4>
      </vt:variant>
      <vt:variant>
        <vt:lpwstr/>
      </vt:variant>
      <vt:variant>
        <vt:lpwstr>_Toc179630578</vt:lpwstr>
      </vt:variant>
      <vt:variant>
        <vt:i4>1245234</vt:i4>
      </vt:variant>
      <vt:variant>
        <vt:i4>128</vt:i4>
      </vt:variant>
      <vt:variant>
        <vt:i4>0</vt:i4>
      </vt:variant>
      <vt:variant>
        <vt:i4>5</vt:i4>
      </vt:variant>
      <vt:variant>
        <vt:lpwstr/>
      </vt:variant>
      <vt:variant>
        <vt:lpwstr>_Toc182916031</vt:lpwstr>
      </vt:variant>
      <vt:variant>
        <vt:i4>1245234</vt:i4>
      </vt:variant>
      <vt:variant>
        <vt:i4>122</vt:i4>
      </vt:variant>
      <vt:variant>
        <vt:i4>0</vt:i4>
      </vt:variant>
      <vt:variant>
        <vt:i4>5</vt:i4>
      </vt:variant>
      <vt:variant>
        <vt:lpwstr/>
      </vt:variant>
      <vt:variant>
        <vt:lpwstr>_Toc182916030</vt:lpwstr>
      </vt:variant>
      <vt:variant>
        <vt:i4>1179698</vt:i4>
      </vt:variant>
      <vt:variant>
        <vt:i4>116</vt:i4>
      </vt:variant>
      <vt:variant>
        <vt:i4>0</vt:i4>
      </vt:variant>
      <vt:variant>
        <vt:i4>5</vt:i4>
      </vt:variant>
      <vt:variant>
        <vt:lpwstr/>
      </vt:variant>
      <vt:variant>
        <vt:lpwstr>_Toc182916029</vt:lpwstr>
      </vt:variant>
      <vt:variant>
        <vt:i4>1179698</vt:i4>
      </vt:variant>
      <vt:variant>
        <vt:i4>110</vt:i4>
      </vt:variant>
      <vt:variant>
        <vt:i4>0</vt:i4>
      </vt:variant>
      <vt:variant>
        <vt:i4>5</vt:i4>
      </vt:variant>
      <vt:variant>
        <vt:lpwstr/>
      </vt:variant>
      <vt:variant>
        <vt:lpwstr>_Toc182916028</vt:lpwstr>
      </vt:variant>
      <vt:variant>
        <vt:i4>1179698</vt:i4>
      </vt:variant>
      <vt:variant>
        <vt:i4>104</vt:i4>
      </vt:variant>
      <vt:variant>
        <vt:i4>0</vt:i4>
      </vt:variant>
      <vt:variant>
        <vt:i4>5</vt:i4>
      </vt:variant>
      <vt:variant>
        <vt:lpwstr/>
      </vt:variant>
      <vt:variant>
        <vt:lpwstr>_Toc182916027</vt:lpwstr>
      </vt:variant>
      <vt:variant>
        <vt:i4>1179698</vt:i4>
      </vt:variant>
      <vt:variant>
        <vt:i4>98</vt:i4>
      </vt:variant>
      <vt:variant>
        <vt:i4>0</vt:i4>
      </vt:variant>
      <vt:variant>
        <vt:i4>5</vt:i4>
      </vt:variant>
      <vt:variant>
        <vt:lpwstr/>
      </vt:variant>
      <vt:variant>
        <vt:lpwstr>_Toc182916026</vt:lpwstr>
      </vt:variant>
      <vt:variant>
        <vt:i4>1179698</vt:i4>
      </vt:variant>
      <vt:variant>
        <vt:i4>92</vt:i4>
      </vt:variant>
      <vt:variant>
        <vt:i4>0</vt:i4>
      </vt:variant>
      <vt:variant>
        <vt:i4>5</vt:i4>
      </vt:variant>
      <vt:variant>
        <vt:lpwstr/>
      </vt:variant>
      <vt:variant>
        <vt:lpwstr>_Toc182916025</vt:lpwstr>
      </vt:variant>
      <vt:variant>
        <vt:i4>1179698</vt:i4>
      </vt:variant>
      <vt:variant>
        <vt:i4>86</vt:i4>
      </vt:variant>
      <vt:variant>
        <vt:i4>0</vt:i4>
      </vt:variant>
      <vt:variant>
        <vt:i4>5</vt:i4>
      </vt:variant>
      <vt:variant>
        <vt:lpwstr/>
      </vt:variant>
      <vt:variant>
        <vt:lpwstr>_Toc182916024</vt:lpwstr>
      </vt:variant>
      <vt:variant>
        <vt:i4>1179698</vt:i4>
      </vt:variant>
      <vt:variant>
        <vt:i4>80</vt:i4>
      </vt:variant>
      <vt:variant>
        <vt:i4>0</vt:i4>
      </vt:variant>
      <vt:variant>
        <vt:i4>5</vt:i4>
      </vt:variant>
      <vt:variant>
        <vt:lpwstr/>
      </vt:variant>
      <vt:variant>
        <vt:lpwstr>_Toc182916023</vt:lpwstr>
      </vt:variant>
      <vt:variant>
        <vt:i4>1179698</vt:i4>
      </vt:variant>
      <vt:variant>
        <vt:i4>74</vt:i4>
      </vt:variant>
      <vt:variant>
        <vt:i4>0</vt:i4>
      </vt:variant>
      <vt:variant>
        <vt:i4>5</vt:i4>
      </vt:variant>
      <vt:variant>
        <vt:lpwstr/>
      </vt:variant>
      <vt:variant>
        <vt:lpwstr>_Toc182916022</vt:lpwstr>
      </vt:variant>
      <vt:variant>
        <vt:i4>1179698</vt:i4>
      </vt:variant>
      <vt:variant>
        <vt:i4>68</vt:i4>
      </vt:variant>
      <vt:variant>
        <vt:i4>0</vt:i4>
      </vt:variant>
      <vt:variant>
        <vt:i4>5</vt:i4>
      </vt:variant>
      <vt:variant>
        <vt:lpwstr/>
      </vt:variant>
      <vt:variant>
        <vt:lpwstr>_Toc182916021</vt:lpwstr>
      </vt:variant>
      <vt:variant>
        <vt:i4>1179698</vt:i4>
      </vt:variant>
      <vt:variant>
        <vt:i4>62</vt:i4>
      </vt:variant>
      <vt:variant>
        <vt:i4>0</vt:i4>
      </vt:variant>
      <vt:variant>
        <vt:i4>5</vt:i4>
      </vt:variant>
      <vt:variant>
        <vt:lpwstr/>
      </vt:variant>
      <vt:variant>
        <vt:lpwstr>_Toc182916020</vt:lpwstr>
      </vt:variant>
      <vt:variant>
        <vt:i4>1114162</vt:i4>
      </vt:variant>
      <vt:variant>
        <vt:i4>56</vt:i4>
      </vt:variant>
      <vt:variant>
        <vt:i4>0</vt:i4>
      </vt:variant>
      <vt:variant>
        <vt:i4>5</vt:i4>
      </vt:variant>
      <vt:variant>
        <vt:lpwstr/>
      </vt:variant>
      <vt:variant>
        <vt:lpwstr>_Toc182916019</vt:lpwstr>
      </vt:variant>
      <vt:variant>
        <vt:i4>1114162</vt:i4>
      </vt:variant>
      <vt:variant>
        <vt:i4>50</vt:i4>
      </vt:variant>
      <vt:variant>
        <vt:i4>0</vt:i4>
      </vt:variant>
      <vt:variant>
        <vt:i4>5</vt:i4>
      </vt:variant>
      <vt:variant>
        <vt:lpwstr/>
      </vt:variant>
      <vt:variant>
        <vt:lpwstr>_Toc182916018</vt:lpwstr>
      </vt:variant>
      <vt:variant>
        <vt:i4>1114162</vt:i4>
      </vt:variant>
      <vt:variant>
        <vt:i4>44</vt:i4>
      </vt:variant>
      <vt:variant>
        <vt:i4>0</vt:i4>
      </vt:variant>
      <vt:variant>
        <vt:i4>5</vt:i4>
      </vt:variant>
      <vt:variant>
        <vt:lpwstr/>
      </vt:variant>
      <vt:variant>
        <vt:lpwstr>_Toc182916017</vt:lpwstr>
      </vt:variant>
      <vt:variant>
        <vt:i4>1114162</vt:i4>
      </vt:variant>
      <vt:variant>
        <vt:i4>38</vt:i4>
      </vt:variant>
      <vt:variant>
        <vt:i4>0</vt:i4>
      </vt:variant>
      <vt:variant>
        <vt:i4>5</vt:i4>
      </vt:variant>
      <vt:variant>
        <vt:lpwstr/>
      </vt:variant>
      <vt:variant>
        <vt:lpwstr>_Toc182916016</vt:lpwstr>
      </vt:variant>
      <vt:variant>
        <vt:i4>1114162</vt:i4>
      </vt:variant>
      <vt:variant>
        <vt:i4>32</vt:i4>
      </vt:variant>
      <vt:variant>
        <vt:i4>0</vt:i4>
      </vt:variant>
      <vt:variant>
        <vt:i4>5</vt:i4>
      </vt:variant>
      <vt:variant>
        <vt:lpwstr/>
      </vt:variant>
      <vt:variant>
        <vt:lpwstr>_Toc182916015</vt:lpwstr>
      </vt:variant>
      <vt:variant>
        <vt:i4>1114162</vt:i4>
      </vt:variant>
      <vt:variant>
        <vt:i4>26</vt:i4>
      </vt:variant>
      <vt:variant>
        <vt:i4>0</vt:i4>
      </vt:variant>
      <vt:variant>
        <vt:i4>5</vt:i4>
      </vt:variant>
      <vt:variant>
        <vt:lpwstr/>
      </vt:variant>
      <vt:variant>
        <vt:lpwstr>_Toc182916014</vt:lpwstr>
      </vt:variant>
      <vt:variant>
        <vt:i4>1114162</vt:i4>
      </vt:variant>
      <vt:variant>
        <vt:i4>20</vt:i4>
      </vt:variant>
      <vt:variant>
        <vt:i4>0</vt:i4>
      </vt:variant>
      <vt:variant>
        <vt:i4>5</vt:i4>
      </vt:variant>
      <vt:variant>
        <vt:lpwstr/>
      </vt:variant>
      <vt:variant>
        <vt:lpwstr>_Toc182916013</vt:lpwstr>
      </vt:variant>
      <vt:variant>
        <vt:i4>1114162</vt:i4>
      </vt:variant>
      <vt:variant>
        <vt:i4>14</vt:i4>
      </vt:variant>
      <vt:variant>
        <vt:i4>0</vt:i4>
      </vt:variant>
      <vt:variant>
        <vt:i4>5</vt:i4>
      </vt:variant>
      <vt:variant>
        <vt:lpwstr/>
      </vt:variant>
      <vt:variant>
        <vt:lpwstr>_Toc182916012</vt:lpwstr>
      </vt:variant>
      <vt:variant>
        <vt:i4>1114162</vt:i4>
      </vt:variant>
      <vt:variant>
        <vt:i4>8</vt:i4>
      </vt:variant>
      <vt:variant>
        <vt:i4>0</vt:i4>
      </vt:variant>
      <vt:variant>
        <vt:i4>5</vt:i4>
      </vt:variant>
      <vt:variant>
        <vt:lpwstr/>
      </vt:variant>
      <vt:variant>
        <vt:lpwstr>_Toc182916011</vt:lpwstr>
      </vt:variant>
      <vt:variant>
        <vt:i4>1114162</vt:i4>
      </vt:variant>
      <vt:variant>
        <vt:i4>2</vt:i4>
      </vt:variant>
      <vt:variant>
        <vt:i4>0</vt:i4>
      </vt:variant>
      <vt:variant>
        <vt:i4>5</vt:i4>
      </vt:variant>
      <vt:variant>
        <vt:lpwstr/>
      </vt:variant>
      <vt:variant>
        <vt:lpwstr>_Toc182916010</vt:lpwstr>
      </vt:variant>
      <vt:variant>
        <vt:i4>3866742</vt:i4>
      </vt:variant>
      <vt:variant>
        <vt:i4>21</vt:i4>
      </vt:variant>
      <vt:variant>
        <vt:i4>0</vt:i4>
      </vt:variant>
      <vt:variant>
        <vt:i4>5</vt:i4>
      </vt:variant>
      <vt:variant>
        <vt:lpwstr>https://aus01.safelinks.protection.outlook.com/?url=https%3A%2F%2Fwww.linkedin.com%2Ffeed%2Fupdate%2Furn%3Ali%3Aactivity%3A7178932734449315841%2F&amp;data=05%7C02%7Cmatt.smith%40strategicdevelopment.com.au%7C1dc063226c0d46c66c6d08dcd09ab5a7%7C85195f358c734694803b27157e4e9e20%7C0%7C0%7C638614610114659283%7CUnknown%7CTWFpbGZsb3d8eyJWIjoiMC4wLjAwMDAiLCJQIjoiV2luMzIiLCJBTiI6Ik1haWwiLCJXVCI6Mn0%3D%7C0%7C%7C%7C&amp;sdata=bL6P1tUeuxCFrAJhJ0kkKC9a8iP0xBv%2F9%2F6ARG1nrgY%3D&amp;reserved=0</vt:lpwstr>
      </vt:variant>
      <vt:variant>
        <vt:lpwstr/>
      </vt:variant>
      <vt:variant>
        <vt:i4>6488167</vt:i4>
      </vt:variant>
      <vt:variant>
        <vt:i4>18</vt:i4>
      </vt:variant>
      <vt:variant>
        <vt:i4>0</vt:i4>
      </vt:variant>
      <vt:variant>
        <vt:i4>5</vt:i4>
      </vt:variant>
      <vt:variant>
        <vt:lpwstr>https://vimeo.com/903586920/d1db27dc09</vt:lpwstr>
      </vt:variant>
      <vt:variant>
        <vt:lpwstr/>
      </vt:variant>
      <vt:variant>
        <vt:i4>4128829</vt:i4>
      </vt:variant>
      <vt:variant>
        <vt:i4>15</vt:i4>
      </vt:variant>
      <vt:variant>
        <vt:i4>0</vt:i4>
      </vt:variant>
      <vt:variant>
        <vt:i4>5</vt:i4>
      </vt:variant>
      <vt:variant>
        <vt:lpwstr>https://vimeo.com/903177790/9823544f75</vt:lpwstr>
      </vt:variant>
      <vt:variant>
        <vt:lpwstr/>
      </vt:variant>
      <vt:variant>
        <vt:i4>393241</vt:i4>
      </vt:variant>
      <vt:variant>
        <vt:i4>12</vt:i4>
      </vt:variant>
      <vt:variant>
        <vt:i4>0</vt:i4>
      </vt:variant>
      <vt:variant>
        <vt:i4>5</vt:i4>
      </vt:variant>
      <vt:variant>
        <vt:lpwstr>https://vimeo.com/891339954/c7f1c40852?share=copy</vt:lpwstr>
      </vt:variant>
      <vt:variant>
        <vt:lpwstr/>
      </vt:variant>
      <vt:variant>
        <vt:i4>4194392</vt:i4>
      </vt:variant>
      <vt:variant>
        <vt:i4>9</vt:i4>
      </vt:variant>
      <vt:variant>
        <vt:i4>0</vt:i4>
      </vt:variant>
      <vt:variant>
        <vt:i4>5</vt:i4>
      </vt:variant>
      <vt:variant>
        <vt:lpwstr>https://www.apec.org/meeting-papers/sectoral-ministerial-meetings/trade/2023-apec-ministers-responsible-for-trade-statement-of-the-chair/annex-2</vt:lpwstr>
      </vt:variant>
      <vt:variant>
        <vt:lpwstr/>
      </vt:variant>
      <vt:variant>
        <vt:i4>4915228</vt:i4>
      </vt:variant>
      <vt:variant>
        <vt:i4>6</vt:i4>
      </vt:variant>
      <vt:variant>
        <vt:i4>0</vt:i4>
      </vt:variant>
      <vt:variant>
        <vt:i4>5</vt:i4>
      </vt:variant>
      <vt:variant>
        <vt:lpwstr>https://www.apec.org/press/news-releases/2023/ambassador-tai-s-statement-on-the-apec-trade-ministers-meeting</vt:lpwstr>
      </vt:variant>
      <vt:variant>
        <vt:lpwstr/>
      </vt:variant>
      <vt:variant>
        <vt:i4>2621503</vt:i4>
      </vt:variant>
      <vt:variant>
        <vt:i4>3</vt:i4>
      </vt:variant>
      <vt:variant>
        <vt:i4>0</vt:i4>
      </vt:variant>
      <vt:variant>
        <vt:i4>5</vt:i4>
      </vt:variant>
      <vt:variant>
        <vt:lpwstr>https://www.apec.org/publications/2023/10/mutual-recognition-agreements-toolkit</vt:lpwstr>
      </vt:variant>
      <vt:variant>
        <vt:lpwstr/>
      </vt:variant>
      <vt:variant>
        <vt:i4>2949158</vt:i4>
      </vt:variant>
      <vt:variant>
        <vt:i4>0</vt:i4>
      </vt:variant>
      <vt:variant>
        <vt:i4>0</vt:i4>
      </vt:variant>
      <vt:variant>
        <vt:i4>5</vt:i4>
      </vt:variant>
      <vt:variant>
        <vt:lpwstr>https://www.apec.org/publications/2024/02/mutual-recognition-agreements-for-professional-qualifications-and-licensure-in-apec-experiences-impediments-and-opportunities</vt:lpwstr>
      </vt:variant>
      <vt:variant>
        <vt:lpwstr/>
      </vt:variant>
      <vt:variant>
        <vt:i4>5505025</vt:i4>
      </vt:variant>
      <vt:variant>
        <vt:i4>9</vt:i4>
      </vt:variant>
      <vt:variant>
        <vt:i4>0</vt:i4>
      </vt:variant>
      <vt:variant>
        <vt:i4>5</vt:i4>
      </vt:variant>
      <vt:variant>
        <vt:lpwstr>https://www.pexels.com/photo/woman-in-a-beige-blazer-holding-a-calculator-and-paper-9304674/</vt:lpwstr>
      </vt:variant>
      <vt:variant>
        <vt:lpwstr/>
      </vt:variant>
      <vt:variant>
        <vt:i4>720965</vt:i4>
      </vt:variant>
      <vt:variant>
        <vt:i4>6</vt:i4>
      </vt:variant>
      <vt:variant>
        <vt:i4>0</vt:i4>
      </vt:variant>
      <vt:variant>
        <vt:i4>5</vt:i4>
      </vt:variant>
      <vt:variant>
        <vt:lpwstr>https://unsplash.com/@naja_bertolt_jensen?utm_content=creditCopyText&amp;utm_medium=referral&amp;utm_source=unsplash</vt:lpwstr>
      </vt:variant>
      <vt:variant>
        <vt:lpwstr/>
      </vt:variant>
      <vt:variant>
        <vt:i4>6160470</vt:i4>
      </vt:variant>
      <vt:variant>
        <vt:i4>3</vt:i4>
      </vt:variant>
      <vt:variant>
        <vt:i4>0</vt:i4>
      </vt:variant>
      <vt:variant>
        <vt:i4>5</vt:i4>
      </vt:variant>
      <vt:variant>
        <vt:lpwstr>https://www.apec.org/publications/2023/07/report-on-the-environmental-goods-trade-policy-dialogue</vt:lpwstr>
      </vt:variant>
      <vt:variant>
        <vt:lpwstr/>
      </vt:variant>
      <vt:variant>
        <vt:i4>7471222</vt:i4>
      </vt:variant>
      <vt:variant>
        <vt:i4>0</vt:i4>
      </vt:variant>
      <vt:variant>
        <vt:i4>0</vt:i4>
      </vt:variant>
      <vt:variant>
        <vt:i4>5</vt:i4>
      </vt:variant>
      <vt:variant>
        <vt:lpwstr>https://www.pexels.com/photo/photo-of-female-engineer-working-on-her-workspace-3862632/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Review of Australia’s APEC Support Program (AASP)</dc:title>
  <dc:subject/>
  <dc:creator/>
  <cp:keywords>[SEC=OFFICIAL]</cp:keywords>
  <dc:description/>
  <cp:lastModifiedBy/>
  <cp:revision>1</cp:revision>
  <dcterms:created xsi:type="dcterms:W3CDTF">2025-02-23T23:17:00Z</dcterms:created>
  <dcterms:modified xsi:type="dcterms:W3CDTF">2025-02-24T03:00:00Z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v=2022.1;a=SHA256;h=B7C2B7C2E51ACCDDE139CDC9BA3CE8E61186A40968045E289F4A6444835B2F16</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2024-01-02T01:11:30Z</vt:lpwstr>
  </property>
  <property fmtid="{D5CDD505-2E9C-101B-9397-08002B2CF9AE}" pid="10" name="PM_Markers">
    <vt:lpwstr/>
  </property>
  <property fmtid="{D5CDD505-2E9C-101B-9397-08002B2CF9AE}" pid="11" name="PM_InsertionValue">
    <vt:lpwstr>OFFICIAL</vt:lpwstr>
  </property>
  <property fmtid="{D5CDD505-2E9C-101B-9397-08002B2CF9AE}" pid="12" name="PM_DisplayValueSecClassificationWithQualifier">
    <vt:lpwstr>OFFICIAL</vt:lpwstr>
  </property>
  <property fmtid="{D5CDD505-2E9C-101B-9397-08002B2CF9AE}" pid="13" name="PM_ProtectiveMarkingValue_Footer">
    <vt:lpwstr>OFFICIAL</vt:lpwstr>
  </property>
  <property fmtid="{D5CDD505-2E9C-101B-9397-08002B2CF9AE}" pid="14" name="PM_Originating_FileId">
    <vt:lpwstr>4E340028B13A4170A0630C060B707ED1</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Display">
    <vt:lpwstr>OFFICIAL</vt:lpwstr>
  </property>
  <property fmtid="{D5CDD505-2E9C-101B-9397-08002B2CF9AE}" pid="18" name="PM_OriginatorDomainName_SHA256">
    <vt:lpwstr>6F3591835F3B2A8A025B00B5BA6418010DA3A17C9C26EA9C049FFD28039489A2</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PM_Originator_Hash_SHA1">
    <vt:lpwstr>D9F6E5C82DFAF7AB6E3D596D48DD43C72EDFDAB4</vt:lpwstr>
  </property>
  <property fmtid="{D5CDD505-2E9C-101B-9397-08002B2CF9AE}" pid="24" name="PM_OriginatorUserAccountName_SHA256">
    <vt:lpwstr>3E9DB5AB808CA91EB3E8EC398CDB7F67B110581D6BB28BC88565729DCE387350</vt:lpwstr>
  </property>
  <property fmtid="{D5CDD505-2E9C-101B-9397-08002B2CF9AE}" pid="25" name="PM_Hash_Salt_Prev">
    <vt:lpwstr>FA525507250B7C8A8E4D2AF19F6E5528</vt:lpwstr>
  </property>
  <property fmtid="{D5CDD505-2E9C-101B-9397-08002B2CF9AE}" pid="26" name="PM_Hash_Salt">
    <vt:lpwstr>4410BE2CD27B05EDC6C5514812ACFC42</vt:lpwstr>
  </property>
  <property fmtid="{D5CDD505-2E9C-101B-9397-08002B2CF9AE}" pid="27" name="PM_Hash_SHA1">
    <vt:lpwstr>C13F008962B523C30C0ECAA0E864E154DAB4B364</vt:lpwstr>
  </property>
  <property fmtid="{D5CDD505-2E9C-101B-9397-08002B2CF9AE}" pid="28" name="PM_Caveats_Count">
    <vt:lpwstr>0</vt:lpwstr>
  </property>
  <property fmtid="{D5CDD505-2E9C-101B-9397-08002B2CF9AE}" pid="29" name="ContentTypeId">
    <vt:lpwstr>0x010100EBD55D72DC206446852EC8CE0569046D</vt:lpwstr>
  </property>
</Properties>
</file>