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8" w:rsidRDefault="00913F38">
      <w:bookmarkStart w:id="0" w:name="_GoBack"/>
      <w:bookmarkEnd w:id="0"/>
    </w:p>
    <w:p w:rsidR="00C17265" w:rsidRDefault="00C17265"/>
    <w:p w:rsidR="00C17265" w:rsidRPr="00C4114C" w:rsidRDefault="00C17265" w:rsidP="00C17265">
      <w:pPr>
        <w:pStyle w:val="Heading1"/>
        <w:rPr>
          <w:sz w:val="40"/>
          <w:szCs w:val="40"/>
        </w:rPr>
      </w:pPr>
      <w:r w:rsidRPr="00C4114C">
        <w:rPr>
          <w:sz w:val="40"/>
          <w:szCs w:val="40"/>
        </w:rPr>
        <w:t xml:space="preserve">Summary Performance Information </w:t>
      </w:r>
      <w:r w:rsidR="002910D3">
        <w:rPr>
          <w:sz w:val="40"/>
          <w:szCs w:val="40"/>
        </w:rPr>
        <w:br/>
      </w:r>
      <w:r w:rsidR="00C54012">
        <w:rPr>
          <w:sz w:val="40"/>
          <w:szCs w:val="40"/>
        </w:rPr>
        <w:t>Mongolia Aid Program 2014–15</w:t>
      </w:r>
    </w:p>
    <w:p w:rsidR="00C17265" w:rsidRPr="00C4114C" w:rsidRDefault="00C17265" w:rsidP="00C17265">
      <w:pPr>
        <w:pStyle w:val="Heading1"/>
        <w:spacing w:before="280"/>
      </w:pPr>
      <w:r w:rsidRPr="00C4114C">
        <w:t>Summary</w:t>
      </w:r>
    </w:p>
    <w:p w:rsidR="008B2242" w:rsidRDefault="008B2242" w:rsidP="00C17265">
      <w:pPr>
        <w:spacing w:after="200" w:line="276" w:lineRule="auto"/>
        <w:rPr>
          <w:rFonts w:ascii="Franklin Gothic Book" w:hAnsi="Franklin Gothic Book"/>
          <w:sz w:val="21"/>
        </w:rPr>
      </w:pPr>
      <w:r w:rsidRPr="008B2242">
        <w:rPr>
          <w:rFonts w:ascii="Franklin Gothic Book" w:hAnsi="Franklin Gothic Book"/>
          <w:sz w:val="21"/>
        </w:rPr>
        <w:t>Australia’s aid program</w:t>
      </w:r>
      <w:r w:rsidR="007F614F">
        <w:rPr>
          <w:rFonts w:ascii="Franklin Gothic Book" w:hAnsi="Franklin Gothic Book"/>
          <w:sz w:val="21"/>
        </w:rPr>
        <w:t xml:space="preserve"> to Mongolia</w:t>
      </w:r>
      <w:r w:rsidRPr="008B2242">
        <w:rPr>
          <w:rFonts w:ascii="Franklin Gothic Book" w:hAnsi="Franklin Gothic Book"/>
          <w:sz w:val="21"/>
        </w:rPr>
        <w:t xml:space="preserve"> </w:t>
      </w:r>
      <w:r w:rsidRPr="008B2242">
        <w:rPr>
          <w:rFonts w:ascii="Franklin Gothic Book" w:hAnsi="Franklin Gothic Book"/>
          <w:iCs/>
          <w:sz w:val="21"/>
        </w:rPr>
        <w:t>promotes a well-governed, efficient public and private sector that supports Mongolian communities to benefit from resource-driven growth. Our areas of investment</w:t>
      </w:r>
      <w:r>
        <w:rPr>
          <w:rFonts w:ascii="Franklin Gothic Book" w:hAnsi="Franklin Gothic Book"/>
          <w:iCs/>
          <w:sz w:val="21"/>
        </w:rPr>
        <w:t>—human resource development and extractives—</w:t>
      </w:r>
      <w:r w:rsidRPr="008B2242">
        <w:rPr>
          <w:rFonts w:ascii="Franklin Gothic Book" w:hAnsi="Franklin Gothic Book"/>
          <w:iCs/>
          <w:sz w:val="21"/>
        </w:rPr>
        <w:t xml:space="preserve"> are where Australia has a comparative advantage and are aligned with the development objectives identified by the Government of Mongolia</w:t>
      </w:r>
      <w:r>
        <w:rPr>
          <w:rFonts w:ascii="Franklin Gothic Book" w:hAnsi="Franklin Gothic Book"/>
          <w:iCs/>
          <w:sz w:val="21"/>
        </w:rPr>
        <w:t>.</w:t>
      </w:r>
      <w:r w:rsidRPr="008B2242">
        <w:t xml:space="preserve"> </w:t>
      </w:r>
      <w:r w:rsidRPr="008B2242">
        <w:rPr>
          <w:rFonts w:ascii="Franklin Gothic Book" w:hAnsi="Franklin Gothic Book"/>
          <w:iCs/>
          <w:sz w:val="21"/>
        </w:rPr>
        <w:t>In 2014–15 the bilateral aid program supported th</w:t>
      </w:r>
      <w:r w:rsidR="00720BC0">
        <w:rPr>
          <w:rFonts w:ascii="Franklin Gothic Book" w:hAnsi="Franklin Gothic Book"/>
          <w:iCs/>
          <w:sz w:val="21"/>
        </w:rPr>
        <w:t>ree investment areas</w:t>
      </w:r>
      <w:r w:rsidRPr="008B2242">
        <w:rPr>
          <w:rFonts w:ascii="Franklin Gothic Book" w:hAnsi="Franklin Gothic Book"/>
          <w:iCs/>
          <w:sz w:val="21"/>
        </w:rPr>
        <w:t xml:space="preserve">: the Australia Awards Mongolia scholarships program; </w:t>
      </w:r>
      <w:r w:rsidR="00720BC0" w:rsidRPr="008B2242">
        <w:rPr>
          <w:rFonts w:ascii="Franklin Gothic Book" w:hAnsi="Franklin Gothic Book"/>
          <w:iCs/>
          <w:sz w:val="21"/>
        </w:rPr>
        <w:t>E</w:t>
      </w:r>
      <w:r w:rsidR="00720BC0">
        <w:rPr>
          <w:rFonts w:ascii="Franklin Gothic Book" w:hAnsi="Franklin Gothic Book"/>
          <w:iCs/>
          <w:sz w:val="21"/>
        </w:rPr>
        <w:t xml:space="preserve">xtractives </w:t>
      </w:r>
      <w:r w:rsidR="00720BC0" w:rsidRPr="008B2242">
        <w:rPr>
          <w:rFonts w:ascii="Franklin Gothic Book" w:hAnsi="Franklin Gothic Book"/>
          <w:iCs/>
          <w:sz w:val="21"/>
        </w:rPr>
        <w:t>P</w:t>
      </w:r>
      <w:r w:rsidR="00720BC0">
        <w:rPr>
          <w:rFonts w:ascii="Franklin Gothic Book" w:hAnsi="Franklin Gothic Book"/>
          <w:iCs/>
          <w:sz w:val="21"/>
        </w:rPr>
        <w:t>rogram activities</w:t>
      </w:r>
      <w:r w:rsidRPr="008B2242">
        <w:rPr>
          <w:rFonts w:ascii="Franklin Gothic Book" w:hAnsi="Franklin Gothic Book"/>
          <w:iCs/>
          <w:sz w:val="21"/>
        </w:rPr>
        <w:t>; and the UNICEF-led Water, Sanitation and Hygiene (WASH) project (ended June 2015).</w:t>
      </w:r>
      <w:r w:rsidRPr="008B2242">
        <w:t xml:space="preserve"> </w:t>
      </w:r>
      <w:r w:rsidRPr="008B2242">
        <w:rPr>
          <w:rFonts w:ascii="Franklin Gothic Book" w:hAnsi="Franklin Gothic Book"/>
          <w:iCs/>
          <w:sz w:val="21"/>
        </w:rPr>
        <w:t>From June 2015 the bilateral program consolidate</w:t>
      </w:r>
      <w:r w:rsidR="007F614F">
        <w:rPr>
          <w:rFonts w:ascii="Franklin Gothic Book" w:hAnsi="Franklin Gothic Book"/>
          <w:iCs/>
          <w:sz w:val="21"/>
        </w:rPr>
        <w:t>d</w:t>
      </w:r>
      <w:r w:rsidRPr="008B2242">
        <w:rPr>
          <w:rFonts w:ascii="Franklin Gothic Book" w:hAnsi="Franklin Gothic Book"/>
          <w:iCs/>
          <w:sz w:val="21"/>
        </w:rPr>
        <w:t xml:space="preserve"> to two sector areas—human resource development (through the scholarships program) and a modest investment in the extractives sector. This sector focus aligns with the priorities of the 2014 Australian aid policy and the Economic Diplomacy strategy for Mongolia.</w:t>
      </w:r>
      <w:r w:rsidRPr="008B2242">
        <w:t xml:space="preserve"> </w:t>
      </w:r>
      <w:r w:rsidR="00720BC0" w:rsidRPr="008B2242">
        <w:rPr>
          <w:rFonts w:ascii="Franklin Gothic Book" w:hAnsi="Franklin Gothic Book"/>
          <w:iCs/>
          <w:sz w:val="21"/>
        </w:rPr>
        <w:t>By budget Australia ranks 8th among OECD Developm</w:t>
      </w:r>
      <w:r w:rsidR="00720BC0">
        <w:rPr>
          <w:rFonts w:ascii="Franklin Gothic Book" w:hAnsi="Franklin Gothic Book"/>
          <w:iCs/>
          <w:sz w:val="21"/>
        </w:rPr>
        <w:t>ent Assistance Committee donors</w:t>
      </w:r>
      <w:r w:rsidR="00720BC0" w:rsidRPr="008B2242">
        <w:rPr>
          <w:rFonts w:ascii="Franklin Gothic Book" w:hAnsi="Franklin Gothic Book"/>
          <w:iCs/>
          <w:sz w:val="21"/>
        </w:rPr>
        <w:t xml:space="preserve">, </w:t>
      </w:r>
      <w:r w:rsidR="007F614F">
        <w:rPr>
          <w:rFonts w:ascii="Franklin Gothic Book" w:hAnsi="Franklin Gothic Book"/>
          <w:iCs/>
          <w:sz w:val="21"/>
        </w:rPr>
        <w:t>and is</w:t>
      </w:r>
      <w:r w:rsidR="00720BC0" w:rsidRPr="008B2242">
        <w:rPr>
          <w:rFonts w:ascii="Franklin Gothic Book" w:hAnsi="Franklin Gothic Book"/>
          <w:iCs/>
          <w:sz w:val="21"/>
        </w:rPr>
        <w:t xml:space="preserve"> one of the largest grant donors</w:t>
      </w:r>
      <w:r w:rsidR="00720BC0">
        <w:rPr>
          <w:rFonts w:ascii="Franklin Gothic Book" w:hAnsi="Franklin Gothic Book"/>
          <w:iCs/>
          <w:sz w:val="21"/>
        </w:rPr>
        <w:t xml:space="preserve"> to Mongolia. </w:t>
      </w:r>
      <w:r w:rsidRPr="008B2242">
        <w:rPr>
          <w:rFonts w:ascii="Franklin Gothic Book" w:hAnsi="Franklin Gothic Book"/>
          <w:iCs/>
          <w:sz w:val="21"/>
        </w:rPr>
        <w:t xml:space="preserve">Mongolia’s donor landscape includes large credit and grant donors such as China, Japan, the US, </w:t>
      </w:r>
      <w:r>
        <w:rPr>
          <w:rFonts w:ascii="Franklin Gothic Book" w:hAnsi="Franklin Gothic Book"/>
          <w:iCs/>
          <w:sz w:val="21"/>
        </w:rPr>
        <w:t xml:space="preserve">Korea, </w:t>
      </w:r>
      <w:r w:rsidRPr="008B2242">
        <w:rPr>
          <w:rFonts w:ascii="Franklin Gothic Book" w:hAnsi="Franklin Gothic Book"/>
          <w:iCs/>
          <w:sz w:val="21"/>
        </w:rPr>
        <w:t xml:space="preserve">and </w:t>
      </w:r>
      <w:r>
        <w:rPr>
          <w:rFonts w:ascii="Franklin Gothic Book" w:hAnsi="Franklin Gothic Book"/>
          <w:iCs/>
          <w:sz w:val="21"/>
        </w:rPr>
        <w:t xml:space="preserve">the </w:t>
      </w:r>
      <w:r w:rsidRPr="008B2242">
        <w:rPr>
          <w:rFonts w:ascii="Franklin Gothic Book" w:hAnsi="Franklin Gothic Book"/>
          <w:iCs/>
          <w:sz w:val="21"/>
        </w:rPr>
        <w:t xml:space="preserve">Asian Development Bank. </w:t>
      </w:r>
    </w:p>
    <w:p w:rsidR="00C17265" w:rsidRPr="00C4114C" w:rsidRDefault="00C17265" w:rsidP="00C17265">
      <w:pPr>
        <w:pStyle w:val="Heading1"/>
        <w:spacing w:before="280"/>
      </w:pPr>
      <w:r w:rsidRPr="00C4114C">
        <w:t>Performance Against Strategic Objectives</w:t>
      </w:r>
    </w:p>
    <w:tbl>
      <w:tblPr>
        <w:tblStyle w:val="APPR"/>
        <w:tblW w:w="5000" w:type="pct"/>
        <w:tblLook w:val="0000" w:firstRow="0" w:lastRow="0" w:firstColumn="0" w:lastColumn="0" w:noHBand="0" w:noVBand="0"/>
      </w:tblPr>
      <w:tblGrid>
        <w:gridCol w:w="6092"/>
        <w:gridCol w:w="1003"/>
        <w:gridCol w:w="417"/>
        <w:gridCol w:w="1066"/>
      </w:tblGrid>
      <w:tr w:rsidR="00C17265" w:rsidRPr="00C4114C" w:rsidTr="00C32A76">
        <w:trPr>
          <w:cnfStyle w:val="000000010000" w:firstRow="0" w:lastRow="0" w:firstColumn="0" w:lastColumn="0" w:oddVBand="0" w:evenVBand="0" w:oddHBand="0" w:evenHBand="1" w:firstRowFirstColumn="0" w:firstRowLastColumn="0" w:lastRowFirstColumn="0" w:lastRowLastColumn="0"/>
          <w:trHeight w:val="651"/>
        </w:trPr>
        <w:tc>
          <w:tcPr>
            <w:tcW w:w="6050" w:type="dxa"/>
          </w:tcPr>
          <w:p w:rsidR="00C17265" w:rsidRPr="00C4114C" w:rsidRDefault="00C17265" w:rsidP="002E0A56">
            <w:pPr>
              <w:pStyle w:val="TableTextColumnHeading"/>
            </w:pPr>
            <w:r w:rsidRPr="00C4114C">
              <w:rPr>
                <w:noProof/>
                <w:lang w:eastAsia="en-AU"/>
              </w:rPr>
              <w:drawing>
                <wp:anchor distT="0" distB="0" distL="114300" distR="114300" simplePos="0" relativeHeight="251659264" behindDoc="0" locked="0" layoutInCell="1" allowOverlap="1" wp14:anchorId="1E0ABA66" wp14:editId="1C9D94D4">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14C">
              <w:t>Objective</w:t>
            </w:r>
          </w:p>
        </w:tc>
        <w:tc>
          <w:tcPr>
            <w:tcW w:w="975" w:type="dxa"/>
          </w:tcPr>
          <w:p w:rsidR="00C17265" w:rsidRPr="00C4114C" w:rsidRDefault="00C17265" w:rsidP="002E0A56">
            <w:pPr>
              <w:pStyle w:val="TableTextColumnHeading"/>
            </w:pPr>
            <w:r w:rsidRPr="00C4114C">
              <w:t>Previous Rating</w:t>
            </w:r>
          </w:p>
        </w:tc>
        <w:tc>
          <w:tcPr>
            <w:tcW w:w="389" w:type="dxa"/>
          </w:tcPr>
          <w:p w:rsidR="00C17265" w:rsidRPr="00C4114C" w:rsidRDefault="00C17265" w:rsidP="002E0A56">
            <w:pPr>
              <w:pStyle w:val="TableTextColumnHeading"/>
            </w:pPr>
          </w:p>
        </w:tc>
        <w:tc>
          <w:tcPr>
            <w:tcW w:w="1024" w:type="dxa"/>
          </w:tcPr>
          <w:p w:rsidR="00C17265" w:rsidRPr="00C4114C" w:rsidRDefault="00C17265" w:rsidP="002E0A56">
            <w:pPr>
              <w:pStyle w:val="TableTextColumnHeading"/>
            </w:pPr>
            <w:r w:rsidRPr="00C4114C">
              <w:t>Current Rating</w:t>
            </w:r>
          </w:p>
        </w:tc>
      </w:tr>
      <w:tr w:rsidR="00C32A76" w:rsidRPr="00C4114C" w:rsidTr="00C32A76">
        <w:trPr>
          <w:cnfStyle w:val="000000010000" w:firstRow="0" w:lastRow="0" w:firstColumn="0" w:lastColumn="0" w:oddVBand="0" w:evenVBand="0" w:oddHBand="0" w:evenHBand="1" w:firstRowFirstColumn="0" w:firstRowLastColumn="0" w:lastRowFirstColumn="0" w:lastRowLastColumn="0"/>
        </w:trPr>
        <w:tc>
          <w:tcPr>
            <w:tcW w:w="6050" w:type="dxa"/>
          </w:tcPr>
          <w:p w:rsidR="00C32A76" w:rsidRPr="00C4114C" w:rsidRDefault="00C32A76" w:rsidP="002E0A56">
            <w:pPr>
              <w:pStyle w:val="TableTextEntries"/>
            </w:pPr>
            <w:r w:rsidRPr="00C4114C">
              <w:t>Objective 1</w:t>
            </w:r>
            <w:r>
              <w:t xml:space="preserve"> Through post graduate scholarships, Mongolia’s government, civil society and private sector deliver better services.</w:t>
            </w:r>
          </w:p>
        </w:tc>
        <w:tc>
          <w:tcPr>
            <w:tcW w:w="975" w:type="dxa"/>
            <w:shd w:val="clear" w:color="auto" w:fill="669900"/>
            <w:noWrap/>
          </w:tcPr>
          <w:p w:rsidR="00C32A76" w:rsidRPr="00C4114C" w:rsidRDefault="00C32A76" w:rsidP="00C32A76">
            <w:pPr>
              <w:pStyle w:val="TableTextEntries"/>
              <w:tabs>
                <w:tab w:val="center" w:pos="379"/>
              </w:tabs>
              <w:rPr>
                <w:color w:val="FFFFFF" w:themeColor="background1"/>
              </w:rPr>
            </w:pPr>
            <w:r>
              <w:rPr>
                <w:color w:val="FFFFFF" w:themeColor="background1"/>
              </w:rPr>
              <w:tab/>
            </w:r>
            <w:r w:rsidRPr="00C4114C">
              <w:rPr>
                <w:color w:val="FFFFFF" w:themeColor="background1"/>
              </w:rPr>
              <w:t>Green</w:t>
            </w:r>
          </w:p>
        </w:tc>
        <w:tc>
          <w:tcPr>
            <w:tcW w:w="389" w:type="dxa"/>
          </w:tcPr>
          <w:p w:rsidR="00C32A76" w:rsidRPr="00C4114C" w:rsidRDefault="00C32A76" w:rsidP="002E0A56">
            <w:pPr>
              <w:pStyle w:val="TableTextEntries"/>
              <w:jc w:val="center"/>
              <w:rPr>
                <w:color w:val="FFFFFF" w:themeColor="background1"/>
              </w:rPr>
            </w:pPr>
          </w:p>
        </w:tc>
        <w:tc>
          <w:tcPr>
            <w:tcW w:w="1024" w:type="dxa"/>
            <w:shd w:val="clear" w:color="auto" w:fill="669900"/>
            <w:noWrap/>
          </w:tcPr>
          <w:p w:rsidR="00C32A76" w:rsidRPr="00C4114C" w:rsidRDefault="00C32A76" w:rsidP="002E0A56">
            <w:pPr>
              <w:pStyle w:val="TableTextEntries"/>
              <w:tabs>
                <w:tab w:val="center" w:pos="379"/>
              </w:tabs>
              <w:rPr>
                <w:color w:val="FFFFFF" w:themeColor="background1"/>
              </w:rPr>
            </w:pPr>
            <w:r>
              <w:rPr>
                <w:color w:val="FFFFFF" w:themeColor="background1"/>
              </w:rPr>
              <w:tab/>
            </w:r>
            <w:r w:rsidRPr="00C4114C">
              <w:rPr>
                <w:color w:val="FFFFFF" w:themeColor="background1"/>
              </w:rPr>
              <w:t>Green</w:t>
            </w:r>
          </w:p>
        </w:tc>
      </w:tr>
      <w:tr w:rsidR="00C17265" w:rsidRPr="00C4114C" w:rsidTr="00C32A76">
        <w:trPr>
          <w:cnfStyle w:val="000000010000" w:firstRow="0" w:lastRow="0" w:firstColumn="0" w:lastColumn="0" w:oddVBand="0" w:evenVBand="0" w:oddHBand="0" w:evenHBand="1" w:firstRowFirstColumn="0" w:firstRowLastColumn="0" w:lastRowFirstColumn="0" w:lastRowLastColumn="0"/>
        </w:trPr>
        <w:tc>
          <w:tcPr>
            <w:tcW w:w="6050" w:type="dxa"/>
          </w:tcPr>
          <w:p w:rsidR="00C17265" w:rsidRPr="00C4114C" w:rsidRDefault="00C17265" w:rsidP="002E0A56">
            <w:pPr>
              <w:pStyle w:val="TableTextEntries"/>
            </w:pPr>
            <w:r w:rsidRPr="00C4114C">
              <w:t>Objective 2</w:t>
            </w:r>
            <w:r w:rsidR="008B2242">
              <w:t xml:space="preserve"> Mongolians are benefitting from a sustainably-managed mining sector.</w:t>
            </w:r>
          </w:p>
        </w:tc>
        <w:tc>
          <w:tcPr>
            <w:tcW w:w="975" w:type="dxa"/>
            <w:shd w:val="clear" w:color="auto" w:fill="E36C0A"/>
            <w:noWrap/>
          </w:tcPr>
          <w:p w:rsidR="00C17265" w:rsidRPr="00C4114C" w:rsidRDefault="00C17265" w:rsidP="002E0A56">
            <w:pPr>
              <w:pStyle w:val="TableTextEntries"/>
              <w:jc w:val="center"/>
              <w:rPr>
                <w:color w:val="FFFFFF" w:themeColor="background1"/>
              </w:rPr>
            </w:pPr>
            <w:r w:rsidRPr="00C4114C">
              <w:rPr>
                <w:color w:val="FFFFFF" w:themeColor="background1"/>
              </w:rPr>
              <w:t>Amber</w:t>
            </w:r>
          </w:p>
        </w:tc>
        <w:tc>
          <w:tcPr>
            <w:tcW w:w="389" w:type="dxa"/>
          </w:tcPr>
          <w:p w:rsidR="00C17265" w:rsidRPr="00C4114C" w:rsidRDefault="00C17265" w:rsidP="002E0A56">
            <w:pPr>
              <w:pStyle w:val="TableTextEntries"/>
              <w:jc w:val="center"/>
              <w:rPr>
                <w:color w:val="FFFFFF" w:themeColor="background1"/>
              </w:rPr>
            </w:pPr>
          </w:p>
        </w:tc>
        <w:tc>
          <w:tcPr>
            <w:tcW w:w="1024" w:type="dxa"/>
            <w:shd w:val="clear" w:color="auto" w:fill="669900"/>
            <w:noWrap/>
          </w:tcPr>
          <w:p w:rsidR="00C17265" w:rsidRPr="00C4114C" w:rsidRDefault="00C17265" w:rsidP="002E0A56">
            <w:pPr>
              <w:pStyle w:val="TableTextEntries"/>
              <w:jc w:val="center"/>
              <w:rPr>
                <w:color w:val="FFFFFF" w:themeColor="background1"/>
              </w:rPr>
            </w:pPr>
            <w:r w:rsidRPr="00C4114C">
              <w:rPr>
                <w:color w:val="FFFFFF" w:themeColor="background1"/>
              </w:rPr>
              <w:t>Green</w:t>
            </w:r>
          </w:p>
        </w:tc>
      </w:tr>
      <w:tr w:rsidR="00C17265" w:rsidRPr="00C4114C" w:rsidTr="00CF64C5">
        <w:trPr>
          <w:cnfStyle w:val="000000010000" w:firstRow="0" w:lastRow="0" w:firstColumn="0" w:lastColumn="0" w:oddVBand="0" w:evenVBand="0" w:oddHBand="0" w:evenHBand="1" w:firstRowFirstColumn="0" w:firstRowLastColumn="0" w:lastRowFirstColumn="0" w:lastRowLastColumn="0"/>
        </w:trPr>
        <w:tc>
          <w:tcPr>
            <w:tcW w:w="6050" w:type="dxa"/>
          </w:tcPr>
          <w:p w:rsidR="00C17265" w:rsidRPr="00C4114C" w:rsidRDefault="00C17265" w:rsidP="002E0A56">
            <w:pPr>
              <w:pStyle w:val="TableTextEntries"/>
            </w:pPr>
            <w:r w:rsidRPr="00C4114C">
              <w:t>Objective 3</w:t>
            </w:r>
            <w:r w:rsidR="008B2242">
              <w:t xml:space="preserve"> School communities are accessing improved water and sanitation and have improved hygiene practices.</w:t>
            </w:r>
          </w:p>
        </w:tc>
        <w:tc>
          <w:tcPr>
            <w:tcW w:w="975" w:type="dxa"/>
            <w:shd w:val="clear" w:color="auto" w:fill="669900"/>
            <w:noWrap/>
          </w:tcPr>
          <w:p w:rsidR="00C17265" w:rsidRPr="00C4114C" w:rsidRDefault="00C32A76" w:rsidP="002E0A56">
            <w:pPr>
              <w:pStyle w:val="TableTextEntries"/>
              <w:jc w:val="center"/>
              <w:rPr>
                <w:color w:val="FFFFFF" w:themeColor="background1"/>
              </w:rPr>
            </w:pPr>
            <w:r>
              <w:rPr>
                <w:color w:val="FFFFFF" w:themeColor="background1"/>
              </w:rPr>
              <w:t>Green</w:t>
            </w:r>
          </w:p>
        </w:tc>
        <w:tc>
          <w:tcPr>
            <w:tcW w:w="389" w:type="dxa"/>
          </w:tcPr>
          <w:p w:rsidR="00C17265" w:rsidRPr="00C4114C" w:rsidRDefault="00C17265" w:rsidP="002E0A56">
            <w:pPr>
              <w:pStyle w:val="TableTextEntries"/>
              <w:jc w:val="center"/>
              <w:rPr>
                <w:color w:val="FFFFFF" w:themeColor="background1"/>
              </w:rPr>
            </w:pPr>
          </w:p>
        </w:tc>
        <w:tc>
          <w:tcPr>
            <w:tcW w:w="1024" w:type="dxa"/>
            <w:shd w:val="clear" w:color="auto" w:fill="669900"/>
            <w:noWrap/>
          </w:tcPr>
          <w:p w:rsidR="00C17265" w:rsidRPr="00C4114C" w:rsidRDefault="00C32A76" w:rsidP="002E0A56">
            <w:pPr>
              <w:pStyle w:val="TableTextEntries"/>
              <w:jc w:val="center"/>
              <w:rPr>
                <w:color w:val="FFFFFF" w:themeColor="background1"/>
              </w:rPr>
            </w:pPr>
            <w:r>
              <w:rPr>
                <w:color w:val="FFFFFF" w:themeColor="background1"/>
              </w:rPr>
              <w:t>Green</w:t>
            </w:r>
          </w:p>
        </w:tc>
      </w:tr>
    </w:tbl>
    <w:p w:rsidR="00C17265" w:rsidRPr="00C4114C" w:rsidRDefault="00C17265" w:rsidP="00C17265">
      <w:pPr>
        <w:pStyle w:val="Note"/>
      </w:pPr>
      <w:r w:rsidRPr="00C4114C">
        <w:t xml:space="preserve">Note: </w:t>
      </w:r>
    </w:p>
    <w:p w:rsidR="00C17265" w:rsidRPr="00C4114C" w:rsidRDefault="00C17265" w:rsidP="00C17265">
      <w:pPr>
        <w:pStyle w:val="Note"/>
      </w:pPr>
      <w:r w:rsidRPr="00C4114C">
        <w:rPr>
          <w:color w:val="72AF2F"/>
        </w:rPr>
        <w:sym w:font="Webdings" w:char="F067"/>
      </w:r>
      <w:r w:rsidRPr="00C4114C">
        <w:t> </w:t>
      </w:r>
      <w:r w:rsidRPr="00C4114C">
        <w:t xml:space="preserve"> Green. Progress is as expected </w:t>
      </w:r>
      <w:r>
        <w:t xml:space="preserve">at this stage of implementation </w:t>
      </w:r>
      <w:r w:rsidRPr="00C4114C">
        <w:t>and it is likely that the objective will be achieved. Standard program management practices are sufficient.</w:t>
      </w:r>
    </w:p>
    <w:p w:rsidR="00C17265" w:rsidRPr="00C4114C" w:rsidRDefault="00C17265" w:rsidP="00C17265">
      <w:pPr>
        <w:pStyle w:val="Note"/>
      </w:pPr>
      <w:r w:rsidRPr="00C4114C">
        <w:rPr>
          <w:color w:val="E36C0A"/>
        </w:rPr>
        <w:sym w:font="Webdings" w:char="F067"/>
      </w:r>
      <w:r w:rsidRPr="00C4114C">
        <w:t> </w:t>
      </w:r>
      <w:r w:rsidRPr="00C4114C">
        <w:t xml:space="preserve"> Amber. Progress is somewhat less than expected </w:t>
      </w:r>
      <w:r>
        <w:t xml:space="preserve">at this stage of implementation </w:t>
      </w:r>
      <w:r w:rsidRPr="00C4114C">
        <w:t>and restorative action will be necessary if the objective is to be achieved. Close performance monitoring is recommended.</w:t>
      </w:r>
    </w:p>
    <w:p w:rsidR="00C17265" w:rsidRPr="00C4114C" w:rsidRDefault="00C17265" w:rsidP="00C17265">
      <w:pPr>
        <w:pStyle w:val="Note"/>
      </w:pPr>
      <w:r w:rsidRPr="00C4114C">
        <w:rPr>
          <w:color w:val="FF0000"/>
        </w:rPr>
        <w:sym w:font="Webdings" w:char="F067"/>
      </w:r>
      <w:r w:rsidRPr="00C4114C">
        <w:t> </w:t>
      </w:r>
      <w:r w:rsidRPr="00C4114C">
        <w:t xml:space="preserve"> Red. Progress is significantly less than expected </w:t>
      </w:r>
      <w:r>
        <w:t>at this stage of implementation</w:t>
      </w:r>
      <w:r w:rsidRPr="00C4114C">
        <w:t xml:space="preserve"> and the objective is not likely to be met given available resources and priorities. Recasting the objective may be required.</w:t>
      </w:r>
    </w:p>
    <w:p w:rsidR="00C17265" w:rsidRPr="00C4114C" w:rsidRDefault="00C17265" w:rsidP="00C17265">
      <w:pPr>
        <w:pStyle w:val="Note"/>
      </w:pPr>
      <w:r w:rsidRPr="00C4114C">
        <w:t xml:space="preserve">Reporting period:  </w:t>
      </w:r>
    </w:p>
    <w:p w:rsidR="00C17265" w:rsidRDefault="00C17265" w:rsidP="00C17265">
      <w:pPr>
        <w:pStyle w:val="ListBullet"/>
        <w:tabs>
          <w:tab w:val="clear" w:pos="284"/>
        </w:tabs>
      </w:pPr>
    </w:p>
    <w:p w:rsidR="00CF7A24" w:rsidRPr="00CF7A24" w:rsidRDefault="00CF7A24" w:rsidP="00CF7A24">
      <w:pPr>
        <w:numPr>
          <w:ilvl w:val="2"/>
          <w:numId w:val="0"/>
        </w:numPr>
        <w:spacing w:before="240" w:after="120"/>
        <w:outlineLvl w:val="2"/>
        <w:rPr>
          <w:rFonts w:ascii="Helvetica" w:eastAsia="Times New Roman" w:hAnsi="Helvetica" w:cs="Arial"/>
          <w:b/>
          <w:color w:val="124486"/>
          <w:kern w:val="28"/>
          <w:sz w:val="22"/>
          <w:szCs w:val="22"/>
          <w:lang w:eastAsia="zh-CN"/>
        </w:rPr>
      </w:pPr>
      <w:r w:rsidRPr="00CF7A24">
        <w:rPr>
          <w:rFonts w:ascii="Helvetica" w:eastAsia="Times New Roman" w:hAnsi="Helvetica" w:cs="Arial"/>
          <w:b/>
          <w:color w:val="124486"/>
          <w:kern w:val="28"/>
          <w:sz w:val="22"/>
          <w:szCs w:val="22"/>
          <w:lang w:eastAsia="zh-CN"/>
        </w:rPr>
        <w:t>Objective 1: Through postgraduate scholarships, Mongolia’s government, civil society and private sector deliver better services.</w:t>
      </w:r>
    </w:p>
    <w:p w:rsidR="00CF7A24" w:rsidRPr="00CF7A24" w:rsidRDefault="00CF7A24" w:rsidP="00BD3DE4">
      <w:pPr>
        <w:pStyle w:val="ListBullet"/>
        <w:tabs>
          <w:tab w:val="clear" w:pos="284"/>
        </w:tabs>
      </w:pPr>
      <w:r w:rsidRPr="00CF7A24">
        <w:t xml:space="preserve">The Australia Awards </w:t>
      </w:r>
      <w:r w:rsidR="005F6D5C">
        <w:t xml:space="preserve">Mongolia </w:t>
      </w:r>
      <w:r w:rsidRPr="00CF7A24">
        <w:t xml:space="preserve">(AAM) </w:t>
      </w:r>
      <w:r>
        <w:t>program is</w:t>
      </w:r>
      <w:r w:rsidRPr="00CF7A24">
        <w:t xml:space="preserve"> highly regarded by the Mongolian government and public. The green rating for this objective reflects the strong implementation of the program against the 2015 annual plan, after successfully resolving some teething problems</w:t>
      </w:r>
      <w:r w:rsidR="005F6D5C">
        <w:t xml:space="preserve"> in 2014</w:t>
      </w:r>
      <w:r w:rsidRPr="00CF7A24">
        <w:t>.</w:t>
      </w:r>
      <w:r>
        <w:t xml:space="preserve"> </w:t>
      </w:r>
      <w:r w:rsidRPr="00CF7A24">
        <w:t>In 2014–15, scholarships were provided to</w:t>
      </w:r>
      <w:r>
        <w:t xml:space="preserve"> </w:t>
      </w:r>
      <w:r w:rsidR="005F6D5C" w:rsidRPr="00CF7A24">
        <w:t>45</w:t>
      </w:r>
      <w:r w:rsidR="005F6D5C">
        <w:t xml:space="preserve"> </w:t>
      </w:r>
      <w:r w:rsidRPr="00CF7A24">
        <w:t xml:space="preserve">awardees </w:t>
      </w:r>
      <w:r>
        <w:t xml:space="preserve">in the </w:t>
      </w:r>
      <w:r w:rsidRPr="00CF7A24">
        <w:t xml:space="preserve">public sector (23) </w:t>
      </w:r>
      <w:r w:rsidR="005F6D5C">
        <w:t xml:space="preserve">and </w:t>
      </w:r>
      <w:r w:rsidRPr="00CF7A24">
        <w:t xml:space="preserve">private sector/civil society (22). </w:t>
      </w:r>
      <w:r w:rsidR="005F6D5C">
        <w:t>S</w:t>
      </w:r>
      <w:r>
        <w:t xml:space="preserve">ignificant changes were made to the program’s guidelines and procedures to improve the transparency and equity of the selection </w:t>
      </w:r>
      <w:r>
        <w:lastRenderedPageBreak/>
        <w:t>process. A priority</w:t>
      </w:r>
      <w:r w:rsidRPr="00CF7A24">
        <w:t xml:space="preserve"> during 2014–15 w</w:t>
      </w:r>
      <w:r>
        <w:t>as</w:t>
      </w:r>
      <w:r w:rsidRPr="00CF7A24">
        <w:t xml:space="preserve"> reforming the English language training</w:t>
      </w:r>
      <w:r w:rsidR="005F6D5C">
        <w:t xml:space="preserve"> c</w:t>
      </w:r>
      <w:r>
        <w:t>ourse</w:t>
      </w:r>
      <w:r w:rsidR="005F6D5C">
        <w:t>s.</w:t>
      </w:r>
      <w:r>
        <w:t xml:space="preserve"> </w:t>
      </w:r>
      <w:r w:rsidR="005F6D5C">
        <w:t>A</w:t>
      </w:r>
      <w:r>
        <w:t xml:space="preserve">ttendance rates, results and </w:t>
      </w:r>
      <w:r w:rsidR="005F6D5C">
        <w:t>awardee</w:t>
      </w:r>
      <w:r>
        <w:t xml:space="preserve"> feedback show the new model is proving successful. 96 per cent of students achieved the required minimum score of 6.5—up from 48 per cent in 2013.</w:t>
      </w:r>
      <w:r w:rsidRPr="00CF7A24">
        <w:rPr>
          <w:rFonts w:ascii="Times New Roman" w:eastAsia="SimSun" w:hAnsi="Times New Roman"/>
          <w:sz w:val="20"/>
        </w:rPr>
        <w:t xml:space="preserve"> </w:t>
      </w:r>
      <w:r w:rsidRPr="00CF7A24">
        <w:t xml:space="preserve">Increasing applicants from rural areas and ensuring adequate English language ability is </w:t>
      </w:r>
      <w:r w:rsidR="007F614F">
        <w:t xml:space="preserve">expected to remain </w:t>
      </w:r>
      <w:r w:rsidRPr="00CF7A24">
        <w:t>an ongoing challenge.</w:t>
      </w:r>
      <w:r>
        <w:t xml:space="preserve"> D</w:t>
      </w:r>
      <w:r w:rsidRPr="00CF7A24">
        <w:t xml:space="preserve">uring 2014–15 awareness and interest in the AAM program rose and the number of applications </w:t>
      </w:r>
      <w:r>
        <w:t xml:space="preserve">overall </w:t>
      </w:r>
      <w:r w:rsidRPr="00CF7A24">
        <w:t xml:space="preserve">continues to increase. However, </w:t>
      </w:r>
      <w:r>
        <w:t>just under half</w:t>
      </w:r>
      <w:r w:rsidRPr="00CF7A24">
        <w:t xml:space="preserve"> of the applications made for </w:t>
      </w:r>
      <w:r w:rsidR="007F614F">
        <w:t>the 2015 intake were ineligible despite efforts to address this</w:t>
      </w:r>
      <w:r>
        <w:t xml:space="preserve">. </w:t>
      </w:r>
      <w:r w:rsidRPr="00CF7A24">
        <w:t>The re-employment of graduates on return to Mongolia remains stable. Of the 38 graduates who returned between December 2014 and March 2015</w:t>
      </w:r>
      <w:r>
        <w:t>,</w:t>
      </w:r>
      <w:r w:rsidRPr="00CF7A24">
        <w:t xml:space="preserve"> </w:t>
      </w:r>
      <w:r>
        <w:t>7</w:t>
      </w:r>
      <w:r w:rsidRPr="00CF7A24">
        <w:t xml:space="preserve">9 per cent were re-employed. Of the total graduates, 20 per cent </w:t>
      </w:r>
      <w:r w:rsidR="005F6D5C">
        <w:t>work</w:t>
      </w:r>
      <w:r w:rsidRPr="00CF7A24">
        <w:t xml:space="preserve"> in senior positions, including Members of Parliament, State Secretary, </w:t>
      </w:r>
      <w:r w:rsidR="005F6D5C" w:rsidRPr="00CF7A24">
        <w:t xml:space="preserve">Directors </w:t>
      </w:r>
      <w:r w:rsidRPr="00CF7A24">
        <w:t xml:space="preserve">General of Ministries and Executive Directors of private companies and NGOs. </w:t>
      </w:r>
      <w:r>
        <w:t>2014 saw the first awardee wit</w:t>
      </w:r>
      <w:r w:rsidR="007F614F">
        <w:t>h a mobility disability—she</w:t>
      </w:r>
      <w:r>
        <w:t xml:space="preserve"> graduate</w:t>
      </w:r>
      <w:r w:rsidR="007F614F">
        <w:t>d</w:t>
      </w:r>
      <w:r>
        <w:t xml:space="preserve"> in 2015 with an MA in Law.</w:t>
      </w:r>
    </w:p>
    <w:p w:rsidR="00BD3DE4" w:rsidRPr="00BD3DE4" w:rsidRDefault="00BD3DE4" w:rsidP="00BD3DE4">
      <w:pPr>
        <w:numPr>
          <w:ilvl w:val="2"/>
          <w:numId w:val="0"/>
        </w:numPr>
        <w:spacing w:before="240" w:after="120"/>
        <w:outlineLvl w:val="2"/>
        <w:rPr>
          <w:rFonts w:ascii="Helvetica" w:eastAsia="Times New Roman" w:hAnsi="Helvetica" w:cs="Arial"/>
          <w:b/>
          <w:color w:val="124486"/>
          <w:kern w:val="28"/>
          <w:sz w:val="22"/>
          <w:szCs w:val="22"/>
          <w:lang w:eastAsia="zh-CN"/>
        </w:rPr>
      </w:pPr>
      <w:r w:rsidRPr="00BD3DE4">
        <w:rPr>
          <w:rFonts w:ascii="Helvetica" w:eastAsia="Times New Roman" w:hAnsi="Helvetica" w:cs="Arial"/>
          <w:b/>
          <w:color w:val="124486"/>
          <w:kern w:val="28"/>
          <w:sz w:val="22"/>
          <w:szCs w:val="22"/>
          <w:lang w:eastAsia="zh-CN"/>
        </w:rPr>
        <w:t>Objective 2: Mongolians are benefitting from a sustainably-managed mining sector</w:t>
      </w:r>
    </w:p>
    <w:p w:rsidR="00CF7A24" w:rsidRDefault="00BD3DE4" w:rsidP="00CF7A24">
      <w:pPr>
        <w:pStyle w:val="ListBullet"/>
      </w:pPr>
      <w:r w:rsidRPr="00BD3DE4">
        <w:rPr>
          <w:i/>
        </w:rPr>
        <w:t>Contributing activities: Australia Mongolia Extractives Program</w:t>
      </w:r>
      <w:r w:rsidR="005F6D5C">
        <w:rPr>
          <w:i/>
        </w:rPr>
        <w:t xml:space="preserve"> (new)</w:t>
      </w:r>
      <w:r w:rsidRPr="00BD3DE4">
        <w:rPr>
          <w:i/>
        </w:rPr>
        <w:t>; World Bank Groundwater Management Project</w:t>
      </w:r>
      <w:r w:rsidR="005F6D5C">
        <w:rPr>
          <w:i/>
        </w:rPr>
        <w:t xml:space="preserve"> (ongoing)</w:t>
      </w:r>
      <w:r w:rsidRPr="00BD3DE4">
        <w:rPr>
          <w:i/>
        </w:rPr>
        <w:t>; Technical and Vocational Education and Training (TVET) in the Mineral Resource Sector Project</w:t>
      </w:r>
      <w:r w:rsidR="005F6D5C">
        <w:rPr>
          <w:i/>
        </w:rPr>
        <w:t xml:space="preserve"> (ongoing)</w:t>
      </w:r>
    </w:p>
    <w:p w:rsidR="00BD3DE4" w:rsidRPr="00BD3DE4" w:rsidRDefault="00BD3DE4" w:rsidP="00CF7A24">
      <w:pPr>
        <w:pStyle w:val="ListBullet"/>
      </w:pPr>
      <w:r>
        <w:t xml:space="preserve">The Australia Mongolia Extractives Program (AMEP) mobilised in April 2015. The green rating for this objective </w:t>
      </w:r>
      <w:r w:rsidRPr="00BD3DE4">
        <w:t xml:space="preserve">reflects that the two </w:t>
      </w:r>
      <w:r>
        <w:t xml:space="preserve">pre-existing </w:t>
      </w:r>
      <w:r w:rsidRPr="00BD3DE4">
        <w:t>partnership</w:t>
      </w:r>
      <w:r>
        <w:t xml:space="preserve"> activities</w:t>
      </w:r>
      <w:r w:rsidRPr="00BD3DE4">
        <w:t xml:space="preserve"> have progressed as expected towards </w:t>
      </w:r>
      <w:r>
        <w:t>the</w:t>
      </w:r>
      <w:r w:rsidR="003F5770">
        <w:t>ir</w:t>
      </w:r>
      <w:r>
        <w:t xml:space="preserve"> objective</w:t>
      </w:r>
      <w:r w:rsidR="003F5770">
        <w:t>s</w:t>
      </w:r>
      <w:r>
        <w:t xml:space="preserve">, and that the international service provider for </w:t>
      </w:r>
      <w:r w:rsidR="005F6D5C">
        <w:t xml:space="preserve">the new elements of </w:t>
      </w:r>
      <w:r>
        <w:t>AMEP</w:t>
      </w:r>
      <w:r w:rsidRPr="00BD3DE4">
        <w:t xml:space="preserve"> mobilised efficiently.</w:t>
      </w:r>
    </w:p>
    <w:p w:rsidR="00CF7A24" w:rsidRDefault="00BD3DE4" w:rsidP="00CF7A24">
      <w:pPr>
        <w:pStyle w:val="ListBullet"/>
      </w:pPr>
      <w:r w:rsidRPr="00BD3DE4">
        <w:t xml:space="preserve">During 2014–15 the rate of progress </w:t>
      </w:r>
      <w:r w:rsidR="005F6D5C">
        <w:t xml:space="preserve">improved </w:t>
      </w:r>
      <w:r w:rsidRPr="00BD3DE4">
        <w:t>for the Australian-funded component of the</w:t>
      </w:r>
      <w:r>
        <w:t xml:space="preserve"> </w:t>
      </w:r>
      <w:r w:rsidR="003F5770" w:rsidRPr="00BD3DE4">
        <w:t xml:space="preserve">World Bank-implemented </w:t>
      </w:r>
      <w:r w:rsidR="003F5770">
        <w:t xml:space="preserve">Groundwater Management </w:t>
      </w:r>
      <w:r>
        <w:t>activity</w:t>
      </w:r>
      <w:r w:rsidRPr="00BD3DE4">
        <w:t>.</w:t>
      </w:r>
      <w:r w:rsidR="003F5770">
        <w:t xml:space="preserve"> With support from</w:t>
      </w:r>
      <w:r>
        <w:t xml:space="preserve"> the project, </w:t>
      </w:r>
      <w:r w:rsidRPr="00BD3DE4">
        <w:t xml:space="preserve">three River Basin Authorities </w:t>
      </w:r>
      <w:r w:rsidR="005F6D5C">
        <w:t>in South Gobi province engaged</w:t>
      </w:r>
      <w:r w:rsidRPr="00BD3DE4">
        <w:t xml:space="preserve"> with local water-users</w:t>
      </w:r>
      <w:r>
        <w:t>, and</w:t>
      </w:r>
      <w:r w:rsidR="005F6D5C">
        <w:t xml:space="preserve"> provided</w:t>
      </w:r>
      <w:r w:rsidRPr="00BD3DE4">
        <w:t xml:space="preserve"> professional services to increase awareness and promote efficient water management.</w:t>
      </w:r>
      <w:r w:rsidRPr="00BD3DE4">
        <w:rPr>
          <w:rFonts w:ascii="Times New Roman" w:eastAsia="SimSun" w:hAnsi="Times New Roman"/>
          <w:sz w:val="20"/>
        </w:rPr>
        <w:t xml:space="preserve"> </w:t>
      </w:r>
      <w:r w:rsidRPr="00BD3DE4">
        <w:t xml:space="preserve">Installation of 200 </w:t>
      </w:r>
      <w:r>
        <w:t xml:space="preserve">water level </w:t>
      </w:r>
      <w:r w:rsidRPr="00BD3DE4">
        <w:t>monitoring points will be complete by July 2015, including the use of innovative mobile-phone technology to record and report water levels from remote sites.</w:t>
      </w:r>
    </w:p>
    <w:p w:rsidR="003B401F" w:rsidRPr="00CF7A24" w:rsidRDefault="003B401F" w:rsidP="00CF7A24">
      <w:pPr>
        <w:pStyle w:val="ListBullet"/>
      </w:pPr>
      <w:r>
        <w:t>Aus</w:t>
      </w:r>
      <w:r w:rsidR="003F5770">
        <w:t xml:space="preserve">tralia partners with </w:t>
      </w:r>
      <w:r w:rsidR="00861B4E">
        <w:t xml:space="preserve">the </w:t>
      </w:r>
      <w:r w:rsidR="003F5770">
        <w:t>German</w:t>
      </w:r>
      <w:r w:rsidR="00861B4E">
        <w:t xml:space="preserve"> aid program (GiZ)</w:t>
      </w:r>
      <w:r w:rsidR="003F5770">
        <w:t xml:space="preserve"> in</w:t>
      </w:r>
      <w:r>
        <w:t xml:space="preserve"> a vocational training project to provide young people in South Gobi with skills that meet the needs of the mining industry and increase their chances of employment. </w:t>
      </w:r>
      <w:r w:rsidRPr="003B401F">
        <w:t xml:space="preserve">An evaluation </w:t>
      </w:r>
      <w:r w:rsidR="00861B4E">
        <w:t xml:space="preserve">by GiZ </w:t>
      </w:r>
      <w:r w:rsidRPr="003B401F">
        <w:t>in May 2015 found the project is on track to achieve its objectives</w:t>
      </w:r>
      <w:r>
        <w:t>.</w:t>
      </w:r>
      <w:r w:rsidRPr="003B401F">
        <w:t xml:space="preserve"> </w:t>
      </w:r>
      <w:r>
        <w:t xml:space="preserve">Australia’s contribution includes a </w:t>
      </w:r>
      <w:r w:rsidRPr="003B401F">
        <w:t xml:space="preserve">twinning arrangement </w:t>
      </w:r>
      <w:r>
        <w:t>between</w:t>
      </w:r>
      <w:r w:rsidRPr="003B401F">
        <w:t xml:space="preserve"> Melbourne Polytechnic and the Dalanzadgad TVET College</w:t>
      </w:r>
      <w:r>
        <w:t xml:space="preserve"> to develop and implement competency-based curricula and assist the Ministry of Labour on TVET sector reform. There is strong collaboration </w:t>
      </w:r>
      <w:r w:rsidR="003F5770">
        <w:t>with</w:t>
      </w:r>
      <w:r>
        <w:t xml:space="preserve"> the private sector. </w:t>
      </w:r>
      <w:r w:rsidR="003F5770">
        <w:t>G</w:t>
      </w:r>
      <w:r w:rsidRPr="003B401F">
        <w:t xml:space="preserve">ender-targeted </w:t>
      </w:r>
      <w:r w:rsidR="003F5770">
        <w:t xml:space="preserve">activities </w:t>
      </w:r>
      <w:r>
        <w:t xml:space="preserve">aim </w:t>
      </w:r>
      <w:r w:rsidRPr="003B401F">
        <w:t>to increase the proportion of women in traditionally ‘male courses’ such as mechanical engineering, electrics and construction.</w:t>
      </w:r>
      <w:r w:rsidR="003F5770">
        <w:t xml:space="preserve"> T</w:t>
      </w:r>
      <w:r w:rsidR="003F5770" w:rsidRPr="003F5770">
        <w:t>he pro</w:t>
      </w:r>
      <w:r w:rsidR="003F5770">
        <w:t>ject</w:t>
      </w:r>
      <w:r w:rsidR="003F5770" w:rsidRPr="003F5770">
        <w:t xml:space="preserve"> </w:t>
      </w:r>
      <w:r w:rsidR="003F5770">
        <w:t>has identified</w:t>
      </w:r>
      <w:r w:rsidR="003F5770" w:rsidRPr="003F5770">
        <w:t xml:space="preserve"> vocational education and employmen</w:t>
      </w:r>
      <w:r w:rsidR="003F5770">
        <w:t>t opportunities for people with a disability</w:t>
      </w:r>
      <w:r w:rsidR="003F5770" w:rsidRPr="003F5770">
        <w:t xml:space="preserve">, and how to mainstream disability issues into </w:t>
      </w:r>
      <w:r w:rsidR="001731B0">
        <w:t xml:space="preserve">the </w:t>
      </w:r>
      <w:r w:rsidR="003F5770" w:rsidRPr="003F5770">
        <w:t>course cu</w:t>
      </w:r>
      <w:r w:rsidR="001731B0">
        <w:t>rricula</w:t>
      </w:r>
      <w:r w:rsidR="003F5770" w:rsidRPr="003F5770">
        <w:t>.</w:t>
      </w:r>
    </w:p>
    <w:p w:rsidR="003F5770" w:rsidRPr="003F5770" w:rsidRDefault="003F5770" w:rsidP="003F5770">
      <w:pPr>
        <w:numPr>
          <w:ilvl w:val="2"/>
          <w:numId w:val="0"/>
        </w:numPr>
        <w:spacing w:before="240" w:after="120"/>
        <w:outlineLvl w:val="2"/>
        <w:rPr>
          <w:rFonts w:ascii="Helvetica" w:eastAsia="Times New Roman" w:hAnsi="Helvetica" w:cs="Arial"/>
          <w:b/>
          <w:color w:val="124486"/>
          <w:kern w:val="28"/>
          <w:sz w:val="22"/>
          <w:szCs w:val="22"/>
          <w:lang w:eastAsia="zh-CN"/>
        </w:rPr>
      </w:pPr>
      <w:r w:rsidRPr="003F5770">
        <w:rPr>
          <w:rFonts w:ascii="Helvetica" w:eastAsia="Times New Roman" w:hAnsi="Helvetica" w:cs="Arial"/>
          <w:b/>
          <w:color w:val="124486"/>
          <w:kern w:val="28"/>
          <w:sz w:val="22"/>
          <w:szCs w:val="22"/>
          <w:lang w:eastAsia="zh-CN"/>
        </w:rPr>
        <w:t>Objective 3: School communities are accessing improved water and sanitation and have improved hygiene practices.</w:t>
      </w:r>
    </w:p>
    <w:p w:rsidR="00624FD4" w:rsidRPr="00624FD4" w:rsidRDefault="003F5770" w:rsidP="00624FD4">
      <w:pPr>
        <w:pStyle w:val="ListBullet"/>
      </w:pPr>
      <w:r w:rsidRPr="003F5770">
        <w:t xml:space="preserve">The green rating for Objective 3 reflects that at the end of the UNICEF Water, Sanitation and Hygiene (WASH) project (June 2015) the outcomes and objectives </w:t>
      </w:r>
      <w:r w:rsidR="007F614F">
        <w:t>were</w:t>
      </w:r>
      <w:r w:rsidRPr="003F5770">
        <w:t xml:space="preserve"> fully met. The investment received the highest rating for effectiveness </w:t>
      </w:r>
      <w:r>
        <w:t>and efficiency</w:t>
      </w:r>
      <w:r w:rsidRPr="003F5770">
        <w:t xml:space="preserve"> in its final Aid Quality Check report—in spite of a shortened implementation period and reduced budget following </w:t>
      </w:r>
      <w:r w:rsidRPr="003F5770">
        <w:lastRenderedPageBreak/>
        <w:t>the 2013–14 Australian aid budget cuts.</w:t>
      </w:r>
      <w:r w:rsidRPr="003F5770">
        <w:rPr>
          <w:rFonts w:ascii="Times New Roman" w:eastAsia="SimSun" w:hAnsi="Times New Roman"/>
          <w:sz w:val="20"/>
        </w:rPr>
        <w:t xml:space="preserve"> </w:t>
      </w:r>
      <w:r w:rsidRPr="003F5770">
        <w:t>The project exceeded its target number of beneficiaries of improved WASH facilities in schools. Activities reached 25,000 people including 9000 children (original target 7800) and 840 staff from the target 12 schools and 12 kindergartens.</w:t>
      </w:r>
      <w:r w:rsidR="00624FD4" w:rsidRPr="00624FD4">
        <w:t xml:space="preserve"> </w:t>
      </w:r>
      <w:r w:rsidR="001731B0" w:rsidRPr="00821DD9">
        <w:t>The enrolme</w:t>
      </w:r>
      <w:r w:rsidR="001731B0">
        <w:t>nt rate at target schools is 97 per cent</w:t>
      </w:r>
      <w:r w:rsidR="001731B0" w:rsidRPr="00821DD9">
        <w:t xml:space="preserve">— </w:t>
      </w:r>
      <w:r w:rsidR="001731B0">
        <w:t>up from 90 per cent</w:t>
      </w:r>
      <w:r w:rsidR="001731B0" w:rsidRPr="00821DD9">
        <w:t xml:space="preserve"> in 2012—and the occurrence of diarrhoea and hepatitis A is zero compared to 29 cases in 2012. Schoo</w:t>
      </w:r>
      <w:r w:rsidR="001731B0">
        <w:t>l doctors and teachers link these</w:t>
      </w:r>
      <w:r w:rsidR="001731B0" w:rsidRPr="00821DD9">
        <w:t xml:space="preserve"> result</w:t>
      </w:r>
      <w:r w:rsidR="001731B0">
        <w:t>s</w:t>
      </w:r>
      <w:r w:rsidR="001731B0" w:rsidRPr="00821DD9">
        <w:t xml:space="preserve"> to improved WASH facilities, better awareness and hygiene behaviour. </w:t>
      </w:r>
      <w:r w:rsidR="001731B0">
        <w:t xml:space="preserve">About 90 per cent of children at target schools are now observed to wash hands at critical times (2012 baseline was 43 per cent). </w:t>
      </w:r>
      <w:r w:rsidR="00624FD4" w:rsidRPr="00624FD4">
        <w:t xml:space="preserve">With the Ministry of </w:t>
      </w:r>
      <w:r w:rsidR="00624FD4">
        <w:t xml:space="preserve">Education, </w:t>
      </w:r>
      <w:r w:rsidR="00624FD4" w:rsidRPr="00624FD4">
        <w:t xml:space="preserve">Ministry of Health and other stakeholders, </w:t>
      </w:r>
      <w:r w:rsidR="00624FD4">
        <w:t>the project</w:t>
      </w:r>
      <w:r w:rsidR="00624FD4" w:rsidRPr="00624FD4">
        <w:t xml:space="preserve"> drafted a national WASH Standard for schools and kindergartens. The Standard </w:t>
      </w:r>
      <w:r w:rsidR="00624FD4">
        <w:t>was</w:t>
      </w:r>
      <w:r w:rsidR="00624FD4" w:rsidRPr="00624FD4">
        <w:t xml:space="preserve"> approved by </w:t>
      </w:r>
      <w:r w:rsidR="00624FD4">
        <w:t>the Government</w:t>
      </w:r>
      <w:r w:rsidR="00624FD4" w:rsidRPr="00624FD4">
        <w:t xml:space="preserve"> and obliges all schools</w:t>
      </w:r>
      <w:r w:rsidR="001731B0">
        <w:t xml:space="preserve"> and kindergartens to budget for and</w:t>
      </w:r>
      <w:r w:rsidR="00624FD4" w:rsidRPr="00624FD4">
        <w:t xml:space="preserve"> implement the WASH Standard’s requirements. There are special cons</w:t>
      </w:r>
      <w:r w:rsidR="001731B0">
        <w:t>iderations for adolescent girls—</w:t>
      </w:r>
      <w:r w:rsidR="00624FD4" w:rsidRPr="00624FD4">
        <w:t xml:space="preserve">in access to WASH education, menstrual hygiene and privacy requirements. </w:t>
      </w:r>
    </w:p>
    <w:p w:rsidR="00C17265" w:rsidRPr="00C4114C" w:rsidRDefault="00C17265" w:rsidP="00C17265">
      <w:pPr>
        <w:pStyle w:val="Heading1"/>
        <w:spacing w:before="280"/>
      </w:pPr>
      <w:r w:rsidRPr="00C4114C">
        <w:t>Progress towards Performance Benchmarks in 2014-15</w:t>
      </w:r>
    </w:p>
    <w:tbl>
      <w:tblPr>
        <w:tblStyle w:val="DFATTable"/>
        <w:tblW w:w="5924" w:type="pct"/>
        <w:tblLook w:val="04A0" w:firstRow="1" w:lastRow="0" w:firstColumn="1" w:lastColumn="0" w:noHBand="0" w:noVBand="1"/>
      </w:tblPr>
      <w:tblGrid>
        <w:gridCol w:w="1308"/>
        <w:gridCol w:w="2626"/>
        <w:gridCol w:w="1137"/>
        <w:gridCol w:w="5026"/>
      </w:tblGrid>
      <w:tr w:rsidR="00C17265" w:rsidRPr="00C4114C" w:rsidTr="00C54012">
        <w:trPr>
          <w:tblHeader/>
        </w:trPr>
        <w:tc>
          <w:tcPr>
            <w:tcW w:w="647" w:type="pct"/>
            <w:tcMar>
              <w:top w:w="57" w:type="dxa"/>
              <w:bottom w:w="57" w:type="dxa"/>
            </w:tcMar>
          </w:tcPr>
          <w:p w:rsidR="00C17265" w:rsidRPr="00C4114C" w:rsidRDefault="00C17265" w:rsidP="002E0A56">
            <w:pPr>
              <w:pStyle w:val="TableHeading1"/>
              <w:keepNext/>
            </w:pPr>
            <w:r w:rsidRPr="00C4114C">
              <w:t>Aid objective</w:t>
            </w:r>
          </w:p>
        </w:tc>
        <w:tc>
          <w:tcPr>
            <w:tcW w:w="1300" w:type="pct"/>
          </w:tcPr>
          <w:p w:rsidR="00C17265" w:rsidRPr="00C4114C" w:rsidRDefault="00C17265" w:rsidP="002E0A56">
            <w:pPr>
              <w:pStyle w:val="TableHeading1"/>
              <w:keepNext/>
            </w:pPr>
            <w:r w:rsidRPr="00C4114C">
              <w:t xml:space="preserve">2014-15 benchmark </w:t>
            </w:r>
          </w:p>
        </w:tc>
        <w:tc>
          <w:tcPr>
            <w:tcW w:w="563" w:type="pct"/>
          </w:tcPr>
          <w:p w:rsidR="00C17265" w:rsidRPr="00C4114C" w:rsidRDefault="00C17265" w:rsidP="002E0A56">
            <w:pPr>
              <w:pStyle w:val="TableHeading1"/>
              <w:keepNext/>
            </w:pPr>
            <w:r w:rsidRPr="00C4114C">
              <w:t>Rating</w:t>
            </w:r>
          </w:p>
        </w:tc>
        <w:tc>
          <w:tcPr>
            <w:tcW w:w="2489" w:type="pct"/>
          </w:tcPr>
          <w:p w:rsidR="00C17265" w:rsidRPr="00C4114C" w:rsidRDefault="00C17265" w:rsidP="002E0A56">
            <w:pPr>
              <w:pStyle w:val="TableHeading1"/>
              <w:keepNext/>
            </w:pPr>
            <w:r w:rsidRPr="00C4114C">
              <w:t>Progress in 2014-15</w:t>
            </w:r>
          </w:p>
        </w:tc>
      </w:tr>
      <w:tr w:rsidR="00C17265" w:rsidRPr="00C4114C" w:rsidTr="00C54012">
        <w:tc>
          <w:tcPr>
            <w:tcW w:w="647" w:type="pct"/>
            <w:tcMar>
              <w:top w:w="57" w:type="dxa"/>
              <w:bottom w:w="57" w:type="dxa"/>
            </w:tcMar>
          </w:tcPr>
          <w:p w:rsidR="00C17265" w:rsidRPr="00C4114C" w:rsidRDefault="003E22E6" w:rsidP="002E0A56">
            <w:pPr>
              <w:pStyle w:val="TableTextEntries"/>
              <w:keepNext/>
            </w:pPr>
            <w:r>
              <w:t>Through post-graduate scholarships, Mongolia’s Government, civil society and private sector deliver better services.</w:t>
            </w:r>
          </w:p>
        </w:tc>
        <w:tc>
          <w:tcPr>
            <w:tcW w:w="1300" w:type="pct"/>
          </w:tcPr>
          <w:p w:rsidR="00C17265" w:rsidRPr="00C4114C" w:rsidRDefault="003E22E6" w:rsidP="002E0A56">
            <w:pPr>
              <w:pStyle w:val="TableTextEntries"/>
              <w:keepNext/>
            </w:pPr>
            <w:r>
              <w:rPr>
                <w:iCs w:val="0"/>
              </w:rPr>
              <w:t xml:space="preserve">Mobilise 43 scholarships targeted at priority sectors for the Mongolian Government.  </w:t>
            </w:r>
            <w:r w:rsidR="00C17265" w:rsidRPr="00C4114C">
              <w:t xml:space="preserve">  </w:t>
            </w:r>
          </w:p>
        </w:tc>
        <w:tc>
          <w:tcPr>
            <w:tcW w:w="563" w:type="pct"/>
            <w:shd w:val="clear" w:color="auto" w:fill="669900"/>
          </w:tcPr>
          <w:p w:rsidR="00C17265" w:rsidRPr="00C4114C" w:rsidRDefault="00C17265" w:rsidP="002E0A56">
            <w:pPr>
              <w:pStyle w:val="TableTextEntries"/>
              <w:keepNext/>
              <w:jc w:val="center"/>
              <w:rPr>
                <w:color w:val="FFFFFF" w:themeColor="background1"/>
              </w:rPr>
            </w:pPr>
            <w:r w:rsidRPr="00C4114C">
              <w:rPr>
                <w:color w:val="FFFFFF" w:themeColor="background1"/>
              </w:rPr>
              <w:t>Achieved</w:t>
            </w:r>
          </w:p>
        </w:tc>
        <w:tc>
          <w:tcPr>
            <w:tcW w:w="2489" w:type="pct"/>
          </w:tcPr>
          <w:p w:rsidR="00C17265" w:rsidRPr="00C4114C" w:rsidRDefault="003E22E6" w:rsidP="002E0A56">
            <w:pPr>
              <w:pStyle w:val="TableTextEntries"/>
              <w:keepNext/>
            </w:pPr>
            <w:r>
              <w:t>Exceeded. 45 scholars were mobilised in 2014–15</w:t>
            </w:r>
            <w:r w:rsidR="007F614F">
              <w:t xml:space="preserve"> with additional funding received from the global scholarships budget</w:t>
            </w:r>
            <w:r>
              <w:t>.</w:t>
            </w:r>
          </w:p>
        </w:tc>
      </w:tr>
      <w:tr w:rsidR="00C17265" w:rsidRPr="00C4114C" w:rsidTr="00C54012">
        <w:tc>
          <w:tcPr>
            <w:tcW w:w="647" w:type="pct"/>
            <w:tcMar>
              <w:top w:w="57" w:type="dxa"/>
              <w:bottom w:w="57" w:type="dxa"/>
            </w:tcMar>
          </w:tcPr>
          <w:p w:rsidR="00C17265" w:rsidRPr="00C4114C" w:rsidRDefault="003E22E6" w:rsidP="002E0A56">
            <w:pPr>
              <w:pStyle w:val="TableTextEntries"/>
              <w:keepNext/>
            </w:pPr>
            <w:r>
              <w:t>Mongolians are benefitting from a sustainably managed mining sector.</w:t>
            </w:r>
          </w:p>
        </w:tc>
        <w:tc>
          <w:tcPr>
            <w:tcW w:w="1300" w:type="pct"/>
          </w:tcPr>
          <w:p w:rsidR="003E22E6" w:rsidRDefault="003E22E6" w:rsidP="003E22E6">
            <w:pPr>
              <w:pStyle w:val="TableTextEntries"/>
            </w:pPr>
            <w:r>
              <w:t>Effectively mobilise the Australia Mongolia Extractives Program</w:t>
            </w:r>
          </w:p>
          <w:p w:rsidR="003E22E6" w:rsidRDefault="003E22E6" w:rsidP="003E22E6">
            <w:pPr>
              <w:pStyle w:val="TableTextEntries"/>
            </w:pPr>
            <w:r>
              <w:t>- To be staffed and operational in 4</w:t>
            </w:r>
            <w:r w:rsidRPr="0011113D">
              <w:rPr>
                <w:vertAlign w:val="superscript"/>
              </w:rPr>
              <w:t>th</w:t>
            </w:r>
            <w:r>
              <w:t xml:space="preserve"> quarter of 2014</w:t>
            </w:r>
          </w:p>
          <w:p w:rsidR="003E22E6" w:rsidRDefault="003E22E6" w:rsidP="003E22E6">
            <w:pPr>
              <w:pStyle w:val="TableTextEntries"/>
            </w:pPr>
            <w:r>
              <w:t>- One pilot program underway in an agreed priority area by June 2015</w:t>
            </w:r>
          </w:p>
          <w:p w:rsidR="00C17265" w:rsidRPr="00C4114C" w:rsidRDefault="003E22E6" w:rsidP="003E22E6">
            <w:pPr>
              <w:pStyle w:val="TableTextEntries"/>
              <w:keepNext/>
            </w:pPr>
            <w:r>
              <w:t>-Staff from an Australian TAFE college develop curriculum and provide training to students in the Dalanzadgad TVET college by June 2015.</w:t>
            </w:r>
          </w:p>
        </w:tc>
        <w:tc>
          <w:tcPr>
            <w:tcW w:w="563" w:type="pct"/>
            <w:shd w:val="clear" w:color="auto" w:fill="F7AA32"/>
          </w:tcPr>
          <w:p w:rsidR="00C17265" w:rsidRPr="00C4114C" w:rsidRDefault="00C17265" w:rsidP="002E0A56">
            <w:pPr>
              <w:pStyle w:val="TableTextEntries"/>
              <w:keepNext/>
              <w:jc w:val="center"/>
            </w:pPr>
            <w:r w:rsidRPr="00C4114C">
              <w:rPr>
                <w:color w:val="FFFFFF" w:themeColor="background1"/>
              </w:rPr>
              <w:t>Partly achieved</w:t>
            </w:r>
          </w:p>
        </w:tc>
        <w:tc>
          <w:tcPr>
            <w:tcW w:w="2489" w:type="pct"/>
          </w:tcPr>
          <w:p w:rsidR="00C17265" w:rsidRPr="00C4114C" w:rsidRDefault="003E22E6" w:rsidP="009A48C1">
            <w:pPr>
              <w:pStyle w:val="TableTextEntries"/>
              <w:keepNext/>
            </w:pPr>
            <w:r>
              <w:t xml:space="preserve">The mobilisation of the new Australia Mongolia Extractives Program was not achieved </w:t>
            </w:r>
            <w:r w:rsidR="009A48C1">
              <w:t>as scheduled</w:t>
            </w:r>
            <w:r>
              <w:t xml:space="preserve"> due to factors outside our control. The</w:t>
            </w:r>
            <w:r w:rsidR="00F16472">
              <w:t xml:space="preserve"> change of g</w:t>
            </w:r>
            <w:r>
              <w:t>overnment in Mongolia in late 2014 caused delays in agreeing the Subsidiary Arrangement for implementation of the program</w:t>
            </w:r>
            <w:r w:rsidR="009A48C1">
              <w:t>, and the contract with the international service provider was not able to be signed until the first quarter of 2015</w:t>
            </w:r>
            <w:r>
              <w:t>.</w:t>
            </w:r>
            <w:r>
              <w:br/>
              <w:t>One of the elements of the benchmark was achieved</w:t>
            </w:r>
            <w:r w:rsidR="009A48C1">
              <w:t xml:space="preserve"> as planned</w:t>
            </w:r>
            <w:r>
              <w:t>—mobilising the twinning arrangement with an Australian TAFE.</w:t>
            </w:r>
          </w:p>
        </w:tc>
      </w:tr>
      <w:tr w:rsidR="00C17265" w:rsidRPr="00C4114C" w:rsidTr="00C54012">
        <w:tc>
          <w:tcPr>
            <w:tcW w:w="647" w:type="pct"/>
            <w:tcMar>
              <w:top w:w="57" w:type="dxa"/>
              <w:bottom w:w="57" w:type="dxa"/>
            </w:tcMar>
          </w:tcPr>
          <w:p w:rsidR="00C17265" w:rsidRPr="00C4114C" w:rsidRDefault="003E22E6" w:rsidP="002E0A56">
            <w:pPr>
              <w:pStyle w:val="TableTextEntries"/>
              <w:keepNext/>
            </w:pPr>
            <w:r>
              <w:t>School communities are accessing improved water and sanitation and have improved hygiene practices.</w:t>
            </w:r>
          </w:p>
        </w:tc>
        <w:tc>
          <w:tcPr>
            <w:tcW w:w="1300" w:type="pct"/>
          </w:tcPr>
          <w:p w:rsidR="00C17265" w:rsidRPr="00C4114C" w:rsidRDefault="003E22E6" w:rsidP="002E0A56">
            <w:pPr>
              <w:pStyle w:val="TableTextEntries"/>
              <w:keepNext/>
            </w:pPr>
            <w:r w:rsidRPr="00A40C72">
              <w:t xml:space="preserve">Complete </w:t>
            </w:r>
            <w:r>
              <w:t>28</w:t>
            </w:r>
            <w:r w:rsidRPr="00A40C72">
              <w:t xml:space="preserve"> improved water and sanitation facilities</w:t>
            </w:r>
            <w:r>
              <w:t>, benefitting 4180</w:t>
            </w:r>
            <w:r w:rsidRPr="00A40C72">
              <w:t xml:space="preserve"> people</w:t>
            </w:r>
            <w:r>
              <w:t xml:space="preserve"> (data to be sex disaggregated). </w:t>
            </w:r>
            <w:r>
              <w:br/>
              <w:t>Mongolia finalises a national minimum requirement for WASH standards at schools and kindergartens.</w:t>
            </w:r>
          </w:p>
        </w:tc>
        <w:tc>
          <w:tcPr>
            <w:tcW w:w="563" w:type="pct"/>
            <w:shd w:val="clear" w:color="auto" w:fill="669900"/>
          </w:tcPr>
          <w:p w:rsidR="00C17265" w:rsidRPr="00C4114C" w:rsidRDefault="00C17265" w:rsidP="002E0A56">
            <w:pPr>
              <w:pStyle w:val="TableTextEntries"/>
              <w:keepNext/>
            </w:pPr>
            <w:r w:rsidRPr="00C4114C">
              <w:rPr>
                <w:color w:val="FFFFFF" w:themeColor="background1"/>
              </w:rPr>
              <w:t xml:space="preserve">Achieved </w:t>
            </w:r>
          </w:p>
        </w:tc>
        <w:tc>
          <w:tcPr>
            <w:tcW w:w="2489" w:type="pct"/>
          </w:tcPr>
          <w:p w:rsidR="00C17265" w:rsidRPr="00C4114C" w:rsidRDefault="00385B70" w:rsidP="00385B70">
            <w:pPr>
              <w:pStyle w:val="TableTextEntries"/>
              <w:keepNext/>
            </w:pPr>
            <w:r>
              <w:t>This benchmark was fully met and some results exceeded their targets by a significant factor.</w:t>
            </w:r>
          </w:p>
        </w:tc>
      </w:tr>
    </w:tbl>
    <w:p w:rsidR="00C17265" w:rsidRPr="00C4114C" w:rsidRDefault="00C17265" w:rsidP="00C17265">
      <w:pPr>
        <w:pStyle w:val="ListBullet"/>
        <w:tabs>
          <w:tab w:val="clear" w:pos="284"/>
        </w:tabs>
        <w:rPr>
          <w:rFonts w:ascii="Helvetica" w:hAnsi="Helvetica" w:cs="Arial"/>
          <w:color w:val="007FAD"/>
          <w:spacing w:val="-10"/>
          <w:kern w:val="28"/>
          <w:sz w:val="28"/>
          <w:szCs w:val="28"/>
        </w:rPr>
      </w:pPr>
    </w:p>
    <w:p w:rsidR="00C17265" w:rsidRPr="00C4114C" w:rsidRDefault="00385B70" w:rsidP="00C17265">
      <w:pPr>
        <w:spacing w:after="200" w:line="276" w:lineRule="auto"/>
        <w:rPr>
          <w:rFonts w:ascii="Franklin Gothic Book" w:hAnsi="Franklin Gothic Book"/>
          <w:sz w:val="21"/>
        </w:rPr>
      </w:pPr>
      <w:r>
        <w:rPr>
          <w:rFonts w:ascii="Franklin Gothic Book" w:hAnsi="Franklin Gothic Book"/>
          <w:sz w:val="21"/>
        </w:rPr>
        <w:t xml:space="preserve">Of the three </w:t>
      </w:r>
      <w:r w:rsidRPr="00385B70">
        <w:rPr>
          <w:rFonts w:ascii="Franklin Gothic Book" w:hAnsi="Franklin Gothic Book"/>
          <w:sz w:val="21"/>
        </w:rPr>
        <w:t>performance benchmark targets for 2014–15, only the benchmark relating to mobilisation of the AMEP ISP by end of 2014 was not fully met</w:t>
      </w:r>
      <w:r>
        <w:rPr>
          <w:rFonts w:ascii="Franklin Gothic Book" w:hAnsi="Franklin Gothic Book"/>
          <w:sz w:val="21"/>
        </w:rPr>
        <w:t xml:space="preserve">. </w:t>
      </w:r>
    </w:p>
    <w:p w:rsidR="00C17265" w:rsidRPr="00C4114C" w:rsidRDefault="00C17265" w:rsidP="00C17265">
      <w:pPr>
        <w:pStyle w:val="Heading1"/>
        <w:spacing w:before="280"/>
      </w:pPr>
      <w:r w:rsidRPr="00C4114C">
        <w:lastRenderedPageBreak/>
        <w:t>Mutual Obligations</w:t>
      </w:r>
    </w:p>
    <w:p w:rsidR="00E80AF9" w:rsidRDefault="007F614F" w:rsidP="00E80AF9">
      <w:pPr>
        <w:spacing w:after="200" w:line="276" w:lineRule="auto"/>
        <w:rPr>
          <w:rFonts w:ascii="Franklin Gothic Book" w:hAnsi="Franklin Gothic Book"/>
          <w:sz w:val="21"/>
        </w:rPr>
      </w:pPr>
      <w:r>
        <w:rPr>
          <w:rFonts w:ascii="Franklin Gothic Book" w:hAnsi="Franklin Gothic Book"/>
          <w:sz w:val="21"/>
        </w:rPr>
        <w:t xml:space="preserve">In December 2014 </w:t>
      </w:r>
      <w:r w:rsidR="00E80AF9" w:rsidRPr="00E80AF9">
        <w:rPr>
          <w:rFonts w:ascii="Franklin Gothic Book" w:hAnsi="Franklin Gothic Book"/>
          <w:sz w:val="21"/>
        </w:rPr>
        <w:t>Mongolia formed a new coalition government</w:t>
      </w:r>
      <w:r w:rsidR="00E80AF9">
        <w:rPr>
          <w:rFonts w:ascii="Franklin Gothic Book" w:hAnsi="Franklin Gothic Book"/>
          <w:sz w:val="21"/>
        </w:rPr>
        <w:t>.</w:t>
      </w:r>
      <w:r w:rsidR="00E80AF9" w:rsidRPr="00E80AF9">
        <w:rPr>
          <w:rFonts w:ascii="Franklin Gothic Book" w:hAnsi="Franklin Gothic Book"/>
          <w:sz w:val="21"/>
        </w:rPr>
        <w:t xml:space="preserve"> </w:t>
      </w:r>
      <w:r>
        <w:rPr>
          <w:rFonts w:ascii="Franklin Gothic Book" w:hAnsi="Franklin Gothic Book"/>
          <w:sz w:val="21"/>
        </w:rPr>
        <w:t xml:space="preserve">Led by </w:t>
      </w:r>
      <w:r w:rsidR="00E80AF9" w:rsidRPr="00E80AF9">
        <w:rPr>
          <w:rFonts w:ascii="Franklin Gothic Book" w:hAnsi="Franklin Gothic Book"/>
          <w:sz w:val="21"/>
        </w:rPr>
        <w:t xml:space="preserve">Prime Minister Saikhanbileg </w:t>
      </w:r>
      <w:r>
        <w:rPr>
          <w:rFonts w:ascii="Franklin Gothic Book" w:hAnsi="Franklin Gothic Book"/>
          <w:sz w:val="21"/>
        </w:rPr>
        <w:t xml:space="preserve">the new government is focused on improving </w:t>
      </w:r>
      <w:r w:rsidR="00E80AF9" w:rsidRPr="00E80AF9">
        <w:rPr>
          <w:rFonts w:ascii="Franklin Gothic Book" w:hAnsi="Franklin Gothic Book"/>
          <w:sz w:val="21"/>
        </w:rPr>
        <w:t xml:space="preserve">Mongolia’s economy </w:t>
      </w:r>
      <w:r>
        <w:rPr>
          <w:rFonts w:ascii="Franklin Gothic Book" w:hAnsi="Franklin Gothic Book"/>
          <w:sz w:val="21"/>
        </w:rPr>
        <w:t xml:space="preserve">and attracting foreign investment through </w:t>
      </w:r>
      <w:r w:rsidR="00E80AF9" w:rsidRPr="00E80AF9">
        <w:rPr>
          <w:rFonts w:ascii="Franklin Gothic Book" w:hAnsi="Franklin Gothic Book"/>
          <w:sz w:val="21"/>
        </w:rPr>
        <w:t>creating an open welcoming business environment, supporting the private sector and addressing barriers to mining sector expansion.</w:t>
      </w:r>
      <w:r w:rsidR="00E80AF9" w:rsidRPr="00E80AF9">
        <w:t xml:space="preserve"> </w:t>
      </w:r>
      <w:r>
        <w:rPr>
          <w:rFonts w:ascii="Franklin Gothic Book" w:hAnsi="Franklin Gothic Book"/>
          <w:sz w:val="21"/>
        </w:rPr>
        <w:t xml:space="preserve">A key outcome of these efforts was the </w:t>
      </w:r>
      <w:r w:rsidR="00E80AF9" w:rsidRPr="00E80AF9">
        <w:rPr>
          <w:rFonts w:ascii="Franklin Gothic Book" w:hAnsi="Franklin Gothic Book" w:hint="eastAsia"/>
          <w:sz w:val="21"/>
        </w:rPr>
        <w:t xml:space="preserve">May 2015 </w:t>
      </w:r>
      <w:r>
        <w:rPr>
          <w:rFonts w:ascii="Franklin Gothic Book" w:hAnsi="Franklin Gothic Book"/>
          <w:sz w:val="21"/>
        </w:rPr>
        <w:t xml:space="preserve">agreement between the government and </w:t>
      </w:r>
      <w:r w:rsidR="00E80AF9" w:rsidRPr="00E80AF9">
        <w:rPr>
          <w:rFonts w:ascii="Franklin Gothic Book" w:hAnsi="Franklin Gothic Book" w:hint="eastAsia"/>
          <w:sz w:val="21"/>
        </w:rPr>
        <w:t>Rio Tinto to resume the second phase of the Oyu Tolgoi</w:t>
      </w:r>
      <w:r w:rsidR="00E80AF9" w:rsidRPr="00E80AF9">
        <w:rPr>
          <w:rFonts w:ascii="Franklin Gothic Book" w:hAnsi="Franklin Gothic Book"/>
          <w:sz w:val="21"/>
        </w:rPr>
        <w:t xml:space="preserve"> (OT) </w:t>
      </w:r>
      <w:r w:rsidR="009A48C1">
        <w:rPr>
          <w:rFonts w:ascii="Franklin Gothic Book" w:hAnsi="Franklin Gothic Book"/>
          <w:sz w:val="21"/>
        </w:rPr>
        <w:t xml:space="preserve">mining </w:t>
      </w:r>
      <w:r w:rsidR="00E80AF9" w:rsidRPr="00E80AF9">
        <w:rPr>
          <w:rFonts w:ascii="Franklin Gothic Book" w:hAnsi="Franklin Gothic Book" w:hint="eastAsia"/>
          <w:sz w:val="21"/>
        </w:rPr>
        <w:t>project</w:t>
      </w:r>
      <w:r w:rsidR="00E80AF9" w:rsidRPr="00E80AF9">
        <w:rPr>
          <w:rFonts w:ascii="Franklin Gothic Book" w:hAnsi="Franklin Gothic Book"/>
          <w:sz w:val="21"/>
        </w:rPr>
        <w:t>—</w:t>
      </w:r>
      <w:r w:rsidR="00E80AF9" w:rsidRPr="00E80AF9">
        <w:rPr>
          <w:rFonts w:ascii="Franklin Gothic Book" w:hAnsi="Franklin Gothic Book" w:hint="eastAsia"/>
          <w:sz w:val="21"/>
        </w:rPr>
        <w:t xml:space="preserve"> the largest single foreign investment in Mongolia</w:t>
      </w:r>
      <w:r w:rsidR="00E80AF9" w:rsidRPr="00E80AF9">
        <w:rPr>
          <w:rFonts w:ascii="Franklin Gothic Book" w:hAnsi="Franklin Gothic Book"/>
          <w:sz w:val="21"/>
        </w:rPr>
        <w:t>—</w:t>
      </w:r>
      <w:r w:rsidR="00E80AF9" w:rsidRPr="00E80AF9">
        <w:rPr>
          <w:rFonts w:ascii="Franklin Gothic Book" w:hAnsi="Franklin Gothic Book" w:hint="eastAsia"/>
          <w:sz w:val="21"/>
        </w:rPr>
        <w:t>following two years of suspension</w:t>
      </w:r>
      <w:r w:rsidR="00E80AF9" w:rsidRPr="00E80AF9">
        <w:rPr>
          <w:rFonts w:ascii="Franklin Gothic Book" w:hAnsi="Franklin Gothic Book"/>
          <w:sz w:val="21"/>
        </w:rPr>
        <w:t>.</w:t>
      </w:r>
      <w:r w:rsidR="00E80AF9" w:rsidRPr="00E80AF9">
        <w:rPr>
          <w:rFonts w:ascii="Franklin Gothic Book" w:hAnsi="Franklin Gothic Book" w:hint="eastAsia"/>
          <w:sz w:val="21"/>
        </w:rPr>
        <w:t xml:space="preserve"> </w:t>
      </w:r>
      <w:r w:rsidR="00E80AF9" w:rsidRPr="00E80AF9">
        <w:rPr>
          <w:rFonts w:ascii="Franklin Gothic Book" w:hAnsi="Franklin Gothic Book"/>
          <w:sz w:val="21"/>
        </w:rPr>
        <w:t>At full capacity the project</w:t>
      </w:r>
      <w:r w:rsidR="00E80AF9" w:rsidRPr="00E80AF9">
        <w:rPr>
          <w:rFonts w:ascii="Franklin Gothic Book" w:hAnsi="Franklin Gothic Book" w:hint="eastAsia"/>
          <w:sz w:val="21"/>
        </w:rPr>
        <w:t xml:space="preserve"> </w:t>
      </w:r>
      <w:r w:rsidR="00E80AF9" w:rsidRPr="00E80AF9">
        <w:rPr>
          <w:rFonts w:ascii="Franklin Gothic Book" w:hAnsi="Franklin Gothic Book"/>
          <w:sz w:val="21"/>
        </w:rPr>
        <w:t>is expected to</w:t>
      </w:r>
      <w:r w:rsidR="00E80AF9" w:rsidRPr="00E80AF9">
        <w:rPr>
          <w:rFonts w:ascii="Franklin Gothic Book" w:hAnsi="Franklin Gothic Book" w:hint="eastAsia"/>
          <w:sz w:val="21"/>
        </w:rPr>
        <w:t xml:space="preserve"> boost Mongolia</w:t>
      </w:r>
      <w:r w:rsidR="00E80AF9" w:rsidRPr="00E80AF9">
        <w:rPr>
          <w:rFonts w:ascii="Franklin Gothic Book" w:hAnsi="Franklin Gothic Book"/>
          <w:sz w:val="21"/>
        </w:rPr>
        <w:t>’</w:t>
      </w:r>
      <w:r w:rsidR="00E80AF9" w:rsidRPr="00E80AF9">
        <w:rPr>
          <w:rFonts w:ascii="Franklin Gothic Book" w:hAnsi="Franklin Gothic Book" w:hint="eastAsia"/>
          <w:sz w:val="21"/>
        </w:rPr>
        <w:t>s economy by a third.</w:t>
      </w:r>
      <w:r w:rsidR="00E80AF9">
        <w:rPr>
          <w:rFonts w:ascii="Franklin Gothic Book" w:hAnsi="Franklin Gothic Book"/>
          <w:sz w:val="21"/>
        </w:rPr>
        <w:t xml:space="preserve"> Australia’s support through the new AMEP will assist mining-related government agencies to improve regulation, governance and stakeholder engagement, which supports both governments’ policy interests.</w:t>
      </w:r>
    </w:p>
    <w:p w:rsidR="00E80AF9" w:rsidRPr="00E80AF9" w:rsidRDefault="007F614F" w:rsidP="00E80AF9">
      <w:pPr>
        <w:spacing w:after="200" w:line="276" w:lineRule="auto"/>
        <w:rPr>
          <w:rFonts w:ascii="Franklin Gothic Book" w:hAnsi="Franklin Gothic Book"/>
          <w:sz w:val="21"/>
        </w:rPr>
      </w:pPr>
      <w:r>
        <w:rPr>
          <w:rFonts w:ascii="Franklin Gothic Book" w:hAnsi="Franklin Gothic Book"/>
          <w:sz w:val="21"/>
        </w:rPr>
        <w:t xml:space="preserve">Despite commitments from the new government, there remain challenges for business working in the extractives sector, including the arbitrary revocation of mining licences, resource nationalism, corruption, and difficulties with the exit visa system which sees foreigners detained in Mongolia over tax issues. </w:t>
      </w:r>
      <w:r w:rsidR="00E80AF9" w:rsidRPr="00E80AF9">
        <w:rPr>
          <w:rFonts w:ascii="Franklin Gothic Book" w:hAnsi="Franklin Gothic Book"/>
          <w:sz w:val="21"/>
        </w:rPr>
        <w:t>The challenge for Mongolia is to manage its resource dependency in a way that stabilises the economy and transfers the wealth equitably</w:t>
      </w:r>
      <w:r w:rsidR="00E80AF9">
        <w:rPr>
          <w:rFonts w:ascii="Franklin Gothic Book" w:hAnsi="Franklin Gothic Book"/>
          <w:sz w:val="21"/>
        </w:rPr>
        <w:t>. Australia’s support to human resource development through our scholarships program and TVET assistance</w:t>
      </w:r>
      <w:r w:rsidR="003458BE">
        <w:rPr>
          <w:rFonts w:ascii="Franklin Gothic Book" w:hAnsi="Franklin Gothic Book"/>
          <w:sz w:val="21"/>
        </w:rPr>
        <w:t xml:space="preserve"> aims to ensure more Mongolian</w:t>
      </w:r>
      <w:r w:rsidR="00A9055A">
        <w:rPr>
          <w:rFonts w:ascii="Franklin Gothic Book" w:hAnsi="Franklin Gothic Book"/>
          <w:sz w:val="21"/>
        </w:rPr>
        <w:t>s are appropriately skilled to contribute to the development of their community and the country.</w:t>
      </w:r>
    </w:p>
    <w:p w:rsidR="00C17265" w:rsidRPr="00C4114C" w:rsidRDefault="00C17265" w:rsidP="00E80AF9">
      <w:pPr>
        <w:pStyle w:val="Heading1"/>
        <w:spacing w:before="280"/>
      </w:pPr>
      <w:r w:rsidRPr="00C4114C">
        <w:t xml:space="preserve">Program Quality and </w:t>
      </w:r>
      <w:r>
        <w:t xml:space="preserve">Partner Performance </w:t>
      </w:r>
    </w:p>
    <w:p w:rsidR="00385B70" w:rsidRPr="00385B70" w:rsidRDefault="00385B70" w:rsidP="00385B70">
      <w:pPr>
        <w:spacing w:after="200" w:line="276" w:lineRule="auto"/>
        <w:rPr>
          <w:rFonts w:ascii="Franklin Gothic Book" w:hAnsi="Franklin Gothic Book"/>
          <w:sz w:val="21"/>
        </w:rPr>
      </w:pPr>
      <w:r w:rsidRPr="00385B70">
        <w:rPr>
          <w:rFonts w:ascii="Franklin Gothic Book" w:hAnsi="Franklin Gothic Book"/>
          <w:sz w:val="21"/>
        </w:rPr>
        <w:t>A</w:t>
      </w:r>
      <w:r>
        <w:rPr>
          <w:rFonts w:ascii="Franklin Gothic Book" w:hAnsi="Franklin Gothic Book"/>
          <w:sz w:val="21"/>
        </w:rPr>
        <w:t>id Quality Checks for 2014–15 rated</w:t>
      </w:r>
      <w:r w:rsidRPr="00385B70">
        <w:rPr>
          <w:rFonts w:ascii="Franklin Gothic Book" w:hAnsi="Franklin Gothic Book"/>
          <w:sz w:val="21"/>
        </w:rPr>
        <w:t xml:space="preserve"> </w:t>
      </w:r>
      <w:r>
        <w:rPr>
          <w:rFonts w:ascii="Franklin Gothic Book" w:hAnsi="Franklin Gothic Book"/>
          <w:sz w:val="21"/>
        </w:rPr>
        <w:t>a</w:t>
      </w:r>
      <w:r w:rsidRPr="00385B70">
        <w:rPr>
          <w:rFonts w:ascii="Franklin Gothic Book" w:hAnsi="Franklin Gothic Book"/>
          <w:sz w:val="21"/>
        </w:rPr>
        <w:t>ll in</w:t>
      </w:r>
      <w:r w:rsidR="00F348A7">
        <w:rPr>
          <w:rFonts w:ascii="Franklin Gothic Book" w:hAnsi="Franklin Gothic Book"/>
          <w:sz w:val="21"/>
        </w:rPr>
        <w:t>vestments</w:t>
      </w:r>
      <w:r>
        <w:rPr>
          <w:rFonts w:ascii="Franklin Gothic Book" w:hAnsi="Franklin Gothic Book"/>
          <w:sz w:val="21"/>
        </w:rPr>
        <w:t xml:space="preserve"> as</w:t>
      </w:r>
      <w:r w:rsidRPr="00385B70">
        <w:rPr>
          <w:rFonts w:ascii="Franklin Gothic Book" w:hAnsi="Franklin Gothic Book"/>
          <w:sz w:val="21"/>
        </w:rPr>
        <w:t xml:space="preserve"> highly relevant</w:t>
      </w:r>
      <w:r>
        <w:rPr>
          <w:rFonts w:ascii="Franklin Gothic Book" w:hAnsi="Franklin Gothic Book"/>
          <w:sz w:val="21"/>
        </w:rPr>
        <w:t>.</w:t>
      </w:r>
      <w:r w:rsidRPr="00385B70">
        <w:rPr>
          <w:rFonts w:ascii="Franklin Gothic Book" w:hAnsi="Franklin Gothic Book"/>
          <w:sz w:val="21"/>
        </w:rPr>
        <w:t xml:space="preserve"> The </w:t>
      </w:r>
      <w:r w:rsidR="009A48C1">
        <w:rPr>
          <w:rFonts w:ascii="Franklin Gothic Book" w:hAnsi="Franklin Gothic Book"/>
          <w:sz w:val="21"/>
        </w:rPr>
        <w:t>Australia Mongolia Extractives P</w:t>
      </w:r>
      <w:r w:rsidRPr="00385B70">
        <w:rPr>
          <w:rFonts w:ascii="Franklin Gothic Book" w:hAnsi="Franklin Gothic Book"/>
          <w:sz w:val="21"/>
        </w:rPr>
        <w:t>rogram</w:t>
      </w:r>
      <w:r w:rsidR="009A48C1">
        <w:rPr>
          <w:rFonts w:ascii="Franklin Gothic Book" w:hAnsi="Franklin Gothic Book"/>
          <w:sz w:val="21"/>
        </w:rPr>
        <w:t xml:space="preserve"> (AMEP)</w:t>
      </w:r>
      <w:r w:rsidRPr="00385B70">
        <w:rPr>
          <w:rFonts w:ascii="Franklin Gothic Book" w:hAnsi="Franklin Gothic Book"/>
          <w:sz w:val="21"/>
        </w:rPr>
        <w:t xml:space="preserve"> is particularly relevant to Australia’s economic diplomacy objectives of support for trade, investment, growth and business. </w:t>
      </w:r>
    </w:p>
    <w:p w:rsidR="00385B70" w:rsidRPr="00385B70" w:rsidRDefault="00385B70" w:rsidP="00385B70">
      <w:pPr>
        <w:spacing w:after="200" w:line="276" w:lineRule="auto"/>
        <w:rPr>
          <w:rFonts w:ascii="Franklin Gothic Book" w:hAnsi="Franklin Gothic Book"/>
          <w:sz w:val="21"/>
        </w:rPr>
      </w:pPr>
      <w:r w:rsidRPr="00385B70">
        <w:rPr>
          <w:rFonts w:ascii="Franklin Gothic Book" w:hAnsi="Franklin Gothic Book"/>
          <w:sz w:val="21"/>
        </w:rPr>
        <w:t xml:space="preserve">Effectiveness has increased </w:t>
      </w:r>
      <w:r w:rsidR="00F348A7">
        <w:rPr>
          <w:rFonts w:ascii="Franklin Gothic Book" w:hAnsi="Franklin Gothic Book"/>
          <w:sz w:val="21"/>
        </w:rPr>
        <w:t>in all investments</w:t>
      </w:r>
      <w:r>
        <w:rPr>
          <w:rFonts w:ascii="Franklin Gothic Book" w:hAnsi="Franklin Gothic Book"/>
          <w:sz w:val="21"/>
        </w:rPr>
        <w:t xml:space="preserve"> during 2014–15</w:t>
      </w:r>
      <w:r w:rsidRPr="00385B70">
        <w:rPr>
          <w:rFonts w:ascii="Franklin Gothic Book" w:hAnsi="Franklin Gothic Book"/>
          <w:sz w:val="21"/>
        </w:rPr>
        <w:t>, and particularly so for AMEP. Efficiency scores also increased for WASH and AMEP, and were maintained at a high lev</w:t>
      </w:r>
      <w:r w:rsidR="00F348A7">
        <w:rPr>
          <w:rFonts w:ascii="Franklin Gothic Book" w:hAnsi="Franklin Gothic Book"/>
          <w:sz w:val="21"/>
        </w:rPr>
        <w:t>el (5) for AAM. T</w:t>
      </w:r>
      <w:r w:rsidRPr="00385B70">
        <w:rPr>
          <w:rFonts w:ascii="Franklin Gothic Book" w:hAnsi="Franklin Gothic Book"/>
          <w:sz w:val="21"/>
        </w:rPr>
        <w:t xml:space="preserve">he portfolio of investments under the Mongolia aid program during 2014–15 can be considered good to very good value-for-money. </w:t>
      </w:r>
    </w:p>
    <w:p w:rsidR="00385B70" w:rsidRDefault="00F348A7" w:rsidP="00385B70">
      <w:pPr>
        <w:spacing w:after="200" w:line="276" w:lineRule="auto"/>
        <w:rPr>
          <w:rFonts w:ascii="Franklin Gothic Book" w:hAnsi="Franklin Gothic Book"/>
          <w:sz w:val="21"/>
        </w:rPr>
      </w:pPr>
      <w:r w:rsidRPr="00385B70">
        <w:rPr>
          <w:rFonts w:ascii="Franklin Gothic Book" w:hAnsi="Franklin Gothic Book"/>
          <w:sz w:val="21"/>
        </w:rPr>
        <w:t>There are no unsatisfactory scores for any quality criteria for any of the investments.</w:t>
      </w:r>
      <w:r>
        <w:rPr>
          <w:rFonts w:ascii="Franklin Gothic Book" w:hAnsi="Franklin Gothic Book"/>
          <w:sz w:val="21"/>
        </w:rPr>
        <w:t xml:space="preserve"> </w:t>
      </w:r>
      <w:r w:rsidR="00385B70" w:rsidRPr="00385B70">
        <w:rPr>
          <w:rFonts w:ascii="Franklin Gothic Book" w:hAnsi="Franklin Gothic Book"/>
          <w:sz w:val="21"/>
        </w:rPr>
        <w:t xml:space="preserve">Although scores are satisfactory for gender equality, more can still be done to support gender equality outcomes in our scholarships and extractives programs. AAM can also work to further improve its monitoring and evaluation score. </w:t>
      </w:r>
    </w:p>
    <w:p w:rsidR="00385B70" w:rsidRPr="00385B70" w:rsidRDefault="00385B70" w:rsidP="00385B70">
      <w:pPr>
        <w:spacing w:after="200" w:line="276" w:lineRule="auto"/>
        <w:rPr>
          <w:rFonts w:ascii="Franklin Gothic Book" w:hAnsi="Franklin Gothic Book"/>
          <w:sz w:val="21"/>
        </w:rPr>
      </w:pPr>
      <w:r>
        <w:rPr>
          <w:rFonts w:ascii="Franklin Gothic Book" w:hAnsi="Franklin Gothic Book"/>
          <w:sz w:val="21"/>
        </w:rPr>
        <w:t>No independent evaluations were undertaken in 2014–15.</w:t>
      </w:r>
    </w:p>
    <w:p w:rsidR="00385B70" w:rsidRPr="00385B70" w:rsidRDefault="00385B70" w:rsidP="00385B70">
      <w:pPr>
        <w:spacing w:after="200" w:line="276" w:lineRule="auto"/>
        <w:rPr>
          <w:rFonts w:ascii="Franklin Gothic Book" w:hAnsi="Franklin Gothic Book"/>
          <w:sz w:val="21"/>
        </w:rPr>
      </w:pPr>
      <w:r w:rsidRPr="00385B70">
        <w:rPr>
          <w:rFonts w:ascii="Franklin Gothic Book" w:hAnsi="Franklin Gothic Book"/>
          <w:sz w:val="21"/>
        </w:rPr>
        <w:t>Coffey International has efficiently implemented AAM</w:t>
      </w:r>
      <w:r w:rsidR="009A48C1">
        <w:rPr>
          <w:rFonts w:ascii="Franklin Gothic Book" w:hAnsi="Franklin Gothic Book"/>
          <w:sz w:val="21"/>
        </w:rPr>
        <w:t xml:space="preserve"> scholarships program</w:t>
      </w:r>
      <w:r w:rsidRPr="00385B70">
        <w:rPr>
          <w:rFonts w:ascii="Franklin Gothic Book" w:hAnsi="Franklin Gothic Book"/>
          <w:sz w:val="21"/>
        </w:rPr>
        <w:t xml:space="preserve"> while managing an increased number of scholarship </w:t>
      </w:r>
      <w:r w:rsidR="00F348A7">
        <w:rPr>
          <w:rFonts w:ascii="Franklin Gothic Book" w:hAnsi="Franklin Gothic Book"/>
          <w:sz w:val="21"/>
        </w:rPr>
        <w:t>applications</w:t>
      </w:r>
      <w:r w:rsidRPr="00385B70">
        <w:rPr>
          <w:rFonts w:ascii="Franklin Gothic Book" w:hAnsi="Franklin Gothic Book"/>
          <w:sz w:val="21"/>
        </w:rPr>
        <w:t xml:space="preserve">. AAM engaged well with </w:t>
      </w:r>
      <w:r w:rsidR="00F348A7">
        <w:rPr>
          <w:rFonts w:ascii="Franklin Gothic Book" w:hAnsi="Franklin Gothic Book"/>
          <w:sz w:val="21"/>
        </w:rPr>
        <w:t>government, civil society and private sector</w:t>
      </w:r>
      <w:r w:rsidRPr="00385B70">
        <w:rPr>
          <w:rFonts w:ascii="Franklin Gothic Book" w:hAnsi="Franklin Gothic Book"/>
          <w:sz w:val="21"/>
        </w:rPr>
        <w:t xml:space="preserve"> counterpart agencies to maintain their strong engagement in program planning and priority setting. DFAT and Coffey are working closely in 2015 to ensure </w:t>
      </w:r>
      <w:r w:rsidR="00F80605">
        <w:rPr>
          <w:rFonts w:ascii="Franklin Gothic Book" w:hAnsi="Franklin Gothic Book"/>
          <w:sz w:val="21"/>
        </w:rPr>
        <w:t xml:space="preserve">continued </w:t>
      </w:r>
      <w:r w:rsidRPr="00385B70">
        <w:rPr>
          <w:rFonts w:ascii="Franklin Gothic Book" w:hAnsi="Franklin Gothic Book"/>
          <w:sz w:val="21"/>
        </w:rPr>
        <w:t xml:space="preserve">positive relationships </w:t>
      </w:r>
      <w:r w:rsidR="00F80605">
        <w:rPr>
          <w:rFonts w:ascii="Franklin Gothic Book" w:hAnsi="Franklin Gothic Book"/>
          <w:sz w:val="21"/>
        </w:rPr>
        <w:t>as</w:t>
      </w:r>
      <w:r w:rsidRPr="00385B70">
        <w:rPr>
          <w:rFonts w:ascii="Franklin Gothic Book" w:hAnsi="Franklin Gothic Book"/>
          <w:sz w:val="21"/>
        </w:rPr>
        <w:t xml:space="preserve"> </w:t>
      </w:r>
      <w:r w:rsidR="00F80605">
        <w:rPr>
          <w:rFonts w:ascii="Franklin Gothic Book" w:hAnsi="Franklin Gothic Book"/>
          <w:sz w:val="21"/>
        </w:rPr>
        <w:t>government counterparts change</w:t>
      </w:r>
      <w:r w:rsidR="009A48C1">
        <w:rPr>
          <w:rFonts w:ascii="Franklin Gothic Book" w:hAnsi="Franklin Gothic Book"/>
          <w:sz w:val="21"/>
        </w:rPr>
        <w:t>d in early 2015</w:t>
      </w:r>
      <w:r w:rsidR="00F80605">
        <w:rPr>
          <w:rFonts w:ascii="Franklin Gothic Book" w:hAnsi="Franklin Gothic Book"/>
          <w:sz w:val="21"/>
        </w:rPr>
        <w:t xml:space="preserve"> and the </w:t>
      </w:r>
      <w:r w:rsidR="00F348A7">
        <w:rPr>
          <w:rFonts w:ascii="Franklin Gothic Book" w:hAnsi="Franklin Gothic Book"/>
          <w:sz w:val="21"/>
        </w:rPr>
        <w:t>AAM</w:t>
      </w:r>
      <w:r w:rsidR="00F80605">
        <w:rPr>
          <w:rFonts w:ascii="Franklin Gothic Book" w:hAnsi="Franklin Gothic Book"/>
          <w:sz w:val="21"/>
        </w:rPr>
        <w:t xml:space="preserve"> governance mechanisms </w:t>
      </w:r>
      <w:r w:rsidR="009A48C1">
        <w:rPr>
          <w:rFonts w:ascii="Franklin Gothic Book" w:hAnsi="Franklin Gothic Book"/>
          <w:sz w:val="21"/>
        </w:rPr>
        <w:t xml:space="preserve">are being </w:t>
      </w:r>
      <w:r w:rsidR="00F80605">
        <w:rPr>
          <w:rFonts w:ascii="Franklin Gothic Book" w:hAnsi="Franklin Gothic Book"/>
          <w:sz w:val="21"/>
        </w:rPr>
        <w:t>streamline</w:t>
      </w:r>
      <w:r w:rsidR="009A48C1">
        <w:rPr>
          <w:rFonts w:ascii="Franklin Gothic Book" w:hAnsi="Franklin Gothic Book"/>
          <w:sz w:val="21"/>
        </w:rPr>
        <w:t>d</w:t>
      </w:r>
      <w:r w:rsidRPr="00385B70">
        <w:rPr>
          <w:rFonts w:ascii="Franklin Gothic Book" w:hAnsi="Franklin Gothic Book"/>
          <w:sz w:val="21"/>
        </w:rPr>
        <w:t xml:space="preserve">. </w:t>
      </w:r>
    </w:p>
    <w:p w:rsidR="00385B70" w:rsidRPr="00385B70" w:rsidRDefault="00385B70" w:rsidP="00385B70">
      <w:pPr>
        <w:spacing w:after="200" w:line="276" w:lineRule="auto"/>
        <w:rPr>
          <w:rFonts w:ascii="Franklin Gothic Book" w:hAnsi="Franklin Gothic Book"/>
          <w:sz w:val="21"/>
        </w:rPr>
      </w:pPr>
      <w:r w:rsidRPr="00385B70">
        <w:rPr>
          <w:rFonts w:ascii="Franklin Gothic Book" w:hAnsi="Franklin Gothic Book"/>
          <w:sz w:val="21"/>
        </w:rPr>
        <w:t>During 2014–15 the World Bank has eff</w:t>
      </w:r>
      <w:r w:rsidR="009A48C1">
        <w:rPr>
          <w:rFonts w:ascii="Franklin Gothic Book" w:hAnsi="Franklin Gothic Book"/>
          <w:sz w:val="21"/>
        </w:rPr>
        <w:t>iciently</w:t>
      </w:r>
      <w:r w:rsidRPr="00385B70">
        <w:rPr>
          <w:rFonts w:ascii="Franklin Gothic Book" w:hAnsi="Franklin Gothic Book"/>
          <w:sz w:val="21"/>
        </w:rPr>
        <w:t xml:space="preserve"> managed the Ground Water Management activity </w:t>
      </w:r>
      <w:r w:rsidR="007167BE">
        <w:rPr>
          <w:rFonts w:ascii="Franklin Gothic Book" w:hAnsi="Franklin Gothic Book"/>
          <w:sz w:val="21"/>
        </w:rPr>
        <w:t>and mad</w:t>
      </w:r>
      <w:r w:rsidRPr="00385B70">
        <w:rPr>
          <w:rFonts w:ascii="Franklin Gothic Book" w:hAnsi="Franklin Gothic Book"/>
          <w:sz w:val="21"/>
        </w:rPr>
        <w:t>e up</w:t>
      </w:r>
      <w:r w:rsidR="00F348A7">
        <w:rPr>
          <w:rFonts w:ascii="Franklin Gothic Book" w:hAnsi="Franklin Gothic Book"/>
          <w:sz w:val="21"/>
        </w:rPr>
        <w:t xml:space="preserve"> for the time lost to delays in previous years</w:t>
      </w:r>
      <w:r w:rsidRPr="00385B70">
        <w:rPr>
          <w:rFonts w:ascii="Franklin Gothic Book" w:hAnsi="Franklin Gothic Book"/>
          <w:sz w:val="21"/>
        </w:rPr>
        <w:t xml:space="preserve">. </w:t>
      </w:r>
      <w:r w:rsidR="00F348A7">
        <w:rPr>
          <w:rFonts w:ascii="Franklin Gothic Book" w:hAnsi="Franklin Gothic Book"/>
          <w:sz w:val="21"/>
        </w:rPr>
        <w:t xml:space="preserve">The </w:t>
      </w:r>
      <w:r w:rsidRPr="00385B70">
        <w:rPr>
          <w:rFonts w:ascii="Franklin Gothic Book" w:hAnsi="Franklin Gothic Book"/>
          <w:sz w:val="21"/>
        </w:rPr>
        <w:t>World Bank</w:t>
      </w:r>
      <w:r w:rsidR="007167BE">
        <w:rPr>
          <w:rFonts w:ascii="Franklin Gothic Book" w:hAnsi="Franklin Gothic Book"/>
          <w:sz w:val="21"/>
        </w:rPr>
        <w:t xml:space="preserve"> has an </w:t>
      </w:r>
      <w:r w:rsidRPr="00385B70">
        <w:rPr>
          <w:rFonts w:ascii="Franklin Gothic Book" w:hAnsi="Franklin Gothic Book"/>
          <w:sz w:val="21"/>
        </w:rPr>
        <w:t>e</w:t>
      </w:r>
      <w:r w:rsidR="007167BE">
        <w:rPr>
          <w:rFonts w:ascii="Franklin Gothic Book" w:hAnsi="Franklin Gothic Book"/>
          <w:sz w:val="21"/>
        </w:rPr>
        <w:t>xcellent partnership</w:t>
      </w:r>
      <w:r w:rsidR="00F348A7">
        <w:rPr>
          <w:rFonts w:ascii="Franklin Gothic Book" w:hAnsi="Franklin Gothic Book"/>
          <w:sz w:val="21"/>
        </w:rPr>
        <w:t xml:space="preserve"> with national government</w:t>
      </w:r>
      <w:r w:rsidRPr="00385B70">
        <w:rPr>
          <w:rFonts w:ascii="Franklin Gothic Book" w:hAnsi="Franklin Gothic Book"/>
          <w:sz w:val="21"/>
        </w:rPr>
        <w:t xml:space="preserve">, and cooperation is increasing with sub-national governments, private companies and communities. </w:t>
      </w:r>
      <w:r w:rsidR="00F80605">
        <w:rPr>
          <w:rFonts w:ascii="Franklin Gothic Book" w:hAnsi="Franklin Gothic Book"/>
          <w:sz w:val="21"/>
        </w:rPr>
        <w:t>The</w:t>
      </w:r>
      <w:r w:rsidRPr="00385B70">
        <w:rPr>
          <w:rFonts w:ascii="Franklin Gothic Book" w:hAnsi="Franklin Gothic Book"/>
          <w:sz w:val="21"/>
        </w:rPr>
        <w:t xml:space="preserve"> World Bank country program </w:t>
      </w:r>
      <w:r w:rsidR="00F80605">
        <w:rPr>
          <w:rFonts w:ascii="Franklin Gothic Book" w:hAnsi="Franklin Gothic Book"/>
          <w:sz w:val="21"/>
        </w:rPr>
        <w:t>is</w:t>
      </w:r>
      <w:r w:rsidRPr="00385B70">
        <w:rPr>
          <w:rFonts w:ascii="Franklin Gothic Book" w:hAnsi="Franklin Gothic Book"/>
          <w:sz w:val="21"/>
        </w:rPr>
        <w:t xml:space="preserve"> coordin</w:t>
      </w:r>
      <w:r w:rsidR="00F80605">
        <w:rPr>
          <w:rFonts w:ascii="Franklin Gothic Book" w:hAnsi="Franklin Gothic Book"/>
          <w:sz w:val="21"/>
        </w:rPr>
        <w:t>ating</w:t>
      </w:r>
      <w:r w:rsidRPr="00385B70">
        <w:rPr>
          <w:rFonts w:ascii="Franklin Gothic Book" w:hAnsi="Franklin Gothic Book"/>
          <w:sz w:val="21"/>
        </w:rPr>
        <w:t xml:space="preserve"> with</w:t>
      </w:r>
      <w:r w:rsidR="00F80605">
        <w:rPr>
          <w:rFonts w:ascii="Franklin Gothic Book" w:hAnsi="Franklin Gothic Book"/>
          <w:sz w:val="21"/>
        </w:rPr>
        <w:t xml:space="preserve"> the</w:t>
      </w:r>
      <w:r w:rsidRPr="00385B70">
        <w:rPr>
          <w:rFonts w:ascii="Franklin Gothic Book" w:hAnsi="Franklin Gothic Book"/>
          <w:sz w:val="21"/>
        </w:rPr>
        <w:t xml:space="preserve"> I</w:t>
      </w:r>
      <w:r w:rsidR="00F80605">
        <w:rPr>
          <w:rFonts w:ascii="Franklin Gothic Book" w:hAnsi="Franklin Gothic Book"/>
          <w:sz w:val="21"/>
        </w:rPr>
        <w:t xml:space="preserve">nternational </w:t>
      </w:r>
      <w:r w:rsidRPr="00385B70">
        <w:rPr>
          <w:rFonts w:ascii="Franklin Gothic Book" w:hAnsi="Franklin Gothic Book"/>
          <w:sz w:val="21"/>
        </w:rPr>
        <w:t>F</w:t>
      </w:r>
      <w:r w:rsidR="00F80605">
        <w:rPr>
          <w:rFonts w:ascii="Franklin Gothic Book" w:hAnsi="Franklin Gothic Book"/>
          <w:sz w:val="21"/>
        </w:rPr>
        <w:t xml:space="preserve">inance </w:t>
      </w:r>
      <w:r w:rsidRPr="00385B70">
        <w:rPr>
          <w:rFonts w:ascii="Franklin Gothic Book" w:hAnsi="Franklin Gothic Book"/>
          <w:sz w:val="21"/>
        </w:rPr>
        <w:t>C</w:t>
      </w:r>
      <w:r w:rsidR="00F80605">
        <w:rPr>
          <w:rFonts w:ascii="Franklin Gothic Book" w:hAnsi="Franklin Gothic Book"/>
          <w:sz w:val="21"/>
        </w:rPr>
        <w:t>orporation</w:t>
      </w:r>
      <w:r w:rsidRPr="00385B70">
        <w:rPr>
          <w:rFonts w:ascii="Franklin Gothic Book" w:hAnsi="Franklin Gothic Book"/>
          <w:sz w:val="21"/>
        </w:rPr>
        <w:t xml:space="preserve"> which is carrying out water initiatives with the private sector</w:t>
      </w:r>
      <w:r w:rsidR="00F80605">
        <w:rPr>
          <w:rFonts w:ascii="Franklin Gothic Book" w:hAnsi="Franklin Gothic Book"/>
          <w:sz w:val="21"/>
        </w:rPr>
        <w:t>, and will</w:t>
      </w:r>
      <w:r w:rsidRPr="00385B70">
        <w:rPr>
          <w:rFonts w:ascii="Franklin Gothic Book" w:hAnsi="Franklin Gothic Book"/>
          <w:sz w:val="21"/>
        </w:rPr>
        <w:t xml:space="preserve"> share experiences and harmonize their activities.</w:t>
      </w:r>
    </w:p>
    <w:p w:rsidR="00C17265" w:rsidRPr="00C4114C" w:rsidRDefault="00385B70" w:rsidP="00C17265">
      <w:pPr>
        <w:spacing w:after="200" w:line="276" w:lineRule="auto"/>
        <w:rPr>
          <w:rFonts w:ascii="Franklin Gothic Book" w:hAnsi="Franklin Gothic Book"/>
          <w:sz w:val="21"/>
        </w:rPr>
      </w:pPr>
      <w:r w:rsidRPr="00385B70">
        <w:rPr>
          <w:rFonts w:ascii="Franklin Gothic Book" w:hAnsi="Franklin Gothic Book"/>
          <w:sz w:val="21"/>
        </w:rPr>
        <w:lastRenderedPageBreak/>
        <w:t xml:space="preserve">UNICEF </w:t>
      </w:r>
      <w:r w:rsidR="007F614F">
        <w:rPr>
          <w:rFonts w:ascii="Franklin Gothic Book" w:hAnsi="Franklin Gothic Book"/>
          <w:sz w:val="21"/>
        </w:rPr>
        <w:t>effectively managed</w:t>
      </w:r>
      <w:r w:rsidRPr="00385B70">
        <w:rPr>
          <w:rFonts w:ascii="Franklin Gothic Book" w:hAnsi="Franklin Gothic Book"/>
          <w:sz w:val="21"/>
        </w:rPr>
        <w:t xml:space="preserve"> the </w:t>
      </w:r>
      <w:r w:rsidR="007F614F" w:rsidRPr="00385B70">
        <w:rPr>
          <w:rFonts w:ascii="Franklin Gothic Book" w:hAnsi="Franklin Gothic Book"/>
          <w:sz w:val="21"/>
        </w:rPr>
        <w:t>2014</w:t>
      </w:r>
      <w:r w:rsidR="00074E88">
        <w:rPr>
          <w:rFonts w:ascii="Franklin Gothic Book" w:hAnsi="Franklin Gothic Book"/>
          <w:sz w:val="21"/>
        </w:rPr>
        <w:t xml:space="preserve"> </w:t>
      </w:r>
      <w:r w:rsidRPr="00385B70">
        <w:rPr>
          <w:rFonts w:ascii="Franklin Gothic Book" w:hAnsi="Franklin Gothic Book"/>
          <w:sz w:val="21"/>
        </w:rPr>
        <w:t xml:space="preserve">decision to reduce the budget and timeframe of the </w:t>
      </w:r>
      <w:r w:rsidR="00F80605">
        <w:rPr>
          <w:rFonts w:ascii="Franklin Gothic Book" w:hAnsi="Franklin Gothic Book"/>
          <w:sz w:val="21"/>
        </w:rPr>
        <w:t>WASH project</w:t>
      </w:r>
      <w:r w:rsidRPr="00385B70">
        <w:rPr>
          <w:rFonts w:ascii="Franklin Gothic Book" w:hAnsi="Franklin Gothic Book"/>
          <w:sz w:val="21"/>
        </w:rPr>
        <w:t>. UNICEF quickly adjusted its plans and there were no negative effects on the timely delivery of activities. DFAT and UNICEF developed a communication strategy to reduce reputational risk, and strong partnerships with national and provincial authorities, and the schools and kindergarten communities</w:t>
      </w:r>
      <w:r w:rsidR="00F80605">
        <w:rPr>
          <w:rFonts w:ascii="Franklin Gothic Book" w:hAnsi="Franklin Gothic Book"/>
          <w:sz w:val="21"/>
        </w:rPr>
        <w:t xml:space="preserve"> were helpful</w:t>
      </w:r>
      <w:r w:rsidRPr="00385B70">
        <w:rPr>
          <w:rFonts w:ascii="Franklin Gothic Book" w:hAnsi="Franklin Gothic Book"/>
          <w:sz w:val="21"/>
        </w:rPr>
        <w:t>.</w:t>
      </w:r>
    </w:p>
    <w:p w:rsidR="00C17265" w:rsidRPr="00C4114C" w:rsidRDefault="00C17265" w:rsidP="00C17265">
      <w:pPr>
        <w:pStyle w:val="Heading1"/>
        <w:spacing w:before="280"/>
      </w:pPr>
      <w:r w:rsidRPr="00C4114C">
        <w:t>Management Responses</w:t>
      </w:r>
    </w:p>
    <w:p w:rsidR="00F348A7" w:rsidRPr="00F348A7" w:rsidRDefault="00F348A7" w:rsidP="00F348A7">
      <w:pPr>
        <w:pStyle w:val="ListBullet"/>
      </w:pPr>
      <w:r w:rsidRPr="00F348A7">
        <w:rPr>
          <w:u w:val="single"/>
        </w:rPr>
        <w:t>Manage communication around budget reductions to the Mongolia aid program</w:t>
      </w:r>
      <w:r w:rsidRPr="00F348A7">
        <w:rPr>
          <w:u w:val="single"/>
        </w:rPr>
        <w:br/>
      </w:r>
      <w:r w:rsidRPr="00F348A7">
        <w:t xml:space="preserve">DFAT </w:t>
      </w:r>
      <w:r>
        <w:t>officials will</w:t>
      </w:r>
      <w:r w:rsidRPr="00F348A7">
        <w:t xml:space="preserve"> </w:t>
      </w:r>
      <w:r w:rsidR="007F614F">
        <w:t xml:space="preserve">continue to </w:t>
      </w:r>
      <w:r w:rsidRPr="00F348A7">
        <w:t>convey to partners that the Mongolia-Australia relationship remains strong and important—as evidenced by the announcement to open an embassy</w:t>
      </w:r>
      <w:r w:rsidR="007F614F">
        <w:t>, Australia’s continued investment in Mongolia’s human resource development and extractives sectors,</w:t>
      </w:r>
      <w:r w:rsidRPr="00F348A7">
        <w:t xml:space="preserve"> and the strong bilateral trade and investment relationships. The aid program will continue to work closely with Mongolian counterparts to refine the focus and priorities of Australian aid assistance in line with agreed development goals. </w:t>
      </w:r>
    </w:p>
    <w:p w:rsidR="00F348A7" w:rsidRPr="00F348A7" w:rsidRDefault="00F348A7" w:rsidP="00F348A7">
      <w:pPr>
        <w:pStyle w:val="ListBullet"/>
        <w:rPr>
          <w:b/>
        </w:rPr>
      </w:pPr>
      <w:r w:rsidRPr="00F348A7">
        <w:rPr>
          <w:u w:val="single"/>
        </w:rPr>
        <w:t xml:space="preserve">Manage reduction in scale of AMEP </w:t>
      </w:r>
      <w:r w:rsidRPr="00F348A7">
        <w:rPr>
          <w:u w:val="single"/>
        </w:rPr>
        <w:br/>
      </w:r>
      <w:r w:rsidRPr="00F348A7">
        <w:t>WB and GiZ partne</w:t>
      </w:r>
      <w:r>
        <w:t>rships will</w:t>
      </w:r>
      <w:r w:rsidRPr="00F348A7">
        <w:t xml:space="preserve"> continue as planned. </w:t>
      </w:r>
      <w:r w:rsidR="007F614F">
        <w:t>DFAT</w:t>
      </w:r>
      <w:r>
        <w:t xml:space="preserve"> staff will</w:t>
      </w:r>
      <w:r w:rsidRPr="00F348A7">
        <w:t xml:space="preserve"> monitor progress, including </w:t>
      </w:r>
      <w:r w:rsidR="003458BE">
        <w:t xml:space="preserve">through </w:t>
      </w:r>
      <w:r w:rsidRPr="00F348A7">
        <w:t xml:space="preserve">field visits, and maintain regular contact about project implementation, risk and results. </w:t>
      </w:r>
    </w:p>
    <w:p w:rsidR="00F348A7" w:rsidRPr="00F348A7" w:rsidRDefault="00074217" w:rsidP="00F348A7">
      <w:pPr>
        <w:pStyle w:val="ListBullet"/>
      </w:pPr>
      <w:r>
        <w:t>DFAT Canberra will</w:t>
      </w:r>
      <w:r w:rsidR="00F348A7" w:rsidRPr="00F348A7">
        <w:t xml:space="preserve"> negotiate a revised scope for the AMEP contract to fit the reduced funding envelope while still contributing outcomes that meet our goals in the extractives sector and broader economic diplomacy objectives.</w:t>
      </w:r>
    </w:p>
    <w:p w:rsidR="00F348A7" w:rsidRPr="00F348A7" w:rsidRDefault="00F348A7" w:rsidP="00F348A7">
      <w:pPr>
        <w:pStyle w:val="ListBullet"/>
        <w:rPr>
          <w:u w:val="single"/>
        </w:rPr>
      </w:pPr>
      <w:r w:rsidRPr="00F348A7">
        <w:rPr>
          <w:u w:val="single"/>
        </w:rPr>
        <w:t>Provide a highly regarded quality scholarships program while reducing management costs</w:t>
      </w:r>
    </w:p>
    <w:p w:rsidR="00F348A7" w:rsidRPr="00F348A7" w:rsidRDefault="00074217" w:rsidP="00F348A7">
      <w:pPr>
        <w:pStyle w:val="ListBullet"/>
      </w:pPr>
      <w:r>
        <w:t xml:space="preserve">DFAT </w:t>
      </w:r>
      <w:r w:rsidR="00F348A7" w:rsidRPr="00F348A7">
        <w:t xml:space="preserve">Canberra will renegotiate the existing AAM contract to obtain savings on the management of the program, while maintaining program quality, for the remainder of the contract to July 2016. </w:t>
      </w:r>
      <w:r w:rsidR="003458BE">
        <w:t xml:space="preserve">DFAT </w:t>
      </w:r>
      <w:r w:rsidR="00F348A7" w:rsidRPr="00F348A7">
        <w:t xml:space="preserve">Canberra staff will work with DFAT’s global scholarships area to ensure the maximum number of scholarships can be awarded for the coming academic intakes. </w:t>
      </w:r>
    </w:p>
    <w:p w:rsidR="00F348A7" w:rsidRPr="00F348A7" w:rsidRDefault="00F348A7" w:rsidP="00F348A7">
      <w:pPr>
        <w:pStyle w:val="ListBullet"/>
        <w:rPr>
          <w:b/>
        </w:rPr>
      </w:pPr>
      <w:r w:rsidRPr="00F348A7">
        <w:rPr>
          <w:u w:val="single"/>
        </w:rPr>
        <w:t>Prepare for transition of management responsibility from Seoul post to the new embassy in Ulaanbaatar</w:t>
      </w:r>
      <w:r w:rsidRPr="00F348A7">
        <w:rPr>
          <w:b/>
        </w:rPr>
        <w:t xml:space="preserve"> </w:t>
      </w:r>
      <w:r w:rsidRPr="00F348A7">
        <w:rPr>
          <w:b/>
        </w:rPr>
        <w:br/>
      </w:r>
      <w:r w:rsidRPr="00F348A7">
        <w:t>The timeframe for the opening of the embassy is expected to be early 2016. Seoul and Canberra</w:t>
      </w:r>
      <w:r w:rsidR="00074217">
        <w:t xml:space="preserve"> staff</w:t>
      </w:r>
      <w:r w:rsidRPr="00F348A7">
        <w:t xml:space="preserve"> will lead discussion on roles and responsibilities for aid program</w:t>
      </w:r>
      <w:r w:rsidR="003458BE">
        <w:t xml:space="preserve"> management</w:t>
      </w:r>
      <w:r w:rsidRPr="00F348A7">
        <w:t>. Roles and responsibilities between Canberra and Seoul staff will continue until fur</w:t>
      </w:r>
      <w:r w:rsidR="003458BE">
        <w:t>ther clarity on embassy opening</w:t>
      </w:r>
      <w:r w:rsidRPr="00F348A7">
        <w:t>.</w:t>
      </w:r>
    </w:p>
    <w:p w:rsidR="00F348A7" w:rsidRPr="003D5824" w:rsidRDefault="00F348A7" w:rsidP="00C17265">
      <w:pPr>
        <w:pStyle w:val="ListBullet"/>
        <w:tabs>
          <w:tab w:val="clear" w:pos="284"/>
        </w:tabs>
      </w:pPr>
    </w:p>
    <w:p w:rsidR="00C17265" w:rsidRDefault="00C17265"/>
    <w:sectPr w:rsidR="00C1726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AF9" w:rsidRDefault="00E80AF9" w:rsidP="00E80AF9">
      <w:r>
        <w:separator/>
      </w:r>
    </w:p>
  </w:endnote>
  <w:endnote w:type="continuationSeparator" w:id="0">
    <w:p w:rsidR="00E80AF9" w:rsidRDefault="00E80AF9" w:rsidP="00E8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AD" w:rsidRDefault="004E3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AD" w:rsidRDefault="004E33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AD" w:rsidRDefault="004E3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AF9" w:rsidRDefault="00E80AF9" w:rsidP="00E80AF9">
      <w:r>
        <w:separator/>
      </w:r>
    </w:p>
  </w:footnote>
  <w:footnote w:type="continuationSeparator" w:id="0">
    <w:p w:rsidR="00E80AF9" w:rsidRDefault="00E80AF9" w:rsidP="00E80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AD" w:rsidRDefault="004E33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AD" w:rsidRDefault="004E33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AD" w:rsidRDefault="004E33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65"/>
    <w:rsid w:val="0006767D"/>
    <w:rsid w:val="00074217"/>
    <w:rsid w:val="00074E88"/>
    <w:rsid w:val="000E7AD0"/>
    <w:rsid w:val="00143A3D"/>
    <w:rsid w:val="001731B0"/>
    <w:rsid w:val="002910D3"/>
    <w:rsid w:val="00344A74"/>
    <w:rsid w:val="003458BE"/>
    <w:rsid w:val="00385B70"/>
    <w:rsid w:val="003B401F"/>
    <w:rsid w:val="003E22E6"/>
    <w:rsid w:val="003F5770"/>
    <w:rsid w:val="004213DA"/>
    <w:rsid w:val="004E33AD"/>
    <w:rsid w:val="004F121D"/>
    <w:rsid w:val="00536998"/>
    <w:rsid w:val="00576325"/>
    <w:rsid w:val="005C3D38"/>
    <w:rsid w:val="005F6D5C"/>
    <w:rsid w:val="00614E2E"/>
    <w:rsid w:val="00624FD4"/>
    <w:rsid w:val="007167BE"/>
    <w:rsid w:val="00720BC0"/>
    <w:rsid w:val="007F5ADA"/>
    <w:rsid w:val="007F614F"/>
    <w:rsid w:val="00814C02"/>
    <w:rsid w:val="00824BFB"/>
    <w:rsid w:val="00861B4E"/>
    <w:rsid w:val="00867168"/>
    <w:rsid w:val="008B2242"/>
    <w:rsid w:val="00911D03"/>
    <w:rsid w:val="00913F38"/>
    <w:rsid w:val="00952ED4"/>
    <w:rsid w:val="00983E53"/>
    <w:rsid w:val="009A48C1"/>
    <w:rsid w:val="00A14383"/>
    <w:rsid w:val="00A63BFB"/>
    <w:rsid w:val="00A9055A"/>
    <w:rsid w:val="00A97EE1"/>
    <w:rsid w:val="00B62778"/>
    <w:rsid w:val="00BD3DE4"/>
    <w:rsid w:val="00C17265"/>
    <w:rsid w:val="00C17DEB"/>
    <w:rsid w:val="00C32A76"/>
    <w:rsid w:val="00C54012"/>
    <w:rsid w:val="00C5592D"/>
    <w:rsid w:val="00C63A5F"/>
    <w:rsid w:val="00CF64C5"/>
    <w:rsid w:val="00CF7A24"/>
    <w:rsid w:val="00D03DA8"/>
    <w:rsid w:val="00D64185"/>
    <w:rsid w:val="00E80AF9"/>
    <w:rsid w:val="00EC7B79"/>
    <w:rsid w:val="00F16472"/>
    <w:rsid w:val="00F348A7"/>
    <w:rsid w:val="00F46D07"/>
    <w:rsid w:val="00F80605"/>
    <w:rsid w:val="00F80BE4"/>
    <w:rsid w:val="00FE0BA0"/>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List Bullet"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17265"/>
    <w:rPr>
      <w:rFonts w:eastAsia="SimSun"/>
      <w:szCs w:val="24"/>
    </w:rPr>
  </w:style>
  <w:style w:type="paragraph" w:styleId="Heading1">
    <w:name w:val="heading 1"/>
    <w:basedOn w:val="Title"/>
    <w:next w:val="BodyText"/>
    <w:link w:val="Heading1Char"/>
    <w:qFormat/>
    <w:rsid w:val="00C17265"/>
    <w:pPr>
      <w:keepNext/>
      <w:pBdr>
        <w:bottom w:val="none" w:sz="0" w:space="0" w:color="auto"/>
      </w:pBdr>
      <w:spacing w:before="480" w:after="120"/>
      <w:contextualSpacing w:val="0"/>
      <w:outlineLvl w:val="0"/>
    </w:pPr>
    <w:rPr>
      <w:rFonts w:ascii="Helvetica" w:eastAsia="Times New Roman" w:hAnsi="Helvetica" w:cs="Arial"/>
      <w:color w:val="007FAD"/>
      <w:spacing w:val="-10"/>
      <w:sz w:val="28"/>
      <w:szCs w:val="28"/>
    </w:rPr>
  </w:style>
  <w:style w:type="paragraph" w:styleId="Heading3">
    <w:name w:val="heading 3"/>
    <w:basedOn w:val="Normal"/>
    <w:next w:val="Normal"/>
    <w:link w:val="Heading3Char"/>
    <w:semiHidden/>
    <w:unhideWhenUsed/>
    <w:qFormat/>
    <w:rsid w:val="00CF7A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265"/>
    <w:rPr>
      <w:rFonts w:ascii="Helvetica" w:hAnsi="Helvetica" w:cs="Arial"/>
      <w:color w:val="007FAD"/>
      <w:spacing w:val="-10"/>
      <w:kern w:val="28"/>
      <w:sz w:val="28"/>
      <w:szCs w:val="28"/>
    </w:rPr>
  </w:style>
  <w:style w:type="paragraph" w:customStyle="1" w:styleId="Note">
    <w:name w:val="Note"/>
    <w:basedOn w:val="TableTextEntries"/>
    <w:next w:val="BodyText"/>
    <w:link w:val="NoteCharChar"/>
    <w:autoRedefine/>
    <w:rsid w:val="00C17265"/>
    <w:pPr>
      <w:keepNext/>
      <w:spacing w:before="20" w:after="20" w:line="180" w:lineRule="atLeast"/>
      <w:jc w:val="both"/>
    </w:pPr>
    <w:rPr>
      <w:iCs w:val="0"/>
      <w:sz w:val="14"/>
      <w:szCs w:val="14"/>
      <w:lang w:eastAsia="en-AU"/>
    </w:rPr>
  </w:style>
  <w:style w:type="paragraph" w:customStyle="1" w:styleId="TableTextEntries">
    <w:name w:val="Table Text Entries"/>
    <w:rsid w:val="00C17265"/>
    <w:pPr>
      <w:keepLines/>
      <w:spacing w:before="40" w:after="40" w:line="200" w:lineRule="atLeast"/>
    </w:pPr>
    <w:rPr>
      <w:rFonts w:ascii="Franklin Gothic Book" w:hAnsi="Franklin Gothic Book"/>
      <w:iCs/>
      <w:sz w:val="17"/>
      <w:szCs w:val="17"/>
      <w:lang w:eastAsia="en-US"/>
    </w:rPr>
  </w:style>
  <w:style w:type="character" w:customStyle="1" w:styleId="NoteCharChar">
    <w:name w:val="Note Char Char"/>
    <w:link w:val="Note"/>
    <w:rsid w:val="00C17265"/>
    <w:rPr>
      <w:rFonts w:ascii="Franklin Gothic Book" w:hAnsi="Franklin Gothic Book"/>
      <w:sz w:val="14"/>
      <w:szCs w:val="14"/>
    </w:rPr>
  </w:style>
  <w:style w:type="paragraph" w:customStyle="1" w:styleId="TableTextColumnHeading">
    <w:name w:val="Table Text Column Heading"/>
    <w:basedOn w:val="Normal"/>
    <w:autoRedefine/>
    <w:rsid w:val="00C17265"/>
    <w:pPr>
      <w:keepLines/>
      <w:spacing w:before="80" w:after="80" w:line="200" w:lineRule="atLeast"/>
    </w:pPr>
    <w:rPr>
      <w:rFonts w:ascii="Franklin Gothic Medium" w:eastAsia="Times New Roman" w:hAnsi="Franklin Gothic Medium"/>
      <w:b/>
      <w:iCs/>
      <w:sz w:val="17"/>
      <w:szCs w:val="17"/>
      <w:lang w:eastAsia="en-US"/>
    </w:rPr>
  </w:style>
  <w:style w:type="table" w:customStyle="1" w:styleId="DFATTable">
    <w:name w:val="DFAT Table"/>
    <w:basedOn w:val="TableNormal"/>
    <w:uiPriority w:val="99"/>
    <w:rsid w:val="00C17265"/>
    <w:rPr>
      <w:rFonts w:ascii="Helvetica" w:eastAsiaTheme="minorHAnsi" w:hAnsi="Helvetica" w:cstheme="minorBidi"/>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styleId="ListBullet">
    <w:name w:val="List Bullet"/>
    <w:basedOn w:val="BodyText"/>
    <w:qFormat/>
    <w:rsid w:val="00C17265"/>
    <w:pPr>
      <w:tabs>
        <w:tab w:val="left" w:pos="284"/>
      </w:tabs>
      <w:spacing w:line="280" w:lineRule="exact"/>
    </w:pPr>
    <w:rPr>
      <w:rFonts w:ascii="Franklin Gothic Book" w:eastAsia="Times New Roman" w:hAnsi="Franklin Gothic Book"/>
      <w:sz w:val="21"/>
    </w:rPr>
  </w:style>
  <w:style w:type="paragraph" w:customStyle="1" w:styleId="TableHeading1">
    <w:name w:val="Table Heading 1"/>
    <w:basedOn w:val="TableTextEntries"/>
    <w:next w:val="TableTextEntries"/>
    <w:rsid w:val="00C17265"/>
    <w:pPr>
      <w:spacing w:before="80" w:after="80"/>
    </w:pPr>
    <w:rPr>
      <w:b/>
    </w:rPr>
  </w:style>
  <w:style w:type="table" w:customStyle="1" w:styleId="APPR">
    <w:name w:val="APPR"/>
    <w:basedOn w:val="TableNormal"/>
    <w:uiPriority w:val="99"/>
    <w:rsid w:val="00C17265"/>
    <w:rPr>
      <w:rFonts w:ascii="Franklin Gothic Book" w:eastAsiaTheme="minorHAnsi" w:hAnsi="Franklin Gothic Book" w:cstheme="minorBidi"/>
      <w:sz w:val="17"/>
      <w:szCs w:val="22"/>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Title">
    <w:name w:val="Title"/>
    <w:basedOn w:val="Normal"/>
    <w:next w:val="Normal"/>
    <w:link w:val="TitleChar"/>
    <w:qFormat/>
    <w:rsid w:val="00C172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17265"/>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C17265"/>
    <w:pPr>
      <w:spacing w:after="120"/>
    </w:pPr>
  </w:style>
  <w:style w:type="character" w:customStyle="1" w:styleId="BodyTextChar">
    <w:name w:val="Body Text Char"/>
    <w:basedOn w:val="DefaultParagraphFont"/>
    <w:link w:val="BodyText"/>
    <w:rsid w:val="00C17265"/>
    <w:rPr>
      <w:rFonts w:eastAsia="SimSun"/>
      <w:szCs w:val="24"/>
    </w:rPr>
  </w:style>
  <w:style w:type="character" w:styleId="CommentReference">
    <w:name w:val="annotation reference"/>
    <w:basedOn w:val="DefaultParagraphFont"/>
    <w:rsid w:val="008B2242"/>
    <w:rPr>
      <w:sz w:val="16"/>
      <w:szCs w:val="16"/>
    </w:rPr>
  </w:style>
  <w:style w:type="paragraph" w:styleId="CommentText">
    <w:name w:val="annotation text"/>
    <w:basedOn w:val="Normal"/>
    <w:link w:val="CommentTextChar"/>
    <w:rsid w:val="008B2242"/>
    <w:rPr>
      <w:szCs w:val="20"/>
    </w:rPr>
  </w:style>
  <w:style w:type="character" w:customStyle="1" w:styleId="CommentTextChar">
    <w:name w:val="Comment Text Char"/>
    <w:basedOn w:val="DefaultParagraphFont"/>
    <w:link w:val="CommentText"/>
    <w:rsid w:val="008B2242"/>
    <w:rPr>
      <w:rFonts w:eastAsia="SimSun"/>
    </w:rPr>
  </w:style>
  <w:style w:type="paragraph" w:styleId="CommentSubject">
    <w:name w:val="annotation subject"/>
    <w:basedOn w:val="CommentText"/>
    <w:next w:val="CommentText"/>
    <w:link w:val="CommentSubjectChar"/>
    <w:rsid w:val="008B2242"/>
    <w:rPr>
      <w:b/>
      <w:bCs/>
    </w:rPr>
  </w:style>
  <w:style w:type="character" w:customStyle="1" w:styleId="CommentSubjectChar">
    <w:name w:val="Comment Subject Char"/>
    <w:basedOn w:val="CommentTextChar"/>
    <w:link w:val="CommentSubject"/>
    <w:rsid w:val="008B2242"/>
    <w:rPr>
      <w:rFonts w:eastAsia="SimSun"/>
      <w:b/>
      <w:bCs/>
    </w:rPr>
  </w:style>
  <w:style w:type="paragraph" w:styleId="BalloonText">
    <w:name w:val="Balloon Text"/>
    <w:basedOn w:val="Normal"/>
    <w:link w:val="BalloonTextChar"/>
    <w:rsid w:val="008B2242"/>
    <w:rPr>
      <w:rFonts w:ascii="Tahoma" w:hAnsi="Tahoma" w:cs="Tahoma"/>
      <w:sz w:val="16"/>
      <w:szCs w:val="16"/>
    </w:rPr>
  </w:style>
  <w:style w:type="character" w:customStyle="1" w:styleId="BalloonTextChar">
    <w:name w:val="Balloon Text Char"/>
    <w:basedOn w:val="DefaultParagraphFont"/>
    <w:link w:val="BalloonText"/>
    <w:rsid w:val="008B2242"/>
    <w:rPr>
      <w:rFonts w:ascii="Tahoma" w:eastAsia="SimSun" w:hAnsi="Tahoma" w:cs="Tahoma"/>
      <w:sz w:val="16"/>
      <w:szCs w:val="16"/>
    </w:rPr>
  </w:style>
  <w:style w:type="character" w:customStyle="1" w:styleId="Heading3Char">
    <w:name w:val="Heading 3 Char"/>
    <w:basedOn w:val="DefaultParagraphFont"/>
    <w:link w:val="Heading3"/>
    <w:semiHidden/>
    <w:rsid w:val="00CF7A24"/>
    <w:rPr>
      <w:rFonts w:asciiTheme="majorHAnsi" w:eastAsiaTheme="majorEastAsia" w:hAnsiTheme="majorHAnsi" w:cstheme="majorBidi"/>
      <w:b/>
      <w:bCs/>
      <w:color w:val="4F81BD" w:themeColor="accent1"/>
      <w:szCs w:val="24"/>
    </w:rPr>
  </w:style>
  <w:style w:type="paragraph" w:styleId="FootnoteText">
    <w:name w:val="footnote text"/>
    <w:basedOn w:val="Normal"/>
    <w:link w:val="FootnoteTextChar"/>
    <w:rsid w:val="00E80AF9"/>
    <w:rPr>
      <w:szCs w:val="20"/>
    </w:rPr>
  </w:style>
  <w:style w:type="character" w:customStyle="1" w:styleId="FootnoteTextChar">
    <w:name w:val="Footnote Text Char"/>
    <w:basedOn w:val="DefaultParagraphFont"/>
    <w:link w:val="FootnoteText"/>
    <w:rsid w:val="00E80AF9"/>
    <w:rPr>
      <w:rFonts w:eastAsia="SimSun"/>
    </w:rPr>
  </w:style>
  <w:style w:type="character" w:styleId="FootnoteReference">
    <w:name w:val="footnote reference"/>
    <w:aliases w:val="ASI Footer,ftref,BVI fnr,16 Point,Superscript 6 Point,Fußnotenzeichen DISS,fr,(NECG) Footnote Reference,footnote ref,Char Char Char Char Car Char"/>
    <w:uiPriority w:val="99"/>
    <w:rsid w:val="00E80AF9"/>
    <w:rPr>
      <w:rFonts w:ascii="Times New Roman" w:hAnsi="Times New Roman"/>
      <w:w w:val="100"/>
      <w:position w:val="6"/>
      <w:sz w:val="16"/>
      <w:szCs w:val="12"/>
      <w:vertAlign w:val="baseline"/>
    </w:rPr>
  </w:style>
  <w:style w:type="paragraph" w:styleId="Header">
    <w:name w:val="header"/>
    <w:basedOn w:val="Normal"/>
    <w:link w:val="HeaderChar"/>
    <w:rsid w:val="004E33AD"/>
    <w:pPr>
      <w:tabs>
        <w:tab w:val="center" w:pos="4513"/>
        <w:tab w:val="right" w:pos="9026"/>
      </w:tabs>
    </w:pPr>
  </w:style>
  <w:style w:type="character" w:customStyle="1" w:styleId="HeaderChar">
    <w:name w:val="Header Char"/>
    <w:basedOn w:val="DefaultParagraphFont"/>
    <w:link w:val="Header"/>
    <w:rsid w:val="004E33AD"/>
    <w:rPr>
      <w:rFonts w:eastAsia="SimSun"/>
      <w:szCs w:val="24"/>
    </w:rPr>
  </w:style>
  <w:style w:type="paragraph" w:styleId="Footer">
    <w:name w:val="footer"/>
    <w:basedOn w:val="Normal"/>
    <w:link w:val="FooterChar"/>
    <w:rsid w:val="004E33AD"/>
    <w:pPr>
      <w:tabs>
        <w:tab w:val="center" w:pos="4513"/>
        <w:tab w:val="right" w:pos="9026"/>
      </w:tabs>
    </w:pPr>
  </w:style>
  <w:style w:type="character" w:customStyle="1" w:styleId="FooterChar">
    <w:name w:val="Footer Char"/>
    <w:basedOn w:val="DefaultParagraphFont"/>
    <w:link w:val="Footer"/>
    <w:rsid w:val="004E33AD"/>
    <w:rPr>
      <w:rFonts w:eastAsia="SimSu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List Bullet"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17265"/>
    <w:rPr>
      <w:rFonts w:eastAsia="SimSun"/>
      <w:szCs w:val="24"/>
    </w:rPr>
  </w:style>
  <w:style w:type="paragraph" w:styleId="Heading1">
    <w:name w:val="heading 1"/>
    <w:basedOn w:val="Title"/>
    <w:next w:val="BodyText"/>
    <w:link w:val="Heading1Char"/>
    <w:qFormat/>
    <w:rsid w:val="00C17265"/>
    <w:pPr>
      <w:keepNext/>
      <w:pBdr>
        <w:bottom w:val="none" w:sz="0" w:space="0" w:color="auto"/>
      </w:pBdr>
      <w:spacing w:before="480" w:after="120"/>
      <w:contextualSpacing w:val="0"/>
      <w:outlineLvl w:val="0"/>
    </w:pPr>
    <w:rPr>
      <w:rFonts w:ascii="Helvetica" w:eastAsia="Times New Roman" w:hAnsi="Helvetica" w:cs="Arial"/>
      <w:color w:val="007FAD"/>
      <w:spacing w:val="-10"/>
      <w:sz w:val="28"/>
      <w:szCs w:val="28"/>
    </w:rPr>
  </w:style>
  <w:style w:type="paragraph" w:styleId="Heading3">
    <w:name w:val="heading 3"/>
    <w:basedOn w:val="Normal"/>
    <w:next w:val="Normal"/>
    <w:link w:val="Heading3Char"/>
    <w:semiHidden/>
    <w:unhideWhenUsed/>
    <w:qFormat/>
    <w:rsid w:val="00CF7A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265"/>
    <w:rPr>
      <w:rFonts w:ascii="Helvetica" w:hAnsi="Helvetica" w:cs="Arial"/>
      <w:color w:val="007FAD"/>
      <w:spacing w:val="-10"/>
      <w:kern w:val="28"/>
      <w:sz w:val="28"/>
      <w:szCs w:val="28"/>
    </w:rPr>
  </w:style>
  <w:style w:type="paragraph" w:customStyle="1" w:styleId="Note">
    <w:name w:val="Note"/>
    <w:basedOn w:val="TableTextEntries"/>
    <w:next w:val="BodyText"/>
    <w:link w:val="NoteCharChar"/>
    <w:autoRedefine/>
    <w:rsid w:val="00C17265"/>
    <w:pPr>
      <w:keepNext/>
      <w:spacing w:before="20" w:after="20" w:line="180" w:lineRule="atLeast"/>
      <w:jc w:val="both"/>
    </w:pPr>
    <w:rPr>
      <w:iCs w:val="0"/>
      <w:sz w:val="14"/>
      <w:szCs w:val="14"/>
      <w:lang w:eastAsia="en-AU"/>
    </w:rPr>
  </w:style>
  <w:style w:type="paragraph" w:customStyle="1" w:styleId="TableTextEntries">
    <w:name w:val="Table Text Entries"/>
    <w:rsid w:val="00C17265"/>
    <w:pPr>
      <w:keepLines/>
      <w:spacing w:before="40" w:after="40" w:line="200" w:lineRule="atLeast"/>
    </w:pPr>
    <w:rPr>
      <w:rFonts w:ascii="Franklin Gothic Book" w:hAnsi="Franklin Gothic Book"/>
      <w:iCs/>
      <w:sz w:val="17"/>
      <w:szCs w:val="17"/>
      <w:lang w:eastAsia="en-US"/>
    </w:rPr>
  </w:style>
  <w:style w:type="character" w:customStyle="1" w:styleId="NoteCharChar">
    <w:name w:val="Note Char Char"/>
    <w:link w:val="Note"/>
    <w:rsid w:val="00C17265"/>
    <w:rPr>
      <w:rFonts w:ascii="Franklin Gothic Book" w:hAnsi="Franklin Gothic Book"/>
      <w:sz w:val="14"/>
      <w:szCs w:val="14"/>
    </w:rPr>
  </w:style>
  <w:style w:type="paragraph" w:customStyle="1" w:styleId="TableTextColumnHeading">
    <w:name w:val="Table Text Column Heading"/>
    <w:basedOn w:val="Normal"/>
    <w:autoRedefine/>
    <w:rsid w:val="00C17265"/>
    <w:pPr>
      <w:keepLines/>
      <w:spacing w:before="80" w:after="80" w:line="200" w:lineRule="atLeast"/>
    </w:pPr>
    <w:rPr>
      <w:rFonts w:ascii="Franklin Gothic Medium" w:eastAsia="Times New Roman" w:hAnsi="Franklin Gothic Medium"/>
      <w:b/>
      <w:iCs/>
      <w:sz w:val="17"/>
      <w:szCs w:val="17"/>
      <w:lang w:eastAsia="en-US"/>
    </w:rPr>
  </w:style>
  <w:style w:type="table" w:customStyle="1" w:styleId="DFATTable">
    <w:name w:val="DFAT Table"/>
    <w:basedOn w:val="TableNormal"/>
    <w:uiPriority w:val="99"/>
    <w:rsid w:val="00C17265"/>
    <w:rPr>
      <w:rFonts w:ascii="Helvetica" w:eastAsiaTheme="minorHAnsi" w:hAnsi="Helvetica" w:cstheme="minorBidi"/>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styleId="ListBullet">
    <w:name w:val="List Bullet"/>
    <w:basedOn w:val="BodyText"/>
    <w:qFormat/>
    <w:rsid w:val="00C17265"/>
    <w:pPr>
      <w:tabs>
        <w:tab w:val="left" w:pos="284"/>
      </w:tabs>
      <w:spacing w:line="280" w:lineRule="exact"/>
    </w:pPr>
    <w:rPr>
      <w:rFonts w:ascii="Franklin Gothic Book" w:eastAsia="Times New Roman" w:hAnsi="Franklin Gothic Book"/>
      <w:sz w:val="21"/>
    </w:rPr>
  </w:style>
  <w:style w:type="paragraph" w:customStyle="1" w:styleId="TableHeading1">
    <w:name w:val="Table Heading 1"/>
    <w:basedOn w:val="TableTextEntries"/>
    <w:next w:val="TableTextEntries"/>
    <w:rsid w:val="00C17265"/>
    <w:pPr>
      <w:spacing w:before="80" w:after="80"/>
    </w:pPr>
    <w:rPr>
      <w:b/>
    </w:rPr>
  </w:style>
  <w:style w:type="table" w:customStyle="1" w:styleId="APPR">
    <w:name w:val="APPR"/>
    <w:basedOn w:val="TableNormal"/>
    <w:uiPriority w:val="99"/>
    <w:rsid w:val="00C17265"/>
    <w:rPr>
      <w:rFonts w:ascii="Franklin Gothic Book" w:eastAsiaTheme="minorHAnsi" w:hAnsi="Franklin Gothic Book" w:cstheme="minorBidi"/>
      <w:sz w:val="17"/>
      <w:szCs w:val="22"/>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Title">
    <w:name w:val="Title"/>
    <w:basedOn w:val="Normal"/>
    <w:next w:val="Normal"/>
    <w:link w:val="TitleChar"/>
    <w:qFormat/>
    <w:rsid w:val="00C172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17265"/>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C17265"/>
    <w:pPr>
      <w:spacing w:after="120"/>
    </w:pPr>
  </w:style>
  <w:style w:type="character" w:customStyle="1" w:styleId="BodyTextChar">
    <w:name w:val="Body Text Char"/>
    <w:basedOn w:val="DefaultParagraphFont"/>
    <w:link w:val="BodyText"/>
    <w:rsid w:val="00C17265"/>
    <w:rPr>
      <w:rFonts w:eastAsia="SimSun"/>
      <w:szCs w:val="24"/>
    </w:rPr>
  </w:style>
  <w:style w:type="character" w:styleId="CommentReference">
    <w:name w:val="annotation reference"/>
    <w:basedOn w:val="DefaultParagraphFont"/>
    <w:rsid w:val="008B2242"/>
    <w:rPr>
      <w:sz w:val="16"/>
      <w:szCs w:val="16"/>
    </w:rPr>
  </w:style>
  <w:style w:type="paragraph" w:styleId="CommentText">
    <w:name w:val="annotation text"/>
    <w:basedOn w:val="Normal"/>
    <w:link w:val="CommentTextChar"/>
    <w:rsid w:val="008B2242"/>
    <w:rPr>
      <w:szCs w:val="20"/>
    </w:rPr>
  </w:style>
  <w:style w:type="character" w:customStyle="1" w:styleId="CommentTextChar">
    <w:name w:val="Comment Text Char"/>
    <w:basedOn w:val="DefaultParagraphFont"/>
    <w:link w:val="CommentText"/>
    <w:rsid w:val="008B2242"/>
    <w:rPr>
      <w:rFonts w:eastAsia="SimSun"/>
    </w:rPr>
  </w:style>
  <w:style w:type="paragraph" w:styleId="CommentSubject">
    <w:name w:val="annotation subject"/>
    <w:basedOn w:val="CommentText"/>
    <w:next w:val="CommentText"/>
    <w:link w:val="CommentSubjectChar"/>
    <w:rsid w:val="008B2242"/>
    <w:rPr>
      <w:b/>
      <w:bCs/>
    </w:rPr>
  </w:style>
  <w:style w:type="character" w:customStyle="1" w:styleId="CommentSubjectChar">
    <w:name w:val="Comment Subject Char"/>
    <w:basedOn w:val="CommentTextChar"/>
    <w:link w:val="CommentSubject"/>
    <w:rsid w:val="008B2242"/>
    <w:rPr>
      <w:rFonts w:eastAsia="SimSun"/>
      <w:b/>
      <w:bCs/>
    </w:rPr>
  </w:style>
  <w:style w:type="paragraph" w:styleId="BalloonText">
    <w:name w:val="Balloon Text"/>
    <w:basedOn w:val="Normal"/>
    <w:link w:val="BalloonTextChar"/>
    <w:rsid w:val="008B2242"/>
    <w:rPr>
      <w:rFonts w:ascii="Tahoma" w:hAnsi="Tahoma" w:cs="Tahoma"/>
      <w:sz w:val="16"/>
      <w:szCs w:val="16"/>
    </w:rPr>
  </w:style>
  <w:style w:type="character" w:customStyle="1" w:styleId="BalloonTextChar">
    <w:name w:val="Balloon Text Char"/>
    <w:basedOn w:val="DefaultParagraphFont"/>
    <w:link w:val="BalloonText"/>
    <w:rsid w:val="008B2242"/>
    <w:rPr>
      <w:rFonts w:ascii="Tahoma" w:eastAsia="SimSun" w:hAnsi="Tahoma" w:cs="Tahoma"/>
      <w:sz w:val="16"/>
      <w:szCs w:val="16"/>
    </w:rPr>
  </w:style>
  <w:style w:type="character" w:customStyle="1" w:styleId="Heading3Char">
    <w:name w:val="Heading 3 Char"/>
    <w:basedOn w:val="DefaultParagraphFont"/>
    <w:link w:val="Heading3"/>
    <w:semiHidden/>
    <w:rsid w:val="00CF7A24"/>
    <w:rPr>
      <w:rFonts w:asciiTheme="majorHAnsi" w:eastAsiaTheme="majorEastAsia" w:hAnsiTheme="majorHAnsi" w:cstheme="majorBidi"/>
      <w:b/>
      <w:bCs/>
      <w:color w:val="4F81BD" w:themeColor="accent1"/>
      <w:szCs w:val="24"/>
    </w:rPr>
  </w:style>
  <w:style w:type="paragraph" w:styleId="FootnoteText">
    <w:name w:val="footnote text"/>
    <w:basedOn w:val="Normal"/>
    <w:link w:val="FootnoteTextChar"/>
    <w:rsid w:val="00E80AF9"/>
    <w:rPr>
      <w:szCs w:val="20"/>
    </w:rPr>
  </w:style>
  <w:style w:type="character" w:customStyle="1" w:styleId="FootnoteTextChar">
    <w:name w:val="Footnote Text Char"/>
    <w:basedOn w:val="DefaultParagraphFont"/>
    <w:link w:val="FootnoteText"/>
    <w:rsid w:val="00E80AF9"/>
    <w:rPr>
      <w:rFonts w:eastAsia="SimSun"/>
    </w:rPr>
  </w:style>
  <w:style w:type="character" w:styleId="FootnoteReference">
    <w:name w:val="footnote reference"/>
    <w:aliases w:val="ASI Footer,ftref,BVI fnr,16 Point,Superscript 6 Point,Fußnotenzeichen DISS,fr,(NECG) Footnote Reference,footnote ref,Char Char Char Char Car Char"/>
    <w:uiPriority w:val="99"/>
    <w:rsid w:val="00E80AF9"/>
    <w:rPr>
      <w:rFonts w:ascii="Times New Roman" w:hAnsi="Times New Roman"/>
      <w:w w:val="100"/>
      <w:position w:val="6"/>
      <w:sz w:val="16"/>
      <w:szCs w:val="12"/>
      <w:vertAlign w:val="baseline"/>
    </w:rPr>
  </w:style>
  <w:style w:type="paragraph" w:styleId="Header">
    <w:name w:val="header"/>
    <w:basedOn w:val="Normal"/>
    <w:link w:val="HeaderChar"/>
    <w:rsid w:val="004E33AD"/>
    <w:pPr>
      <w:tabs>
        <w:tab w:val="center" w:pos="4513"/>
        <w:tab w:val="right" w:pos="9026"/>
      </w:tabs>
    </w:pPr>
  </w:style>
  <w:style w:type="character" w:customStyle="1" w:styleId="HeaderChar">
    <w:name w:val="Header Char"/>
    <w:basedOn w:val="DefaultParagraphFont"/>
    <w:link w:val="Header"/>
    <w:rsid w:val="004E33AD"/>
    <w:rPr>
      <w:rFonts w:eastAsia="SimSun"/>
      <w:szCs w:val="24"/>
    </w:rPr>
  </w:style>
  <w:style w:type="paragraph" w:styleId="Footer">
    <w:name w:val="footer"/>
    <w:basedOn w:val="Normal"/>
    <w:link w:val="FooterChar"/>
    <w:rsid w:val="004E33AD"/>
    <w:pPr>
      <w:tabs>
        <w:tab w:val="center" w:pos="4513"/>
        <w:tab w:val="right" w:pos="9026"/>
      </w:tabs>
    </w:pPr>
  </w:style>
  <w:style w:type="character" w:customStyle="1" w:styleId="FooterChar">
    <w:name w:val="Footer Char"/>
    <w:basedOn w:val="DefaultParagraphFont"/>
    <w:link w:val="Footer"/>
    <w:rsid w:val="004E33AD"/>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D2D0F9-11A0-421B-864E-A549713612D5}"/>
</file>

<file path=customXml/itemProps2.xml><?xml version="1.0" encoding="utf-8"?>
<ds:datastoreItem xmlns:ds="http://schemas.openxmlformats.org/officeDocument/2006/customXml" ds:itemID="{8653E0FE-213A-452F-A34F-0E1C20CB2F61}"/>
</file>

<file path=customXml/itemProps3.xml><?xml version="1.0" encoding="utf-8"?>
<ds:datastoreItem xmlns:ds="http://schemas.openxmlformats.org/officeDocument/2006/customXml" ds:itemID="{C4ACDC57-CCB9-4551-908E-22B06B6339C1}"/>
</file>

<file path=docProps/app.xml><?xml version="1.0" encoding="utf-8"?>
<Properties xmlns="http://schemas.openxmlformats.org/officeDocument/2006/extended-properties" xmlns:vt="http://schemas.openxmlformats.org/officeDocument/2006/docPropsVTypes">
  <Template>C2AFD106</Template>
  <TotalTime>0</TotalTime>
  <Pages>5</Pages>
  <Words>2274</Words>
  <Characters>13347</Characters>
  <Application>Microsoft Office Word</Application>
  <DocSecurity>0</DocSecurity>
  <Lines>111</Lines>
  <Paragraphs>31</Paragraphs>
  <ScaleCrop>false</ScaleCrop>
  <Company/>
  <LinksUpToDate>false</LinksUpToDate>
  <CharactersWithSpaces>15590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2015-09-11T00:38:00Z</dcterms:created>
  <dcterms:modified xsi:type="dcterms:W3CDTF">2015-09-11T00:38:00Z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966600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