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6F430698" wp14:editId="7960ED67">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917700"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Mongolia</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5B42EE" w:rsidRPr="00CD061B" w:rsidRDefault="00AC6F49" w:rsidP="00EE7D0B">
      <w:pPr>
        <w:spacing w:after="200" w:line="276" w:lineRule="auto"/>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r>
        <w:rPr>
          <w:lang w:val="en-US" w:eastAsia="en-US"/>
        </w:rPr>
        <w:br w:type="page"/>
      </w:r>
    </w:p>
    <w:p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753AE8" w:rsidRDefault="00753AE8" w:rsidP="00EE7D0B">
      <w:pPr>
        <w:pStyle w:val="ListBullet"/>
        <w:numPr>
          <w:ilvl w:val="0"/>
          <w:numId w:val="0"/>
        </w:numPr>
      </w:pPr>
      <w:r>
        <w:t xml:space="preserve">The Aid Program </w:t>
      </w:r>
      <w:r w:rsidR="00C15F0C">
        <w:t xml:space="preserve">Performance Report for </w:t>
      </w:r>
      <w:r>
        <w:t xml:space="preserve">Mongolia </w:t>
      </w:r>
      <w:r w:rsidR="00916507">
        <w:t>reports</w:t>
      </w:r>
      <w:r w:rsidR="00C15F0C">
        <w:t xml:space="preserve"> on</w:t>
      </w:r>
      <w:r w:rsidR="00916507">
        <w:t xml:space="preserve"> progress </w:t>
      </w:r>
      <w:r w:rsidR="00166016">
        <w:t>towards</w:t>
      </w:r>
      <w:r w:rsidR="00916507">
        <w:t xml:space="preserve"> the </w:t>
      </w:r>
      <w:r w:rsidR="004176A5">
        <w:t>objectives</w:t>
      </w:r>
      <w:r>
        <w:t xml:space="preserve"> of the Australia </w:t>
      </w:r>
      <w:r w:rsidR="00166016">
        <w:t>Mongolia Country Strategy (2012–</w:t>
      </w:r>
      <w:r>
        <w:t>16) and the associated end-of initiative outcomes from the Performance Assessment Framework.</w:t>
      </w:r>
      <w:r w:rsidR="00916507">
        <w:t xml:space="preserve"> </w:t>
      </w:r>
      <w:r>
        <w:t>Overall progress</w:t>
      </w:r>
      <w:r w:rsidR="00166016">
        <w:t xml:space="preserve"> in 2013–</w:t>
      </w:r>
      <w:r w:rsidR="00C15F0C">
        <w:t>14</w:t>
      </w:r>
      <w:r>
        <w:t xml:space="preserve"> towards achieving </w:t>
      </w:r>
      <w:r w:rsidR="004176A5">
        <w:t>objectives is satisfactory. Two out of three</w:t>
      </w:r>
      <w:r>
        <w:t xml:space="preserve"> </w:t>
      </w:r>
      <w:r w:rsidR="00166016">
        <w:t>ratings are green—</w:t>
      </w:r>
      <w:r>
        <w:t>the same as last year.</w:t>
      </w:r>
    </w:p>
    <w:p w:rsidR="00753AE8" w:rsidRDefault="00166016" w:rsidP="00EE7D0B">
      <w:pPr>
        <w:pStyle w:val="ListBullet"/>
        <w:numPr>
          <w:ilvl w:val="0"/>
          <w:numId w:val="0"/>
        </w:numPr>
      </w:pPr>
      <w:r>
        <w:t>2013–</w:t>
      </w:r>
      <w:r w:rsidR="00916507">
        <w:t xml:space="preserve">14 has </w:t>
      </w:r>
      <w:r w:rsidR="00C15F0C">
        <w:t>seen</w:t>
      </w:r>
      <w:r w:rsidR="00916507">
        <w:t xml:space="preserve"> solid progress on long-s</w:t>
      </w:r>
      <w:r w:rsidR="00C15F0C">
        <w:t>tanding in</w:t>
      </w:r>
      <w:r w:rsidR="004176A5">
        <w:t>vestments</w:t>
      </w:r>
      <w:r w:rsidR="00C15F0C">
        <w:t xml:space="preserve"> as well as</w:t>
      </w:r>
      <w:r w:rsidR="00916507">
        <w:t xml:space="preserve"> the design of major new interventions in the extractives sector. </w:t>
      </w:r>
      <w:r>
        <w:t>Key achievements during 2013–</w:t>
      </w:r>
      <w:r w:rsidR="00753AE8">
        <w:t>14 include:</w:t>
      </w:r>
    </w:p>
    <w:p w:rsidR="00753AE8" w:rsidRDefault="004176A5" w:rsidP="00D65196">
      <w:pPr>
        <w:pStyle w:val="ListBullet"/>
        <w:numPr>
          <w:ilvl w:val="0"/>
          <w:numId w:val="20"/>
        </w:numPr>
      </w:pPr>
      <w:r>
        <w:t xml:space="preserve">The visit by </w:t>
      </w:r>
      <w:r w:rsidR="00753AE8">
        <w:t xml:space="preserve">Foreign Minister Luvsanvandan </w:t>
      </w:r>
      <w:r>
        <w:t xml:space="preserve">Bold to Australia in 2014, </w:t>
      </w:r>
      <w:r w:rsidR="00950481">
        <w:t xml:space="preserve">during which we </w:t>
      </w:r>
      <w:r>
        <w:t>announced</w:t>
      </w:r>
      <w:r w:rsidR="00753AE8">
        <w:t xml:space="preserve"> the Australia-Mongolia Extractives Program (AMEP) and an increase in the annual Australia Awards Mongolia </w:t>
      </w:r>
      <w:r w:rsidR="00F212FF">
        <w:t>(AAM) scholarships from 38 to 43</w:t>
      </w:r>
      <w:r w:rsidR="00753AE8">
        <w:t>.</w:t>
      </w:r>
    </w:p>
    <w:p w:rsidR="004C6FC1" w:rsidRPr="004C6FC1" w:rsidRDefault="004176A5" w:rsidP="00D65196">
      <w:pPr>
        <w:pStyle w:val="ListBullet"/>
        <w:numPr>
          <w:ilvl w:val="0"/>
          <w:numId w:val="20"/>
        </w:numPr>
      </w:pPr>
      <w:r>
        <w:t>F</w:t>
      </w:r>
      <w:r w:rsidR="00753AE8">
        <w:t>inalisation of the design</w:t>
      </w:r>
      <w:r w:rsidR="00E503B7">
        <w:t xml:space="preserve"> and tender selection</w:t>
      </w:r>
      <w:r>
        <w:t xml:space="preserve"> </w:t>
      </w:r>
      <w:r w:rsidR="004C6FC1">
        <w:t>for AMEP—which will</w:t>
      </w:r>
      <w:r w:rsidR="00753AE8">
        <w:t xml:space="preserve"> </w:t>
      </w:r>
      <w:r w:rsidR="00753AE8">
        <w:rPr>
          <w:sz w:val="22"/>
          <w:szCs w:val="22"/>
        </w:rPr>
        <w:t xml:space="preserve">help Mongolia </w:t>
      </w:r>
      <w:r w:rsidR="004C6FC1">
        <w:rPr>
          <w:sz w:val="22"/>
          <w:szCs w:val="22"/>
        </w:rPr>
        <w:t>achieve</w:t>
      </w:r>
      <w:r w:rsidR="00753AE8">
        <w:rPr>
          <w:sz w:val="22"/>
          <w:szCs w:val="22"/>
        </w:rPr>
        <w:t xml:space="preserve"> equitable an</w:t>
      </w:r>
      <w:r w:rsidR="004C6FC1">
        <w:rPr>
          <w:sz w:val="22"/>
          <w:szCs w:val="22"/>
        </w:rPr>
        <w:t>d sustainable economic growth through</w:t>
      </w:r>
      <w:r w:rsidR="00753AE8">
        <w:rPr>
          <w:sz w:val="22"/>
          <w:szCs w:val="22"/>
        </w:rPr>
        <w:t xml:space="preserve"> its extractives sector. </w:t>
      </w:r>
    </w:p>
    <w:p w:rsidR="004C6FC1" w:rsidRDefault="004C6FC1" w:rsidP="002A3152">
      <w:pPr>
        <w:pStyle w:val="ListBullet"/>
        <w:numPr>
          <w:ilvl w:val="1"/>
          <w:numId w:val="20"/>
        </w:numPr>
      </w:pPr>
      <w:r w:rsidRPr="004C6FC1">
        <w:rPr>
          <w:szCs w:val="21"/>
        </w:rPr>
        <w:t xml:space="preserve">As part of AMEP we signed an agreement with the German aid </w:t>
      </w:r>
      <w:r w:rsidR="003703A4">
        <w:rPr>
          <w:szCs w:val="21"/>
        </w:rPr>
        <w:t>agency</w:t>
      </w:r>
      <w:r w:rsidRPr="004C6FC1">
        <w:rPr>
          <w:szCs w:val="21"/>
        </w:rPr>
        <w:t xml:space="preserve"> to collaborate on technical and vocational education (TVET) programs to help local people gain employment in the mining industry</w:t>
      </w:r>
      <w:r>
        <w:rPr>
          <w:sz w:val="22"/>
          <w:szCs w:val="22"/>
        </w:rPr>
        <w:t>.</w:t>
      </w:r>
    </w:p>
    <w:p w:rsidR="00753AE8" w:rsidRDefault="00C15F0C" w:rsidP="00D65196">
      <w:pPr>
        <w:pStyle w:val="ListBullet"/>
        <w:numPr>
          <w:ilvl w:val="0"/>
          <w:numId w:val="20"/>
        </w:numPr>
      </w:pPr>
      <w:r>
        <w:t>I</w:t>
      </w:r>
      <w:r w:rsidR="00753AE8">
        <w:t>mplementation</w:t>
      </w:r>
      <w:r w:rsidR="004176A5">
        <w:t xml:space="preserve">, from </w:t>
      </w:r>
      <w:r>
        <w:t>July 2013,</w:t>
      </w:r>
      <w:r w:rsidR="00753AE8">
        <w:t xml:space="preserve"> of the redesigned Australia Awards Mongolia program</w:t>
      </w:r>
      <w:r w:rsidR="00950481">
        <w:t xml:space="preserve"> and successful management of </w:t>
      </w:r>
      <w:r w:rsidR="003703A4">
        <w:t>an</w:t>
      </w:r>
      <w:r w:rsidR="00166016">
        <w:t xml:space="preserve"> </w:t>
      </w:r>
      <w:r w:rsidR="00950481">
        <w:t>unexpected increase in scholarship numbers</w:t>
      </w:r>
      <w:r w:rsidR="00753AE8">
        <w:t xml:space="preserve">. </w:t>
      </w:r>
    </w:p>
    <w:p w:rsidR="002A3152" w:rsidRDefault="002A3152" w:rsidP="002A3152">
      <w:pPr>
        <w:pStyle w:val="ListBullet"/>
        <w:numPr>
          <w:ilvl w:val="0"/>
          <w:numId w:val="20"/>
        </w:numPr>
      </w:pPr>
      <w:r>
        <w:t xml:space="preserve">Australian funding to UNICEF’s Water and Sanitation </w:t>
      </w:r>
      <w:r w:rsidR="00242A6C">
        <w:t xml:space="preserve">and Hygiene </w:t>
      </w:r>
      <w:r>
        <w:t>(WASH) in schools and k</w:t>
      </w:r>
      <w:r w:rsidR="00533CB4">
        <w:t>indergartens project allowed 25 </w:t>
      </w:r>
      <w:r w:rsidR="00166016">
        <w:t xml:space="preserve">000 school children to </w:t>
      </w:r>
      <w:r>
        <w:t>receive information on sanitation and hygiene.</w:t>
      </w:r>
      <w:r w:rsidR="008F7202">
        <w:t xml:space="preserve"> 4180</w:t>
      </w:r>
      <w:r w:rsidRPr="002A3152">
        <w:t xml:space="preserve"> children will </w:t>
      </w:r>
      <w:r w:rsidR="00755849">
        <w:t>benefit from</w:t>
      </w:r>
      <w:r w:rsidRPr="002A3152">
        <w:t xml:space="preserve"> </w:t>
      </w:r>
      <w:r w:rsidR="00166016">
        <w:t>newly-</w:t>
      </w:r>
      <w:r w:rsidR="00755849">
        <w:t>built</w:t>
      </w:r>
      <w:r w:rsidRPr="002A3152">
        <w:t xml:space="preserve"> i</w:t>
      </w:r>
      <w:r w:rsidR="00166016">
        <w:t>n</w:t>
      </w:r>
      <w:r w:rsidR="00755849">
        <w:t xml:space="preserve">door facilities. </w:t>
      </w:r>
    </w:p>
    <w:p w:rsidR="00916507" w:rsidRDefault="00950481" w:rsidP="00950481">
      <w:pPr>
        <w:pStyle w:val="ListBullet"/>
        <w:numPr>
          <w:ilvl w:val="0"/>
          <w:numId w:val="0"/>
        </w:numPr>
      </w:pPr>
      <w:r>
        <w:t>T</w:t>
      </w:r>
      <w:r w:rsidR="00916507">
        <w:t xml:space="preserve">he </w:t>
      </w:r>
      <w:r>
        <w:t xml:space="preserve">new aid </w:t>
      </w:r>
      <w:r w:rsidR="00916507">
        <w:t xml:space="preserve">office </w:t>
      </w:r>
      <w:r>
        <w:t>in Ulaanbaatar has proven</w:t>
      </w:r>
      <w:r w:rsidR="00916507">
        <w:t xml:space="preserve"> instrumental in promoting Australia’s interests in Mongolia and building strong operational relationships with </w:t>
      </w:r>
      <w:r>
        <w:t>the Mongolian government</w:t>
      </w:r>
      <w:r w:rsidR="00916507">
        <w:t xml:space="preserve">, other donors and Australia’s implementing partners. </w:t>
      </w:r>
    </w:p>
    <w:p w:rsidR="00916507" w:rsidRDefault="00166016" w:rsidP="00916507">
      <w:pPr>
        <w:pStyle w:val="ListBullet"/>
        <w:numPr>
          <w:ilvl w:val="0"/>
          <w:numId w:val="0"/>
        </w:numPr>
        <w:ind w:left="360" w:hanging="360"/>
      </w:pPr>
      <w:r>
        <w:t>Key challenges for 2014–</w:t>
      </w:r>
      <w:r w:rsidR="00916507">
        <w:t>15 include:</w:t>
      </w:r>
    </w:p>
    <w:p w:rsidR="00916507" w:rsidRDefault="00B84C2C" w:rsidP="00D65196">
      <w:pPr>
        <w:pStyle w:val="ListBullet"/>
        <w:numPr>
          <w:ilvl w:val="0"/>
          <w:numId w:val="21"/>
        </w:numPr>
      </w:pPr>
      <w:r>
        <w:t>Successful</w:t>
      </w:r>
      <w:r w:rsidR="00C15F0C">
        <w:t xml:space="preserve"> </w:t>
      </w:r>
      <w:r w:rsidR="003703A4">
        <w:t>commencement</w:t>
      </w:r>
      <w:r w:rsidR="00C15F0C">
        <w:t xml:space="preserve"> of AM</w:t>
      </w:r>
      <w:r w:rsidR="003703A4">
        <w:t>EP and engagement with</w:t>
      </w:r>
      <w:r w:rsidR="00C15F0C">
        <w:t xml:space="preserve"> the new Implementation Service Provider.</w:t>
      </w:r>
    </w:p>
    <w:p w:rsidR="00C15F0C" w:rsidRDefault="00C15F0C" w:rsidP="00D65196">
      <w:pPr>
        <w:pStyle w:val="ListBullet"/>
        <w:numPr>
          <w:ilvl w:val="0"/>
          <w:numId w:val="21"/>
        </w:numPr>
      </w:pPr>
      <w:r>
        <w:t xml:space="preserve">Consolidation of all extractives </w:t>
      </w:r>
      <w:r w:rsidR="00B84C2C">
        <w:t>activities</w:t>
      </w:r>
      <w:r>
        <w:t xml:space="preserve"> into AMEP management and reporting arrangements.</w:t>
      </w:r>
    </w:p>
    <w:p w:rsidR="00753AE8" w:rsidRDefault="00B84C2C" w:rsidP="00C15F0C">
      <w:pPr>
        <w:pStyle w:val="ListBullet"/>
        <w:numPr>
          <w:ilvl w:val="0"/>
          <w:numId w:val="21"/>
        </w:numPr>
      </w:pPr>
      <w:r>
        <w:t>Smooth t</w:t>
      </w:r>
      <w:r w:rsidR="00C15F0C">
        <w:t xml:space="preserve">ransfer of </w:t>
      </w:r>
      <w:r w:rsidR="00166016">
        <w:t xml:space="preserve">Mongolia </w:t>
      </w:r>
      <w:r w:rsidR="00C15F0C">
        <w:t>aid responsibilities from Beijing Post to Seoul Post.</w:t>
      </w:r>
    </w:p>
    <w:p w:rsidR="00BF15C1" w:rsidRDefault="003703A4" w:rsidP="00EE7D0B">
      <w:pPr>
        <w:pStyle w:val="ListBullet"/>
        <w:numPr>
          <w:ilvl w:val="0"/>
          <w:numId w:val="0"/>
        </w:numPr>
      </w:pPr>
      <w:r>
        <w:t>The</w:t>
      </w:r>
      <w:r w:rsidR="00B84C2C">
        <w:t xml:space="preserve"> Mongolia</w:t>
      </w:r>
      <w:r w:rsidR="00916507">
        <w:t xml:space="preserve"> Aid Investment Plan will be drafted by March 2015</w:t>
      </w:r>
      <w:r w:rsidR="00C15F0C">
        <w:t xml:space="preserve"> </w:t>
      </w:r>
      <w:r w:rsidR="00B84C2C">
        <w:t>to</w:t>
      </w:r>
      <w:r w:rsidR="00C15F0C">
        <w:t xml:space="preserve"> replace the current country strategy</w:t>
      </w:r>
      <w:r w:rsidR="00916507">
        <w:t>. The program is well placed to draw on the synergies between our aid, trade and foreign policy objectives in Mongolia. This will be further strengthened when Seoul Post takes over management</w:t>
      </w:r>
      <w:r w:rsidR="00166016">
        <w:t xml:space="preserve"> and supervision</w:t>
      </w:r>
      <w:r w:rsidR="00916507">
        <w:t xml:space="preserve"> of t</w:t>
      </w:r>
      <w:r w:rsidR="00166016">
        <w:t>he Mongolia aid program in 2014–</w:t>
      </w:r>
      <w:r w:rsidR="00916507">
        <w:t xml:space="preserve">15. </w:t>
      </w:r>
      <w:r w:rsidR="00C15F0C">
        <w:t>Australi</w:t>
      </w:r>
      <w:r w:rsidR="00B84C2C">
        <w:t>a’s investments will draw on our</w:t>
      </w:r>
      <w:r w:rsidR="00C15F0C">
        <w:t xml:space="preserve"> strengths as a mining nation and the strong people-to-people links built through our scholarships and volunteers programs.</w:t>
      </w:r>
    </w:p>
    <w:p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EE7D0B" w:rsidRDefault="00F0457F" w:rsidP="00EE7D0B">
      <w:pPr>
        <w:pStyle w:val="BodyText"/>
      </w:pPr>
      <w:r w:rsidRPr="00D512B9">
        <w:t xml:space="preserve">The </w:t>
      </w:r>
      <w:r>
        <w:t xml:space="preserve">Mongolian </w:t>
      </w:r>
      <w:r w:rsidRPr="00D512B9">
        <w:t>economy re</w:t>
      </w:r>
      <w:r>
        <w:t>lies</w:t>
      </w:r>
      <w:r w:rsidRPr="00D512B9">
        <w:t xml:space="preserve"> heavily on mining</w:t>
      </w:r>
      <w:r w:rsidR="00242A6C">
        <w:t>,</w:t>
      </w:r>
      <w:r w:rsidRPr="00D512B9">
        <w:t xml:space="preserve"> which makes up 80 per cent of exports and 40 per cent of government revenue</w:t>
      </w:r>
      <w:r w:rsidR="00166016">
        <w:t xml:space="preserve">. </w:t>
      </w:r>
      <w:r w:rsidR="00EE7D0B" w:rsidRPr="00D512B9">
        <w:t>The Mongolian eco</w:t>
      </w:r>
      <w:r w:rsidR="00C53CE3">
        <w:t>nomy has grow</w:t>
      </w:r>
      <w:r>
        <w:t>n</w:t>
      </w:r>
      <w:r w:rsidR="00C53CE3">
        <w:t xml:space="preserve"> </w:t>
      </w:r>
      <w:r w:rsidR="00EE7D0B" w:rsidRPr="00D512B9">
        <w:t xml:space="preserve">rapidly </w:t>
      </w:r>
      <w:r w:rsidR="00242A6C">
        <w:t>in recent years,</w:t>
      </w:r>
      <w:r>
        <w:t xml:space="preserve"> </w:t>
      </w:r>
      <w:r w:rsidR="00EE7D0B" w:rsidRPr="00D512B9">
        <w:t>ex</w:t>
      </w:r>
      <w:r w:rsidR="00242A6C">
        <w:t>panding</w:t>
      </w:r>
      <w:r w:rsidR="004508B3">
        <w:t xml:space="preserve"> by 12.4 per cent in 2012 and</w:t>
      </w:r>
      <w:r w:rsidR="00EE7D0B" w:rsidRPr="00D512B9">
        <w:t xml:space="preserve"> 11.7 per cent in 2013</w:t>
      </w:r>
      <w:r w:rsidR="004508B3">
        <w:t>.</w:t>
      </w:r>
      <w:r w:rsidR="00166016">
        <w:t xml:space="preserve"> </w:t>
      </w:r>
      <w:r w:rsidR="004508B3">
        <w:t xml:space="preserve">However, both the International </w:t>
      </w:r>
      <w:r w:rsidR="004508B3">
        <w:lastRenderedPageBreak/>
        <w:t xml:space="preserve">Monetary Fund and World Bank estimate </w:t>
      </w:r>
      <w:r w:rsidR="00242A6C">
        <w:t xml:space="preserve">that </w:t>
      </w:r>
      <w:r w:rsidR="004508B3">
        <w:t>2014 GDP may decline to 9.5 per</w:t>
      </w:r>
      <w:r w:rsidR="00533CB4">
        <w:t xml:space="preserve"> </w:t>
      </w:r>
      <w:r w:rsidR="004508B3">
        <w:t>cent</w:t>
      </w:r>
      <w:r w:rsidR="00EE7D0B" w:rsidRPr="00D512B9">
        <w:t xml:space="preserve">. </w:t>
      </w:r>
      <w:r w:rsidR="001C7F08" w:rsidRPr="00D512B9">
        <w:t xml:space="preserve">Mongolia’s medium term prospects remain strong but </w:t>
      </w:r>
      <w:r w:rsidR="004508B3">
        <w:t>the economy is</w:t>
      </w:r>
      <w:r w:rsidR="005713EE">
        <w:t xml:space="preserve"> </w:t>
      </w:r>
      <w:r w:rsidR="001C7F08" w:rsidRPr="00D512B9">
        <w:t xml:space="preserve">vulnerable to poor policy decisions and external shocks. </w:t>
      </w:r>
      <w:r>
        <w:t>The Mongolian economy suffers from a combination of low prices for its minerals and an unpredictable investment climate. Foreign direct investment is falling</w:t>
      </w:r>
      <w:r w:rsidR="005F7425" w:rsidRPr="00242A6C">
        <w:rPr>
          <w:rStyle w:val="FootnoteReference"/>
          <w:rFonts w:ascii="Franklin Gothic Book" w:hAnsi="Franklin Gothic Book"/>
        </w:rPr>
        <w:footnoteReference w:id="1"/>
      </w:r>
      <w:r w:rsidRPr="00242A6C">
        <w:t xml:space="preserve"> </w:t>
      </w:r>
      <w:r>
        <w:t xml:space="preserve">and has led to balance of payments pressure. </w:t>
      </w:r>
      <w:r w:rsidR="001C7F08" w:rsidRPr="00D512B9">
        <w:t>Publ</w:t>
      </w:r>
      <w:r w:rsidR="001C7F08">
        <w:t>ic debt has been rising rapidly and</w:t>
      </w:r>
      <w:r w:rsidR="001C7F08" w:rsidRPr="00D512B9">
        <w:t xml:space="preserve"> inflation </w:t>
      </w:r>
      <w:r w:rsidR="004508B3">
        <w:t>was 14.6 per</w:t>
      </w:r>
      <w:r w:rsidR="00533CB4">
        <w:t xml:space="preserve"> </w:t>
      </w:r>
      <w:r w:rsidR="004508B3">
        <w:t>cent in April 2014 according to the National Statistics Office of Mongolia</w:t>
      </w:r>
      <w:r w:rsidR="001C7F08">
        <w:t>.</w:t>
      </w:r>
      <w:r w:rsidR="001C7F08" w:rsidRPr="00D512B9">
        <w:t xml:space="preserve"> </w:t>
      </w:r>
    </w:p>
    <w:p w:rsidR="00B036D5" w:rsidRDefault="006A18AF" w:rsidP="00EE7D0B">
      <w:pPr>
        <w:pStyle w:val="BodyText"/>
      </w:pPr>
      <w:r w:rsidRPr="00D512B9">
        <w:t xml:space="preserve">Mongolia </w:t>
      </w:r>
      <w:r>
        <w:t>i</w:t>
      </w:r>
      <w:r w:rsidRPr="00D512B9">
        <w:t>s</w:t>
      </w:r>
      <w:r>
        <w:t xml:space="preserve"> ranked</w:t>
      </w:r>
      <w:r w:rsidRPr="00D512B9">
        <w:t xml:space="preserve"> </w:t>
      </w:r>
      <w:r>
        <w:t>towards the bottom of the United Nation’s Human Development Index - 103 out of 186 countries</w:t>
      </w:r>
      <w:r w:rsidR="00B84C2C" w:rsidRPr="00242A6C">
        <w:rPr>
          <w:rStyle w:val="FootnoteReference"/>
          <w:rFonts w:ascii="Franklin Gothic Book" w:hAnsi="Franklin Gothic Book"/>
        </w:rPr>
        <w:footnoteReference w:id="2"/>
      </w:r>
      <w:r w:rsidRPr="00D512B9">
        <w:t xml:space="preserve">. </w:t>
      </w:r>
      <w:r w:rsidR="00EE7D0B" w:rsidRPr="00D512B9">
        <w:t xml:space="preserve">Mongolia is either on-track or has already achieved one-third </w:t>
      </w:r>
      <w:r w:rsidR="00B84C2C">
        <w:t>of the MDG targets</w:t>
      </w:r>
      <w:r w:rsidR="00B036D5">
        <w:t>, and is expected to achieve 71 per</w:t>
      </w:r>
      <w:r w:rsidR="00533CB4">
        <w:t xml:space="preserve"> </w:t>
      </w:r>
      <w:r w:rsidR="00B036D5">
        <w:t>cent of the MDG targets by 2015</w:t>
      </w:r>
      <w:r w:rsidR="00B84C2C">
        <w:t xml:space="preserve">. </w:t>
      </w:r>
      <w:r w:rsidR="00B036D5">
        <w:t>Targets relating to environmental sustainabili</w:t>
      </w:r>
      <w:r w:rsidR="00242A6C">
        <w:t>ty, the effects of rapid urbanis</w:t>
      </w:r>
      <w:r w:rsidR="00B036D5">
        <w:t xml:space="preserve">ation </w:t>
      </w:r>
      <w:r w:rsidR="005028E7">
        <w:t xml:space="preserve">and women’s participation in politics </w:t>
      </w:r>
      <w:r w:rsidR="004508B3">
        <w:t>will be</w:t>
      </w:r>
      <w:r w:rsidR="00B036D5">
        <w:t xml:space="preserve"> difficult to achieve by 2015</w:t>
      </w:r>
      <w:r w:rsidR="00B036D5" w:rsidRPr="00242A6C">
        <w:rPr>
          <w:rStyle w:val="FootnoteReference"/>
          <w:rFonts w:ascii="Franklin Gothic Book" w:hAnsi="Franklin Gothic Book"/>
        </w:rPr>
        <w:footnoteReference w:id="3"/>
      </w:r>
      <w:r w:rsidR="00B036D5">
        <w:t xml:space="preserve">. </w:t>
      </w:r>
      <w:r w:rsidR="005028E7">
        <w:t xml:space="preserve">Although Mongolia </w:t>
      </w:r>
      <w:r w:rsidR="005C5057">
        <w:t>compares well in terms of narrowing</w:t>
      </w:r>
      <w:r w:rsidR="005028E7">
        <w:t xml:space="preserve"> gender equality gaps</w:t>
      </w:r>
      <w:r w:rsidR="005C5057" w:rsidRPr="00242A6C">
        <w:rPr>
          <w:rStyle w:val="FootnoteReference"/>
          <w:rFonts w:ascii="Franklin Gothic Book" w:hAnsi="Franklin Gothic Book"/>
        </w:rPr>
        <w:footnoteReference w:id="4"/>
      </w:r>
      <w:r w:rsidR="005028E7">
        <w:t xml:space="preserve"> (e</w:t>
      </w:r>
      <w:r w:rsidR="005C5057">
        <w:t>.</w:t>
      </w:r>
      <w:r w:rsidR="005028E7">
        <w:t>g</w:t>
      </w:r>
      <w:r w:rsidR="005C5057">
        <w:t>.</w:t>
      </w:r>
      <w:r w:rsidR="005028E7">
        <w:t xml:space="preserve"> </w:t>
      </w:r>
      <w:r w:rsidR="005C5057">
        <w:t xml:space="preserve">parity in secondary </w:t>
      </w:r>
      <w:r w:rsidR="005028E7">
        <w:t>education),</w:t>
      </w:r>
      <w:r w:rsidR="00EB4502">
        <w:t xml:space="preserve"> an</w:t>
      </w:r>
      <w:r w:rsidR="00242A6C">
        <w:t>d gender equality legislation has been</w:t>
      </w:r>
      <w:r w:rsidR="00EB4502">
        <w:t xml:space="preserve"> in place since 2011,</w:t>
      </w:r>
      <w:r w:rsidR="005028E7">
        <w:t xml:space="preserve"> there is work to be done on political partic</w:t>
      </w:r>
      <w:r w:rsidR="00D70C37">
        <w:t>ip</w:t>
      </w:r>
      <w:r w:rsidR="005028E7">
        <w:t xml:space="preserve">ation, </w:t>
      </w:r>
      <w:r w:rsidR="00D70C37">
        <w:t xml:space="preserve">combatting </w:t>
      </w:r>
      <w:r w:rsidR="005028E7">
        <w:t xml:space="preserve">gender-based violence and </w:t>
      </w:r>
      <w:r w:rsidR="00EB4502">
        <w:t>reducing wage gaps and discrimination in employment</w:t>
      </w:r>
      <w:r w:rsidR="005028E7">
        <w:t>.</w:t>
      </w:r>
      <w:r w:rsidR="00D70C37" w:rsidRPr="00D70C37">
        <w:t xml:space="preserve"> </w:t>
      </w:r>
    </w:p>
    <w:p w:rsidR="00EE7D0B" w:rsidRPr="00C53CE3" w:rsidRDefault="00BF15C1" w:rsidP="00EE7D0B">
      <w:pPr>
        <w:pStyle w:val="BodyText"/>
      </w:pPr>
      <w:r>
        <w:t>Despite overall reductions in</w:t>
      </w:r>
      <w:r w:rsidR="00EE7D0B" w:rsidRPr="00D512B9">
        <w:t xml:space="preserve"> poverty from 38.7 per</w:t>
      </w:r>
      <w:r w:rsidR="00533CB4">
        <w:t xml:space="preserve"> </w:t>
      </w:r>
      <w:r w:rsidR="00EE7D0B" w:rsidRPr="00D512B9">
        <w:t>cent in 2010 to 27.4 per</w:t>
      </w:r>
      <w:r w:rsidR="00533CB4">
        <w:t xml:space="preserve"> </w:t>
      </w:r>
      <w:r w:rsidR="00EE7D0B" w:rsidRPr="00D512B9">
        <w:t xml:space="preserve">cent in 2012, inequality persists and rural poverty </w:t>
      </w:r>
      <w:r w:rsidR="00B84C2C">
        <w:t>is</w:t>
      </w:r>
      <w:r w:rsidR="00EE7D0B" w:rsidRPr="00D512B9">
        <w:t xml:space="preserve"> much higher than urban poverty. </w:t>
      </w:r>
      <w:r w:rsidR="00C53CE3" w:rsidRPr="00C53CE3">
        <w:t>In 2012</w:t>
      </w:r>
      <w:r w:rsidR="00242A6C">
        <w:t>,</w:t>
      </w:r>
      <w:r w:rsidR="00EE7D0B" w:rsidRPr="00C53CE3">
        <w:t xml:space="preserve"> </w:t>
      </w:r>
      <w:r w:rsidR="00C53CE3" w:rsidRPr="00C53CE3">
        <w:t>poverty rates were 35.5 per</w:t>
      </w:r>
      <w:r w:rsidR="00533CB4">
        <w:t xml:space="preserve"> </w:t>
      </w:r>
      <w:r w:rsidR="00C53CE3" w:rsidRPr="00C53CE3">
        <w:t>cent in</w:t>
      </w:r>
      <w:r w:rsidR="00EE7D0B" w:rsidRPr="00C53CE3">
        <w:t xml:space="preserve"> rural </w:t>
      </w:r>
      <w:r w:rsidR="00C53CE3" w:rsidRPr="00C53CE3">
        <w:t>areas compared to 23.2 per cent in urban areas</w:t>
      </w:r>
      <w:r w:rsidR="00B036D5" w:rsidRPr="00242A6C">
        <w:rPr>
          <w:rStyle w:val="FootnoteReference"/>
          <w:rFonts w:ascii="Franklin Gothic Book" w:hAnsi="Franklin Gothic Book"/>
        </w:rPr>
        <w:footnoteReference w:id="5"/>
      </w:r>
      <w:r w:rsidR="00EE7D0B" w:rsidRPr="00C53CE3">
        <w:t>. Remoteness, low income and employment opportunities coupled with a lack of industrial infrastructure</w:t>
      </w:r>
      <w:r w:rsidR="00166016">
        <w:t>,</w:t>
      </w:r>
      <w:r w:rsidR="00EE7D0B" w:rsidRPr="00C53CE3">
        <w:t xml:space="preserve"> and environmental degradation are</w:t>
      </w:r>
      <w:r w:rsidR="00C53CE3">
        <w:t xml:space="preserve"> the</w:t>
      </w:r>
      <w:r w:rsidR="00EE7D0B" w:rsidRPr="00C53CE3">
        <w:t xml:space="preserve"> major cause</w:t>
      </w:r>
      <w:r w:rsidR="00C53CE3">
        <w:t>s</w:t>
      </w:r>
      <w:r w:rsidR="00EE7D0B" w:rsidRPr="00C53CE3">
        <w:t xml:space="preserve"> for higher rural poverty. </w:t>
      </w:r>
    </w:p>
    <w:p w:rsidR="00EE7D0B" w:rsidRDefault="00FD2EEB" w:rsidP="00EE7D0B">
      <w:pPr>
        <w:pStyle w:val="BodyText"/>
      </w:pPr>
      <w:r>
        <w:t>With t</w:t>
      </w:r>
      <w:r w:rsidR="00EE7D0B" w:rsidRPr="00D512B9">
        <w:t xml:space="preserve">he </w:t>
      </w:r>
      <w:r w:rsidR="00A951D7">
        <w:t xml:space="preserve">re-election of </w:t>
      </w:r>
      <w:r w:rsidR="00A951D7" w:rsidRPr="00D512B9">
        <w:t xml:space="preserve">President Elbegdorj </w:t>
      </w:r>
      <w:r w:rsidR="00A951D7">
        <w:t>in 2013</w:t>
      </w:r>
      <w:r w:rsidR="00242A6C">
        <w:t>,</w:t>
      </w:r>
      <w:r w:rsidR="00A951D7">
        <w:t xml:space="preserve"> the government</w:t>
      </w:r>
      <w:r>
        <w:t xml:space="preserve"> has</w:t>
      </w:r>
      <w:r w:rsidR="00A951D7">
        <w:t xml:space="preserve"> institute</w:t>
      </w:r>
      <w:r>
        <w:t>d</w:t>
      </w:r>
      <w:r w:rsidR="00C53CE3">
        <w:t xml:space="preserve"> a number of </w:t>
      </w:r>
      <w:r w:rsidR="00EE7D0B" w:rsidRPr="00D512B9">
        <w:t>reforms</w:t>
      </w:r>
      <w:r w:rsidR="000012C1">
        <w:t>,</w:t>
      </w:r>
      <w:r w:rsidR="00EE7D0B" w:rsidRPr="00D512B9">
        <w:t xml:space="preserve"> including the October 2013 Investment Law and the January 2014 Mining Sector Policy.</w:t>
      </w:r>
      <w:r w:rsidR="00EE7D0B">
        <w:t xml:space="preserve"> </w:t>
      </w:r>
      <w:r w:rsidR="001C7F08">
        <w:t>If implemented well, the</w:t>
      </w:r>
      <w:r w:rsidR="00A951D7">
        <w:t>se</w:t>
      </w:r>
      <w:r w:rsidR="001C7F08">
        <w:t xml:space="preserve"> laws could</w:t>
      </w:r>
      <w:r w:rsidR="00A951D7">
        <w:t xml:space="preserve"> help Mongolia </w:t>
      </w:r>
      <w:r w:rsidR="00BF15C1">
        <w:t>move</w:t>
      </w:r>
      <w:r w:rsidR="00EE7D0B" w:rsidRPr="00C53CE3">
        <w:t xml:space="preserve"> towards </w:t>
      </w:r>
      <w:r w:rsidR="00BF15C1">
        <w:t xml:space="preserve">an </w:t>
      </w:r>
      <w:r w:rsidR="00EE7D0B" w:rsidRPr="00C53CE3">
        <w:t xml:space="preserve">open, stable and </w:t>
      </w:r>
      <w:r w:rsidR="00242A6C">
        <w:t xml:space="preserve">more </w:t>
      </w:r>
      <w:r w:rsidR="00EE7D0B" w:rsidRPr="00C53CE3">
        <w:t>predictable environment for foreign direct in</w:t>
      </w:r>
      <w:r w:rsidR="00BF15C1">
        <w:t>vestment.</w:t>
      </w:r>
    </w:p>
    <w:p w:rsidR="00EE7D0B" w:rsidRPr="004418BA" w:rsidRDefault="00EE7D0B" w:rsidP="00EE7D0B">
      <w:pPr>
        <w:pStyle w:val="BodyText"/>
        <w:rPr>
          <w:b/>
        </w:rPr>
      </w:pPr>
      <w:r w:rsidRPr="004418BA">
        <w:rPr>
          <w:b/>
        </w:rPr>
        <w:t>Australian aid to Mongolia</w:t>
      </w:r>
    </w:p>
    <w:p w:rsidR="00BA190C" w:rsidRDefault="00BA190C" w:rsidP="00BA190C">
      <w:pPr>
        <w:pStyle w:val="BodyText"/>
        <w:rPr>
          <w:iCs/>
          <w:lang w:eastAsia="en-US"/>
        </w:rPr>
      </w:pPr>
      <w:r>
        <w:t xml:space="preserve">A stable and prosperous Mongolia is in Australia’s national interest, and our aid program </w:t>
      </w:r>
      <w:r w:rsidRPr="000C09AD">
        <w:rPr>
          <w:iCs/>
          <w:lang w:eastAsia="en-US"/>
        </w:rPr>
        <w:t>promote</w:t>
      </w:r>
      <w:r>
        <w:rPr>
          <w:iCs/>
          <w:lang w:eastAsia="en-US"/>
        </w:rPr>
        <w:t>s</w:t>
      </w:r>
      <w:r w:rsidR="00242A6C">
        <w:rPr>
          <w:iCs/>
          <w:lang w:eastAsia="en-US"/>
        </w:rPr>
        <w:t xml:space="preserve"> a well-</w:t>
      </w:r>
      <w:r w:rsidRPr="000C09AD">
        <w:rPr>
          <w:iCs/>
          <w:lang w:eastAsia="en-US"/>
        </w:rPr>
        <w:t>governed, economically resilient and equitable Mongolia</w:t>
      </w:r>
      <w:r>
        <w:rPr>
          <w:iCs/>
          <w:lang w:eastAsia="en-US"/>
        </w:rPr>
        <w:t>.</w:t>
      </w:r>
      <w:r w:rsidR="00756538">
        <w:rPr>
          <w:iCs/>
          <w:lang w:eastAsia="en-US"/>
        </w:rPr>
        <w:t xml:space="preserve"> Our areas of investment are where Australia has a comparative advantage and are aligned with the development objectives identified by the Government of Mongolia.</w:t>
      </w:r>
    </w:p>
    <w:p w:rsidR="00756538" w:rsidRDefault="00756538" w:rsidP="00BA190C">
      <w:pPr>
        <w:pStyle w:val="BodyText"/>
      </w:pPr>
      <w:r>
        <w:rPr>
          <w:iCs/>
          <w:lang w:eastAsia="en-US"/>
        </w:rPr>
        <w:t>The mining sector has propelled Mongolia to a lower-middle income country. A well-governed, e</w:t>
      </w:r>
      <w:r w:rsidR="00242A6C">
        <w:rPr>
          <w:iCs/>
          <w:lang w:eastAsia="en-US"/>
        </w:rPr>
        <w:t>nvironmentally and socially-</w:t>
      </w:r>
      <w:r>
        <w:rPr>
          <w:iCs/>
          <w:lang w:eastAsia="en-US"/>
        </w:rPr>
        <w:t xml:space="preserve">responsible mining sector can reduce poverty and promote equitable economic growth. </w:t>
      </w:r>
      <w:r w:rsidRPr="00756538">
        <w:rPr>
          <w:iCs/>
          <w:lang w:eastAsia="en-US"/>
        </w:rPr>
        <w:t>Australia’s signifi</w:t>
      </w:r>
      <w:r>
        <w:rPr>
          <w:iCs/>
          <w:lang w:eastAsia="en-US"/>
        </w:rPr>
        <w:t>cant expertise and experience is helping promote</w:t>
      </w:r>
      <w:r w:rsidRPr="00756538">
        <w:rPr>
          <w:iCs/>
          <w:lang w:eastAsia="en-US"/>
        </w:rPr>
        <w:t xml:space="preserve"> a stable regulatory environment in the mining sector.</w:t>
      </w:r>
      <w:r w:rsidRPr="00756538">
        <w:t xml:space="preserve"> </w:t>
      </w:r>
    </w:p>
    <w:p w:rsidR="00756538" w:rsidRDefault="00756538" w:rsidP="00BA190C">
      <w:pPr>
        <w:pStyle w:val="BodyText"/>
      </w:pPr>
      <w:r w:rsidRPr="00756538">
        <w:rPr>
          <w:iCs/>
          <w:lang w:eastAsia="en-US"/>
        </w:rPr>
        <w:t>The rapid development of Mongolia’s mining sector has placed significant demands on human resources and skilled employment in the public and private sectors.</w:t>
      </w:r>
      <w:r>
        <w:rPr>
          <w:iCs/>
          <w:lang w:eastAsia="en-US"/>
        </w:rPr>
        <w:t xml:space="preserve"> Australia has a long-standing highly-regarded scholarship program in Mongolia and our engagement is growing. </w:t>
      </w:r>
    </w:p>
    <w:p w:rsidR="004508B3" w:rsidRDefault="00EE7D0B" w:rsidP="00EE7D0B">
      <w:pPr>
        <w:pStyle w:val="BodyText"/>
      </w:pPr>
      <w:r>
        <w:lastRenderedPageBreak/>
        <w:t xml:space="preserve">The </w:t>
      </w:r>
      <w:r w:rsidR="00EA0947">
        <w:t xml:space="preserve">current </w:t>
      </w:r>
      <w:r>
        <w:t>Mongolia Country Strategy has three pillars: Human Resource Dev</w:t>
      </w:r>
      <w:r w:rsidR="00BF15C1">
        <w:t>elopment; Extractives</w:t>
      </w:r>
      <w:r>
        <w:t xml:space="preserve">; and Supporting Vulnerable Communities. </w:t>
      </w:r>
      <w:r w:rsidR="008B6A9A">
        <w:t>In 2013–</w:t>
      </w:r>
      <w:r w:rsidR="001C7F08">
        <w:t>14, t</w:t>
      </w:r>
      <w:r>
        <w:t xml:space="preserve">he bilateral program </w:t>
      </w:r>
      <w:r w:rsidR="00BF15C1">
        <w:t>supported these</w:t>
      </w:r>
      <w:r>
        <w:t xml:space="preserve"> pillars through </w:t>
      </w:r>
      <w:r w:rsidR="001C7F08">
        <w:t xml:space="preserve">three </w:t>
      </w:r>
      <w:r w:rsidR="008B6A9A">
        <w:t xml:space="preserve">main </w:t>
      </w:r>
      <w:r w:rsidR="001C7F08">
        <w:t xml:space="preserve">programs: </w:t>
      </w:r>
      <w:r>
        <w:t xml:space="preserve">the long-standing </w:t>
      </w:r>
      <w:r w:rsidR="001C7F08">
        <w:t>AAM scholarships program;</w:t>
      </w:r>
      <w:r>
        <w:t xml:space="preserve"> </w:t>
      </w:r>
      <w:r w:rsidR="00242A6C">
        <w:t>the World Bank-</w:t>
      </w:r>
      <w:r w:rsidR="001C7F08">
        <w:t>led Groundwater Management project;</w:t>
      </w:r>
      <w:r>
        <w:t xml:space="preserve"> and</w:t>
      </w:r>
      <w:r w:rsidR="00242A6C">
        <w:t xml:space="preserve"> the UNICEF-</w:t>
      </w:r>
      <w:r w:rsidR="001C7F08">
        <w:t xml:space="preserve">led </w:t>
      </w:r>
      <w:r>
        <w:t>Water, Sanitation and Hyg</w:t>
      </w:r>
      <w:r w:rsidR="00610400">
        <w:t xml:space="preserve">iene </w:t>
      </w:r>
      <w:r w:rsidR="001C7F08">
        <w:t xml:space="preserve">(WASH) </w:t>
      </w:r>
      <w:r w:rsidR="00610400">
        <w:t>project</w:t>
      </w:r>
      <w:r>
        <w:t>.</w:t>
      </w:r>
      <w:r w:rsidR="00EA0947">
        <w:t xml:space="preserve"> </w:t>
      </w:r>
    </w:p>
    <w:p w:rsidR="00EE7D0B" w:rsidRDefault="00EA0947" w:rsidP="00EE7D0B">
      <w:pPr>
        <w:pStyle w:val="BodyText"/>
      </w:pPr>
      <w:r>
        <w:t xml:space="preserve">The new </w:t>
      </w:r>
      <w:r w:rsidR="00570432">
        <w:t xml:space="preserve">Mongolia </w:t>
      </w:r>
      <w:r>
        <w:t xml:space="preserve">Aid Investment Plan will focus </w:t>
      </w:r>
      <w:r w:rsidR="00570432">
        <w:t>on</w:t>
      </w:r>
      <w:r w:rsidR="002D2714">
        <w:t xml:space="preserve"> sectors where Australia has a strong track record, </w:t>
      </w:r>
      <w:r w:rsidR="00D60D12">
        <w:t>and ensure</w:t>
      </w:r>
      <w:r w:rsidR="002D2714">
        <w:t xml:space="preserve"> alignment with the priorities of the new Austra</w:t>
      </w:r>
      <w:r w:rsidR="00D60D12">
        <w:t>lian aid policy released in</w:t>
      </w:r>
      <w:r w:rsidR="002D2714">
        <w:t xml:space="preserve"> 2014</w:t>
      </w:r>
      <w:r w:rsidR="002D2714" w:rsidRPr="00242A6C">
        <w:rPr>
          <w:rStyle w:val="FootnoteReference"/>
          <w:rFonts w:ascii="Franklin Gothic Book" w:hAnsi="Franklin Gothic Book"/>
        </w:rPr>
        <w:footnoteReference w:id="6"/>
      </w:r>
      <w:r w:rsidR="00570432" w:rsidRPr="00242A6C">
        <w:t xml:space="preserve"> </w:t>
      </w:r>
      <w:r w:rsidR="00570432">
        <w:t>and</w:t>
      </w:r>
      <w:r w:rsidR="004508B3">
        <w:t xml:space="preserve"> Economic Diplomacy strategy for Mongolia. </w:t>
      </w:r>
      <w:r w:rsidR="00570432">
        <w:t xml:space="preserve">Australian investments in </w:t>
      </w:r>
      <w:r w:rsidR="00F25003">
        <w:t xml:space="preserve">Mongolia’s resources </w:t>
      </w:r>
      <w:r w:rsidR="00570432">
        <w:t>sector</w:t>
      </w:r>
      <w:r w:rsidR="00F25003">
        <w:t xml:space="preserve"> are experiencing major delays</w:t>
      </w:r>
      <w:r w:rsidR="009F1D43">
        <w:t xml:space="preserve"> in the</w:t>
      </w:r>
      <w:r w:rsidR="006D16AA">
        <w:t xml:space="preserve"> uncertain regulatory environment. Advocacy for transparent and predictable regulation, </w:t>
      </w:r>
      <w:r w:rsidR="00570432">
        <w:t>and</w:t>
      </w:r>
      <w:r w:rsidR="006D16AA">
        <w:t xml:space="preserve"> targeted development assistance, will increase Mongolia’s prosperity and broaden opportunities for Australian companies. </w:t>
      </w:r>
    </w:p>
    <w:p w:rsidR="000B5A68" w:rsidRDefault="000B5A68" w:rsidP="000B5A68">
      <w:pPr>
        <w:pStyle w:val="ListBullet"/>
        <w:numPr>
          <w:ilvl w:val="0"/>
          <w:numId w:val="0"/>
        </w:numPr>
      </w:pPr>
      <w:r w:rsidRPr="000C09AD">
        <w:rPr>
          <w:lang w:eastAsia="en-US"/>
        </w:rPr>
        <w:t xml:space="preserve">Mongolia’s donor landscape includes large credit and grant donors such as China, </w:t>
      </w:r>
      <w:r w:rsidR="008B6A9A">
        <w:rPr>
          <w:lang w:eastAsia="en-US"/>
        </w:rPr>
        <w:t xml:space="preserve">the </w:t>
      </w:r>
      <w:r w:rsidRPr="000C09AD">
        <w:rPr>
          <w:lang w:eastAsia="en-US"/>
        </w:rPr>
        <w:t xml:space="preserve">Japan International Cooperation Agency, </w:t>
      </w:r>
      <w:r w:rsidR="008B6A9A">
        <w:rPr>
          <w:lang w:eastAsia="en-US"/>
        </w:rPr>
        <w:t xml:space="preserve">the </w:t>
      </w:r>
      <w:r w:rsidRPr="000C09AD">
        <w:rPr>
          <w:lang w:eastAsia="en-US"/>
        </w:rPr>
        <w:t>US Millennium Challenge Corporation, Korea International Cooperation Agency</w:t>
      </w:r>
      <w:r>
        <w:rPr>
          <w:lang w:eastAsia="en-US"/>
        </w:rPr>
        <w:t xml:space="preserve"> </w:t>
      </w:r>
      <w:r w:rsidRPr="000C09AD">
        <w:rPr>
          <w:lang w:eastAsia="en-US"/>
        </w:rPr>
        <w:t>and Asian Development Bank</w:t>
      </w:r>
      <w:r>
        <w:rPr>
          <w:lang w:eastAsia="en-US"/>
        </w:rPr>
        <w:t xml:space="preserve">. </w:t>
      </w:r>
      <w:r w:rsidR="00242A6C">
        <w:rPr>
          <w:lang w:eastAsia="en-US"/>
        </w:rPr>
        <w:t>By budget A</w:t>
      </w:r>
      <w:r w:rsidRPr="000C09AD">
        <w:rPr>
          <w:lang w:eastAsia="en-US"/>
        </w:rPr>
        <w:t xml:space="preserve">ustralia ranks </w:t>
      </w:r>
      <w:r w:rsidR="0048082C">
        <w:rPr>
          <w:lang w:eastAsia="en-US"/>
        </w:rPr>
        <w:t>8</w:t>
      </w:r>
      <w:r w:rsidR="0048082C" w:rsidRPr="0048082C">
        <w:rPr>
          <w:vertAlign w:val="superscript"/>
          <w:lang w:eastAsia="en-US"/>
        </w:rPr>
        <w:t>th</w:t>
      </w:r>
      <w:r w:rsidR="0048082C">
        <w:rPr>
          <w:lang w:eastAsia="en-US"/>
        </w:rPr>
        <w:t xml:space="preserve"> among OECD D</w:t>
      </w:r>
      <w:r w:rsidR="00242A6C">
        <w:rPr>
          <w:lang w:eastAsia="en-US"/>
        </w:rPr>
        <w:t xml:space="preserve">evelopment </w:t>
      </w:r>
      <w:r w:rsidR="0048082C">
        <w:rPr>
          <w:lang w:eastAsia="en-US"/>
        </w:rPr>
        <w:t>A</w:t>
      </w:r>
      <w:r w:rsidR="00242A6C">
        <w:rPr>
          <w:lang w:eastAsia="en-US"/>
        </w:rPr>
        <w:t xml:space="preserve">ssistance </w:t>
      </w:r>
      <w:r w:rsidR="0048082C">
        <w:rPr>
          <w:lang w:eastAsia="en-US"/>
        </w:rPr>
        <w:t>C</w:t>
      </w:r>
      <w:r w:rsidR="00242A6C">
        <w:rPr>
          <w:lang w:eastAsia="en-US"/>
        </w:rPr>
        <w:t>ommittee</w:t>
      </w:r>
      <w:r w:rsidR="00C665B4">
        <w:rPr>
          <w:lang w:eastAsia="en-US"/>
        </w:rPr>
        <w:t xml:space="preserve"> donors</w:t>
      </w:r>
      <w:r w:rsidR="0048082C" w:rsidRPr="00242A6C">
        <w:rPr>
          <w:rStyle w:val="FootnoteReference"/>
          <w:rFonts w:ascii="Franklin Gothic Book" w:hAnsi="Franklin Gothic Book"/>
          <w:lang w:eastAsia="en-US"/>
        </w:rPr>
        <w:footnoteReference w:id="7"/>
      </w:r>
      <w:r w:rsidR="00C665B4">
        <w:rPr>
          <w:lang w:eastAsia="en-US"/>
        </w:rPr>
        <w:t xml:space="preserve"> </w:t>
      </w:r>
      <w:r w:rsidRPr="00242A6C">
        <w:rPr>
          <w:lang w:eastAsia="en-US"/>
        </w:rPr>
        <w:t>,</w:t>
      </w:r>
      <w:r w:rsidRPr="000C09AD">
        <w:rPr>
          <w:lang w:eastAsia="en-US"/>
        </w:rPr>
        <w:t xml:space="preserve"> </w:t>
      </w:r>
      <w:r w:rsidR="0048082C">
        <w:rPr>
          <w:lang w:eastAsia="en-US"/>
        </w:rPr>
        <w:t xml:space="preserve">but </w:t>
      </w:r>
      <w:r w:rsidR="00242A6C">
        <w:rPr>
          <w:lang w:eastAsia="en-US"/>
        </w:rPr>
        <w:t xml:space="preserve">is one </w:t>
      </w:r>
      <w:r w:rsidR="0048082C">
        <w:rPr>
          <w:lang w:eastAsia="en-US"/>
        </w:rPr>
        <w:t>of</w:t>
      </w:r>
      <w:r w:rsidRPr="000C09AD">
        <w:rPr>
          <w:lang w:eastAsia="en-US"/>
        </w:rPr>
        <w:t xml:space="preserve"> the largest grant donors</w:t>
      </w:r>
      <w:r>
        <w:rPr>
          <w:lang w:eastAsia="en-US"/>
        </w:rPr>
        <w:t>.</w:t>
      </w:r>
      <w:r w:rsidR="00E1028D">
        <w:rPr>
          <w:lang w:eastAsia="en-US"/>
        </w:rPr>
        <w:t xml:space="preserve"> Donor coordination by the Mongolian Government is limited. Australia is a leader in donor coordination activities </w:t>
      </w:r>
      <w:r w:rsidR="00242A6C">
        <w:rPr>
          <w:lang w:eastAsia="en-US"/>
        </w:rPr>
        <w:t>for the extractives sector. O</w:t>
      </w:r>
      <w:r w:rsidR="00E1028D">
        <w:rPr>
          <w:lang w:eastAsia="en-US"/>
        </w:rPr>
        <w:t>ur involvement will increase with the mobilisation of AMEP.</w:t>
      </w:r>
    </w:p>
    <w:p w:rsidR="000D733F" w:rsidRPr="009E38C1" w:rsidRDefault="000D733F" w:rsidP="000D733F">
      <w:pPr>
        <w:pStyle w:val="Heading2"/>
        <w:rPr>
          <w:sz w:val="28"/>
        </w:rPr>
      </w:pPr>
      <w:r w:rsidRPr="009E38C1">
        <w:rPr>
          <w:sz w:val="28"/>
        </w:rPr>
        <w:t>Expenditure</w:t>
      </w:r>
    </w:p>
    <w:p w:rsidR="001C5B06" w:rsidRPr="00DA681D" w:rsidRDefault="008B6A9A" w:rsidP="001C5B06">
      <w:pPr>
        <w:pStyle w:val="BodyText"/>
      </w:pPr>
      <w:bookmarkStart w:id="2" w:name="_Toc373853206"/>
      <w:r>
        <w:t>In 2013–</w:t>
      </w:r>
      <w:r w:rsidR="001C5B06" w:rsidRPr="00DA681D">
        <w:t xml:space="preserve">14, Australia’s </w:t>
      </w:r>
      <w:r w:rsidR="001C5B06">
        <w:t>bilateral</w:t>
      </w:r>
      <w:r w:rsidR="001C5B06" w:rsidRPr="00DA681D">
        <w:t xml:space="preserve"> aid to Mongolia totalled $9.6 million</w:t>
      </w:r>
      <w:r w:rsidR="001C5B06">
        <w:t>, up from</w:t>
      </w:r>
      <w:r>
        <w:t xml:space="preserve"> $6.7 million in 2012–</w:t>
      </w:r>
      <w:r w:rsidR="001C5B06" w:rsidRPr="00DA681D">
        <w:t xml:space="preserve">13. </w:t>
      </w:r>
      <w:r w:rsidR="001C5B06">
        <w:t xml:space="preserve">The budget reprioritisation process in late 2013 saw a decrease in the original bilateral allocation from $11 million to $9.6 million. This was accommodated through a small reduction in expenditure on </w:t>
      </w:r>
      <w:r w:rsidR="00AC0EFF">
        <w:t xml:space="preserve">the </w:t>
      </w:r>
      <w:r w:rsidR="001C5B06">
        <w:t>AAM</w:t>
      </w:r>
      <w:r w:rsidR="00AC0EFF">
        <w:t xml:space="preserve"> and</w:t>
      </w:r>
      <w:r w:rsidR="001C5B06">
        <w:t xml:space="preserve"> </w:t>
      </w:r>
      <w:r w:rsidR="00AC0EFF">
        <w:t xml:space="preserve">ending the </w:t>
      </w:r>
      <w:r w:rsidR="001C5B06">
        <w:t>WASH</w:t>
      </w:r>
      <w:r w:rsidR="00242A6C">
        <w:t xml:space="preserve"> project one</w:t>
      </w:r>
      <w:r w:rsidR="00AC0EFF">
        <w:t xml:space="preserve"> year early</w:t>
      </w:r>
      <w:r w:rsidR="001C5B06">
        <w:t xml:space="preserve">. Even so, the </w:t>
      </w:r>
      <w:r w:rsidR="00AC0EFF">
        <w:t xml:space="preserve">Mongolia </w:t>
      </w:r>
      <w:r w:rsidR="001C5B06">
        <w:t xml:space="preserve">program </w:t>
      </w:r>
      <w:r w:rsidR="00AC0EFF">
        <w:t xml:space="preserve">overall </w:t>
      </w:r>
      <w:r w:rsidR="001C5B06">
        <w:t>received a marked i</w:t>
      </w:r>
      <w:r>
        <w:t>ncrease in expenditure for 2012–</w:t>
      </w:r>
      <w:r w:rsidR="001C5B06">
        <w:t>13 on previous years, reflecting Australia’s stronger aid presence in Mongolia.</w:t>
      </w:r>
    </w:p>
    <w:p w:rsidR="00916507" w:rsidRDefault="006D16AA" w:rsidP="001C5B06">
      <w:pPr>
        <w:pStyle w:val="ListBullet"/>
        <w:numPr>
          <w:ilvl w:val="0"/>
          <w:numId w:val="0"/>
        </w:numPr>
      </w:pPr>
      <w:r>
        <w:t xml:space="preserve">Australia’s </w:t>
      </w:r>
      <w:r w:rsidR="00EE7D0B">
        <w:t>bilateral fi</w:t>
      </w:r>
      <w:r w:rsidR="008B6A9A">
        <w:t>nancial expenditure for FY 2013–</w:t>
      </w:r>
      <w:r w:rsidR="00EE7D0B">
        <w:t>14 is reported below.</w:t>
      </w:r>
      <w:r w:rsidR="00DF46FD">
        <w:t xml:space="preserve"> </w:t>
      </w:r>
    </w:p>
    <w:tbl>
      <w:tblPr>
        <w:tblStyle w:val="APPR"/>
        <w:tblpPr w:leftFromText="180" w:rightFromText="180" w:vertAnchor="text" w:horzAnchor="margin" w:tblpY="591"/>
        <w:tblW w:w="5000" w:type="pct"/>
        <w:tblLayout w:type="fixed"/>
        <w:tblLook w:val="0000" w:firstRow="0" w:lastRow="0" w:firstColumn="0" w:lastColumn="0" w:noHBand="0" w:noVBand="0"/>
      </w:tblPr>
      <w:tblGrid>
        <w:gridCol w:w="6226"/>
        <w:gridCol w:w="1033"/>
        <w:gridCol w:w="1518"/>
      </w:tblGrid>
      <w:tr w:rsidR="00BF15C1" w:rsidRPr="00180B19" w:rsidTr="00BF15C1">
        <w:trPr>
          <w:cnfStyle w:val="000000010000" w:firstRow="0" w:lastRow="0" w:firstColumn="0" w:lastColumn="0" w:oddVBand="0" w:evenVBand="0" w:oddHBand="0" w:evenHBand="1" w:firstRowFirstColumn="0" w:firstRowLastColumn="0" w:lastRowFirstColumn="0" w:lastRowLastColumn="0"/>
        </w:trPr>
        <w:tc>
          <w:tcPr>
            <w:tcW w:w="6184" w:type="dxa"/>
          </w:tcPr>
          <w:p w:rsidR="00BF15C1" w:rsidRPr="00180B19" w:rsidRDefault="00BF15C1" w:rsidP="00BF15C1">
            <w:pPr>
              <w:pStyle w:val="TableTextColumnHeading"/>
            </w:pPr>
            <w:r w:rsidRPr="00180B19">
              <w:t>Objective</w:t>
            </w:r>
          </w:p>
        </w:tc>
        <w:tc>
          <w:tcPr>
            <w:tcW w:w="1005" w:type="dxa"/>
          </w:tcPr>
          <w:p w:rsidR="00BF15C1" w:rsidRPr="00180B19" w:rsidRDefault="00BF15C1" w:rsidP="00BF15C1">
            <w:pPr>
              <w:pStyle w:val="TableTextColumnHeading"/>
            </w:pPr>
            <w:r w:rsidRPr="00180B19">
              <w:t>A$ million</w:t>
            </w:r>
          </w:p>
        </w:tc>
        <w:tc>
          <w:tcPr>
            <w:tcW w:w="1476" w:type="dxa"/>
          </w:tcPr>
          <w:p w:rsidR="00BF15C1" w:rsidRPr="00180B19" w:rsidRDefault="00BF15C1" w:rsidP="00BF15C1">
            <w:pPr>
              <w:pStyle w:val="TableTextColumnHeading"/>
            </w:pPr>
            <w:r w:rsidRPr="00180B19">
              <w:t>% of bilateral program</w:t>
            </w:r>
          </w:p>
        </w:tc>
      </w:tr>
      <w:tr w:rsidR="00BF15C1" w:rsidRPr="00180B19" w:rsidTr="00BF15C1">
        <w:trPr>
          <w:cnfStyle w:val="000000010000" w:firstRow="0" w:lastRow="0" w:firstColumn="0" w:lastColumn="0" w:oddVBand="0" w:evenVBand="0" w:oddHBand="0" w:evenHBand="1" w:firstRowFirstColumn="0" w:firstRowLastColumn="0" w:lastRowFirstColumn="0" w:lastRowLastColumn="0"/>
        </w:trPr>
        <w:tc>
          <w:tcPr>
            <w:tcW w:w="6184" w:type="dxa"/>
          </w:tcPr>
          <w:p w:rsidR="00BF15C1" w:rsidRPr="00C94AD7" w:rsidRDefault="00BF15C1" w:rsidP="00BF15C1">
            <w:pPr>
              <w:pStyle w:val="TableTextEntries"/>
            </w:pPr>
            <w:r w:rsidRPr="00C94AD7">
              <w:t>Objective 1</w:t>
            </w:r>
            <w:r>
              <w:t>: Through post gra</w:t>
            </w:r>
            <w:r w:rsidR="008B6A9A">
              <w:t>duate scholarships, Mongolia’s g</w:t>
            </w:r>
            <w:r>
              <w:t>overnment, civil society and private sector deliver better services.</w:t>
            </w:r>
          </w:p>
        </w:tc>
        <w:tc>
          <w:tcPr>
            <w:tcW w:w="1005" w:type="dxa"/>
          </w:tcPr>
          <w:p w:rsidR="00BF15C1" w:rsidRPr="00C94AD7" w:rsidRDefault="00BF15C1" w:rsidP="00BF15C1">
            <w:pPr>
              <w:pStyle w:val="TableTextEntries"/>
            </w:pPr>
            <w:r>
              <w:t>$4.845</w:t>
            </w:r>
          </w:p>
        </w:tc>
        <w:tc>
          <w:tcPr>
            <w:tcW w:w="1476" w:type="dxa"/>
          </w:tcPr>
          <w:p w:rsidR="00BF15C1" w:rsidRPr="00C94AD7" w:rsidRDefault="00BF15C1" w:rsidP="00BF15C1">
            <w:pPr>
              <w:pStyle w:val="TableTextEntries"/>
            </w:pPr>
            <w:r>
              <w:t>51%</w:t>
            </w:r>
          </w:p>
        </w:tc>
      </w:tr>
      <w:tr w:rsidR="00BF15C1" w:rsidRPr="00180B19" w:rsidTr="00BF15C1">
        <w:trPr>
          <w:cnfStyle w:val="000000010000" w:firstRow="0" w:lastRow="0" w:firstColumn="0" w:lastColumn="0" w:oddVBand="0" w:evenVBand="0" w:oddHBand="0" w:evenHBand="1" w:firstRowFirstColumn="0" w:firstRowLastColumn="0" w:lastRowFirstColumn="0" w:lastRowLastColumn="0"/>
        </w:trPr>
        <w:tc>
          <w:tcPr>
            <w:tcW w:w="6184" w:type="dxa"/>
          </w:tcPr>
          <w:p w:rsidR="00BF15C1" w:rsidRPr="00C94AD7" w:rsidRDefault="00BF15C1" w:rsidP="00BF15C1">
            <w:pPr>
              <w:pStyle w:val="TableTextEntries"/>
            </w:pPr>
            <w:r w:rsidRPr="00C94AD7">
              <w:t>Objective 2</w:t>
            </w:r>
            <w:r>
              <w:t>: Mongolians are benefitting from a sustainably-managed mining sector.</w:t>
            </w:r>
          </w:p>
        </w:tc>
        <w:tc>
          <w:tcPr>
            <w:tcW w:w="1005" w:type="dxa"/>
          </w:tcPr>
          <w:p w:rsidR="00BF15C1" w:rsidRPr="00C94AD7" w:rsidRDefault="00BF15C1" w:rsidP="00BF15C1">
            <w:pPr>
              <w:pStyle w:val="TableTextEntries"/>
            </w:pPr>
            <w:r>
              <w:t>$3.831</w:t>
            </w:r>
          </w:p>
        </w:tc>
        <w:tc>
          <w:tcPr>
            <w:tcW w:w="1476" w:type="dxa"/>
          </w:tcPr>
          <w:p w:rsidR="00BF15C1" w:rsidRPr="00C94AD7" w:rsidRDefault="00BF15C1" w:rsidP="00BF15C1">
            <w:pPr>
              <w:pStyle w:val="TableTextEntries"/>
            </w:pPr>
            <w:r>
              <w:t>40%</w:t>
            </w:r>
          </w:p>
        </w:tc>
      </w:tr>
      <w:tr w:rsidR="00BF15C1" w:rsidRPr="00180B19" w:rsidTr="00BF15C1">
        <w:trPr>
          <w:cnfStyle w:val="000000010000" w:firstRow="0" w:lastRow="0" w:firstColumn="0" w:lastColumn="0" w:oddVBand="0" w:evenVBand="0" w:oddHBand="0" w:evenHBand="1" w:firstRowFirstColumn="0" w:firstRowLastColumn="0" w:lastRowFirstColumn="0" w:lastRowLastColumn="0"/>
        </w:trPr>
        <w:tc>
          <w:tcPr>
            <w:tcW w:w="6184" w:type="dxa"/>
          </w:tcPr>
          <w:p w:rsidR="00BF15C1" w:rsidRPr="00C94AD7" w:rsidRDefault="00BF15C1" w:rsidP="00BF15C1">
            <w:pPr>
              <w:pStyle w:val="TableTextEntries"/>
            </w:pPr>
            <w:r w:rsidRPr="00C94AD7">
              <w:t>Objective 3</w:t>
            </w:r>
            <w:r>
              <w:t>: School communities are accessing improved water and sanitation and have improved hygiene practices.</w:t>
            </w:r>
          </w:p>
        </w:tc>
        <w:tc>
          <w:tcPr>
            <w:tcW w:w="1005" w:type="dxa"/>
          </w:tcPr>
          <w:p w:rsidR="00BF15C1" w:rsidRPr="00C94AD7" w:rsidRDefault="00BF15C1" w:rsidP="00BF15C1">
            <w:pPr>
              <w:pStyle w:val="TableTextEntries"/>
            </w:pPr>
            <w:r>
              <w:t>$0.80</w:t>
            </w:r>
          </w:p>
        </w:tc>
        <w:tc>
          <w:tcPr>
            <w:tcW w:w="1476" w:type="dxa"/>
          </w:tcPr>
          <w:p w:rsidR="00BF15C1" w:rsidRPr="00C94AD7" w:rsidRDefault="00BF15C1" w:rsidP="00BF15C1">
            <w:pPr>
              <w:pStyle w:val="TableTextEntries"/>
            </w:pPr>
            <w:r>
              <w:t>9%</w:t>
            </w:r>
          </w:p>
        </w:tc>
      </w:tr>
    </w:tbl>
    <w:p w:rsidR="00EE7D0B" w:rsidRPr="00BF15C1" w:rsidRDefault="00EE7D0B" w:rsidP="00BF15C1">
      <w:pPr>
        <w:pStyle w:val="Caption"/>
      </w:pPr>
      <w:r>
        <w:t xml:space="preserve">Table </w:t>
      </w:r>
      <w:fldSimple w:instr=" SEQ Table \* ARABIC ">
        <w:r w:rsidR="00165EBF">
          <w:rPr>
            <w:noProof/>
          </w:rPr>
          <w:t>1</w:t>
        </w:r>
      </w:fldSimple>
      <w:r w:rsidR="00242A6C">
        <w:rPr>
          <w:noProof/>
        </w:rPr>
        <w:t>:</w:t>
      </w:r>
      <w:r w:rsidR="008B6A9A">
        <w:t xml:space="preserve"> Expenditure in FY 2013–</w:t>
      </w:r>
      <w:r>
        <w:t>14</w:t>
      </w:r>
    </w:p>
    <w:p w:rsidR="006D16AA" w:rsidRDefault="006D16AA" w:rsidP="006D16AA">
      <w:pPr>
        <w:pStyle w:val="ListBullet"/>
        <w:numPr>
          <w:ilvl w:val="0"/>
          <w:numId w:val="0"/>
        </w:numPr>
      </w:pPr>
    </w:p>
    <w:p w:rsidR="006D16AA" w:rsidRPr="006D16AA" w:rsidRDefault="006D16AA" w:rsidP="006D16AA">
      <w:pPr>
        <w:pStyle w:val="ListBullet"/>
        <w:numPr>
          <w:ilvl w:val="0"/>
          <w:numId w:val="0"/>
        </w:numPr>
      </w:pPr>
      <w:r w:rsidRPr="00DA681D">
        <w:t xml:space="preserve">Other assistance through Australia’s regional and global programs and through </w:t>
      </w:r>
      <w:r>
        <w:t>whole-of-government partners</w:t>
      </w:r>
      <w:r w:rsidRPr="00DA681D">
        <w:t xml:space="preserve"> brought Australia’s total offic</w:t>
      </w:r>
      <w:r>
        <w:t>ial development assistance</w:t>
      </w:r>
      <w:r w:rsidRPr="00DA681D">
        <w:t xml:space="preserve"> to an estimated $16.7 million</w:t>
      </w:r>
      <w:r w:rsidR="008B6A9A">
        <w:t xml:space="preserve"> in 2013–</w:t>
      </w:r>
      <w:r>
        <w:t>14. This is up from $14.6</w:t>
      </w:r>
      <w:r w:rsidR="008B6A9A">
        <w:t xml:space="preserve"> million in 2012–</w:t>
      </w:r>
      <w:r w:rsidR="00242A6C">
        <w:t>13. Non-</w:t>
      </w:r>
      <w:r>
        <w:t xml:space="preserve">bilateral activities </w:t>
      </w:r>
      <w:r>
        <w:lastRenderedPageBreak/>
        <w:t>include centrally-funded scholarships and fellowships, Australian Volunteers for International Development, Government Partnerships for Development, training through the International Mining for Development Centre, the Australian Development Research Awards Scheme, regional funding for the Asia Foundation, the Direct Aid Program, and the NGO Cooperation Program.</w:t>
      </w:r>
    </w:p>
    <w:p w:rsidR="000D733F" w:rsidRPr="00757BAA" w:rsidRDefault="000D733F" w:rsidP="000D733F">
      <w:pPr>
        <w:pStyle w:val="Heading3"/>
        <w:rPr>
          <w:rStyle w:val="BodyTextChar"/>
          <w:b w:val="0"/>
          <w:color w:val="auto"/>
        </w:rPr>
      </w:pPr>
      <w:r w:rsidRPr="009E38C1">
        <w:rPr>
          <w:b w:val="0"/>
          <w:color w:val="007FAD"/>
          <w:sz w:val="28"/>
          <w:szCs w:val="28"/>
          <w:lang w:eastAsia="en-AU"/>
        </w:rPr>
        <w:t>Progress towards objectives</w:t>
      </w:r>
      <w:r>
        <w:rPr>
          <w:sz w:val="32"/>
          <w:szCs w:val="32"/>
        </w:rPr>
        <w:tab/>
      </w:r>
    </w:p>
    <w:p w:rsidR="000D733F" w:rsidRDefault="000D733F" w:rsidP="000D733F">
      <w:pPr>
        <w:pStyle w:val="Caption"/>
      </w:pPr>
      <w:r>
        <w:t xml:space="preserve">Table </w:t>
      </w:r>
      <w:fldSimple w:instr=" SEQ Table \* ARABIC ">
        <w:r w:rsidR="00165EBF">
          <w:rPr>
            <w:noProof/>
          </w:rPr>
          <w:t>2</w:t>
        </w:r>
      </w:fldSimple>
      <w:r w:rsidR="00C665B4">
        <w:rPr>
          <w:noProof/>
        </w:rPr>
        <w:t>:</w:t>
      </w:r>
      <w:r>
        <w:t xml:space="preserve"> Rating of the program's progress towards Australia’s </w:t>
      </w:r>
      <w:r w:rsidR="00D206B3">
        <w:t xml:space="preserve">aid </w:t>
      </w:r>
      <w:r>
        <w:t>objectives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5426225B" wp14:editId="5600ED86">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0D733F" w:rsidRPr="0019341B" w:rsidRDefault="004F4630" w:rsidP="000D733F">
            <w:pPr>
              <w:pStyle w:val="TableTextColumnHeading"/>
            </w:pPr>
            <w:r>
              <w:t>Previous Rating</w:t>
            </w:r>
          </w:p>
        </w:tc>
        <w:tc>
          <w:tcPr>
            <w:tcW w:w="388" w:type="dxa"/>
          </w:tcPr>
          <w:p w:rsidR="000D733F" w:rsidRDefault="000D733F" w:rsidP="000D733F">
            <w:pPr>
              <w:pStyle w:val="TableTextColumnHeading"/>
            </w:pPr>
          </w:p>
        </w:tc>
        <w:tc>
          <w:tcPr>
            <w:tcW w:w="1021" w:type="dxa"/>
          </w:tcPr>
          <w:p w:rsidR="000D733F" w:rsidRPr="0019341B" w:rsidRDefault="004F4630" w:rsidP="000D733F">
            <w:pPr>
              <w:pStyle w:val="TableTextColumnHeading"/>
            </w:pPr>
            <w:r>
              <w:t>Current Rating</w:t>
            </w:r>
          </w:p>
        </w:tc>
      </w:tr>
      <w:tr w:rsidR="000D733F" w:rsidRPr="009D53C4" w:rsidTr="00EE7D0B">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0D733F" w:rsidP="00BD6ABA">
            <w:pPr>
              <w:pStyle w:val="TableTextEntries"/>
            </w:pPr>
            <w:r>
              <w:t>Objective 1</w:t>
            </w:r>
            <w:r w:rsidR="00EE7D0B">
              <w:t xml:space="preserve">: </w:t>
            </w:r>
            <w:r w:rsidR="001C7F08">
              <w:t>Through post gra</w:t>
            </w:r>
            <w:r w:rsidR="008B6A9A">
              <w:t>duate scholarships, Mongolia’s g</w:t>
            </w:r>
            <w:r w:rsidR="001C7F08">
              <w:t>overnment, civil society and private sector deliver better services.</w:t>
            </w:r>
          </w:p>
        </w:tc>
        <w:tc>
          <w:tcPr>
            <w:tcW w:w="972" w:type="dxa"/>
            <w:shd w:val="clear" w:color="auto" w:fill="92D050"/>
            <w:noWrap/>
          </w:tcPr>
          <w:p w:rsidR="000D733F" w:rsidRPr="00443639" w:rsidRDefault="000D733F" w:rsidP="000D733F">
            <w:pPr>
              <w:pStyle w:val="TableTextEntries"/>
              <w:jc w:val="center"/>
              <w:rPr>
                <w:color w:val="FFFFFF" w:themeColor="background1"/>
              </w:rPr>
            </w:pPr>
            <w:r w:rsidRPr="00443639">
              <w:rPr>
                <w:color w:val="FFFFFF" w:themeColor="background1"/>
              </w:rPr>
              <w:t>Green</w:t>
            </w:r>
          </w:p>
        </w:tc>
        <w:tc>
          <w:tcPr>
            <w:tcW w:w="388" w:type="dxa"/>
            <w:shd w:val="clear" w:color="auto" w:fill="FFFFFF" w:themeFill="background1"/>
          </w:tcPr>
          <w:p w:rsidR="000D733F" w:rsidRPr="00443639" w:rsidRDefault="000D733F" w:rsidP="000D733F">
            <w:pPr>
              <w:pStyle w:val="TableTextEntries"/>
              <w:jc w:val="center"/>
              <w:rPr>
                <w:color w:val="FFFFFF" w:themeColor="background1"/>
              </w:rPr>
            </w:pPr>
          </w:p>
        </w:tc>
        <w:tc>
          <w:tcPr>
            <w:tcW w:w="1021" w:type="dxa"/>
            <w:shd w:val="clear" w:color="auto" w:fill="92D050"/>
            <w:noWrap/>
          </w:tcPr>
          <w:p w:rsidR="000D733F" w:rsidRPr="00443639" w:rsidRDefault="00EE7D0B" w:rsidP="000D733F">
            <w:pPr>
              <w:pStyle w:val="TableTextEntries"/>
              <w:jc w:val="center"/>
              <w:rPr>
                <w:color w:val="FFFFFF" w:themeColor="background1"/>
              </w:rPr>
            </w:pPr>
            <w:r>
              <w:rPr>
                <w:color w:val="FFFFFF" w:themeColor="background1"/>
              </w:rPr>
              <w:t>Green</w:t>
            </w:r>
          </w:p>
        </w:tc>
      </w:tr>
      <w:tr w:rsidR="000D733F" w:rsidRPr="009D53C4" w:rsidTr="00267BBD">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0D733F" w:rsidP="00BD6ABA">
            <w:pPr>
              <w:pStyle w:val="TableTextEntries"/>
            </w:pPr>
            <w:r>
              <w:t>Objective 2</w:t>
            </w:r>
            <w:r w:rsidR="00EE7D0B">
              <w:t xml:space="preserve">: </w:t>
            </w:r>
            <w:r w:rsidR="001C7F08">
              <w:t>Mongolians are benefitting from a sustainably-managed mining sector.</w:t>
            </w:r>
          </w:p>
        </w:tc>
        <w:tc>
          <w:tcPr>
            <w:tcW w:w="972" w:type="dxa"/>
            <w:shd w:val="clear" w:color="auto" w:fill="E36C0A" w:themeFill="accent6" w:themeFillShade="BF"/>
            <w:noWrap/>
          </w:tcPr>
          <w:p w:rsidR="000D733F" w:rsidRPr="00443639" w:rsidRDefault="00267BBD" w:rsidP="000D733F">
            <w:pPr>
              <w:pStyle w:val="TableTextEntries"/>
              <w:jc w:val="center"/>
              <w:rPr>
                <w:color w:val="FFFFFF" w:themeColor="background1"/>
              </w:rPr>
            </w:pPr>
            <w:r>
              <w:rPr>
                <w:color w:val="FFFFFF" w:themeColor="background1"/>
              </w:rPr>
              <w:t>Amber</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themeFill="accent6" w:themeFillShade="BF"/>
            <w:noWrap/>
          </w:tcPr>
          <w:p w:rsidR="000D733F" w:rsidRPr="00443639" w:rsidRDefault="00267BBD" w:rsidP="000D733F">
            <w:pPr>
              <w:pStyle w:val="TableTextEntries"/>
              <w:jc w:val="center"/>
              <w:rPr>
                <w:color w:val="FFFFFF" w:themeColor="background1"/>
              </w:rPr>
            </w:pPr>
            <w:r>
              <w:rPr>
                <w:color w:val="FFFFFF" w:themeColor="background1"/>
              </w:rPr>
              <w:t>Amber</w:t>
            </w:r>
          </w:p>
        </w:tc>
      </w:tr>
      <w:tr w:rsidR="000D733F" w:rsidRPr="009D53C4" w:rsidTr="00EE7D0B">
        <w:trPr>
          <w:cnfStyle w:val="000000010000" w:firstRow="0" w:lastRow="0" w:firstColumn="0" w:lastColumn="0" w:oddVBand="0" w:evenVBand="0" w:oddHBand="0" w:evenHBand="1" w:firstRowFirstColumn="0" w:firstRowLastColumn="0" w:lastRowFirstColumn="0" w:lastRowLastColumn="0"/>
        </w:trPr>
        <w:tc>
          <w:tcPr>
            <w:tcW w:w="6029" w:type="dxa"/>
          </w:tcPr>
          <w:p w:rsidR="000D733F" w:rsidRDefault="000D733F" w:rsidP="00BD6ABA">
            <w:pPr>
              <w:pStyle w:val="TableTextEntries"/>
            </w:pPr>
            <w:r>
              <w:t>Objective 3</w:t>
            </w:r>
            <w:r w:rsidR="00EE7D0B">
              <w:t xml:space="preserve">: </w:t>
            </w:r>
            <w:r w:rsidR="001C7F08">
              <w:t>School communities are accessing improved water and sanitation and have improved hygiene practices.</w:t>
            </w:r>
          </w:p>
        </w:tc>
        <w:tc>
          <w:tcPr>
            <w:tcW w:w="972" w:type="dxa"/>
            <w:shd w:val="clear" w:color="auto" w:fill="92D050"/>
            <w:noWrap/>
          </w:tcPr>
          <w:p w:rsidR="000D733F" w:rsidRPr="00443639" w:rsidRDefault="00EE7D0B" w:rsidP="000D733F">
            <w:pPr>
              <w:pStyle w:val="TableTextEntries"/>
              <w:jc w:val="center"/>
              <w:rPr>
                <w:color w:val="FFFFFF" w:themeColor="background1"/>
              </w:rPr>
            </w:pPr>
            <w:r>
              <w:rPr>
                <w:color w:val="FFFFFF" w:themeColor="background1"/>
              </w:rPr>
              <w:t>Green</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92D050"/>
            <w:noWrap/>
          </w:tcPr>
          <w:p w:rsidR="000D733F" w:rsidRPr="00443639" w:rsidRDefault="00EE7D0B" w:rsidP="000D733F">
            <w:pPr>
              <w:pStyle w:val="TableTextEntries"/>
              <w:jc w:val="center"/>
              <w:rPr>
                <w:color w:val="FFFFFF" w:themeColor="background1"/>
              </w:rPr>
            </w:pPr>
            <w:r>
              <w:rPr>
                <w:color w:val="FFFFFF" w:themeColor="background1"/>
              </w:rPr>
              <w:t>Green</w:t>
            </w:r>
          </w:p>
        </w:tc>
      </w:tr>
    </w:tbl>
    <w:p w:rsidR="000D733F" w:rsidRPr="00180B19" w:rsidRDefault="000D733F" w:rsidP="000D733F">
      <w:pPr>
        <w:pStyle w:val="Note"/>
      </w:pPr>
      <w:r w:rsidRPr="00180B19">
        <w:t xml:space="preserve">Note: </w:t>
      </w:r>
    </w:p>
    <w:p w:rsidR="000D733F" w:rsidRPr="00180B19" w:rsidRDefault="000D733F" w:rsidP="000D733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0D733F" w:rsidRDefault="000D733F" w:rsidP="000D733F">
      <w:pPr>
        <w:pStyle w:val="Note"/>
      </w:pPr>
      <w:r>
        <w:t xml:space="preserve">Reporting period: </w:t>
      </w:r>
      <w:r w:rsidRPr="00180B19">
        <w:t xml:space="preserve"> </w:t>
      </w:r>
    </w:p>
    <w:p w:rsidR="000D733F" w:rsidRDefault="000D733F">
      <w:pPr>
        <w:rPr>
          <w:rFonts w:ascii="Helvetica" w:hAnsi="Helvetica" w:cs="Arial"/>
          <w:color w:val="0C7DAF"/>
          <w:kern w:val="28"/>
          <w:szCs w:val="28"/>
        </w:rPr>
      </w:pPr>
    </w:p>
    <w:p w:rsidR="001C7F08" w:rsidRDefault="000D733F" w:rsidP="000D733F">
      <w:pPr>
        <w:pStyle w:val="Heading3"/>
      </w:pPr>
      <w:r w:rsidRPr="00C57923">
        <w:t xml:space="preserve">Objective </w:t>
      </w:r>
      <w:r w:rsidR="00CF046A">
        <w:t>1</w:t>
      </w:r>
      <w:r w:rsidR="0007008E">
        <w:t xml:space="preserve">: </w:t>
      </w:r>
      <w:r w:rsidR="001C7F08">
        <w:t xml:space="preserve">Through </w:t>
      </w:r>
      <w:r w:rsidR="00242A6C">
        <w:t>post</w:t>
      </w:r>
      <w:r w:rsidR="001C7F08">
        <w:t>gra</w:t>
      </w:r>
      <w:r w:rsidR="008B6A9A">
        <w:t>duate scholarships, Mongolia’s g</w:t>
      </w:r>
      <w:r w:rsidR="001C7F08">
        <w:t>overnment, civil society and private sector deliver better services.</w:t>
      </w:r>
    </w:p>
    <w:p w:rsidR="00EE7D0B" w:rsidRPr="001C7F08" w:rsidRDefault="00AC0EFF" w:rsidP="000D733F">
      <w:pPr>
        <w:pStyle w:val="Heading3"/>
        <w:rPr>
          <w:rFonts w:ascii="Franklin Gothic Book" w:hAnsi="Franklin Gothic Book" w:cs="Times New Roman"/>
          <w:b w:val="0"/>
          <w:i/>
          <w:color w:val="auto"/>
          <w:kern w:val="0"/>
          <w:sz w:val="21"/>
          <w:szCs w:val="24"/>
          <w:lang w:eastAsia="en-AU"/>
        </w:rPr>
      </w:pPr>
      <w:r w:rsidRPr="00F212FF">
        <w:rPr>
          <w:rFonts w:ascii="Franklin Gothic Book" w:hAnsi="Franklin Gothic Book" w:cs="Times New Roman"/>
          <w:b w:val="0"/>
          <w:i/>
          <w:color w:val="auto"/>
          <w:kern w:val="0"/>
          <w:sz w:val="21"/>
          <w:szCs w:val="24"/>
          <w:u w:val="single"/>
          <w:lang w:eastAsia="en-AU"/>
        </w:rPr>
        <w:t>Contributing initiative: Australia Awards in Mongolia Program</w:t>
      </w:r>
      <w:r w:rsidRPr="00F212FF">
        <w:rPr>
          <w:rFonts w:ascii="Franklin Gothic Book" w:hAnsi="Franklin Gothic Book" w:cs="Times New Roman"/>
          <w:b w:val="0"/>
          <w:i/>
          <w:color w:val="auto"/>
          <w:kern w:val="0"/>
          <w:sz w:val="21"/>
          <w:szCs w:val="24"/>
          <w:u w:val="single"/>
          <w:lang w:eastAsia="en-AU"/>
        </w:rPr>
        <w:br/>
      </w:r>
      <w:r w:rsidR="001C7F08" w:rsidRPr="001C7F08">
        <w:rPr>
          <w:rFonts w:ascii="Franklin Gothic Book" w:hAnsi="Franklin Gothic Book" w:cs="Times New Roman"/>
          <w:b w:val="0"/>
          <w:i/>
          <w:color w:val="auto"/>
          <w:kern w:val="0"/>
          <w:sz w:val="21"/>
          <w:szCs w:val="24"/>
          <w:lang w:eastAsia="en-AU"/>
        </w:rPr>
        <w:t xml:space="preserve">End of Initiative outcome: </w:t>
      </w:r>
      <w:r w:rsidR="00242A6C">
        <w:rPr>
          <w:rFonts w:ascii="Franklin Gothic Book" w:hAnsi="Franklin Gothic Book" w:cs="Times New Roman"/>
          <w:b w:val="0"/>
          <w:i/>
          <w:color w:val="auto"/>
          <w:kern w:val="0"/>
          <w:sz w:val="21"/>
          <w:szCs w:val="24"/>
          <w:lang w:eastAsia="en-AU"/>
        </w:rPr>
        <w:t>Returned post</w:t>
      </w:r>
      <w:r w:rsidR="00BD6ABA" w:rsidRPr="001C7F08">
        <w:rPr>
          <w:rFonts w:ascii="Franklin Gothic Book" w:hAnsi="Franklin Gothic Book" w:cs="Times New Roman"/>
          <w:b w:val="0"/>
          <w:i/>
          <w:color w:val="auto"/>
          <w:kern w:val="0"/>
          <w:sz w:val="21"/>
          <w:szCs w:val="24"/>
          <w:lang w:eastAsia="en-AU"/>
        </w:rPr>
        <w:t xml:space="preserve">graduate qualified scholars are contributing </w:t>
      </w:r>
      <w:r w:rsidR="00C665B4">
        <w:rPr>
          <w:rFonts w:ascii="Franklin Gothic Book" w:hAnsi="Franklin Gothic Book" w:cs="Times New Roman"/>
          <w:b w:val="0"/>
          <w:i/>
          <w:color w:val="auto"/>
          <w:kern w:val="0"/>
          <w:sz w:val="21"/>
          <w:szCs w:val="24"/>
          <w:lang w:eastAsia="en-AU"/>
        </w:rPr>
        <w:t>to priority development sectors.</w:t>
      </w:r>
      <w:r w:rsidR="00BD6ABA" w:rsidRPr="001C7F08">
        <w:rPr>
          <w:rFonts w:ascii="Franklin Gothic Book" w:hAnsi="Franklin Gothic Book" w:cs="Times New Roman"/>
          <w:b w:val="0"/>
          <w:i/>
          <w:color w:val="auto"/>
          <w:kern w:val="0"/>
          <w:sz w:val="21"/>
          <w:szCs w:val="24"/>
          <w:lang w:eastAsia="en-AU"/>
        </w:rPr>
        <w:t xml:space="preserve"> </w:t>
      </w:r>
    </w:p>
    <w:p w:rsidR="00DB1327" w:rsidRDefault="00BF15C1" w:rsidP="0007008E">
      <w:pPr>
        <w:pStyle w:val="BodyText"/>
      </w:pPr>
      <w:r>
        <w:t xml:space="preserve">The </w:t>
      </w:r>
      <w:r w:rsidR="0007008E">
        <w:t xml:space="preserve">Australia Awards program is the </w:t>
      </w:r>
      <w:r w:rsidR="00242A6C">
        <w:t>longest-</w:t>
      </w:r>
      <w:r>
        <w:t>standing Australian aid p</w:t>
      </w:r>
      <w:r w:rsidR="0007008E">
        <w:t>rogram to Mongolia</w:t>
      </w:r>
      <w:r w:rsidR="00A40C72">
        <w:t xml:space="preserve"> and is highly regarded by the Mongolian government</w:t>
      </w:r>
      <w:r>
        <w:t>. Over</w:t>
      </w:r>
      <w:r w:rsidR="0007008E">
        <w:t xml:space="preserve"> 399 </w:t>
      </w:r>
      <w:r>
        <w:t xml:space="preserve">scholarships have been awarded </w:t>
      </w:r>
      <w:r w:rsidR="001C7F08">
        <w:t xml:space="preserve">since </w:t>
      </w:r>
      <w:r w:rsidR="00A40C72">
        <w:t>the program began in</w:t>
      </w:r>
      <w:r w:rsidR="008B6A9A">
        <w:t xml:space="preserve"> the 1990s. </w:t>
      </w:r>
      <w:r w:rsidR="00DB1327">
        <w:t>The ‘Mozzies’ alumni association is active in promoting Australia and the Australia Awards.</w:t>
      </w:r>
      <w:r w:rsidR="00331848">
        <w:t xml:space="preserve"> In 2013–14 there were 18 alumni events with almost all </w:t>
      </w:r>
      <w:r w:rsidR="008F238E">
        <w:t>receiving</w:t>
      </w:r>
      <w:r w:rsidR="00331848">
        <w:t xml:space="preserve"> high-level </w:t>
      </w:r>
      <w:r w:rsidR="008F7202">
        <w:t xml:space="preserve">representation from </w:t>
      </w:r>
      <w:r w:rsidR="00331848">
        <w:t>Australian and Mongolian government</w:t>
      </w:r>
      <w:r w:rsidR="008F7202">
        <w:t xml:space="preserve"> officials</w:t>
      </w:r>
      <w:r w:rsidR="00331848">
        <w:t>.</w:t>
      </w:r>
    </w:p>
    <w:p w:rsidR="001772BE" w:rsidRDefault="008F238E" w:rsidP="0007008E">
      <w:pPr>
        <w:pStyle w:val="BodyText"/>
      </w:pPr>
      <w:r>
        <w:t>In 2013–</w:t>
      </w:r>
      <w:r w:rsidR="00A40C72">
        <w:t xml:space="preserve">14, </w:t>
      </w:r>
      <w:r w:rsidR="001772BE">
        <w:t xml:space="preserve">scholarships were provided to </w:t>
      </w:r>
      <w:r>
        <w:t xml:space="preserve">43 </w:t>
      </w:r>
      <w:r w:rsidR="001772BE">
        <w:t>Mongolians</w:t>
      </w:r>
      <w:r w:rsidR="001772BE" w:rsidRPr="001772BE">
        <w:t xml:space="preserve"> </w:t>
      </w:r>
      <w:r w:rsidR="00A40C72">
        <w:t>—55</w:t>
      </w:r>
      <w:r w:rsidR="001772BE">
        <w:t xml:space="preserve"> per</w:t>
      </w:r>
      <w:r w:rsidR="00533CB4">
        <w:t xml:space="preserve"> </w:t>
      </w:r>
      <w:r w:rsidR="001772BE">
        <w:t>cent to the public sector and 45 per</w:t>
      </w:r>
      <w:r w:rsidR="00533CB4">
        <w:t xml:space="preserve"> </w:t>
      </w:r>
      <w:r w:rsidR="001772BE">
        <w:t xml:space="preserve">cent to civil society and the private sector. </w:t>
      </w:r>
      <w:r w:rsidR="001C7F08">
        <w:t>The</w:t>
      </w:r>
      <w:r w:rsidR="00BD47D8">
        <w:t xml:space="preserve"> </w:t>
      </w:r>
      <w:r w:rsidR="00BD47D8" w:rsidRPr="003F190A">
        <w:rPr>
          <w:b/>
        </w:rPr>
        <w:t>green</w:t>
      </w:r>
      <w:r w:rsidR="001C7F08" w:rsidRPr="003F190A">
        <w:rPr>
          <w:b/>
        </w:rPr>
        <w:t xml:space="preserve"> rating for this objective</w:t>
      </w:r>
      <w:r w:rsidR="001C7F08">
        <w:t xml:space="preserve"> reflects t</w:t>
      </w:r>
      <w:r w:rsidR="00BF15C1">
        <w:t>he successful implementation</w:t>
      </w:r>
      <w:r w:rsidR="00BD6ABA">
        <w:t xml:space="preserve"> of the new phase of the </w:t>
      </w:r>
      <w:r>
        <w:t xml:space="preserve">AAM </w:t>
      </w:r>
      <w:r w:rsidR="00C665B4">
        <w:t>program.</w:t>
      </w:r>
    </w:p>
    <w:p w:rsidR="00BD47D8" w:rsidRDefault="00BD6ABA" w:rsidP="0007008E">
      <w:pPr>
        <w:pStyle w:val="BodyText"/>
      </w:pPr>
      <w:r>
        <w:t xml:space="preserve">The new phase of the program commenced from 1 July 2013 and built on </w:t>
      </w:r>
      <w:r w:rsidR="008F238E">
        <w:t>past</w:t>
      </w:r>
      <w:r w:rsidR="001C7F08">
        <w:t xml:space="preserve"> strengths while also implementing</w:t>
      </w:r>
      <w:r>
        <w:t xml:space="preserve"> improvements based on lessons le</w:t>
      </w:r>
      <w:r w:rsidR="001772BE">
        <w:t>arnt. This phase</w:t>
      </w:r>
      <w:r w:rsidR="008F238E">
        <w:t>:</w:t>
      </w:r>
      <w:r w:rsidR="001772BE">
        <w:t xml:space="preserve"> introduced new </w:t>
      </w:r>
      <w:r>
        <w:t>priority se</w:t>
      </w:r>
      <w:r w:rsidR="00242A6C">
        <w:t>ctors for study; improved merit-</w:t>
      </w:r>
      <w:r>
        <w:t xml:space="preserve">based selection processes; reformed </w:t>
      </w:r>
      <w:r w:rsidR="001772BE">
        <w:t>the</w:t>
      </w:r>
      <w:r>
        <w:t xml:space="preserve"> English language training</w:t>
      </w:r>
      <w:r w:rsidR="002D6B1E">
        <w:t>;</w:t>
      </w:r>
      <w:r>
        <w:t xml:space="preserve"> introd</w:t>
      </w:r>
      <w:r w:rsidR="001772BE">
        <w:t>uced</w:t>
      </w:r>
      <w:r>
        <w:t xml:space="preserve"> new activities to support alumni and women’s professional development</w:t>
      </w:r>
      <w:r w:rsidR="001772BE">
        <w:t xml:space="preserve">; and </w:t>
      </w:r>
      <w:r w:rsidR="002D6B1E">
        <w:t>focus</w:t>
      </w:r>
      <w:r w:rsidR="008F238E">
        <w:t>ed</w:t>
      </w:r>
      <w:r w:rsidR="002D6B1E">
        <w:t xml:space="preserve"> on </w:t>
      </w:r>
      <w:r w:rsidR="008F238E">
        <w:t xml:space="preserve">increasing </w:t>
      </w:r>
      <w:r w:rsidR="002D6B1E">
        <w:t>participation and applications</w:t>
      </w:r>
      <w:r w:rsidR="008F238E">
        <w:t xml:space="preserve"> from</w:t>
      </w:r>
      <w:r w:rsidR="008F238E" w:rsidRPr="008F238E">
        <w:t xml:space="preserve"> </w:t>
      </w:r>
      <w:r w:rsidR="008F238E">
        <w:t>provincial areas</w:t>
      </w:r>
      <w:r>
        <w:t>.</w:t>
      </w:r>
    </w:p>
    <w:p w:rsidR="00BD6ABA" w:rsidRDefault="00BD6ABA" w:rsidP="0007008E">
      <w:pPr>
        <w:pStyle w:val="BodyText"/>
      </w:pPr>
      <w:r>
        <w:t xml:space="preserve">In 2013, the </w:t>
      </w:r>
      <w:r w:rsidR="008F238E">
        <w:t>implementation service provider</w:t>
      </w:r>
      <w:r>
        <w:t xml:space="preserve"> </w:t>
      </w:r>
      <w:r w:rsidR="008F238E">
        <w:t xml:space="preserve">(ISP) </w:t>
      </w:r>
      <w:r>
        <w:t>undertook a Human Resource Needs Analysis</w:t>
      </w:r>
      <w:r w:rsidR="008F238E">
        <w:t>.</w:t>
      </w:r>
      <w:r>
        <w:t xml:space="preserve"> </w:t>
      </w:r>
      <w:r w:rsidR="008F238E">
        <w:t>The analysis identified</w:t>
      </w:r>
      <w:r>
        <w:t xml:space="preserve"> </w:t>
      </w:r>
      <w:r w:rsidR="001772BE">
        <w:t xml:space="preserve">priority </w:t>
      </w:r>
      <w:r>
        <w:t>sectors for support</w:t>
      </w:r>
      <w:r w:rsidR="001772BE" w:rsidRPr="001772BE">
        <w:t xml:space="preserve"> </w:t>
      </w:r>
      <w:r w:rsidR="001772BE">
        <w:t>to ensure the alumni’s qualifications contribute to the development of Mongolia</w:t>
      </w:r>
      <w:r w:rsidR="00DB1327">
        <w:t xml:space="preserve">, and provide support to economic sectors other than </w:t>
      </w:r>
      <w:r w:rsidR="00DB1327">
        <w:lastRenderedPageBreak/>
        <w:t>mining to help diversify Mongolia’s economy</w:t>
      </w:r>
      <w:r>
        <w:t xml:space="preserve">. </w:t>
      </w:r>
      <w:r w:rsidR="001772BE">
        <w:t>The</w:t>
      </w:r>
      <w:r>
        <w:t xml:space="preserve"> priority sectors </w:t>
      </w:r>
      <w:r w:rsidR="001772BE">
        <w:t>were endorsed by the Government of Mongolia</w:t>
      </w:r>
      <w:r w:rsidR="001772BE" w:rsidRPr="00242A6C">
        <w:rPr>
          <w:rStyle w:val="FootnoteReference"/>
          <w:rFonts w:ascii="Franklin Gothic Book" w:hAnsi="Franklin Gothic Book"/>
        </w:rPr>
        <w:footnoteReference w:id="8"/>
      </w:r>
      <w:r w:rsidR="001772BE" w:rsidRPr="00242A6C">
        <w:t xml:space="preserve"> </w:t>
      </w:r>
      <w:r w:rsidR="001772BE">
        <w:t xml:space="preserve">and </w:t>
      </w:r>
      <w:r>
        <w:t>guided the sel</w:t>
      </w:r>
      <w:r w:rsidR="008F7202">
        <w:t>ection process for 2015</w:t>
      </w:r>
      <w:r w:rsidR="001772BE">
        <w:t xml:space="preserve"> scholars</w:t>
      </w:r>
      <w:r>
        <w:t>.</w:t>
      </w:r>
      <w:r w:rsidR="001C7F08">
        <w:t xml:space="preserve"> </w:t>
      </w:r>
    </w:p>
    <w:p w:rsidR="0007008E" w:rsidRDefault="002D6B1E" w:rsidP="0007008E">
      <w:pPr>
        <w:pStyle w:val="BodyText"/>
      </w:pPr>
      <w:r>
        <w:t>A new selection process was introduced in 2013 which</w:t>
      </w:r>
      <w:r w:rsidR="002D2714">
        <w:t xml:space="preserve"> </w:t>
      </w:r>
      <w:r w:rsidR="002D2714" w:rsidRPr="002D2714">
        <w:t>introduced a single, tr</w:t>
      </w:r>
      <w:r w:rsidR="001772BE">
        <w:t>ansparent, merit-based</w:t>
      </w:r>
      <w:r w:rsidR="002D2714" w:rsidRPr="002D2714">
        <w:t xml:space="preserve"> process for candidates from </w:t>
      </w:r>
      <w:r w:rsidR="000F02E7">
        <w:t xml:space="preserve">the public sector, private sector and </w:t>
      </w:r>
      <w:r w:rsidR="002D2714" w:rsidRPr="002D2714">
        <w:t>civil society</w:t>
      </w:r>
      <w:r w:rsidR="000F02E7">
        <w:t>,</w:t>
      </w:r>
      <w:r w:rsidR="002D2714" w:rsidRPr="002D2714">
        <w:t xml:space="preserve"> </w:t>
      </w:r>
      <w:r w:rsidR="003C2263">
        <w:t>using</w:t>
      </w:r>
      <w:r w:rsidR="008F238E">
        <w:t xml:space="preserve"> an on-line application process</w:t>
      </w:r>
      <w:r w:rsidR="003C2263">
        <w:t xml:space="preserve"> </w:t>
      </w:r>
      <w:r w:rsidR="008F7202">
        <w:t xml:space="preserve">for all candidates </w:t>
      </w:r>
      <w:r w:rsidR="001772BE">
        <w:t>and</w:t>
      </w:r>
      <w:r>
        <w:t xml:space="preserve"> </w:t>
      </w:r>
      <w:r w:rsidR="008F238E">
        <w:t xml:space="preserve">with </w:t>
      </w:r>
      <w:r>
        <w:t xml:space="preserve">interviews </w:t>
      </w:r>
      <w:r w:rsidR="008F7202">
        <w:t>at final selection stage</w:t>
      </w:r>
      <w:r>
        <w:t xml:space="preserve">. </w:t>
      </w:r>
      <w:r w:rsidR="001772BE">
        <w:t>S</w:t>
      </w:r>
      <w:r>
        <w:t xml:space="preserve">uccessful candidates </w:t>
      </w:r>
      <w:r w:rsidR="003F190A">
        <w:t xml:space="preserve">for </w:t>
      </w:r>
      <w:r w:rsidR="002D2714">
        <w:t xml:space="preserve">the </w:t>
      </w:r>
      <w:r w:rsidR="003F190A">
        <w:t xml:space="preserve">2015 intake </w:t>
      </w:r>
      <w:r>
        <w:t xml:space="preserve">have been identified. </w:t>
      </w:r>
      <w:r w:rsidR="003F190A">
        <w:t xml:space="preserve">A strengthened </w:t>
      </w:r>
      <w:r w:rsidR="002D2714">
        <w:t xml:space="preserve">approach to </w:t>
      </w:r>
      <w:r w:rsidR="001C7F08">
        <w:t xml:space="preserve">communications and regional </w:t>
      </w:r>
      <w:r w:rsidR="002D2714">
        <w:t>awareness-</w:t>
      </w:r>
      <w:r>
        <w:t>raising resulted in the num</w:t>
      </w:r>
      <w:r w:rsidR="00BF15C1">
        <w:t>ber</w:t>
      </w:r>
      <w:r>
        <w:t xml:space="preserve"> of applicants in 2014 increasing</w:t>
      </w:r>
      <w:r w:rsidR="001772BE">
        <w:t xml:space="preserve"> by 163 per</w:t>
      </w:r>
      <w:r w:rsidR="00533CB4">
        <w:t xml:space="preserve"> </w:t>
      </w:r>
      <w:r w:rsidR="00BF15C1">
        <w:t xml:space="preserve">cent </w:t>
      </w:r>
      <w:r w:rsidR="008F238E">
        <w:t>compared to</w:t>
      </w:r>
      <w:r>
        <w:t xml:space="preserve"> 2013</w:t>
      </w:r>
      <w:r w:rsidR="003C2263" w:rsidRPr="00242A6C">
        <w:rPr>
          <w:rStyle w:val="FootnoteReference"/>
          <w:rFonts w:ascii="Franklin Gothic Book" w:hAnsi="Franklin Gothic Book"/>
        </w:rPr>
        <w:footnoteReference w:id="9"/>
      </w:r>
      <w:r w:rsidRPr="00242A6C">
        <w:t>.</w:t>
      </w:r>
      <w:r>
        <w:t xml:space="preserve"> </w:t>
      </w:r>
      <w:r w:rsidR="00BA190C">
        <w:t>However, there were</w:t>
      </w:r>
      <w:r w:rsidR="003F190A">
        <w:t xml:space="preserve"> </w:t>
      </w:r>
      <w:r>
        <w:t xml:space="preserve">a high proportion of ineligible applications (just under </w:t>
      </w:r>
      <w:r w:rsidR="008F238E">
        <w:t>half</w:t>
      </w:r>
      <w:r>
        <w:t>) and some concerns from unsuccessful applicants about th</w:t>
      </w:r>
      <w:r w:rsidR="001772BE">
        <w:t>e transparency of the process. These are significant issues</w:t>
      </w:r>
      <w:r w:rsidR="009F311B">
        <w:t>.</w:t>
      </w:r>
      <w:r w:rsidR="001772BE">
        <w:t xml:space="preserve"> </w:t>
      </w:r>
      <w:r w:rsidR="009F311B">
        <w:t>As they</w:t>
      </w:r>
      <w:r w:rsidR="001772BE">
        <w:t xml:space="preserve"> occurred </w:t>
      </w:r>
      <w:r w:rsidR="003C2263">
        <w:t>after</w:t>
      </w:r>
      <w:r w:rsidR="001772BE">
        <w:t xml:space="preserve"> the end of the reporting period they do not detract from an overall green rating, </w:t>
      </w:r>
      <w:r w:rsidR="009F311B">
        <w:t xml:space="preserve">but </w:t>
      </w:r>
      <w:r w:rsidR="001772BE">
        <w:t>r</w:t>
      </w:r>
      <w:r>
        <w:t xml:space="preserve">ectifying these </w:t>
      </w:r>
      <w:r w:rsidR="003C2263">
        <w:t>is</w:t>
      </w:r>
      <w:r>
        <w:t xml:space="preserve"> a </w:t>
      </w:r>
      <w:r w:rsidR="003C2263">
        <w:t>high priority</w:t>
      </w:r>
      <w:r w:rsidR="008F7202">
        <w:t xml:space="preserve"> for DFAT. T</w:t>
      </w:r>
      <w:r>
        <w:t xml:space="preserve">he </w:t>
      </w:r>
      <w:r w:rsidR="008F238E">
        <w:t>ISP</w:t>
      </w:r>
      <w:r>
        <w:t xml:space="preserve"> </w:t>
      </w:r>
      <w:r w:rsidR="003C2263">
        <w:t>is working to iron out problems in the online application format</w:t>
      </w:r>
      <w:r>
        <w:t>.</w:t>
      </w:r>
    </w:p>
    <w:p w:rsidR="0007008E" w:rsidRDefault="0007008E" w:rsidP="0007008E">
      <w:pPr>
        <w:pStyle w:val="BodyText"/>
      </w:pPr>
      <w:r>
        <w:t xml:space="preserve">The </w:t>
      </w:r>
      <w:r w:rsidR="001C7F08">
        <w:t xml:space="preserve">new </w:t>
      </w:r>
      <w:r w:rsidR="003C2263">
        <w:t xml:space="preserve">phase also applies </w:t>
      </w:r>
      <w:r>
        <w:t>new and streamlined</w:t>
      </w:r>
      <w:r w:rsidR="00903FE0">
        <w:t xml:space="preserve"> English language</w:t>
      </w:r>
      <w:r>
        <w:t xml:space="preserve"> training modules (mainstream, intensive and academic prepara</w:t>
      </w:r>
      <w:r w:rsidR="00903FE0">
        <w:t xml:space="preserve">tion courses) depending on each </w:t>
      </w:r>
      <w:r w:rsidR="00330CD0">
        <w:t>individual’s</w:t>
      </w:r>
      <w:r w:rsidR="00903FE0">
        <w:t xml:space="preserve"> level</w:t>
      </w:r>
      <w:r>
        <w:t xml:space="preserve"> of English proficiency</w:t>
      </w:r>
      <w:r w:rsidR="008F7202">
        <w:t>. I</w:t>
      </w:r>
      <w:r w:rsidR="00903FE0">
        <w:t xml:space="preserve">n 2013, </w:t>
      </w:r>
      <w:r w:rsidR="003F190A">
        <w:t xml:space="preserve">only </w:t>
      </w:r>
      <w:r w:rsidR="00903FE0">
        <w:t>48 per cent of</w:t>
      </w:r>
      <w:r>
        <w:t xml:space="preserve"> students </w:t>
      </w:r>
      <w:r w:rsidR="00903FE0">
        <w:t>(10 out of 21) achieved</w:t>
      </w:r>
      <w:r>
        <w:t xml:space="preserve"> the </w:t>
      </w:r>
      <w:r w:rsidR="00533CB4">
        <w:t>required</w:t>
      </w:r>
      <w:r>
        <w:t xml:space="preserve"> </w:t>
      </w:r>
      <w:r w:rsidR="008F238E">
        <w:t xml:space="preserve">minimum </w:t>
      </w:r>
      <w:r>
        <w:t>score</w:t>
      </w:r>
      <w:r w:rsidR="00903FE0">
        <w:t xml:space="preserve"> of</w:t>
      </w:r>
      <w:r>
        <w:t xml:space="preserve"> 6.5</w:t>
      </w:r>
      <w:r w:rsidR="008F7202">
        <w:t xml:space="preserve"> within the timeframe</w:t>
      </w:r>
      <w:r w:rsidR="00242A6C">
        <w:t xml:space="preserve"> </w:t>
      </w:r>
      <w:r w:rsidR="00DB1327">
        <w:t>—</w:t>
      </w:r>
      <w:r w:rsidR="00242A6C">
        <w:t xml:space="preserve"> </w:t>
      </w:r>
      <w:r w:rsidR="00DB1327">
        <w:t xml:space="preserve">and this </w:t>
      </w:r>
      <w:r w:rsidR="00242A6C">
        <w:t xml:space="preserve">is </w:t>
      </w:r>
      <w:r w:rsidR="00DB1327">
        <w:t xml:space="preserve">in </w:t>
      </w:r>
      <w:r w:rsidR="008F238E">
        <w:t>a context where universities</w:t>
      </w:r>
      <w:r w:rsidR="00DB1327">
        <w:t xml:space="preserve"> </w:t>
      </w:r>
      <w:r w:rsidR="008F238E">
        <w:t>now prefer</w:t>
      </w:r>
      <w:r w:rsidR="00DB1327">
        <w:t xml:space="preserve"> </w:t>
      </w:r>
      <w:r w:rsidR="008F238E">
        <w:t xml:space="preserve">scores </w:t>
      </w:r>
      <w:r w:rsidR="00242A6C">
        <w:t xml:space="preserve">higher </w:t>
      </w:r>
      <w:r w:rsidR="00DB1327">
        <w:t>than this</w:t>
      </w:r>
      <w:r>
        <w:t xml:space="preserve">. </w:t>
      </w:r>
      <w:r w:rsidR="00DB1327">
        <w:t>The more t</w:t>
      </w:r>
      <w:r w:rsidR="00903FE0">
        <w:t>argeted s</w:t>
      </w:r>
      <w:r w:rsidR="002D6B1E">
        <w:t xml:space="preserve">upport </w:t>
      </w:r>
      <w:r w:rsidR="00DB1327">
        <w:t>should improve the scores. H</w:t>
      </w:r>
      <w:r w:rsidR="003C2263">
        <w:t>owever</w:t>
      </w:r>
      <w:r w:rsidR="00242A6C">
        <w:t>,</w:t>
      </w:r>
      <w:r w:rsidR="002D6B1E">
        <w:t xml:space="preserve"> a full cohort has not yet g</w:t>
      </w:r>
      <w:r w:rsidR="008F238E">
        <w:t>raduated from the new courses and</w:t>
      </w:r>
      <w:r w:rsidR="002D6B1E">
        <w:t xml:space="preserve"> results will need to be tracked over time. </w:t>
      </w:r>
    </w:p>
    <w:p w:rsidR="005348DF" w:rsidRDefault="005348DF" w:rsidP="0007008E">
      <w:pPr>
        <w:pStyle w:val="BodyText"/>
      </w:pPr>
      <w:r>
        <w:t xml:space="preserve">The reemployment of graduates on return to Mongolia </w:t>
      </w:r>
      <w:r w:rsidR="00160975">
        <w:t xml:space="preserve">is consistently increasing, and was 89 per cent in the first quarter of </w:t>
      </w:r>
      <w:r w:rsidR="008F238E">
        <w:t>2013–</w:t>
      </w:r>
      <w:r w:rsidR="001C7F08">
        <w:t xml:space="preserve">14. </w:t>
      </w:r>
      <w:r w:rsidR="007D4367" w:rsidRPr="007D4367">
        <w:t>There are 20 alumni who are working in sen</w:t>
      </w:r>
      <w:r w:rsidR="00160975">
        <w:t xml:space="preserve">ior positions </w:t>
      </w:r>
      <w:r w:rsidR="007D4367" w:rsidRPr="007D4367">
        <w:t>in</w:t>
      </w:r>
      <w:r w:rsidR="00160975">
        <w:t xml:space="preserve"> the</w:t>
      </w:r>
      <w:r w:rsidR="007D4367" w:rsidRPr="007D4367">
        <w:t xml:space="preserve"> </w:t>
      </w:r>
      <w:r w:rsidR="00160975">
        <w:t>government</w:t>
      </w:r>
      <w:r w:rsidR="00160975" w:rsidRPr="00160975">
        <w:t xml:space="preserve"> </w:t>
      </w:r>
      <w:r w:rsidR="00160975">
        <w:t>(director general, director, and</w:t>
      </w:r>
      <w:r w:rsidR="00160975" w:rsidRPr="007D4367">
        <w:t xml:space="preserve"> two members of the Mongolian Parliament</w:t>
      </w:r>
      <w:r w:rsidR="00160975">
        <w:t>)</w:t>
      </w:r>
      <w:r w:rsidR="007D4367" w:rsidRPr="007D4367">
        <w:t>,</w:t>
      </w:r>
      <w:r w:rsidR="00160975">
        <w:t xml:space="preserve"> the</w:t>
      </w:r>
      <w:r w:rsidR="007D4367" w:rsidRPr="007D4367">
        <w:t xml:space="preserve"> private sector an</w:t>
      </w:r>
      <w:r w:rsidR="00C665B4">
        <w:t>d civil society organisations.</w:t>
      </w:r>
    </w:p>
    <w:p w:rsidR="0007008E" w:rsidRDefault="0007008E" w:rsidP="0007008E">
      <w:pPr>
        <w:pStyle w:val="BodyText"/>
      </w:pPr>
      <w:r>
        <w:t xml:space="preserve">Gender </w:t>
      </w:r>
      <w:r w:rsidR="00566396">
        <w:t>equality is a</w:t>
      </w:r>
      <w:r w:rsidR="00903FE0">
        <w:t xml:space="preserve"> challenge</w:t>
      </w:r>
      <w:r w:rsidR="00242A6C">
        <w:t xml:space="preserve"> which</w:t>
      </w:r>
      <w:r w:rsidR="001C7F08">
        <w:t xml:space="preserve"> the program is working </w:t>
      </w:r>
      <w:r w:rsidR="00566396">
        <w:t>to address. Seventy-nine</w:t>
      </w:r>
      <w:r w:rsidR="001C7F08">
        <w:t xml:space="preserve"> per</w:t>
      </w:r>
      <w:r w:rsidR="00533CB4">
        <w:t xml:space="preserve"> </w:t>
      </w:r>
      <w:r w:rsidR="001C7F08">
        <w:t>cent</w:t>
      </w:r>
      <w:r w:rsidR="00903FE0">
        <w:t xml:space="preserve"> of</w:t>
      </w:r>
      <w:r w:rsidR="001C7F08">
        <w:t xml:space="preserve"> awardees mobilis</w:t>
      </w:r>
      <w:r>
        <w:t>ed</w:t>
      </w:r>
      <w:r w:rsidR="00E10656">
        <w:t xml:space="preserve"> in 2013–</w:t>
      </w:r>
      <w:r w:rsidR="001C7F08">
        <w:t>14 were</w:t>
      </w:r>
      <w:r>
        <w:t xml:space="preserve"> female</w:t>
      </w:r>
      <w:r w:rsidR="00903FE0">
        <w:t xml:space="preserve"> and 21 per cent </w:t>
      </w:r>
      <w:r w:rsidR="001C7F08">
        <w:t>were</w:t>
      </w:r>
      <w:r>
        <w:t xml:space="preserve"> male. </w:t>
      </w:r>
      <w:r w:rsidR="00566396">
        <w:t>Of</w:t>
      </w:r>
      <w:r>
        <w:t xml:space="preserve"> the</w:t>
      </w:r>
      <w:r w:rsidR="00903FE0">
        <w:t xml:space="preserve"> 426 applications </w:t>
      </w:r>
      <w:r>
        <w:t>for the</w:t>
      </w:r>
      <w:r w:rsidR="00903FE0">
        <w:t xml:space="preserve"> </w:t>
      </w:r>
      <w:r w:rsidR="00566396">
        <w:t xml:space="preserve">2015 </w:t>
      </w:r>
      <w:r w:rsidR="00E10656">
        <w:t>i</w:t>
      </w:r>
      <w:r w:rsidR="00903FE0">
        <w:t xml:space="preserve">ntake (held in 2014), </w:t>
      </w:r>
      <w:r w:rsidR="00566396">
        <w:t>67 per</w:t>
      </w:r>
      <w:r w:rsidR="00533CB4">
        <w:t xml:space="preserve"> </w:t>
      </w:r>
      <w:r w:rsidR="00903FE0">
        <w:t>cent (290)</w:t>
      </w:r>
      <w:r>
        <w:t xml:space="preserve"> </w:t>
      </w:r>
      <w:r w:rsidR="00566396">
        <w:t>are female and 33 per</w:t>
      </w:r>
      <w:r w:rsidR="00533CB4">
        <w:t xml:space="preserve"> </w:t>
      </w:r>
      <w:r w:rsidR="00903FE0">
        <w:t>cent</w:t>
      </w:r>
      <w:r>
        <w:t xml:space="preserve"> </w:t>
      </w:r>
      <w:r w:rsidR="00903FE0">
        <w:t>(</w:t>
      </w:r>
      <w:r>
        <w:t>136</w:t>
      </w:r>
      <w:r w:rsidR="00903FE0">
        <w:t>)</w:t>
      </w:r>
      <w:r>
        <w:t xml:space="preserve"> are male. </w:t>
      </w:r>
      <w:r w:rsidR="00903FE0">
        <w:t>The high level of female participation in the scholarships program</w:t>
      </w:r>
      <w:r w:rsidR="000F02E7">
        <w:t xml:space="preserve"> reflects the situation in Mongolia’s higher education institutions generally. However, in spite of this,</w:t>
      </w:r>
      <w:r w:rsidR="00903FE0">
        <w:t xml:space="preserve"> Mongolian women hold few leadership positions</w:t>
      </w:r>
      <w:r w:rsidR="000F02E7">
        <w:t xml:space="preserve"> in the workplace</w:t>
      </w:r>
      <w:r w:rsidR="00227B38" w:rsidRPr="00AB7080">
        <w:rPr>
          <w:rStyle w:val="FootnoteReference"/>
          <w:rFonts w:ascii="Franklin Gothic Book" w:hAnsi="Franklin Gothic Book"/>
        </w:rPr>
        <w:footnoteReference w:id="10"/>
      </w:r>
      <w:r w:rsidR="00903FE0" w:rsidRPr="00AB7080">
        <w:t>.</w:t>
      </w:r>
      <w:r w:rsidR="00903FE0">
        <w:t xml:space="preserve"> </w:t>
      </w:r>
      <w:r w:rsidR="00E10656">
        <w:t>T</w:t>
      </w:r>
      <w:r w:rsidR="00227B38">
        <w:t xml:space="preserve">o address </w:t>
      </w:r>
      <w:r>
        <w:t xml:space="preserve">this, </w:t>
      </w:r>
      <w:r w:rsidR="00903FE0">
        <w:t>a new</w:t>
      </w:r>
      <w:r w:rsidR="00227B38">
        <w:t xml:space="preserve"> Women’s Leadership Program </w:t>
      </w:r>
      <w:r w:rsidR="00903FE0">
        <w:t>($</w:t>
      </w:r>
      <w:r>
        <w:t xml:space="preserve">300,000 </w:t>
      </w:r>
      <w:r w:rsidR="00903FE0">
        <w:t xml:space="preserve">over </w:t>
      </w:r>
      <w:r>
        <w:t>three years</w:t>
      </w:r>
      <w:r w:rsidR="00903FE0">
        <w:t xml:space="preserve">) </w:t>
      </w:r>
      <w:r w:rsidR="00227B38">
        <w:t xml:space="preserve">has been designed </w:t>
      </w:r>
      <w:r w:rsidR="00AD222B">
        <w:t xml:space="preserve">as part of AAM </w:t>
      </w:r>
      <w:r w:rsidR="00227B38">
        <w:t>and will commence s</w:t>
      </w:r>
      <w:r w:rsidR="00E10656">
        <w:t>oon</w:t>
      </w:r>
      <w:r w:rsidR="00227B38">
        <w:t>.</w:t>
      </w:r>
      <w:r w:rsidR="000F02E7">
        <w:t xml:space="preserve"> The scholarships program is also working to increase the number of quality male appli</w:t>
      </w:r>
      <w:r w:rsidR="00C665B4">
        <w:t>cants for the Australia Awards.</w:t>
      </w:r>
    </w:p>
    <w:p w:rsidR="001C7F08" w:rsidRDefault="0007008E" w:rsidP="0007008E">
      <w:pPr>
        <w:pStyle w:val="Heading3"/>
      </w:pPr>
      <w:r w:rsidRPr="00C57923">
        <w:t xml:space="preserve">Objective </w:t>
      </w:r>
      <w:r>
        <w:t xml:space="preserve">2: </w:t>
      </w:r>
      <w:r w:rsidR="001C7F08">
        <w:t>Mongolians are benefitting from a sustainably-managed mining sector</w:t>
      </w:r>
    </w:p>
    <w:p w:rsidR="0007008E" w:rsidRPr="001C7F08" w:rsidRDefault="00D66EC5" w:rsidP="0007008E">
      <w:pPr>
        <w:pStyle w:val="Heading3"/>
        <w:rPr>
          <w:rFonts w:ascii="Franklin Gothic Book" w:hAnsi="Franklin Gothic Book" w:cs="Times New Roman"/>
          <w:b w:val="0"/>
          <w:i/>
          <w:color w:val="auto"/>
          <w:kern w:val="0"/>
          <w:sz w:val="21"/>
          <w:szCs w:val="24"/>
          <w:lang w:eastAsia="en-AU"/>
        </w:rPr>
      </w:pPr>
      <w:r w:rsidRPr="00BA190C">
        <w:rPr>
          <w:rFonts w:ascii="Franklin Gothic Book" w:hAnsi="Franklin Gothic Book" w:cs="Times New Roman"/>
          <w:b w:val="0"/>
          <w:i/>
          <w:color w:val="auto"/>
          <w:kern w:val="0"/>
          <w:sz w:val="21"/>
          <w:szCs w:val="24"/>
          <w:u w:val="single"/>
          <w:lang w:eastAsia="en-AU"/>
        </w:rPr>
        <w:t>Contributing initiative: World Bank Groundwater Management Project</w:t>
      </w:r>
      <w:r w:rsidRPr="00BA190C">
        <w:rPr>
          <w:rFonts w:ascii="Franklin Gothic Book" w:hAnsi="Franklin Gothic Book" w:cs="Times New Roman"/>
          <w:b w:val="0"/>
          <w:i/>
          <w:color w:val="auto"/>
          <w:kern w:val="0"/>
          <w:sz w:val="21"/>
          <w:szCs w:val="24"/>
          <w:u w:val="single"/>
          <w:lang w:eastAsia="en-AU"/>
        </w:rPr>
        <w:br/>
      </w:r>
      <w:r w:rsidR="001C7F08">
        <w:rPr>
          <w:rFonts w:ascii="Franklin Gothic Book" w:hAnsi="Franklin Gothic Book" w:cs="Times New Roman"/>
          <w:b w:val="0"/>
          <w:i/>
          <w:color w:val="auto"/>
          <w:kern w:val="0"/>
          <w:sz w:val="21"/>
          <w:szCs w:val="24"/>
          <w:lang w:eastAsia="en-AU"/>
        </w:rPr>
        <w:t xml:space="preserve">End of Initiative outcome: </w:t>
      </w:r>
      <w:r w:rsidRPr="00D66EC5">
        <w:rPr>
          <w:rFonts w:ascii="Franklin Gothic Book" w:hAnsi="Franklin Gothic Book" w:cs="Times New Roman"/>
          <w:b w:val="0"/>
          <w:i/>
          <w:color w:val="auto"/>
          <w:kern w:val="0"/>
          <w:sz w:val="21"/>
          <w:szCs w:val="24"/>
          <w:lang w:eastAsia="en-AU"/>
        </w:rPr>
        <w:t xml:space="preserve">Ministry of Environment and Green Development of Mongolia </w:t>
      </w:r>
      <w:r>
        <w:rPr>
          <w:rFonts w:ascii="Franklin Gothic Book" w:hAnsi="Franklin Gothic Book" w:cs="Times New Roman"/>
          <w:b w:val="0"/>
          <w:i/>
          <w:color w:val="auto"/>
          <w:kern w:val="0"/>
          <w:sz w:val="21"/>
          <w:szCs w:val="24"/>
          <w:lang w:eastAsia="en-AU"/>
        </w:rPr>
        <w:t>(</w:t>
      </w:r>
      <w:r w:rsidR="005348DF" w:rsidRPr="001C7F08">
        <w:rPr>
          <w:rFonts w:ascii="Franklin Gothic Book" w:hAnsi="Franklin Gothic Book" w:cs="Times New Roman"/>
          <w:b w:val="0"/>
          <w:i/>
          <w:color w:val="auto"/>
          <w:kern w:val="0"/>
          <w:sz w:val="21"/>
          <w:szCs w:val="24"/>
          <w:lang w:eastAsia="en-AU"/>
        </w:rPr>
        <w:t>MEGD</w:t>
      </w:r>
      <w:r>
        <w:rPr>
          <w:rFonts w:ascii="Franklin Gothic Book" w:hAnsi="Franklin Gothic Book" w:cs="Times New Roman"/>
          <w:b w:val="0"/>
          <w:i/>
          <w:color w:val="auto"/>
          <w:kern w:val="0"/>
          <w:sz w:val="21"/>
          <w:szCs w:val="24"/>
          <w:lang w:eastAsia="en-AU"/>
        </w:rPr>
        <w:t>)</w:t>
      </w:r>
      <w:r w:rsidR="005348DF" w:rsidRPr="001C7F08">
        <w:rPr>
          <w:rFonts w:ascii="Franklin Gothic Book" w:hAnsi="Franklin Gothic Book" w:cs="Times New Roman"/>
          <w:b w:val="0"/>
          <w:i/>
          <w:color w:val="auto"/>
          <w:kern w:val="0"/>
          <w:sz w:val="21"/>
          <w:szCs w:val="24"/>
          <w:lang w:eastAsia="en-AU"/>
        </w:rPr>
        <w:t xml:space="preserve"> is establishing, supporting and coordinating representative River Basin Authorities and Councils that sustainably manage groundwater resources.</w:t>
      </w:r>
    </w:p>
    <w:p w:rsidR="005348DF" w:rsidRDefault="00566396" w:rsidP="00C83CA9">
      <w:pPr>
        <w:pStyle w:val="BodyText"/>
      </w:pPr>
      <w:r>
        <w:lastRenderedPageBreak/>
        <w:t>Australian aid has limited influence in a</w:t>
      </w:r>
      <w:r w:rsidR="00E10656">
        <w:t>chieving Objective 2 in 2013–</w:t>
      </w:r>
      <w:r>
        <w:t xml:space="preserve">14 as it is currently broadly framed and our wider-reaching AMEP program is yet to mobilise. </w:t>
      </w:r>
      <w:r w:rsidR="00227B38">
        <w:t>Under o</w:t>
      </w:r>
      <w:r w:rsidR="006C787E">
        <w:t>bjective 2</w:t>
      </w:r>
      <w:r w:rsidR="00AB7080">
        <w:t>,</w:t>
      </w:r>
      <w:r w:rsidR="00227B38">
        <w:t xml:space="preserve"> </w:t>
      </w:r>
      <w:r w:rsidR="00E10656">
        <w:t>reporting for 2013–</w:t>
      </w:r>
      <w:r w:rsidR="00227B38">
        <w:t xml:space="preserve">14 is focused on </w:t>
      </w:r>
      <w:r w:rsidR="00E1028D">
        <w:t xml:space="preserve">Australia’s contribution to </w:t>
      </w:r>
      <w:r w:rsidR="00227B38">
        <w:t xml:space="preserve">the </w:t>
      </w:r>
      <w:r w:rsidR="005348DF">
        <w:t xml:space="preserve">World Bank </w:t>
      </w:r>
      <w:r w:rsidR="00E1028D">
        <w:t>Mining Infrastructure Investment Support Project for the groundwater m</w:t>
      </w:r>
      <w:r w:rsidR="005348DF">
        <w:t xml:space="preserve">anagement </w:t>
      </w:r>
      <w:r w:rsidR="00E1028D">
        <w:t>component</w:t>
      </w:r>
      <w:r w:rsidR="00E1028D" w:rsidRPr="00AB7080">
        <w:rPr>
          <w:rStyle w:val="FootnoteReference"/>
          <w:rFonts w:ascii="Franklin Gothic Book" w:hAnsi="Franklin Gothic Book"/>
        </w:rPr>
        <w:footnoteReference w:id="11"/>
      </w:r>
      <w:r w:rsidR="005348DF">
        <w:t xml:space="preserve">. </w:t>
      </w:r>
      <w:r w:rsidR="00D66EC5">
        <w:t xml:space="preserve">The </w:t>
      </w:r>
      <w:r w:rsidR="00D66EC5" w:rsidRPr="00D66EC5">
        <w:rPr>
          <w:b/>
        </w:rPr>
        <w:t>amber ra</w:t>
      </w:r>
      <w:r w:rsidR="00E10656">
        <w:rPr>
          <w:b/>
        </w:rPr>
        <w:t>ting for O</w:t>
      </w:r>
      <w:r w:rsidR="00D66EC5" w:rsidRPr="00D66EC5">
        <w:rPr>
          <w:b/>
        </w:rPr>
        <w:t xml:space="preserve">bjective 2 </w:t>
      </w:r>
      <w:r w:rsidR="00D66EC5">
        <w:t>reflects that progress was slower than a</w:t>
      </w:r>
      <w:r>
        <w:t>nticipated early in the year</w:t>
      </w:r>
      <w:r w:rsidR="00AB7080">
        <w:t>.</w:t>
      </w:r>
      <w:r w:rsidR="008F7202">
        <w:t xml:space="preserve"> </w:t>
      </w:r>
      <w:r w:rsidR="00B73BA1">
        <w:t>A m</w:t>
      </w:r>
      <w:r>
        <w:t xml:space="preserve">onitoring visit by DFAT </w:t>
      </w:r>
      <w:r w:rsidR="00B73BA1">
        <w:t xml:space="preserve">in </w:t>
      </w:r>
      <w:r>
        <w:t>August 2014 confirme</w:t>
      </w:r>
      <w:r w:rsidR="00E10656">
        <w:t xml:space="preserve">d </w:t>
      </w:r>
      <w:r w:rsidR="00B73BA1">
        <w:t xml:space="preserve">that </w:t>
      </w:r>
      <w:r w:rsidR="00E10656">
        <w:t xml:space="preserve">the project is on track. </w:t>
      </w:r>
      <w:r w:rsidR="00AB7080">
        <w:t>Poor ‘Q</w:t>
      </w:r>
      <w:r w:rsidR="00E10656">
        <w:t xml:space="preserve">uality </w:t>
      </w:r>
      <w:r w:rsidR="0012431E">
        <w:t>a</w:t>
      </w:r>
      <w:r w:rsidR="00E10656">
        <w:t xml:space="preserve">t </w:t>
      </w:r>
      <w:r>
        <w:t>I</w:t>
      </w:r>
      <w:r w:rsidR="00E10656">
        <w:t>mplementation</w:t>
      </w:r>
      <w:r w:rsidR="00AB7080">
        <w:t>’</w:t>
      </w:r>
      <w:r w:rsidR="00E10656">
        <w:t xml:space="preserve"> </w:t>
      </w:r>
      <w:r>
        <w:t xml:space="preserve">ratings </w:t>
      </w:r>
      <w:r w:rsidR="00E10656">
        <w:t>are</w:t>
      </w:r>
      <w:r>
        <w:t xml:space="preserve"> </w:t>
      </w:r>
      <w:r w:rsidR="00E10656">
        <w:t xml:space="preserve">partly explained by </w:t>
      </w:r>
      <w:r>
        <w:t>a lack of information at the time</w:t>
      </w:r>
      <w:r w:rsidR="00E1028D">
        <w:t xml:space="preserve"> (March 2014)</w:t>
      </w:r>
      <w:r>
        <w:t>.</w:t>
      </w:r>
    </w:p>
    <w:p w:rsidR="006C787E" w:rsidRDefault="00C83CA9" w:rsidP="00C83CA9">
      <w:pPr>
        <w:pStyle w:val="BodyText"/>
      </w:pPr>
      <w:r>
        <w:t xml:space="preserve">The </w:t>
      </w:r>
      <w:r w:rsidRPr="0007008E">
        <w:t>Gr</w:t>
      </w:r>
      <w:r>
        <w:t>ound Water Management Project is delivered in</w:t>
      </w:r>
      <w:r w:rsidRPr="0007008E">
        <w:t xml:space="preserve"> collaboration with</w:t>
      </w:r>
      <w:r>
        <w:t xml:space="preserve"> the</w:t>
      </w:r>
      <w:r w:rsidRPr="0007008E">
        <w:t xml:space="preserve"> Ministry of Environment and Green Development of Mongo</w:t>
      </w:r>
      <w:r>
        <w:t>lia (MEGD). It is in its third</w:t>
      </w:r>
      <w:r w:rsidR="00E10656">
        <w:t xml:space="preserve"> year of implementation, </w:t>
      </w:r>
      <w:r w:rsidRPr="0007008E">
        <w:t>support</w:t>
      </w:r>
      <w:r w:rsidR="00E10656">
        <w:t>ing</w:t>
      </w:r>
      <w:r w:rsidRPr="0007008E">
        <w:t xml:space="preserve"> improved ground water management in mining </w:t>
      </w:r>
      <w:r>
        <w:t>regions</w:t>
      </w:r>
      <w:r w:rsidR="00E10656">
        <w:t>. T</w:t>
      </w:r>
      <w:r>
        <w:t>he</w:t>
      </w:r>
      <w:r w:rsidRPr="0007008E">
        <w:t xml:space="preserve"> establishment and operation</w:t>
      </w:r>
      <w:r w:rsidR="00AE45F4">
        <w:t xml:space="preserve"> of</w:t>
      </w:r>
      <w:r w:rsidRPr="0007008E">
        <w:t xml:space="preserve"> R</w:t>
      </w:r>
      <w:r>
        <w:t xml:space="preserve">iver </w:t>
      </w:r>
      <w:r w:rsidRPr="0007008E">
        <w:t>B</w:t>
      </w:r>
      <w:r>
        <w:t xml:space="preserve">asin </w:t>
      </w:r>
      <w:r w:rsidRPr="0007008E">
        <w:t>A</w:t>
      </w:r>
      <w:r>
        <w:t>uthoritie</w:t>
      </w:r>
      <w:r w:rsidRPr="0007008E">
        <w:t>s</w:t>
      </w:r>
      <w:r>
        <w:t xml:space="preserve"> (RBAs)</w:t>
      </w:r>
      <w:r w:rsidR="00E10656">
        <w:t xml:space="preserve"> has</w:t>
      </w:r>
      <w:r w:rsidR="00AE45F4">
        <w:t xml:space="preserve"> improved</w:t>
      </w:r>
      <w:r w:rsidRPr="0007008E">
        <w:t xml:space="preserve"> access to </w:t>
      </w:r>
      <w:r>
        <w:t xml:space="preserve">data </w:t>
      </w:r>
      <w:r w:rsidR="00AE45F4">
        <w:t>to inform</w:t>
      </w:r>
      <w:r w:rsidR="00AB7080">
        <w:t xml:space="preserve"> decision-</w:t>
      </w:r>
      <w:r w:rsidRPr="0007008E">
        <w:t xml:space="preserve">making </w:t>
      </w:r>
      <w:r w:rsidR="00AE45F4">
        <w:t>on</w:t>
      </w:r>
      <w:r w:rsidRPr="0007008E">
        <w:t xml:space="preserve"> integrated water use.</w:t>
      </w:r>
      <w:r w:rsidR="00AE45F4">
        <w:t xml:space="preserve"> The RBAs </w:t>
      </w:r>
      <w:r w:rsidR="00B73BA1">
        <w:t>are changing</w:t>
      </w:r>
      <w:r w:rsidR="00AB7080">
        <w:t xml:space="preserve"> the dynamics of decision-</w:t>
      </w:r>
      <w:r w:rsidR="00AE45F4">
        <w:t>making between provincial and national government</w:t>
      </w:r>
      <w:r w:rsidR="004F50EE">
        <w:t>.</w:t>
      </w:r>
      <w:r w:rsidR="00AE45F4">
        <w:t xml:space="preserve"> The </w:t>
      </w:r>
      <w:r w:rsidR="004F50EE">
        <w:t xml:space="preserve">potential </w:t>
      </w:r>
      <w:r w:rsidR="00AE45F4">
        <w:t>implications of this are monitored</w:t>
      </w:r>
      <w:r w:rsidR="004F50EE">
        <w:t xml:space="preserve"> by DFAT.</w:t>
      </w:r>
    </w:p>
    <w:p w:rsidR="006C787E" w:rsidRDefault="006C787E" w:rsidP="00C83CA9">
      <w:pPr>
        <w:pStyle w:val="BodyText"/>
      </w:pPr>
      <w:r>
        <w:t xml:space="preserve">The project </w:t>
      </w:r>
      <w:r w:rsidR="00661AF4">
        <w:t>made slow progress in 2013</w:t>
      </w:r>
      <w:r w:rsidR="00AB7080">
        <w:t xml:space="preserve"> due to machinery-of-</w:t>
      </w:r>
      <w:r>
        <w:t xml:space="preserve">government changes in Mongolia following their national elections. </w:t>
      </w:r>
      <w:r w:rsidR="00661AF4">
        <w:t>The formal agreement between the World Bank and MEGD to expedite implementation w</w:t>
      </w:r>
      <w:r w:rsidR="00AB7080">
        <w:t>as delayed, but signed in early-</w:t>
      </w:r>
      <w:r w:rsidR="00661AF4">
        <w:t>2014.</w:t>
      </w:r>
      <w:r w:rsidR="00B73BA1">
        <w:t xml:space="preserve"> Establishment of the RBAs and recruitment</w:t>
      </w:r>
      <w:r w:rsidR="000A1755">
        <w:t xml:space="preserve"> of staff began in early 2014. </w:t>
      </w:r>
      <w:r w:rsidR="00B73BA1">
        <w:t>D</w:t>
      </w:r>
      <w:r w:rsidR="00661AF4">
        <w:t xml:space="preserve">espite </w:t>
      </w:r>
      <w:r w:rsidR="00B73BA1">
        <w:t>the delays</w:t>
      </w:r>
      <w:r w:rsidR="00661AF4">
        <w:t xml:space="preserve"> the program is well placed to deliver strong outc</w:t>
      </w:r>
      <w:r w:rsidR="00D60D12">
        <w:t>omes in 2014–</w:t>
      </w:r>
      <w:r w:rsidR="000A1755">
        <w:t>15.</w:t>
      </w:r>
    </w:p>
    <w:p w:rsidR="00661AF4" w:rsidRDefault="00661AF4" w:rsidP="00661AF4">
      <w:pPr>
        <w:pStyle w:val="BodyText"/>
      </w:pPr>
      <w:r w:rsidRPr="0007008E">
        <w:t xml:space="preserve">To date, the project has </w:t>
      </w:r>
      <w:r>
        <w:t>established</w:t>
      </w:r>
      <w:r w:rsidRPr="0007008E">
        <w:t xml:space="preserve"> </w:t>
      </w:r>
      <w:r>
        <w:t>a</w:t>
      </w:r>
      <w:r w:rsidRPr="0007008E">
        <w:t xml:space="preserve"> Gro</w:t>
      </w:r>
      <w:r>
        <w:t>und Water Management Unit with four</w:t>
      </w:r>
      <w:r w:rsidR="00227B38">
        <w:t xml:space="preserve"> staff in</w:t>
      </w:r>
      <w:r w:rsidRPr="0007008E">
        <w:t xml:space="preserve"> th</w:t>
      </w:r>
      <w:r>
        <w:t>e MEGD</w:t>
      </w:r>
      <w:r w:rsidR="00E10656">
        <w:t>,</w:t>
      </w:r>
      <w:r>
        <w:t xml:space="preserve"> and three RBAs with 36 staff in three provinces </w:t>
      </w:r>
      <w:r w:rsidRPr="0007008E">
        <w:t xml:space="preserve">functioning under </w:t>
      </w:r>
      <w:r w:rsidR="00E10656">
        <w:t xml:space="preserve">the </w:t>
      </w:r>
      <w:r w:rsidRPr="0007008E">
        <w:t xml:space="preserve">supervision of </w:t>
      </w:r>
      <w:r w:rsidR="00D60D12">
        <w:t xml:space="preserve">a </w:t>
      </w:r>
      <w:r w:rsidRPr="0007008E">
        <w:t>Ground Water Manag</w:t>
      </w:r>
      <w:r w:rsidR="000A1755">
        <w:t xml:space="preserve">ement Unit. </w:t>
      </w:r>
      <w:r>
        <w:t>Training</w:t>
      </w:r>
      <w:r w:rsidRPr="0007008E">
        <w:t xml:space="preserve"> </w:t>
      </w:r>
      <w:r>
        <w:t xml:space="preserve">is </w:t>
      </w:r>
      <w:r w:rsidRPr="0007008E">
        <w:t xml:space="preserve">provided for central and local staff </w:t>
      </w:r>
      <w:r w:rsidR="00227B38">
        <w:t xml:space="preserve">on water management issues, </w:t>
      </w:r>
      <w:r w:rsidRPr="0007008E">
        <w:t>i</w:t>
      </w:r>
      <w:r w:rsidR="000A1755">
        <w:t>ncluding 25 officers from MEGD.</w:t>
      </w:r>
    </w:p>
    <w:p w:rsidR="006C787E" w:rsidRPr="0007008E" w:rsidRDefault="009F1D43" w:rsidP="00C83CA9">
      <w:pPr>
        <w:pStyle w:val="BodyText"/>
      </w:pPr>
      <w:r>
        <w:t>With</w:t>
      </w:r>
      <w:r w:rsidR="00D66EC5">
        <w:t xml:space="preserve"> the design of </w:t>
      </w:r>
      <w:r>
        <w:t>AMEP</w:t>
      </w:r>
      <w:r w:rsidR="00D66EC5">
        <w:t xml:space="preserve">, a larger suite of assistance to the extractives </w:t>
      </w:r>
      <w:r>
        <w:t xml:space="preserve">sector will </w:t>
      </w:r>
      <w:r w:rsidR="00AB7080">
        <w:t>begin</w:t>
      </w:r>
      <w:r>
        <w:t xml:space="preserve"> in 2014–</w:t>
      </w:r>
      <w:r w:rsidR="00D66EC5">
        <w:t>15.</w:t>
      </w:r>
      <w:r>
        <w:t xml:space="preserve"> A</w:t>
      </w:r>
      <w:r w:rsidR="00661AF4">
        <w:t xml:space="preserve"> key challenge will be to integr</w:t>
      </w:r>
      <w:r w:rsidR="00E10656">
        <w:t>ate the Groundwater Management P</w:t>
      </w:r>
      <w:r w:rsidR="00661AF4">
        <w:t>roject</w:t>
      </w:r>
      <w:r>
        <w:t>’s reporting mechanisms into</w:t>
      </w:r>
      <w:r w:rsidR="00661AF4">
        <w:t xml:space="preserve"> AMEP. This was </w:t>
      </w:r>
      <w:r w:rsidR="00227B38">
        <w:t>taken into account</w:t>
      </w:r>
      <w:r w:rsidR="00661AF4">
        <w:t xml:space="preserve"> </w:t>
      </w:r>
      <w:r>
        <w:t>in</w:t>
      </w:r>
      <w:r w:rsidR="00661AF4">
        <w:t xml:space="preserve"> the</w:t>
      </w:r>
      <w:r w:rsidR="00227B38">
        <w:t xml:space="preserve"> AMEP</w:t>
      </w:r>
      <w:r w:rsidR="00661AF4">
        <w:t xml:space="preserve"> design and has been discuss</w:t>
      </w:r>
      <w:r w:rsidR="00227B38">
        <w:t>ed</w:t>
      </w:r>
      <w:r w:rsidR="00661AF4">
        <w:t xml:space="preserve"> with the World Bank.</w:t>
      </w:r>
    </w:p>
    <w:p w:rsidR="0007008E" w:rsidRPr="0007008E" w:rsidRDefault="00E00C05" w:rsidP="0007008E">
      <w:pPr>
        <w:pStyle w:val="BodyText"/>
      </w:pPr>
      <w:r>
        <w:t>Australia’s support to</w:t>
      </w:r>
      <w:r w:rsidR="00D66EC5" w:rsidRPr="0007008E">
        <w:t xml:space="preserve"> the mining se</w:t>
      </w:r>
      <w:r w:rsidR="00D66EC5">
        <w:t xml:space="preserve">ctor in Mongolia </w:t>
      </w:r>
      <w:r w:rsidR="009F1D43">
        <w:t xml:space="preserve">includes funding </w:t>
      </w:r>
      <w:r w:rsidR="00D66EC5" w:rsidRPr="0007008E">
        <w:t xml:space="preserve">from global and regional programs. </w:t>
      </w:r>
      <w:r w:rsidR="009F1D43">
        <w:t>T</w:t>
      </w:r>
      <w:r w:rsidR="00501024">
        <w:t xml:space="preserve">he </w:t>
      </w:r>
      <w:r w:rsidR="0007008E" w:rsidRPr="0007008E">
        <w:t>I</w:t>
      </w:r>
      <w:r w:rsidR="00501024">
        <w:t xml:space="preserve">nternational </w:t>
      </w:r>
      <w:r w:rsidR="0007008E" w:rsidRPr="0007008E">
        <w:t>M</w:t>
      </w:r>
      <w:r w:rsidR="00501024">
        <w:t>ining for Development Centre</w:t>
      </w:r>
      <w:r w:rsidR="0007008E" w:rsidRPr="0007008E">
        <w:t>’s</w:t>
      </w:r>
      <w:r w:rsidR="00227B38">
        <w:t xml:space="preserve"> </w:t>
      </w:r>
      <w:r w:rsidR="00B6288E">
        <w:t xml:space="preserve">(IMDC) </w:t>
      </w:r>
      <w:r w:rsidR="00227B38">
        <w:t>gl</w:t>
      </w:r>
      <w:r w:rsidR="009F1D43">
        <w:t>obal and in-country training supports</w:t>
      </w:r>
      <w:r w:rsidR="0007008E" w:rsidRPr="0007008E">
        <w:t xml:space="preserve"> Mongolia’s human resource </w:t>
      </w:r>
      <w:r w:rsidR="009F1D43">
        <w:t>development through access</w:t>
      </w:r>
      <w:r w:rsidR="009F1D43" w:rsidRPr="009F1D43">
        <w:t xml:space="preserve"> </w:t>
      </w:r>
      <w:r w:rsidR="009F1D43">
        <w:t>to Australian</w:t>
      </w:r>
      <w:r w:rsidR="009F1D43" w:rsidRPr="0007008E">
        <w:t xml:space="preserve"> mining </w:t>
      </w:r>
      <w:r w:rsidR="009F1D43">
        <w:t>expertise. Approximately</w:t>
      </w:r>
      <w:r w:rsidR="00D66EC5">
        <w:t xml:space="preserve"> </w:t>
      </w:r>
      <w:r w:rsidR="0007008E" w:rsidRPr="0007008E">
        <w:t xml:space="preserve">250 people from </w:t>
      </w:r>
      <w:r w:rsidR="00E10656">
        <w:t xml:space="preserve">the </w:t>
      </w:r>
      <w:r w:rsidR="0007008E" w:rsidRPr="0007008E">
        <w:t xml:space="preserve">Ministry of Mining, Mineral Resources Agency, Generalized Inspection Agency and </w:t>
      </w:r>
      <w:r w:rsidR="00CD4340">
        <w:t>the National Mining Association</w:t>
      </w:r>
      <w:r w:rsidR="0007008E" w:rsidRPr="0007008E">
        <w:t xml:space="preserve"> </w:t>
      </w:r>
      <w:r w:rsidR="00227B38">
        <w:t>participated in training</w:t>
      </w:r>
      <w:r w:rsidR="009F1D43">
        <w:t xml:space="preserve"> in 2013–14.</w:t>
      </w:r>
      <w:r w:rsidR="00501024">
        <w:t xml:space="preserve"> </w:t>
      </w:r>
      <w:r w:rsidR="007700EB">
        <w:t>The demand for IMDC training</w:t>
      </w:r>
      <w:r w:rsidR="0007008E" w:rsidRPr="0007008E">
        <w:t xml:space="preserve"> </w:t>
      </w:r>
      <w:r w:rsidR="00CD4340">
        <w:t>is</w:t>
      </w:r>
      <w:r w:rsidR="007700EB">
        <w:t xml:space="preserve"> high</w:t>
      </w:r>
      <w:r w:rsidR="0007008E" w:rsidRPr="0007008E">
        <w:t xml:space="preserve"> among Mongolian mining communities. </w:t>
      </w:r>
    </w:p>
    <w:p w:rsidR="001C7F08" w:rsidRDefault="0007008E" w:rsidP="0007008E">
      <w:pPr>
        <w:pStyle w:val="Heading3"/>
      </w:pPr>
      <w:r w:rsidRPr="00C57923">
        <w:t xml:space="preserve">Objective </w:t>
      </w:r>
      <w:r>
        <w:t xml:space="preserve">3: </w:t>
      </w:r>
      <w:r w:rsidR="001C7F08">
        <w:t>School communities are accessing improved water and sanitation and have improved hygiene practices.</w:t>
      </w:r>
    </w:p>
    <w:p w:rsidR="0007008E" w:rsidRPr="001C7F08" w:rsidRDefault="00D66EC5" w:rsidP="0007008E">
      <w:pPr>
        <w:pStyle w:val="Heading3"/>
        <w:rPr>
          <w:rFonts w:ascii="Franklin Gothic Book" w:hAnsi="Franklin Gothic Book" w:cs="Times New Roman"/>
          <w:b w:val="0"/>
          <w:i/>
          <w:color w:val="auto"/>
          <w:kern w:val="0"/>
          <w:sz w:val="21"/>
          <w:szCs w:val="24"/>
          <w:lang w:eastAsia="en-AU"/>
        </w:rPr>
      </w:pPr>
      <w:r w:rsidRPr="00BA190C">
        <w:rPr>
          <w:rFonts w:ascii="Franklin Gothic Book" w:hAnsi="Franklin Gothic Book" w:cs="Times New Roman"/>
          <w:b w:val="0"/>
          <w:i/>
          <w:color w:val="auto"/>
          <w:kern w:val="0"/>
          <w:sz w:val="21"/>
          <w:szCs w:val="24"/>
          <w:u w:val="single"/>
          <w:lang w:eastAsia="en-AU"/>
        </w:rPr>
        <w:t>Contributing initiative: UNICEF Water, Sanitation and Hygiene (WASH) project</w:t>
      </w:r>
      <w:r w:rsidRPr="00BA190C">
        <w:rPr>
          <w:rFonts w:ascii="Franklin Gothic Book" w:hAnsi="Franklin Gothic Book" w:cs="Times New Roman"/>
          <w:b w:val="0"/>
          <w:i/>
          <w:color w:val="auto"/>
          <w:kern w:val="0"/>
          <w:sz w:val="21"/>
          <w:szCs w:val="24"/>
          <w:u w:val="single"/>
          <w:lang w:eastAsia="en-AU"/>
        </w:rPr>
        <w:br/>
      </w:r>
      <w:r w:rsidR="001C7F08">
        <w:rPr>
          <w:rFonts w:ascii="Franklin Gothic Book" w:hAnsi="Franklin Gothic Book" w:cs="Times New Roman"/>
          <w:b w:val="0"/>
          <w:i/>
          <w:color w:val="auto"/>
          <w:kern w:val="0"/>
          <w:sz w:val="21"/>
          <w:szCs w:val="24"/>
          <w:lang w:eastAsia="en-AU"/>
        </w:rPr>
        <w:t xml:space="preserve">End of Initiative outcome: </w:t>
      </w:r>
      <w:r w:rsidR="00933913" w:rsidRPr="001C7F08">
        <w:rPr>
          <w:rFonts w:ascii="Franklin Gothic Book" w:hAnsi="Franklin Gothic Book" w:cs="Times New Roman"/>
          <w:b w:val="0"/>
          <w:i/>
          <w:color w:val="auto"/>
          <w:kern w:val="0"/>
          <w:sz w:val="21"/>
          <w:szCs w:val="24"/>
          <w:lang w:eastAsia="en-AU"/>
        </w:rPr>
        <w:t>MES has developed a national plan for WASH in schools and is resourcing its implementation.</w:t>
      </w:r>
    </w:p>
    <w:p w:rsidR="0033233E" w:rsidRDefault="00E33435" w:rsidP="0007008E">
      <w:pPr>
        <w:pStyle w:val="BodyText"/>
      </w:pPr>
      <w:r>
        <w:t xml:space="preserve">The </w:t>
      </w:r>
      <w:r w:rsidRPr="00D66EC5">
        <w:rPr>
          <w:b/>
        </w:rPr>
        <w:t xml:space="preserve">green rating </w:t>
      </w:r>
      <w:r w:rsidR="00CD4340">
        <w:rPr>
          <w:b/>
        </w:rPr>
        <w:t>for O</w:t>
      </w:r>
      <w:r w:rsidR="00227B38" w:rsidRPr="00D66EC5">
        <w:rPr>
          <w:b/>
        </w:rPr>
        <w:t>bjective 3</w:t>
      </w:r>
      <w:r w:rsidR="00227B38">
        <w:t xml:space="preserve"> </w:t>
      </w:r>
      <w:r>
        <w:t xml:space="preserve">reflects that </w:t>
      </w:r>
      <w:r w:rsidR="0033233E">
        <w:t xml:space="preserve">the </w:t>
      </w:r>
      <w:r w:rsidR="00C45C39">
        <w:t xml:space="preserve">UNICEF </w:t>
      </w:r>
      <w:r w:rsidR="0033233E">
        <w:t>WASH project</w:t>
      </w:r>
      <w:r>
        <w:t xml:space="preserve"> </w:t>
      </w:r>
      <w:r w:rsidR="00C45C39">
        <w:t>is</w:t>
      </w:r>
      <w:r>
        <w:t xml:space="preserve"> on track to deliver a water and sanitation </w:t>
      </w:r>
      <w:r w:rsidR="00C45C39">
        <w:t>pilot</w:t>
      </w:r>
      <w:r>
        <w:t xml:space="preserve"> that will </w:t>
      </w:r>
      <w:r w:rsidR="00C45C39">
        <w:t>be</w:t>
      </w:r>
      <w:r>
        <w:t xml:space="preserve"> a model for the Government of Mongolia </w:t>
      </w:r>
      <w:r w:rsidR="00CD4340">
        <w:t>to</w:t>
      </w:r>
      <w:r>
        <w:t xml:space="preserve"> implement a </w:t>
      </w:r>
      <w:r>
        <w:lastRenderedPageBreak/>
        <w:t xml:space="preserve">national plan for WASH in schools. </w:t>
      </w:r>
      <w:r w:rsidR="0033233E" w:rsidRPr="0007008E">
        <w:t xml:space="preserve">The major outputs </w:t>
      </w:r>
      <w:r w:rsidR="00C45C39">
        <w:t xml:space="preserve">in 2013–14 </w:t>
      </w:r>
      <w:r w:rsidR="0033233E" w:rsidRPr="0007008E">
        <w:t xml:space="preserve">are indoor </w:t>
      </w:r>
      <w:r w:rsidR="00CD4340">
        <w:t>WASH</w:t>
      </w:r>
      <w:r w:rsidR="0033233E" w:rsidRPr="0007008E">
        <w:t xml:space="preserve"> facilities at schools and kindergartens, hygiene promotion and advocacy</w:t>
      </w:r>
      <w:r w:rsidR="00C45C39">
        <w:t>,</w:t>
      </w:r>
      <w:r w:rsidR="0033233E" w:rsidRPr="0007008E">
        <w:t xml:space="preserve"> and development of national standard</w:t>
      </w:r>
      <w:r w:rsidR="00C45C39">
        <w:t>s</w:t>
      </w:r>
      <w:r w:rsidR="0033233E" w:rsidRPr="0007008E">
        <w:t xml:space="preserve"> for school and kindergarten WASH facilities</w:t>
      </w:r>
      <w:r w:rsidR="000A1755">
        <w:t xml:space="preserve">. </w:t>
      </w:r>
      <w:r w:rsidR="007220F0" w:rsidRPr="00570432">
        <w:t>Australi</w:t>
      </w:r>
      <w:r w:rsidR="004F50EE">
        <w:t>a’s support of $2.8</w:t>
      </w:r>
      <w:r w:rsidR="00B73BA1">
        <w:t xml:space="preserve"> million </w:t>
      </w:r>
      <w:r w:rsidR="00146344">
        <w:t>is</w:t>
      </w:r>
      <w:r w:rsidR="00B73BA1">
        <w:t xml:space="preserve"> 59 per cent</w:t>
      </w:r>
      <w:r w:rsidR="007220F0" w:rsidRPr="00570432">
        <w:t xml:space="preserve"> of the total project funding</w:t>
      </w:r>
      <w:r w:rsidR="00146344">
        <w:t>, covering</w:t>
      </w:r>
      <w:r w:rsidR="00B73BA1">
        <w:t xml:space="preserve"> all </w:t>
      </w:r>
      <w:r w:rsidR="00146344">
        <w:t xml:space="preserve">program </w:t>
      </w:r>
      <w:r w:rsidR="00B73BA1">
        <w:t>activities in Khuvsgul province.</w:t>
      </w:r>
    </w:p>
    <w:p w:rsidR="0033233E" w:rsidRPr="0033233E" w:rsidRDefault="00D94F5B" w:rsidP="0033233E">
      <w:pPr>
        <w:pStyle w:val="BodyText"/>
      </w:pPr>
      <w:r>
        <w:t>The Mongolian government is highly supportive of this project</w:t>
      </w:r>
      <w:r w:rsidR="00AB7080">
        <w:t>,</w:t>
      </w:r>
      <w:r>
        <w:t xml:space="preserve"> and it will </w:t>
      </w:r>
      <w:r w:rsidRPr="0033233E">
        <w:t xml:space="preserve">form the basis of the </w:t>
      </w:r>
      <w:r>
        <w:t>Government of Mongolia</w:t>
      </w:r>
      <w:r w:rsidR="00AB7080">
        <w:t>’s</w:t>
      </w:r>
      <w:r>
        <w:t xml:space="preserve"> </w:t>
      </w:r>
      <w:r w:rsidRPr="0033233E">
        <w:t>national WASH framework for schools and kindergartens</w:t>
      </w:r>
      <w:r>
        <w:t>, to be rolled out across the country.</w:t>
      </w:r>
      <w:r w:rsidRPr="0033233E">
        <w:t xml:space="preserve"> </w:t>
      </w:r>
      <w:r w:rsidR="0033233E" w:rsidRPr="0033233E">
        <w:t>UNICEF suppor</w:t>
      </w:r>
      <w:r w:rsidR="00C45C39">
        <w:t xml:space="preserve">t </w:t>
      </w:r>
      <w:r w:rsidR="0033233E" w:rsidRPr="0033233E">
        <w:t xml:space="preserve">covers four areas:  </w:t>
      </w:r>
    </w:p>
    <w:p w:rsidR="00E33435" w:rsidRPr="00E33435" w:rsidRDefault="00E33435" w:rsidP="00E33435">
      <w:pPr>
        <w:pStyle w:val="BodyText"/>
        <w:rPr>
          <w:sz w:val="22"/>
          <w:szCs w:val="22"/>
        </w:rPr>
      </w:pPr>
      <w:r>
        <w:t xml:space="preserve">i. </w:t>
      </w:r>
      <w:r w:rsidR="0033233E" w:rsidRPr="00E33435">
        <w:rPr>
          <w:i/>
        </w:rPr>
        <w:t>Minimum Requirement for WASH in Schools, Dormitories and Kindergartens</w:t>
      </w:r>
      <w:r w:rsidR="0033233E">
        <w:t xml:space="preserve">. </w:t>
      </w:r>
      <w:r w:rsidR="00227B38">
        <w:t xml:space="preserve">Under the authority of the Minister, </w:t>
      </w:r>
      <w:r w:rsidR="0033233E" w:rsidRPr="00E33435">
        <w:t>the WASH in Sch</w:t>
      </w:r>
      <w:r w:rsidRPr="00E33435">
        <w:t xml:space="preserve">ools </w:t>
      </w:r>
      <w:r w:rsidR="00227B38">
        <w:t>Working Group provide</w:t>
      </w:r>
      <w:r w:rsidR="00AA0344">
        <w:t>s</w:t>
      </w:r>
      <w:r w:rsidR="0033233E" w:rsidRPr="00E33435">
        <w:t xml:space="preserve"> guidance and support to develop Minimum Requirements for WASH in Schools and Kindergartens. </w:t>
      </w:r>
      <w:r w:rsidR="00CD4340">
        <w:t>C</w:t>
      </w:r>
      <w:r w:rsidRPr="0007008E">
        <w:t xml:space="preserve">haired by </w:t>
      </w:r>
      <w:r>
        <w:t xml:space="preserve">the </w:t>
      </w:r>
      <w:r w:rsidRPr="0007008E">
        <w:t>Deputy Education Minister</w:t>
      </w:r>
      <w:r w:rsidR="00227B38">
        <w:t>,</w:t>
      </w:r>
      <w:r w:rsidRPr="0007008E">
        <w:t xml:space="preserve"> </w:t>
      </w:r>
      <w:r w:rsidR="00AB7080">
        <w:t>th</w:t>
      </w:r>
      <w:r w:rsidRPr="0007008E">
        <w:t xml:space="preserve">is </w:t>
      </w:r>
      <w:r w:rsidR="00CD4340">
        <w:t xml:space="preserve">group is </w:t>
      </w:r>
      <w:r w:rsidRPr="0007008E">
        <w:t>functioning</w:t>
      </w:r>
      <w:r w:rsidR="00AA0344">
        <w:t xml:space="preserve"> well</w:t>
      </w:r>
      <w:r w:rsidRPr="0007008E">
        <w:t xml:space="preserve"> to facilitate and supervise the drafting of the national s</w:t>
      </w:r>
      <w:r w:rsidR="00227B38">
        <w:t>tandard</w:t>
      </w:r>
      <w:r w:rsidR="00AA0344">
        <w:t>s</w:t>
      </w:r>
      <w:r w:rsidR="00227B38">
        <w:t>. R</w:t>
      </w:r>
      <w:r w:rsidRPr="0007008E">
        <w:t xml:space="preserve">epresentatives from </w:t>
      </w:r>
      <w:r w:rsidR="00227B38">
        <w:t xml:space="preserve">the </w:t>
      </w:r>
      <w:r w:rsidRPr="0007008E">
        <w:t xml:space="preserve">Ministry of Health actively </w:t>
      </w:r>
      <w:r w:rsidR="00AA0344">
        <w:t>participate to ensure that</w:t>
      </w:r>
      <w:r w:rsidRPr="0007008E">
        <w:t xml:space="preserve"> health standards are incorporated in</w:t>
      </w:r>
      <w:r w:rsidR="00CD4340">
        <w:t>to</w:t>
      </w:r>
      <w:r w:rsidRPr="0007008E">
        <w:t xml:space="preserve"> the draft.</w:t>
      </w:r>
    </w:p>
    <w:p w:rsidR="0033233E" w:rsidRPr="0033233E" w:rsidRDefault="0033233E" w:rsidP="0033233E">
      <w:pPr>
        <w:pStyle w:val="BodyText"/>
      </w:pPr>
      <w:r w:rsidRPr="0033233E">
        <w:t xml:space="preserve">ii. </w:t>
      </w:r>
      <w:r w:rsidRPr="00E33435">
        <w:rPr>
          <w:i/>
        </w:rPr>
        <w:t>Guidelines on Education Management Information System (EMIS), Survey and Children’s Monitoring Modules for Mongolia</w:t>
      </w:r>
      <w:r w:rsidR="00E33435">
        <w:rPr>
          <w:i/>
        </w:rPr>
        <w:t xml:space="preserve">. </w:t>
      </w:r>
      <w:r w:rsidR="00E33435">
        <w:t xml:space="preserve">The EMIS </w:t>
      </w:r>
      <w:r w:rsidR="000A1755">
        <w:t>is currently under development.</w:t>
      </w:r>
    </w:p>
    <w:p w:rsidR="0033233E" w:rsidRPr="0033233E" w:rsidRDefault="0033233E" w:rsidP="0033233E">
      <w:pPr>
        <w:pStyle w:val="BodyText"/>
      </w:pPr>
      <w:r w:rsidRPr="0033233E">
        <w:t xml:space="preserve">iii. </w:t>
      </w:r>
      <w:r w:rsidRPr="00E33435">
        <w:rPr>
          <w:i/>
        </w:rPr>
        <w:t>Hygiene promotion and education manual.</w:t>
      </w:r>
      <w:r>
        <w:t xml:space="preserve"> The manual was presented to the Ministry of Education an</w:t>
      </w:r>
      <w:r w:rsidR="006155DF">
        <w:t xml:space="preserve">d </w:t>
      </w:r>
      <w:r w:rsidR="000A1755">
        <w:t>Science (MES) in early 2014.</w:t>
      </w:r>
    </w:p>
    <w:p w:rsidR="0033233E" w:rsidRPr="0033233E" w:rsidRDefault="0033233E" w:rsidP="0033233E">
      <w:pPr>
        <w:pStyle w:val="BodyText"/>
      </w:pPr>
      <w:r w:rsidRPr="0033233E">
        <w:t xml:space="preserve">iv. </w:t>
      </w:r>
      <w:r w:rsidRPr="00E33435">
        <w:rPr>
          <w:i/>
        </w:rPr>
        <w:t>Standard design of outdoor latrines for schools and kindergartens</w:t>
      </w:r>
      <w:r>
        <w:t>. Th</w:t>
      </w:r>
      <w:r w:rsidR="00E33435">
        <w:t>e standard designs are</w:t>
      </w:r>
      <w:r>
        <w:t xml:space="preserve"> currently under development</w:t>
      </w:r>
      <w:r w:rsidR="00E33435">
        <w:t xml:space="preserve"> and will include budgets for ongoing maintenance costs</w:t>
      </w:r>
      <w:r w:rsidR="000A1755">
        <w:t>.</w:t>
      </w:r>
    </w:p>
    <w:p w:rsidR="00E33435" w:rsidRPr="0007008E" w:rsidRDefault="00E33435" w:rsidP="00E33435">
      <w:pPr>
        <w:pStyle w:val="BodyText"/>
      </w:pPr>
      <w:r w:rsidRPr="0007008E">
        <w:t xml:space="preserve">The </w:t>
      </w:r>
      <w:r w:rsidR="00227B38">
        <w:t>project</w:t>
      </w:r>
      <w:r w:rsidR="00AA0344">
        <w:t xml:space="preserve"> has been very successful </w:t>
      </w:r>
      <w:r w:rsidR="00227B38">
        <w:t>in raising</w:t>
      </w:r>
      <w:r w:rsidRPr="0007008E">
        <w:t xml:space="preserve"> awareness </w:t>
      </w:r>
      <w:r w:rsidR="00227B38">
        <w:t xml:space="preserve">of </w:t>
      </w:r>
      <w:r w:rsidRPr="0007008E">
        <w:t xml:space="preserve">WASH in schools and </w:t>
      </w:r>
      <w:r w:rsidR="00AB7080">
        <w:t>among policy-</w:t>
      </w:r>
      <w:r w:rsidR="00227B38">
        <w:t>makers</w:t>
      </w:r>
      <w:r w:rsidRPr="0007008E">
        <w:t xml:space="preserve">. The WASH advocacy </w:t>
      </w:r>
      <w:r w:rsidR="00533CB4">
        <w:t>programs reached 25 </w:t>
      </w:r>
      <w:r w:rsidR="00227B38">
        <w:t>000 school</w:t>
      </w:r>
      <w:r w:rsidRPr="0007008E">
        <w:t xml:space="preserve"> children in </w:t>
      </w:r>
      <w:r>
        <w:t>Kh</w:t>
      </w:r>
      <w:r w:rsidRPr="0007008E">
        <w:t xml:space="preserve">uvsgul province </w:t>
      </w:r>
      <w:r w:rsidR="00227B38">
        <w:t>(</w:t>
      </w:r>
      <w:r w:rsidRPr="0007008E">
        <w:t>including all the target children from 12 schools and 12 kindergartens</w:t>
      </w:r>
      <w:r w:rsidR="00227B38">
        <w:t>)</w:t>
      </w:r>
      <w:r w:rsidRPr="0007008E">
        <w:t>, 48 school officials</w:t>
      </w:r>
      <w:r w:rsidR="00227B38">
        <w:t xml:space="preserve">, </w:t>
      </w:r>
      <w:r w:rsidRPr="0007008E">
        <w:t xml:space="preserve">30 teachers and 10 government officials at central and local levels. </w:t>
      </w:r>
      <w:r w:rsidR="00AA0344">
        <w:t>A</w:t>
      </w:r>
      <w:r w:rsidRPr="0007008E">
        <w:t xml:space="preserve"> total of 160 packages of WASH manuals and a</w:t>
      </w:r>
      <w:r w:rsidR="000A1755">
        <w:t>dvocacy tools were distributed.</w:t>
      </w:r>
    </w:p>
    <w:p w:rsidR="00E33435" w:rsidRDefault="0033233E" w:rsidP="00E33435">
      <w:pPr>
        <w:pStyle w:val="BodyText"/>
      </w:pPr>
      <w:r>
        <w:t xml:space="preserve">The model WASH systems in Khuvsgul are well entrenched in local systems. </w:t>
      </w:r>
      <w:r w:rsidR="00AA0344">
        <w:t>Twenty-five committees</w:t>
      </w:r>
      <w:r w:rsidR="00E33435" w:rsidRPr="0007008E">
        <w:t xml:space="preserve"> facilitate the project activities</w:t>
      </w:r>
      <w:r w:rsidR="00AA0344">
        <w:t xml:space="preserve">. </w:t>
      </w:r>
      <w:r w:rsidR="00E33435" w:rsidRPr="0007008E">
        <w:t xml:space="preserve">Project Steering Committee meetings </w:t>
      </w:r>
      <w:r w:rsidR="00AA0344">
        <w:t xml:space="preserve">are </w:t>
      </w:r>
      <w:r w:rsidR="00E33435" w:rsidRPr="0007008E">
        <w:t xml:space="preserve">held biannually and WASH monitoring teams and Child Development </w:t>
      </w:r>
      <w:r w:rsidR="00330CD0" w:rsidRPr="0007008E">
        <w:t xml:space="preserve">Centres </w:t>
      </w:r>
      <w:r w:rsidR="00AA0344">
        <w:t xml:space="preserve">are </w:t>
      </w:r>
      <w:r w:rsidR="00330CD0" w:rsidRPr="0007008E">
        <w:t>working</w:t>
      </w:r>
      <w:r w:rsidR="00E33435" w:rsidRPr="0007008E">
        <w:t xml:space="preserve"> at</w:t>
      </w:r>
      <w:r w:rsidR="00E33435">
        <w:t xml:space="preserve"> the</w:t>
      </w:r>
      <w:r w:rsidR="00E33435" w:rsidRPr="0007008E">
        <w:t xml:space="preserve"> schools and kind</w:t>
      </w:r>
      <w:r w:rsidR="00E33435">
        <w:t>ergartens</w:t>
      </w:r>
      <w:r w:rsidR="00AA0344">
        <w:t xml:space="preserve"> to ensure that awareness-</w:t>
      </w:r>
      <w:r w:rsidR="00AA0344" w:rsidRPr="0007008E">
        <w:t>raising activities are regularly conducted and monitored.</w:t>
      </w:r>
      <w:r w:rsidR="00AA0344">
        <w:t xml:space="preserve"> </w:t>
      </w:r>
      <w:r w:rsidR="00227B38">
        <w:t>Designs for WASH facilities have been completed for a</w:t>
      </w:r>
      <w:r w:rsidR="00E33435" w:rsidRPr="0007008E">
        <w:t>ll 12 schools and kindergartens</w:t>
      </w:r>
      <w:r w:rsidR="00AA0344">
        <w:t>.</w:t>
      </w:r>
      <w:r w:rsidR="00227B38">
        <w:t xml:space="preserve"> </w:t>
      </w:r>
      <w:r w:rsidR="00B73BA1">
        <w:t>Seven</w:t>
      </w:r>
      <w:r w:rsidR="00E33435" w:rsidRPr="0007008E">
        <w:t xml:space="preserve"> sch</w:t>
      </w:r>
      <w:r w:rsidR="00AB7080">
        <w:t>ools and five</w:t>
      </w:r>
      <w:r w:rsidR="00B73BA1">
        <w:t xml:space="preserve"> kindergartens in six</w:t>
      </w:r>
      <w:r w:rsidR="00E33435" w:rsidRPr="0007008E">
        <w:t xml:space="preserve"> soums </w:t>
      </w:r>
      <w:r w:rsidR="00CD4340">
        <w:t xml:space="preserve">(districts) </w:t>
      </w:r>
      <w:r w:rsidR="00AA0344">
        <w:t>have</w:t>
      </w:r>
      <w:r w:rsidR="00E33435" w:rsidRPr="0007008E">
        <w:t xml:space="preserve"> </w:t>
      </w:r>
      <w:r w:rsidR="00B73BA1">
        <w:t xml:space="preserve">plans for </w:t>
      </w:r>
      <w:r w:rsidR="00E33435" w:rsidRPr="0007008E">
        <w:t xml:space="preserve">indoor </w:t>
      </w:r>
      <w:r w:rsidR="00CD4340">
        <w:t>WASH</w:t>
      </w:r>
      <w:r w:rsidR="00E33435" w:rsidRPr="0007008E">
        <w:t xml:space="preserve"> facilit</w:t>
      </w:r>
      <w:r w:rsidR="00B73BA1">
        <w:t>ies. This means 4180</w:t>
      </w:r>
      <w:r w:rsidR="00AA0344">
        <w:t xml:space="preserve"> children in</w:t>
      </w:r>
      <w:r w:rsidR="00E33435" w:rsidRPr="0007008E">
        <w:t xml:space="preserve"> these schools and kindergarten</w:t>
      </w:r>
      <w:r w:rsidR="00AA0344">
        <w:t>s will be able to access the in</w:t>
      </w:r>
      <w:r w:rsidR="00E33435" w:rsidRPr="0007008E">
        <w:t xml:space="preserve">door facilities </w:t>
      </w:r>
      <w:r w:rsidR="00F66A76">
        <w:t>from</w:t>
      </w:r>
      <w:r w:rsidR="00B73BA1">
        <w:t xml:space="preserve"> the first quarter of</w:t>
      </w:r>
      <w:r w:rsidR="00AA0344">
        <w:t xml:space="preserve"> </w:t>
      </w:r>
      <w:r w:rsidR="000A1755">
        <w:t>2014.</w:t>
      </w:r>
    </w:p>
    <w:p w:rsidR="00E33435" w:rsidRDefault="00326AB2" w:rsidP="0007008E">
      <w:pPr>
        <w:pStyle w:val="BodyText"/>
      </w:pPr>
      <w:r>
        <w:t>With reductions in the aid budget the funding to UNICEF was re</w:t>
      </w:r>
      <w:r w:rsidR="00E33435">
        <w:t xml:space="preserve">duced </w:t>
      </w:r>
      <w:r w:rsidR="007220F0">
        <w:t>from $</w:t>
      </w:r>
      <w:r w:rsidR="007220F0" w:rsidRPr="0007008E">
        <w:t>3.4 million</w:t>
      </w:r>
      <w:r w:rsidR="007220F0">
        <w:t xml:space="preserve"> </w:t>
      </w:r>
      <w:r w:rsidR="00E33435">
        <w:t>to $2.8 </w:t>
      </w:r>
      <w:r>
        <w:t xml:space="preserve">million and the end date </w:t>
      </w:r>
      <w:r w:rsidR="00AB7080">
        <w:t xml:space="preserve">will be </w:t>
      </w:r>
      <w:r>
        <w:t xml:space="preserve">brought forward </w:t>
      </w:r>
      <w:r w:rsidR="007220F0">
        <w:t xml:space="preserve">by a year </w:t>
      </w:r>
      <w:r>
        <w:t>to June 2015.</w:t>
      </w:r>
      <w:r w:rsidR="00E33435">
        <w:t xml:space="preserve"> The scope</w:t>
      </w:r>
      <w:r w:rsidR="00CD4340">
        <w:t xml:space="preserve"> of the </w:t>
      </w:r>
      <w:r w:rsidR="00E33435">
        <w:t xml:space="preserve">construction work will be reduced, but all schools and kindergartens will still receive improved </w:t>
      </w:r>
      <w:r w:rsidR="00146344">
        <w:t>facilities. R</w:t>
      </w:r>
      <w:r w:rsidR="00E33435">
        <w:t xml:space="preserve">emaining funds are sufficient to deliver </w:t>
      </w:r>
      <w:r w:rsidR="00146344">
        <w:t>sustainable</w:t>
      </w:r>
      <w:r w:rsidR="00E33435">
        <w:t xml:space="preserve"> </w:t>
      </w:r>
      <w:r w:rsidR="00227B38">
        <w:t>outcomes, but will reduce the efficiency of the program as some designe</w:t>
      </w:r>
      <w:r w:rsidR="000A1755">
        <w:t>d facilities will not go ahead.</w:t>
      </w:r>
    </w:p>
    <w:p w:rsidR="00DC6D66" w:rsidRDefault="002D6B1E" w:rsidP="00DC6D66">
      <w:pPr>
        <w:pStyle w:val="Heading3"/>
      </w:pPr>
      <w:r>
        <w:t>Cross-sectoral activities</w:t>
      </w:r>
    </w:p>
    <w:p w:rsidR="002D6B1E" w:rsidRDefault="007C7DCF" w:rsidP="002D6B1E">
      <w:pPr>
        <w:pStyle w:val="BodyText"/>
        <w:rPr>
          <w:lang w:eastAsia="zh-CN"/>
        </w:rPr>
      </w:pPr>
      <w:r>
        <w:rPr>
          <w:lang w:eastAsia="zh-CN"/>
        </w:rPr>
        <w:t xml:space="preserve">There are a number of </w:t>
      </w:r>
      <w:r w:rsidR="00AA37A2">
        <w:rPr>
          <w:lang w:eastAsia="zh-CN"/>
        </w:rPr>
        <w:t>other</w:t>
      </w:r>
      <w:r>
        <w:rPr>
          <w:lang w:eastAsia="zh-CN"/>
        </w:rPr>
        <w:t xml:space="preserve"> projects which contribute to the </w:t>
      </w:r>
      <w:r w:rsidR="00227B38">
        <w:rPr>
          <w:lang w:eastAsia="zh-CN"/>
        </w:rPr>
        <w:t xml:space="preserve">Mongolia </w:t>
      </w:r>
      <w:r w:rsidR="000A1755">
        <w:rPr>
          <w:lang w:eastAsia="zh-CN"/>
        </w:rPr>
        <w:t>program’s objectives.</w:t>
      </w:r>
    </w:p>
    <w:p w:rsidR="00E82051" w:rsidRPr="00570432" w:rsidRDefault="002D6B1E" w:rsidP="002D6B1E">
      <w:pPr>
        <w:pStyle w:val="BodyText"/>
        <w:rPr>
          <w:szCs w:val="21"/>
        </w:rPr>
      </w:pPr>
      <w:r w:rsidRPr="00570432">
        <w:rPr>
          <w:szCs w:val="21"/>
        </w:rPr>
        <w:t xml:space="preserve">Volunteers </w:t>
      </w:r>
      <w:r w:rsidR="00E732E2" w:rsidRPr="00570432">
        <w:rPr>
          <w:szCs w:val="21"/>
        </w:rPr>
        <w:t>are</w:t>
      </w:r>
      <w:r w:rsidRPr="00570432">
        <w:rPr>
          <w:szCs w:val="21"/>
        </w:rPr>
        <w:t xml:space="preserve"> placed in priority sectors </w:t>
      </w:r>
      <w:r w:rsidR="00E732E2" w:rsidRPr="00570432">
        <w:rPr>
          <w:szCs w:val="21"/>
        </w:rPr>
        <w:t>and in</w:t>
      </w:r>
      <w:r w:rsidR="00AB7080">
        <w:rPr>
          <w:szCs w:val="21"/>
        </w:rPr>
        <w:t xml:space="preserve"> host organis</w:t>
      </w:r>
      <w:r w:rsidRPr="00570432">
        <w:rPr>
          <w:szCs w:val="21"/>
        </w:rPr>
        <w:t xml:space="preserve">ations that </w:t>
      </w:r>
      <w:r w:rsidR="00227B38" w:rsidRPr="00570432">
        <w:rPr>
          <w:szCs w:val="21"/>
        </w:rPr>
        <w:t>receive</w:t>
      </w:r>
      <w:r w:rsidRPr="00570432">
        <w:rPr>
          <w:szCs w:val="21"/>
        </w:rPr>
        <w:t xml:space="preserve"> funds from DFAT</w:t>
      </w:r>
      <w:r w:rsidR="00305944" w:rsidRPr="00570432">
        <w:rPr>
          <w:szCs w:val="21"/>
        </w:rPr>
        <w:t xml:space="preserve">. </w:t>
      </w:r>
      <w:r w:rsidR="00E82051" w:rsidRPr="00570432">
        <w:rPr>
          <w:szCs w:val="21"/>
        </w:rPr>
        <w:t>F</w:t>
      </w:r>
      <w:r w:rsidR="00305944" w:rsidRPr="00570432">
        <w:rPr>
          <w:szCs w:val="21"/>
        </w:rPr>
        <w:t xml:space="preserve">our </w:t>
      </w:r>
      <w:r w:rsidR="008F7202">
        <w:rPr>
          <w:szCs w:val="21"/>
        </w:rPr>
        <w:t xml:space="preserve">Australian Youth Ambassadors for Development (AYAD) </w:t>
      </w:r>
      <w:r w:rsidR="00305944" w:rsidRPr="00570432">
        <w:rPr>
          <w:szCs w:val="21"/>
        </w:rPr>
        <w:t xml:space="preserve">volunteers have worked with the </w:t>
      </w:r>
      <w:r w:rsidR="00305944" w:rsidRPr="00570432">
        <w:rPr>
          <w:szCs w:val="21"/>
        </w:rPr>
        <w:lastRenderedPageBreak/>
        <w:t xml:space="preserve">Asia Foundation and UNICEF this year on DFAT-funded projects to improve water, sanitation and hygiene. </w:t>
      </w:r>
      <w:r w:rsidR="00E82051" w:rsidRPr="00570432">
        <w:rPr>
          <w:szCs w:val="21"/>
        </w:rPr>
        <w:t xml:space="preserve">The </w:t>
      </w:r>
      <w:r w:rsidR="00E82051" w:rsidRPr="00570432">
        <w:rPr>
          <w:rFonts w:cs="Calibri"/>
          <w:szCs w:val="21"/>
          <w:lang w:val="en-US"/>
        </w:rPr>
        <w:t xml:space="preserve">volunteer with the UNICEF WASH project has helped </w:t>
      </w:r>
      <w:r w:rsidR="00A46575">
        <w:rPr>
          <w:rFonts w:cs="Calibri"/>
          <w:szCs w:val="21"/>
          <w:lang w:val="en-US"/>
        </w:rPr>
        <w:t>install</w:t>
      </w:r>
      <w:r w:rsidR="00E82051" w:rsidRPr="00570432">
        <w:rPr>
          <w:rFonts w:cs="Calibri"/>
          <w:szCs w:val="21"/>
          <w:lang w:val="en-US"/>
        </w:rPr>
        <w:t xml:space="preserve"> innovative technological solutions</w:t>
      </w:r>
      <w:r w:rsidR="00A46575">
        <w:rPr>
          <w:rFonts w:cs="Calibri"/>
          <w:szCs w:val="21"/>
          <w:lang w:val="en-US"/>
        </w:rPr>
        <w:t xml:space="preserve"> that are</w:t>
      </w:r>
      <w:r w:rsidR="00E82051" w:rsidRPr="00570432">
        <w:rPr>
          <w:rFonts w:cs="Calibri"/>
          <w:szCs w:val="21"/>
          <w:lang w:val="en-US"/>
        </w:rPr>
        <w:t xml:space="preserve"> </w:t>
      </w:r>
      <w:r w:rsidR="00A46575">
        <w:rPr>
          <w:rFonts w:cs="Calibri"/>
          <w:szCs w:val="21"/>
          <w:lang w:val="en-US"/>
        </w:rPr>
        <w:t>appropriate for</w:t>
      </w:r>
      <w:r w:rsidR="00E82051" w:rsidRPr="00570432">
        <w:rPr>
          <w:rFonts w:cs="Calibri"/>
          <w:szCs w:val="21"/>
          <w:lang w:val="en-US"/>
        </w:rPr>
        <w:t xml:space="preserve"> the harsh climate, and are hygienic, low cost and simple to m</w:t>
      </w:r>
      <w:r w:rsidR="00A46575">
        <w:rPr>
          <w:rFonts w:cs="Calibri"/>
          <w:szCs w:val="21"/>
          <w:lang w:val="en-US"/>
        </w:rPr>
        <w:t>aintain. In Tarialan School</w:t>
      </w:r>
      <w:r w:rsidR="002D70CD">
        <w:rPr>
          <w:rFonts w:cs="Calibri"/>
          <w:szCs w:val="21"/>
          <w:lang w:val="en-US"/>
        </w:rPr>
        <w:t xml:space="preserve"> the</w:t>
      </w:r>
      <w:r w:rsidR="00A46575">
        <w:rPr>
          <w:rFonts w:cs="Calibri"/>
          <w:szCs w:val="21"/>
          <w:lang w:val="en-US"/>
        </w:rPr>
        <w:t xml:space="preserve"> </w:t>
      </w:r>
      <w:r w:rsidR="00E82051" w:rsidRPr="00570432">
        <w:rPr>
          <w:rFonts w:cs="Calibri"/>
          <w:szCs w:val="21"/>
          <w:lang w:val="en-US"/>
        </w:rPr>
        <w:t>results are evident. With new indoor facilities the dormitory students can now shower regularly even in winter and the children do</w:t>
      </w:r>
      <w:r w:rsidR="00EF78D2">
        <w:rPr>
          <w:rFonts w:cs="Calibri"/>
          <w:szCs w:val="21"/>
          <w:lang w:val="en-US"/>
        </w:rPr>
        <w:t xml:space="preserve"> not</w:t>
      </w:r>
      <w:r w:rsidR="00E82051" w:rsidRPr="00570432">
        <w:rPr>
          <w:rFonts w:cs="Calibri"/>
          <w:szCs w:val="21"/>
          <w:lang w:val="en-US"/>
        </w:rPr>
        <w:t xml:space="preserve"> have to use frosty and dangerous toilets that are “cold, dark and scar</w:t>
      </w:r>
      <w:r w:rsidR="00AB7080">
        <w:rPr>
          <w:rFonts w:cs="Calibri"/>
          <w:szCs w:val="21"/>
          <w:lang w:val="en-US"/>
        </w:rPr>
        <w:t>y!</w:t>
      </w:r>
      <w:r w:rsidR="00A46575" w:rsidRPr="00AB7080">
        <w:rPr>
          <w:rFonts w:cs="Calibri"/>
          <w:szCs w:val="21"/>
          <w:lang w:val="en-US"/>
        </w:rPr>
        <w:t>”</w:t>
      </w:r>
      <w:r w:rsidR="00570432" w:rsidRPr="00AB7080">
        <w:rPr>
          <w:rStyle w:val="FootnoteReference"/>
          <w:rFonts w:ascii="Franklin Gothic Book" w:hAnsi="Franklin Gothic Book" w:cs="Calibri"/>
          <w:lang w:val="en-US"/>
        </w:rPr>
        <w:footnoteReference w:id="12"/>
      </w:r>
    </w:p>
    <w:p w:rsidR="002D6B1E" w:rsidRDefault="00227B38" w:rsidP="002D6B1E">
      <w:pPr>
        <w:pStyle w:val="BodyText"/>
      </w:pPr>
      <w:r>
        <w:t xml:space="preserve">In </w:t>
      </w:r>
      <w:r w:rsidR="00E732E2">
        <w:t>2013–</w:t>
      </w:r>
      <w:r w:rsidR="00AB7080">
        <w:t>14, there we</w:t>
      </w:r>
      <w:r w:rsidR="007C7DCF">
        <w:t xml:space="preserve">re 25 </w:t>
      </w:r>
      <w:r w:rsidR="00305944">
        <w:t xml:space="preserve">new </w:t>
      </w:r>
      <w:r w:rsidR="008F7202">
        <w:t xml:space="preserve">AYAD </w:t>
      </w:r>
      <w:r w:rsidR="007C7DCF">
        <w:t>volunteers</w:t>
      </w:r>
      <w:r w:rsidR="002D70CD">
        <w:t xml:space="preserve"> placed in ten</w:t>
      </w:r>
      <w:r w:rsidR="00533CB4">
        <w:t xml:space="preserve"> local NGOs, six international NGOs, five</w:t>
      </w:r>
      <w:r w:rsidR="00AB7080">
        <w:t xml:space="preserve"> government organis</w:t>
      </w:r>
      <w:r w:rsidR="002D6B1E" w:rsidRPr="0007008E">
        <w:t xml:space="preserve">ations, </w:t>
      </w:r>
      <w:r w:rsidR="00533CB4">
        <w:t>three</w:t>
      </w:r>
      <w:r w:rsidR="002D6B1E" w:rsidRPr="0007008E">
        <w:t xml:space="preserve"> UN agencies</w:t>
      </w:r>
      <w:r w:rsidR="007C7DCF">
        <w:t xml:space="preserve"> </w:t>
      </w:r>
      <w:r w:rsidR="002D70CD">
        <w:t xml:space="preserve">and </w:t>
      </w:r>
      <w:r w:rsidR="007C7DCF">
        <w:t>one private company</w:t>
      </w:r>
      <w:r w:rsidR="002D6B1E" w:rsidRPr="0007008E">
        <w:t xml:space="preserve">. </w:t>
      </w:r>
      <w:r w:rsidR="00AA37A2">
        <w:t xml:space="preserve">In the next Mongolia Aid Investment Plan we will explore opportunities for strengthening engagement of volunteers with the private sector. </w:t>
      </w:r>
      <w:r w:rsidR="007C7DCF">
        <w:t>There are also</w:t>
      </w:r>
      <w:r w:rsidR="00533CB4">
        <w:t xml:space="preserve"> eight</w:t>
      </w:r>
      <w:r w:rsidR="002D6B1E" w:rsidRPr="0007008E">
        <w:t xml:space="preserve"> </w:t>
      </w:r>
      <w:r w:rsidR="007C7DCF">
        <w:t>Red Cross volunteers in</w:t>
      </w:r>
      <w:r w:rsidR="00AB7080">
        <w:t xml:space="preserve"> three government organis</w:t>
      </w:r>
      <w:r w:rsidR="00533CB4">
        <w:t>ations, four</w:t>
      </w:r>
      <w:r w:rsidR="002D70CD">
        <w:t xml:space="preserve"> NGOs and one</w:t>
      </w:r>
      <w:r w:rsidR="002D6B1E" w:rsidRPr="0007008E">
        <w:t xml:space="preserve"> UN agency.</w:t>
      </w:r>
      <w:r w:rsidR="00305944">
        <w:t xml:space="preserve"> Volunteers with the Mongolian Red Cross and UNICEF </w:t>
      </w:r>
      <w:r w:rsidR="00E732E2">
        <w:t>are</w:t>
      </w:r>
      <w:r w:rsidR="00305944">
        <w:t xml:space="preserve"> strengthen</w:t>
      </w:r>
      <w:r w:rsidR="00E732E2">
        <w:t>ing</w:t>
      </w:r>
      <w:r w:rsidR="00305944">
        <w:t xml:space="preserve"> </w:t>
      </w:r>
      <w:r w:rsidR="00CD75E6">
        <w:t xml:space="preserve">the </w:t>
      </w:r>
      <w:r w:rsidR="00305944">
        <w:t xml:space="preserve">cooperation and capacity of organisations working with communities to </w:t>
      </w:r>
      <w:r w:rsidR="0033706C">
        <w:t>improve</w:t>
      </w:r>
      <w:r w:rsidR="00305944">
        <w:t xml:space="preserve"> disaster preparedness</w:t>
      </w:r>
      <w:r w:rsidR="00CD75E6" w:rsidRPr="00AB7080">
        <w:rPr>
          <w:rStyle w:val="FootnoteReference"/>
          <w:rFonts w:ascii="Franklin Gothic Book" w:hAnsi="Franklin Gothic Book"/>
        </w:rPr>
        <w:footnoteReference w:id="13"/>
      </w:r>
      <w:r w:rsidR="000A1755">
        <w:t>.</w:t>
      </w:r>
    </w:p>
    <w:p w:rsidR="0007008E" w:rsidRPr="0007008E" w:rsidRDefault="004C4F84" w:rsidP="0007008E">
      <w:pPr>
        <w:pStyle w:val="BodyText"/>
      </w:pPr>
      <w:r>
        <w:t>Australia</w:t>
      </w:r>
      <w:r w:rsidR="007C7DCF">
        <w:t xml:space="preserve"> </w:t>
      </w:r>
      <w:r w:rsidR="00E732E2">
        <w:t>funds</w:t>
      </w:r>
      <w:r w:rsidR="007C7DCF">
        <w:t xml:space="preserve"> the Asia Foundation to deliver two projects in </w:t>
      </w:r>
      <w:r w:rsidR="0007008E" w:rsidRPr="0007008E">
        <w:t>Ulaanbaatar</w:t>
      </w:r>
      <w:r w:rsidR="002D70CD">
        <w:t>;</w:t>
      </w:r>
      <w:r w:rsidR="007C7DCF">
        <w:t xml:space="preserve"> one on improving urban s</w:t>
      </w:r>
      <w:r w:rsidR="007C7DCF" w:rsidRPr="0007008E">
        <w:t>ervices</w:t>
      </w:r>
      <w:r w:rsidR="007C7DCF">
        <w:t xml:space="preserve"> in the ger </w:t>
      </w:r>
      <w:r w:rsidR="002D70CD">
        <w:t xml:space="preserve">districts (tent settlements) </w:t>
      </w:r>
      <w:r w:rsidR="007C7DCF">
        <w:t>and one on economic policy p</w:t>
      </w:r>
      <w:r w:rsidR="007C7DCF" w:rsidRPr="0007008E">
        <w:t>lanning</w:t>
      </w:r>
      <w:r w:rsidR="007C7DCF">
        <w:t xml:space="preserve">. </w:t>
      </w:r>
      <w:r w:rsidR="00E732E2">
        <w:t>In 2013–</w:t>
      </w:r>
      <w:r w:rsidR="007C7DCF">
        <w:t>14 the urban services p</w:t>
      </w:r>
      <w:r w:rsidR="003319BD">
        <w:t xml:space="preserve">roject </w:t>
      </w:r>
      <w:r w:rsidR="00BA638D">
        <w:t xml:space="preserve">consulted with residents in </w:t>
      </w:r>
      <w:r w:rsidR="00BA638D" w:rsidRPr="0007008E">
        <w:t xml:space="preserve">87 neighbourhoods </w:t>
      </w:r>
      <w:r w:rsidR="00BA638D">
        <w:t>to develop</w:t>
      </w:r>
      <w:r w:rsidR="003319BD">
        <w:t xml:space="preserve"> c</w:t>
      </w:r>
      <w:r w:rsidR="0007008E" w:rsidRPr="0007008E">
        <w:t xml:space="preserve">ommunity maps </w:t>
      </w:r>
      <w:r w:rsidR="00024C12">
        <w:t xml:space="preserve">which are </w:t>
      </w:r>
      <w:r w:rsidR="00BA638D">
        <w:t xml:space="preserve">now </w:t>
      </w:r>
      <w:r w:rsidR="00024C12">
        <w:t xml:space="preserve">available online </w:t>
      </w:r>
      <w:r w:rsidR="00BA638D">
        <w:t xml:space="preserve">and </w:t>
      </w:r>
      <w:r w:rsidR="00024C12">
        <w:t xml:space="preserve">are being used </w:t>
      </w:r>
      <w:r w:rsidR="00BA638D">
        <w:t xml:space="preserve">by the Mayor’s Office for budget planning in </w:t>
      </w:r>
      <w:r w:rsidR="00024C12">
        <w:t>2014</w:t>
      </w:r>
      <w:r w:rsidR="0007008E" w:rsidRPr="0007008E">
        <w:t>.</w:t>
      </w:r>
      <w:r w:rsidR="00BA638D">
        <w:t xml:space="preserve"> </w:t>
      </w:r>
      <w:r w:rsidR="003319BD">
        <w:t>The</w:t>
      </w:r>
      <w:r w:rsidR="0007008E" w:rsidRPr="0007008E">
        <w:t xml:space="preserve"> Econ</w:t>
      </w:r>
      <w:r w:rsidR="00BD47D8">
        <w:t xml:space="preserve">omic Policy Planning </w:t>
      </w:r>
      <w:r w:rsidR="003319BD">
        <w:t xml:space="preserve">project </w:t>
      </w:r>
      <w:r w:rsidR="00BA638D">
        <w:t>supports</w:t>
      </w:r>
      <w:r w:rsidR="0007008E" w:rsidRPr="0007008E">
        <w:t xml:space="preserve"> </w:t>
      </w:r>
      <w:r w:rsidR="003319BD">
        <w:t xml:space="preserve">the </w:t>
      </w:r>
      <w:r w:rsidR="00BA638D">
        <w:t>newly-</w:t>
      </w:r>
      <w:r w:rsidR="0007008E" w:rsidRPr="0007008E">
        <w:t>established Economic</w:t>
      </w:r>
      <w:r w:rsidR="003319BD">
        <w:t xml:space="preserve"> Development Agency of the </w:t>
      </w:r>
      <w:r w:rsidR="0007008E" w:rsidRPr="0007008E">
        <w:t>Mayor</w:t>
      </w:r>
      <w:r w:rsidR="003319BD">
        <w:t>’s</w:t>
      </w:r>
      <w:r w:rsidR="0007008E" w:rsidRPr="0007008E">
        <w:t xml:space="preserve"> Office to design an economic development strategy for the city</w:t>
      </w:r>
      <w:r w:rsidR="00BA638D">
        <w:t>,</w:t>
      </w:r>
      <w:r w:rsidR="0007008E" w:rsidRPr="0007008E">
        <w:t xml:space="preserve"> </w:t>
      </w:r>
      <w:r w:rsidR="00BA638D">
        <w:t xml:space="preserve">and </w:t>
      </w:r>
      <w:r w:rsidR="00BA638D" w:rsidRPr="0007008E">
        <w:t xml:space="preserve">effectively </w:t>
      </w:r>
      <w:r w:rsidR="0007008E" w:rsidRPr="0007008E">
        <w:t xml:space="preserve">engage with </w:t>
      </w:r>
      <w:r w:rsidR="007220F0">
        <w:t xml:space="preserve">the </w:t>
      </w:r>
      <w:r w:rsidR="0007008E" w:rsidRPr="0007008E">
        <w:t>private sector</w:t>
      </w:r>
      <w:r w:rsidR="00BA638D">
        <w:t xml:space="preserve"> and</w:t>
      </w:r>
      <w:r w:rsidR="0007008E" w:rsidRPr="0007008E">
        <w:t xml:space="preserve"> </w:t>
      </w:r>
      <w:r w:rsidR="00BA638D">
        <w:t>the general public including through regular</w:t>
      </w:r>
      <w:r w:rsidR="000A1755">
        <w:t xml:space="preserve"> sharing of economic data.</w:t>
      </w:r>
    </w:p>
    <w:p w:rsidR="0007008E" w:rsidRPr="0007008E" w:rsidRDefault="00BA638D" w:rsidP="0007008E">
      <w:pPr>
        <w:pStyle w:val="BodyText"/>
      </w:pPr>
      <w:r>
        <w:t xml:space="preserve">The </w:t>
      </w:r>
      <w:r w:rsidR="007220F0">
        <w:t>Development Assistance Projects (DAP)</w:t>
      </w:r>
      <w:r>
        <w:t xml:space="preserve"> are</w:t>
      </w:r>
      <w:r w:rsidR="0007008E" w:rsidRPr="0007008E">
        <w:t xml:space="preserve"> </w:t>
      </w:r>
      <w:r w:rsidR="003319BD">
        <w:t xml:space="preserve">a </w:t>
      </w:r>
      <w:r w:rsidR="0007008E" w:rsidRPr="0007008E">
        <w:t>small grant</w:t>
      </w:r>
      <w:r>
        <w:t>s</w:t>
      </w:r>
      <w:r w:rsidR="0007008E" w:rsidRPr="0007008E">
        <w:t xml:space="preserve"> scheme</w:t>
      </w:r>
      <w:r>
        <w:t>,</w:t>
      </w:r>
      <w:r w:rsidR="0007008E" w:rsidRPr="0007008E">
        <w:t xml:space="preserve"> manag</w:t>
      </w:r>
      <w:r w:rsidR="007220F0">
        <w:t xml:space="preserve">ed through DFAT Seoul Post, </w:t>
      </w:r>
      <w:r>
        <w:t xml:space="preserve">to </w:t>
      </w:r>
      <w:r w:rsidR="0007008E" w:rsidRPr="0007008E">
        <w:t>support</w:t>
      </w:r>
      <w:r w:rsidR="007220F0">
        <w:t xml:space="preserve"> Mongolian civil</w:t>
      </w:r>
      <w:r w:rsidR="0007008E" w:rsidRPr="0007008E">
        <w:t xml:space="preserve"> society</w:t>
      </w:r>
      <w:r>
        <w:t xml:space="preserve"> projects</w:t>
      </w:r>
      <w:r w:rsidR="0007008E" w:rsidRPr="0007008E">
        <w:t xml:space="preserve">. </w:t>
      </w:r>
      <w:r w:rsidR="007220F0">
        <w:t>DAPs provide</w:t>
      </w:r>
      <w:r w:rsidR="0007008E" w:rsidRPr="0007008E">
        <w:t xml:space="preserve"> the opportunity to wo</w:t>
      </w:r>
      <w:r w:rsidR="007220F0">
        <w:t xml:space="preserve">rk with </w:t>
      </w:r>
      <w:r w:rsidR="007220F0" w:rsidRPr="0007008E">
        <w:t>Mongolian</w:t>
      </w:r>
      <w:r w:rsidR="007220F0">
        <w:t xml:space="preserve"> NGOS and </w:t>
      </w:r>
      <w:r w:rsidR="0007008E" w:rsidRPr="0007008E">
        <w:t xml:space="preserve">communities in </w:t>
      </w:r>
      <w:r w:rsidR="007220F0">
        <w:t xml:space="preserve">vulnerable </w:t>
      </w:r>
      <w:r w:rsidR="0007008E" w:rsidRPr="0007008E">
        <w:t xml:space="preserve">rural and urban areas of Mongolia. </w:t>
      </w:r>
      <w:r>
        <w:t>Current projects</w:t>
      </w:r>
      <w:r w:rsidR="0007008E" w:rsidRPr="0007008E">
        <w:t xml:space="preserve"> are helping vulnerable communities</w:t>
      </w:r>
      <w:r>
        <w:t>,</w:t>
      </w:r>
      <w:r w:rsidR="0007008E" w:rsidRPr="0007008E">
        <w:t xml:space="preserve"> </w:t>
      </w:r>
      <w:r>
        <w:t>including poor women and people with disabilities,</w:t>
      </w:r>
      <w:r w:rsidR="0007008E" w:rsidRPr="0007008E">
        <w:t xml:space="preserve"> to generate income and job opportunities, improve social and health services and participate in th</w:t>
      </w:r>
      <w:r w:rsidR="00C665B4">
        <w:t xml:space="preserve">e decisions which affect them. </w:t>
      </w:r>
      <w:r w:rsidR="0007008E" w:rsidRPr="0007008E">
        <w:t xml:space="preserve">DAPs </w:t>
      </w:r>
      <w:r w:rsidR="006F70FB">
        <w:t xml:space="preserve">also help </w:t>
      </w:r>
      <w:r w:rsidR="0007008E" w:rsidRPr="0007008E">
        <w:t>strengthen the capacity of Mongolian NGOs to become active participan</w:t>
      </w:r>
      <w:r w:rsidR="003319BD">
        <w:t>ts in social and economic</w:t>
      </w:r>
      <w:r w:rsidR="007220F0">
        <w:t xml:space="preserve"> development</w:t>
      </w:r>
      <w:r w:rsidR="003319BD">
        <w:t>.</w:t>
      </w:r>
    </w:p>
    <w:p w:rsidR="000D733F" w:rsidRPr="001375E3" w:rsidRDefault="000D733F" w:rsidP="000D733F">
      <w:pPr>
        <w:pStyle w:val="Heading3"/>
        <w:rPr>
          <w:rStyle w:val="BodyTextChar"/>
          <w:b w:val="0"/>
          <w:color w:val="auto"/>
        </w:rPr>
      </w:pPr>
      <w:r w:rsidRPr="009E38C1">
        <w:rPr>
          <w:b w:val="0"/>
          <w:color w:val="007FAD"/>
          <w:sz w:val="28"/>
          <w:szCs w:val="28"/>
          <w:lang w:eastAsia="en-AU"/>
        </w:rPr>
        <w:t>Mutual Obligations</w:t>
      </w:r>
      <w:r w:rsidRPr="009E38C1">
        <w:rPr>
          <w:b w:val="0"/>
          <w:color w:val="007FAD"/>
          <w:sz w:val="32"/>
          <w:szCs w:val="32"/>
          <w:lang w:eastAsia="en-AU"/>
        </w:rPr>
        <w:tab/>
      </w:r>
      <w:r>
        <w:tab/>
      </w:r>
      <w:r>
        <w:tab/>
      </w:r>
      <w:r>
        <w:tab/>
      </w:r>
    </w:p>
    <w:p w:rsidR="003319BD" w:rsidRDefault="005F5CD9" w:rsidP="00C53CE3">
      <w:pPr>
        <w:pStyle w:val="BodyText"/>
      </w:pPr>
      <w:r w:rsidRPr="009D16EA">
        <w:t xml:space="preserve">The Government of Mongolia </w:t>
      </w:r>
      <w:r w:rsidR="00570432">
        <w:t>is</w:t>
      </w:r>
      <w:r w:rsidRPr="009D16EA">
        <w:t xml:space="preserve"> an active and constructive partner in achieving the objectives outlined above. </w:t>
      </w:r>
      <w:r w:rsidR="00570432">
        <w:t xml:space="preserve">DFAT has </w:t>
      </w:r>
      <w:r w:rsidR="00AB7080">
        <w:t>long-</w:t>
      </w:r>
      <w:r w:rsidR="00570432" w:rsidRPr="009D16EA">
        <w:t xml:space="preserve">standing </w:t>
      </w:r>
      <w:r w:rsidR="00570432">
        <w:t>good</w:t>
      </w:r>
      <w:r w:rsidR="00570432" w:rsidRPr="009D16EA">
        <w:t xml:space="preserve"> relations with </w:t>
      </w:r>
      <w:r w:rsidR="005753CA">
        <w:t>our</w:t>
      </w:r>
      <w:r w:rsidR="00570432">
        <w:t xml:space="preserve"> partner on the aid program, </w:t>
      </w:r>
      <w:r w:rsidR="00570432" w:rsidRPr="009D16EA">
        <w:t>the Ministry of Economic Development</w:t>
      </w:r>
      <w:r w:rsidR="00570432">
        <w:t xml:space="preserve">. </w:t>
      </w:r>
      <w:r w:rsidR="003319BD">
        <w:t xml:space="preserve">The </w:t>
      </w:r>
      <w:r w:rsidRPr="009D16EA">
        <w:t>A</w:t>
      </w:r>
      <w:r w:rsidR="009D16EA" w:rsidRPr="009D16EA">
        <w:t xml:space="preserve">AM, </w:t>
      </w:r>
      <w:r w:rsidRPr="009D16EA">
        <w:t>WASH</w:t>
      </w:r>
      <w:r w:rsidR="003319BD">
        <w:t xml:space="preserve"> and Ground Water M</w:t>
      </w:r>
      <w:r w:rsidR="009D16EA" w:rsidRPr="009D16EA">
        <w:t>anagement projects all</w:t>
      </w:r>
      <w:r w:rsidRPr="009D16EA">
        <w:t xml:space="preserve"> rely on </w:t>
      </w:r>
      <w:r w:rsidR="005753CA">
        <w:t xml:space="preserve">Mongolian </w:t>
      </w:r>
      <w:r w:rsidR="00AB7080">
        <w:t>Government-</w:t>
      </w:r>
      <w:r w:rsidRPr="009D16EA">
        <w:t>led program coordination mechanisms for effective delivery.</w:t>
      </w:r>
    </w:p>
    <w:p w:rsidR="005F5CD9" w:rsidRPr="009D16EA" w:rsidRDefault="003703A4" w:rsidP="00C53CE3">
      <w:pPr>
        <w:pStyle w:val="BodyText"/>
      </w:pPr>
      <w:r>
        <w:t>A number of</w:t>
      </w:r>
      <w:r w:rsidR="003319BD">
        <w:t xml:space="preserve"> </w:t>
      </w:r>
      <w:r w:rsidR="006F70FB">
        <w:t xml:space="preserve">current </w:t>
      </w:r>
      <w:r w:rsidR="003319BD">
        <w:t>projects include elements of</w:t>
      </w:r>
      <w:r w:rsidR="006F70FB">
        <w:t xml:space="preserve"> mutual obligation. Under AAM, g</w:t>
      </w:r>
      <w:r w:rsidR="003319BD">
        <w:t xml:space="preserve">overnment </w:t>
      </w:r>
      <w:r w:rsidR="006F70FB">
        <w:t>staff</w:t>
      </w:r>
      <w:r w:rsidR="003319BD">
        <w:t xml:space="preserve"> </w:t>
      </w:r>
      <w:r w:rsidR="006F70FB">
        <w:t>who receive</w:t>
      </w:r>
      <w:r w:rsidR="003319BD">
        <w:t xml:space="preserve"> scholarships </w:t>
      </w:r>
      <w:r w:rsidR="006F70FB">
        <w:t xml:space="preserve">are funded by their agency </w:t>
      </w:r>
      <w:r w:rsidR="003319BD">
        <w:t>while they undertake English lan</w:t>
      </w:r>
      <w:r w:rsidR="00C665B4">
        <w:t xml:space="preserve">guage training in Mongolia. </w:t>
      </w:r>
      <w:r w:rsidR="006F70FB">
        <w:t>The government agencies</w:t>
      </w:r>
      <w:r w:rsidR="003319BD">
        <w:t xml:space="preserve"> work with AAM to reintegrate staff </w:t>
      </w:r>
      <w:r w:rsidR="00C665B4">
        <w:t xml:space="preserve">on their return from Australia. </w:t>
      </w:r>
      <w:r w:rsidR="003319BD">
        <w:t xml:space="preserve">Under the Groundwater Management Project, the Government of Mongolia has committed to </w:t>
      </w:r>
      <w:r w:rsidR="00F66A76">
        <w:t>take over funding of</w:t>
      </w:r>
      <w:r w:rsidR="003319BD">
        <w:t xml:space="preserve"> </w:t>
      </w:r>
      <w:r w:rsidR="001C7564">
        <w:t xml:space="preserve">the remaining </w:t>
      </w:r>
      <w:r w:rsidR="00B73BA1">
        <w:t xml:space="preserve">three </w:t>
      </w:r>
      <w:r w:rsidR="003319BD">
        <w:t>RBAs</w:t>
      </w:r>
      <w:r w:rsidR="001C7564">
        <w:t>, currently funded by Australia,</w:t>
      </w:r>
      <w:r w:rsidR="003319BD">
        <w:t xml:space="preserve"> until they are </w:t>
      </w:r>
      <w:r w:rsidR="00212C1F">
        <w:t>fully funding</w:t>
      </w:r>
      <w:r w:rsidR="003319BD">
        <w:t xml:space="preserve"> the system</w:t>
      </w:r>
      <w:r w:rsidR="003319BD" w:rsidRPr="00570432">
        <w:t>.</w:t>
      </w:r>
    </w:p>
    <w:p w:rsidR="009D16EA" w:rsidRPr="009D16EA" w:rsidRDefault="00611A9F" w:rsidP="00C53CE3">
      <w:pPr>
        <w:pStyle w:val="BodyText"/>
      </w:pPr>
      <w:r w:rsidRPr="009D16EA">
        <w:lastRenderedPageBreak/>
        <w:t xml:space="preserve">On mining, the Government of Mongolia </w:t>
      </w:r>
      <w:r w:rsidR="006F70FB">
        <w:t>is an active partner—</w:t>
      </w:r>
      <w:r w:rsidRPr="009D16EA">
        <w:t xml:space="preserve">working closely with Australia, and </w:t>
      </w:r>
      <w:r w:rsidR="006F70FB">
        <w:t xml:space="preserve">other </w:t>
      </w:r>
      <w:r w:rsidRPr="009D16EA">
        <w:t xml:space="preserve">donors, </w:t>
      </w:r>
      <w:r w:rsidR="003319BD">
        <w:t xml:space="preserve">to ensure </w:t>
      </w:r>
      <w:r w:rsidR="006F70FB">
        <w:t>support is</w:t>
      </w:r>
      <w:r w:rsidR="003319BD">
        <w:t xml:space="preserve"> coordinated</w:t>
      </w:r>
      <w:r w:rsidRPr="009D16EA">
        <w:t xml:space="preserve">. </w:t>
      </w:r>
      <w:r w:rsidR="003319BD">
        <w:t xml:space="preserve">The </w:t>
      </w:r>
      <w:r w:rsidR="009D16EA" w:rsidRPr="009D16EA">
        <w:t>M</w:t>
      </w:r>
      <w:r w:rsidR="003319BD">
        <w:t xml:space="preserve">inistry </w:t>
      </w:r>
      <w:r w:rsidR="009D16EA" w:rsidRPr="009D16EA">
        <w:t>o</w:t>
      </w:r>
      <w:r w:rsidR="003319BD">
        <w:t xml:space="preserve">f </w:t>
      </w:r>
      <w:r w:rsidR="009D16EA" w:rsidRPr="009D16EA">
        <w:t>M</w:t>
      </w:r>
      <w:r w:rsidR="003319BD">
        <w:t>ining (MoM)</w:t>
      </w:r>
      <w:r w:rsidR="009D16EA" w:rsidRPr="009D16EA">
        <w:t xml:space="preserve"> and </w:t>
      </w:r>
      <w:r w:rsidR="003319BD">
        <w:t xml:space="preserve">the </w:t>
      </w:r>
      <w:r w:rsidR="009D16EA" w:rsidRPr="009D16EA">
        <w:t>M</w:t>
      </w:r>
      <w:r w:rsidR="003319BD">
        <w:t xml:space="preserve">inistry of </w:t>
      </w:r>
      <w:r w:rsidR="009D16EA" w:rsidRPr="009D16EA">
        <w:t>E</w:t>
      </w:r>
      <w:r w:rsidR="003319BD">
        <w:t xml:space="preserve">conomic </w:t>
      </w:r>
      <w:r w:rsidR="009D16EA" w:rsidRPr="009D16EA">
        <w:t>D</w:t>
      </w:r>
      <w:r w:rsidR="003319BD">
        <w:t>evelopment</w:t>
      </w:r>
      <w:r w:rsidR="009D16EA" w:rsidRPr="009D16EA">
        <w:t xml:space="preserve"> </w:t>
      </w:r>
      <w:r w:rsidR="003319BD">
        <w:t xml:space="preserve">were actively involved </w:t>
      </w:r>
      <w:r w:rsidR="009D16EA" w:rsidRPr="009D16EA">
        <w:t>in</w:t>
      </w:r>
      <w:r w:rsidR="003319BD">
        <w:t xml:space="preserve"> the</w:t>
      </w:r>
      <w:r w:rsidR="009D16EA" w:rsidRPr="009D16EA">
        <w:t xml:space="preserve"> </w:t>
      </w:r>
      <w:r w:rsidR="003319BD">
        <w:t>finalis</w:t>
      </w:r>
      <w:r w:rsidR="009D16EA" w:rsidRPr="009D16EA">
        <w:t>ation of AMEP</w:t>
      </w:r>
      <w:r w:rsidR="006F70FB">
        <w:t xml:space="preserve">. </w:t>
      </w:r>
      <w:r w:rsidR="003319BD">
        <w:t xml:space="preserve">MoM senior </w:t>
      </w:r>
      <w:r w:rsidR="006F70FB">
        <w:t>officials</w:t>
      </w:r>
      <w:r w:rsidR="009D16EA" w:rsidRPr="009D16EA">
        <w:t xml:space="preserve"> participated in </w:t>
      </w:r>
      <w:r w:rsidR="006F70FB">
        <w:t xml:space="preserve">the </w:t>
      </w:r>
      <w:r w:rsidR="009D16EA" w:rsidRPr="009D16EA">
        <w:t xml:space="preserve">selection </w:t>
      </w:r>
      <w:r w:rsidR="005753CA">
        <w:t>process for an implementation service p</w:t>
      </w:r>
      <w:r w:rsidR="003319BD">
        <w:t>rovider for AMEP.</w:t>
      </w:r>
      <w:r w:rsidR="009D16EA" w:rsidRPr="009D16EA">
        <w:t xml:space="preserve"> </w:t>
      </w:r>
    </w:p>
    <w:p w:rsidR="00C53CE3" w:rsidRPr="009D16EA" w:rsidRDefault="00C53CE3" w:rsidP="00C53CE3">
      <w:pPr>
        <w:pStyle w:val="BodyText"/>
        <w:rPr>
          <w:bCs/>
        </w:rPr>
      </w:pPr>
      <w:r w:rsidRPr="009D16EA">
        <w:t>In January 2014, the Mongolian Parliament approved a new State Policy on</w:t>
      </w:r>
      <w:r w:rsidR="006F70FB">
        <w:t xml:space="preserve"> the Mineral Sector (2014–2025). The Policy</w:t>
      </w:r>
      <w:r w:rsidRPr="009D16EA">
        <w:t xml:space="preserve"> provide</w:t>
      </w:r>
      <w:r w:rsidR="006F70FB">
        <w:t>s</w:t>
      </w:r>
      <w:r w:rsidRPr="009D16EA">
        <w:t xml:space="preserve"> a com</w:t>
      </w:r>
      <w:r w:rsidR="006F70FB">
        <w:t>prehensive framework for mining-</w:t>
      </w:r>
      <w:r w:rsidRPr="009D16EA">
        <w:t>re</w:t>
      </w:r>
      <w:r w:rsidR="006F70FB">
        <w:t>lated legislation and long-</w:t>
      </w:r>
      <w:r w:rsidRPr="009D16EA">
        <w:t>term guidance for the development of the sector.</w:t>
      </w:r>
      <w:r w:rsidR="009D16EA" w:rsidRPr="009D16EA">
        <w:t xml:space="preserve"> </w:t>
      </w:r>
      <w:r w:rsidR="00611A9F" w:rsidRPr="009D16EA">
        <w:t xml:space="preserve">This policy paves the way for valuable work to be done under AMEP </w:t>
      </w:r>
      <w:r w:rsidR="006F70FB">
        <w:t>in support of</w:t>
      </w:r>
      <w:r w:rsidR="00611A9F" w:rsidRPr="009D16EA">
        <w:t xml:space="preserve"> the Government of Mongolia’s priorities. </w:t>
      </w:r>
      <w:r w:rsidR="00AD5D2E">
        <w:t>There is scope to discuss mutual obligations in this space under the new Aid Investment Plan.</w:t>
      </w:r>
    </w:p>
    <w:p w:rsidR="00627EF7" w:rsidRDefault="000D733F" w:rsidP="000D733F">
      <w:pPr>
        <w:pStyle w:val="Heading3"/>
        <w:rPr>
          <w:sz w:val="28"/>
          <w:szCs w:val="28"/>
        </w:rPr>
      </w:pPr>
      <w:r w:rsidRPr="009E38C1">
        <w:rPr>
          <w:b w:val="0"/>
          <w:color w:val="007FAD"/>
          <w:sz w:val="28"/>
          <w:szCs w:val="28"/>
          <w:lang w:eastAsia="en-AU"/>
        </w:rPr>
        <w:t>Program Quality and Management</w:t>
      </w:r>
      <w:r w:rsidRPr="009E38C1">
        <w:rPr>
          <w:sz w:val="28"/>
          <w:szCs w:val="28"/>
        </w:rPr>
        <w:t xml:space="preserve"> </w:t>
      </w:r>
      <w:r w:rsidRPr="009E38C1">
        <w:rPr>
          <w:sz w:val="28"/>
          <w:szCs w:val="28"/>
        </w:rPr>
        <w:tab/>
      </w:r>
    </w:p>
    <w:p w:rsidR="00E263F8" w:rsidRDefault="00627EF7" w:rsidP="005753CA">
      <w:pPr>
        <w:pStyle w:val="BodyText"/>
      </w:pPr>
      <w:r w:rsidRPr="00E46E6E">
        <w:t xml:space="preserve">Improvement of the program’s </w:t>
      </w:r>
      <w:r w:rsidR="00AD5D2E">
        <w:t xml:space="preserve">quality reporting </w:t>
      </w:r>
      <w:r w:rsidR="00E263F8">
        <w:t>was</w:t>
      </w:r>
      <w:r w:rsidR="00AD5D2E">
        <w:t xml:space="preserve"> a</w:t>
      </w:r>
      <w:r w:rsidR="006F70FB">
        <w:t xml:space="preserve"> focus of 2013–</w:t>
      </w:r>
      <w:r w:rsidRPr="00E46E6E">
        <w:t xml:space="preserve">14. </w:t>
      </w:r>
      <w:r w:rsidR="00E263F8" w:rsidRPr="00E46E6E">
        <w:t>No independent evaluations were held in 2013-14</w:t>
      </w:r>
      <w:r w:rsidR="00E263F8">
        <w:t xml:space="preserve">. </w:t>
      </w:r>
      <w:r w:rsidRPr="00E46E6E">
        <w:t xml:space="preserve">The Performance Assessment Framework </w:t>
      </w:r>
      <w:r w:rsidR="005753CA">
        <w:t xml:space="preserve">(PAF) </w:t>
      </w:r>
      <w:r w:rsidRPr="00E46E6E">
        <w:t xml:space="preserve">was used to </w:t>
      </w:r>
      <w:r w:rsidR="00B44F14">
        <w:t>engage with implementing partners to elicit</w:t>
      </w:r>
      <w:r w:rsidR="00B44F14" w:rsidRPr="00E46E6E">
        <w:t xml:space="preserve"> </w:t>
      </w:r>
      <w:r w:rsidR="00AB7080">
        <w:t>stronger results-</w:t>
      </w:r>
      <w:r w:rsidRPr="00E46E6E">
        <w:t xml:space="preserve">reporting. </w:t>
      </w:r>
      <w:r w:rsidR="005753CA">
        <w:t>To maximise the utility of the PAF in assessing program performance m</w:t>
      </w:r>
      <w:r w:rsidR="00E46E6E">
        <w:t xml:space="preserve">ore work </w:t>
      </w:r>
      <w:r w:rsidR="005753CA">
        <w:t>will be done to identify</w:t>
      </w:r>
      <w:r w:rsidR="00E46E6E">
        <w:t xml:space="preserve"> baseline data and expected outcomes for each year of delivery. </w:t>
      </w:r>
      <w:r w:rsidR="005028E7">
        <w:t>This will form part of the analytical, program logic and preparatory work in 2014–15 to inform the Aid Investment Plan.</w:t>
      </w:r>
    </w:p>
    <w:p w:rsidR="000D733F" w:rsidRDefault="000D733F" w:rsidP="000D733F">
      <w:pPr>
        <w:pStyle w:val="Heading3"/>
      </w:pPr>
      <w:r>
        <w:t xml:space="preserve">Analysis of </w:t>
      </w:r>
      <w:r w:rsidRPr="00180B19">
        <w:t xml:space="preserve">Quality at Implementation </w:t>
      </w:r>
      <w:r w:rsidR="00AB1207">
        <w:t xml:space="preserve">(QAI) </w:t>
      </w:r>
      <w:r>
        <w:t xml:space="preserve">Reports </w:t>
      </w:r>
    </w:p>
    <w:p w:rsidR="005028E7" w:rsidRDefault="00ED24B3" w:rsidP="00627EF7">
      <w:pPr>
        <w:pStyle w:val="BodyText"/>
        <w:rPr>
          <w:lang w:eastAsia="zh-CN"/>
        </w:rPr>
      </w:pPr>
      <w:r w:rsidRPr="00E46E6E">
        <w:rPr>
          <w:lang w:eastAsia="zh-CN"/>
        </w:rPr>
        <w:t xml:space="preserve">All initiatives remain highly relevant and sustainability is strong. </w:t>
      </w:r>
      <w:r w:rsidR="00627EF7" w:rsidRPr="00E46E6E">
        <w:rPr>
          <w:lang w:eastAsia="zh-CN"/>
        </w:rPr>
        <w:t xml:space="preserve">Monitoring and Evaluation </w:t>
      </w:r>
      <w:r w:rsidR="005028E7">
        <w:rPr>
          <w:lang w:eastAsia="zh-CN"/>
        </w:rPr>
        <w:t>i</w:t>
      </w:r>
      <w:r w:rsidR="00627EF7" w:rsidRPr="00E46E6E">
        <w:rPr>
          <w:lang w:eastAsia="zh-CN"/>
        </w:rPr>
        <w:t xml:space="preserve">s highlighted as </w:t>
      </w:r>
      <w:r w:rsidRPr="00E46E6E">
        <w:rPr>
          <w:lang w:eastAsia="zh-CN"/>
        </w:rPr>
        <w:t>an ongoing area for development</w:t>
      </w:r>
      <w:r w:rsidR="000A1755">
        <w:rPr>
          <w:lang w:eastAsia="zh-CN"/>
        </w:rPr>
        <w:t xml:space="preserve"> (see above).</w:t>
      </w:r>
    </w:p>
    <w:p w:rsidR="00627EF7" w:rsidRPr="00E46E6E" w:rsidRDefault="005028E7" w:rsidP="00627EF7">
      <w:pPr>
        <w:pStyle w:val="BodyText"/>
        <w:rPr>
          <w:lang w:eastAsia="zh-CN"/>
        </w:rPr>
      </w:pPr>
      <w:r>
        <w:rPr>
          <w:lang w:eastAsia="zh-CN"/>
        </w:rPr>
        <w:t>Although scores are satisfactory for gender equality, m</w:t>
      </w:r>
      <w:r w:rsidR="00EB4502">
        <w:rPr>
          <w:lang w:eastAsia="zh-CN"/>
        </w:rPr>
        <w:t>ore will</w:t>
      </w:r>
      <w:r w:rsidR="00627EF7" w:rsidRPr="00E46E6E">
        <w:rPr>
          <w:lang w:eastAsia="zh-CN"/>
        </w:rPr>
        <w:t xml:space="preserve"> be done to support gender </w:t>
      </w:r>
      <w:r w:rsidR="005753CA">
        <w:rPr>
          <w:lang w:eastAsia="zh-CN"/>
        </w:rPr>
        <w:t xml:space="preserve">equality </w:t>
      </w:r>
      <w:r w:rsidR="00627EF7" w:rsidRPr="00E46E6E">
        <w:rPr>
          <w:lang w:eastAsia="zh-CN"/>
        </w:rPr>
        <w:t xml:space="preserve">outcomes in our scholarships </w:t>
      </w:r>
      <w:r w:rsidR="00EB4502">
        <w:rPr>
          <w:lang w:eastAsia="zh-CN"/>
        </w:rPr>
        <w:t xml:space="preserve">(see </w:t>
      </w:r>
      <w:r w:rsidR="00EB4502" w:rsidRPr="00570432">
        <w:rPr>
          <w:lang w:eastAsia="zh-CN"/>
        </w:rPr>
        <w:t xml:space="preserve">page </w:t>
      </w:r>
      <w:r w:rsidR="00570432">
        <w:rPr>
          <w:lang w:eastAsia="zh-CN"/>
        </w:rPr>
        <w:t>5</w:t>
      </w:r>
      <w:r w:rsidR="00EB4502">
        <w:rPr>
          <w:lang w:eastAsia="zh-CN"/>
        </w:rPr>
        <w:t xml:space="preserve">) </w:t>
      </w:r>
      <w:r w:rsidR="00627EF7" w:rsidRPr="00E46E6E">
        <w:rPr>
          <w:lang w:eastAsia="zh-CN"/>
        </w:rPr>
        <w:t>and extractives programs</w:t>
      </w:r>
      <w:r w:rsidR="00626A8C">
        <w:rPr>
          <w:lang w:eastAsia="zh-CN"/>
        </w:rPr>
        <w:t xml:space="preserve">. </w:t>
      </w:r>
      <w:r w:rsidR="003D3F8B">
        <w:rPr>
          <w:lang w:eastAsia="zh-CN"/>
        </w:rPr>
        <w:t xml:space="preserve">AMEP will </w:t>
      </w:r>
      <w:r w:rsidR="00626A8C">
        <w:rPr>
          <w:lang w:eastAsia="zh-CN"/>
        </w:rPr>
        <w:t>implement gender-specific activities</w:t>
      </w:r>
      <w:r w:rsidR="003D3F8B" w:rsidRPr="00AB7080">
        <w:rPr>
          <w:rStyle w:val="FootnoteReference"/>
          <w:rFonts w:ascii="Franklin Gothic Book" w:hAnsi="Franklin Gothic Book"/>
          <w:lang w:eastAsia="zh-CN"/>
        </w:rPr>
        <w:footnoteReference w:id="14"/>
      </w:r>
      <w:r w:rsidR="00626A8C">
        <w:rPr>
          <w:lang w:eastAsia="zh-CN"/>
        </w:rPr>
        <w:t xml:space="preserve"> and will mainstream gender by </w:t>
      </w:r>
      <w:r w:rsidR="005753CA">
        <w:rPr>
          <w:lang w:eastAsia="zh-CN"/>
        </w:rPr>
        <w:t>requiring</w:t>
      </w:r>
      <w:r w:rsidR="00626A8C">
        <w:rPr>
          <w:lang w:eastAsia="zh-CN"/>
        </w:rPr>
        <w:t xml:space="preserve"> </w:t>
      </w:r>
      <w:r w:rsidR="005753CA">
        <w:rPr>
          <w:lang w:eastAsia="zh-CN"/>
        </w:rPr>
        <w:t xml:space="preserve">funded </w:t>
      </w:r>
      <w:r w:rsidR="00626A8C">
        <w:rPr>
          <w:lang w:eastAsia="zh-CN"/>
        </w:rPr>
        <w:t xml:space="preserve">activities </w:t>
      </w:r>
      <w:r w:rsidR="005753CA">
        <w:rPr>
          <w:lang w:eastAsia="zh-CN"/>
        </w:rPr>
        <w:t xml:space="preserve">to </w:t>
      </w:r>
      <w:r w:rsidR="00626A8C">
        <w:rPr>
          <w:lang w:eastAsia="zh-CN"/>
        </w:rPr>
        <w:t xml:space="preserve">demonstrate and </w:t>
      </w:r>
      <w:r w:rsidR="009A7A80">
        <w:rPr>
          <w:lang w:eastAsia="zh-CN"/>
        </w:rPr>
        <w:t>measure gender equality and social inclusion principles</w:t>
      </w:r>
      <w:r w:rsidR="009A7A80" w:rsidRPr="00AB7080">
        <w:rPr>
          <w:rStyle w:val="FootnoteReference"/>
          <w:rFonts w:ascii="Franklin Gothic Book" w:hAnsi="Franklin Gothic Book"/>
          <w:lang w:eastAsia="zh-CN"/>
        </w:rPr>
        <w:footnoteReference w:id="15"/>
      </w:r>
      <w:r w:rsidR="009A7A80">
        <w:rPr>
          <w:lang w:eastAsia="zh-CN"/>
        </w:rPr>
        <w:t>.</w:t>
      </w:r>
    </w:p>
    <w:p w:rsidR="00627EF7" w:rsidRPr="00E46E6E" w:rsidRDefault="00627EF7" w:rsidP="00627EF7">
      <w:pPr>
        <w:pStyle w:val="BodyText"/>
        <w:rPr>
          <w:lang w:eastAsia="zh-CN"/>
        </w:rPr>
      </w:pPr>
      <w:r w:rsidRPr="00E46E6E">
        <w:rPr>
          <w:lang w:eastAsia="zh-CN"/>
        </w:rPr>
        <w:t>The QAI process was used to discuss performance with partners and prompt discussions on priorities f</w:t>
      </w:r>
      <w:r w:rsidR="000B4022">
        <w:rPr>
          <w:lang w:eastAsia="zh-CN"/>
        </w:rPr>
        <w:t>or the year ahead. This was particularly useful for</w:t>
      </w:r>
      <w:r w:rsidRPr="00E46E6E">
        <w:rPr>
          <w:lang w:eastAsia="zh-CN"/>
        </w:rPr>
        <w:t xml:space="preserve"> the World Bank Groundwate</w:t>
      </w:r>
      <w:r w:rsidR="00EF78D2">
        <w:rPr>
          <w:lang w:eastAsia="zh-CN"/>
        </w:rPr>
        <w:t xml:space="preserve">r Project, and </w:t>
      </w:r>
      <w:r w:rsidR="000B4022">
        <w:rPr>
          <w:lang w:eastAsia="zh-CN"/>
        </w:rPr>
        <w:t xml:space="preserve">we </w:t>
      </w:r>
      <w:r w:rsidR="00E46E6E">
        <w:rPr>
          <w:lang w:eastAsia="zh-CN"/>
        </w:rPr>
        <w:t>expect the effectiveness</w:t>
      </w:r>
      <w:r w:rsidR="00B44F14">
        <w:rPr>
          <w:lang w:eastAsia="zh-CN"/>
        </w:rPr>
        <w:t xml:space="preserve"> and efficiency</w:t>
      </w:r>
      <w:r w:rsidR="00E46E6E">
        <w:rPr>
          <w:lang w:eastAsia="zh-CN"/>
        </w:rPr>
        <w:t xml:space="preserve"> rating</w:t>
      </w:r>
      <w:r w:rsidR="00B44F14">
        <w:rPr>
          <w:lang w:eastAsia="zh-CN"/>
        </w:rPr>
        <w:t>s</w:t>
      </w:r>
      <w:r w:rsidR="005753CA">
        <w:rPr>
          <w:lang w:eastAsia="zh-CN"/>
        </w:rPr>
        <w:t xml:space="preserve"> to increase in 2014–</w:t>
      </w:r>
      <w:r w:rsidR="00E46E6E">
        <w:rPr>
          <w:lang w:eastAsia="zh-CN"/>
        </w:rPr>
        <w:t>15.</w:t>
      </w:r>
    </w:p>
    <w:p w:rsidR="000D733F" w:rsidRDefault="000D733F" w:rsidP="000D733F">
      <w:pPr>
        <w:pStyle w:val="Heading3"/>
      </w:pPr>
      <w:r>
        <w:t xml:space="preserve">Performance </w:t>
      </w:r>
      <w:r w:rsidR="004F4630">
        <w:t>of key delivery partners</w:t>
      </w:r>
    </w:p>
    <w:p w:rsidR="005468EE" w:rsidRPr="005468EE" w:rsidRDefault="009A7A80" w:rsidP="0007008E">
      <w:pPr>
        <w:pStyle w:val="BodyText"/>
      </w:pPr>
      <w:r>
        <w:t>Coffey International has</w:t>
      </w:r>
      <w:r w:rsidR="005468EE" w:rsidRPr="005468EE">
        <w:t xml:space="preserve"> efficiently and reliably </w:t>
      </w:r>
      <w:r w:rsidR="00EF78D2">
        <w:t>implemented</w:t>
      </w:r>
      <w:r w:rsidR="005468EE" w:rsidRPr="005468EE">
        <w:t xml:space="preserve"> the new AAM design</w:t>
      </w:r>
      <w:r w:rsidR="00EF78D2">
        <w:t xml:space="preserve">, </w:t>
      </w:r>
      <w:r w:rsidR="00146344">
        <w:t>despite</w:t>
      </w:r>
      <w:r w:rsidR="00EF78D2">
        <w:t xml:space="preserve"> s</w:t>
      </w:r>
      <w:r>
        <w:t xml:space="preserve">ome teething problems with the </w:t>
      </w:r>
      <w:r w:rsidR="005468EE" w:rsidRPr="005468EE">
        <w:t xml:space="preserve">new </w:t>
      </w:r>
      <w:r>
        <w:t xml:space="preserve">selection </w:t>
      </w:r>
      <w:r w:rsidR="00FD2EEB">
        <w:t>process</w:t>
      </w:r>
      <w:r w:rsidR="00EF78D2">
        <w:t>.</w:t>
      </w:r>
      <w:r>
        <w:t xml:space="preserve"> </w:t>
      </w:r>
      <w:r w:rsidR="00EF78D2">
        <w:t>In 2014–</w:t>
      </w:r>
      <w:r w:rsidR="005468EE" w:rsidRPr="005468EE">
        <w:t xml:space="preserve">15 </w:t>
      </w:r>
      <w:r w:rsidR="00EF78D2">
        <w:t>AAM will strengthen</w:t>
      </w:r>
      <w:r w:rsidR="005468EE" w:rsidRPr="005468EE">
        <w:t xml:space="preserve"> communications </w:t>
      </w:r>
      <w:r>
        <w:t xml:space="preserve">and relationships </w:t>
      </w:r>
      <w:r w:rsidR="005468EE" w:rsidRPr="005468EE">
        <w:t xml:space="preserve">with Government of Mongolia stakeholders who are affected by </w:t>
      </w:r>
      <w:r w:rsidR="00AD5D2E">
        <w:t>the changes to the program.</w:t>
      </w:r>
    </w:p>
    <w:p w:rsidR="005468EE" w:rsidRDefault="00146344" w:rsidP="0007008E">
      <w:pPr>
        <w:pStyle w:val="BodyText"/>
      </w:pPr>
      <w:r>
        <w:t xml:space="preserve">In </w:t>
      </w:r>
      <w:r w:rsidR="00EF78D2">
        <w:t>2013–</w:t>
      </w:r>
      <w:r w:rsidR="005468EE" w:rsidRPr="005468EE">
        <w:t xml:space="preserve">14 </w:t>
      </w:r>
      <w:r w:rsidRPr="005468EE">
        <w:t xml:space="preserve">DFAT had a permanent staff presence in Mongolia </w:t>
      </w:r>
      <w:r>
        <w:t>for the first time</w:t>
      </w:r>
      <w:r w:rsidR="009A7A80">
        <w:t>,</w:t>
      </w:r>
      <w:r w:rsidR="009A7A80" w:rsidRPr="009A7A80">
        <w:t xml:space="preserve"> </w:t>
      </w:r>
      <w:r w:rsidR="009A7A80">
        <w:t xml:space="preserve">increasing </w:t>
      </w:r>
      <w:r>
        <w:t>our</w:t>
      </w:r>
      <w:r w:rsidR="009A7A80">
        <w:t xml:space="preserve"> visibility and improving</w:t>
      </w:r>
      <w:r w:rsidR="009A7A80" w:rsidRPr="005468EE">
        <w:t xml:space="preserve"> </w:t>
      </w:r>
      <w:r>
        <w:t>our</w:t>
      </w:r>
      <w:r w:rsidR="009A7A80" w:rsidRPr="005468EE">
        <w:t xml:space="preserve"> partners</w:t>
      </w:r>
      <w:r w:rsidR="009A7A80">
        <w:t>’</w:t>
      </w:r>
      <w:r w:rsidR="009A7A80" w:rsidRPr="005468EE">
        <w:t xml:space="preserve"> </w:t>
      </w:r>
      <w:r w:rsidR="00E263F8">
        <w:t xml:space="preserve">engagement and </w:t>
      </w:r>
      <w:r>
        <w:t>understanding of the</w:t>
      </w:r>
      <w:r w:rsidR="009A7A80">
        <w:t xml:space="preserve"> </w:t>
      </w:r>
      <w:r>
        <w:t>program</w:t>
      </w:r>
      <w:r w:rsidR="005468EE" w:rsidRPr="005468EE">
        <w:t xml:space="preserve">. </w:t>
      </w:r>
      <w:r w:rsidR="00E263F8">
        <w:t>S</w:t>
      </w:r>
      <w:r w:rsidR="009A7A80">
        <w:t>taff</w:t>
      </w:r>
      <w:r w:rsidR="005468EE" w:rsidRPr="005468EE">
        <w:t xml:space="preserve"> </w:t>
      </w:r>
      <w:r w:rsidR="009A7A80">
        <w:t>undertook regular</w:t>
      </w:r>
      <w:r w:rsidR="005468EE" w:rsidRPr="005468EE">
        <w:t xml:space="preserve"> monitoring missions, </w:t>
      </w:r>
      <w:r w:rsidR="0007008E" w:rsidRPr="005468EE">
        <w:t xml:space="preserve">visits </w:t>
      </w:r>
      <w:r w:rsidR="005468EE" w:rsidRPr="005468EE">
        <w:t>to project offices and meetings</w:t>
      </w:r>
      <w:r w:rsidR="00EF78D2">
        <w:t xml:space="preserve"> with</w:t>
      </w:r>
      <w:r w:rsidR="005468EE" w:rsidRPr="005468EE">
        <w:t xml:space="preserve"> </w:t>
      </w:r>
      <w:r w:rsidR="00E263F8">
        <w:t>counterparts</w:t>
      </w:r>
      <w:r w:rsidR="000A1755">
        <w:t>.</w:t>
      </w:r>
    </w:p>
    <w:p w:rsidR="000D733F" w:rsidRDefault="000D733F" w:rsidP="000D733F">
      <w:pPr>
        <w:pStyle w:val="Heading3"/>
      </w:pPr>
      <w:r>
        <w:lastRenderedPageBreak/>
        <w:t>Risks</w:t>
      </w:r>
    </w:p>
    <w:p w:rsidR="000D733F" w:rsidRDefault="000D733F" w:rsidP="000D733F">
      <w:pPr>
        <w:pStyle w:val="Caption"/>
      </w:pPr>
      <w:r>
        <w:t>Table 3</w:t>
      </w:r>
      <w:r w:rsidR="0042349B">
        <w:t>:</w:t>
      </w:r>
      <w:r>
        <w:t xml:space="preserve">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E415E3">
        <w:tc>
          <w:tcPr>
            <w:tcW w:w="2487" w:type="dxa"/>
            <w:hideMark/>
          </w:tcPr>
          <w:p w:rsidR="000D733F" w:rsidRPr="005023D9" w:rsidRDefault="000D733F" w:rsidP="000D733F">
            <w:pPr>
              <w:pStyle w:val="TableTextColumnHeading"/>
            </w:pPr>
            <w:r w:rsidRPr="005023D9">
              <w:t>Key risks</w:t>
            </w:r>
          </w:p>
        </w:tc>
        <w:tc>
          <w:tcPr>
            <w:tcW w:w="3054" w:type="dxa"/>
          </w:tcPr>
          <w:p w:rsidR="000D733F" w:rsidRPr="005023D9" w:rsidRDefault="000D733F" w:rsidP="000D733F">
            <w:pPr>
              <w:pStyle w:val="TableTextColumnHeading"/>
            </w:pPr>
            <w:r w:rsidRPr="005023D9">
              <w:t>What actions were taken to manage the risks over the past year</w:t>
            </w:r>
            <w:r w:rsidR="001D7E98">
              <w:t>?</w:t>
            </w:r>
          </w:p>
        </w:tc>
        <w:tc>
          <w:tcPr>
            <w:tcW w:w="3124" w:type="dxa"/>
          </w:tcPr>
          <w:p w:rsidR="000D733F" w:rsidRPr="005023D9" w:rsidRDefault="000D733F" w:rsidP="000D733F">
            <w:pPr>
              <w:pStyle w:val="TableTextColumnHeading"/>
            </w:pPr>
            <w:r w:rsidRPr="005023D9">
              <w:t>What further actions will be taken to manage the risks in the coming year</w:t>
            </w:r>
            <w:r w:rsidR="001D7E98">
              <w:t>?</w:t>
            </w:r>
          </w:p>
        </w:tc>
      </w:tr>
      <w:tr w:rsidR="00E415E3" w:rsidRPr="00180B19" w:rsidTr="00E415E3">
        <w:tc>
          <w:tcPr>
            <w:tcW w:w="2487" w:type="dxa"/>
            <w:hideMark/>
          </w:tcPr>
          <w:p w:rsidR="00E415E3" w:rsidRPr="00E415E3" w:rsidRDefault="00B53586" w:rsidP="00AD5D2E">
            <w:pPr>
              <w:pStyle w:val="TableTextEntries"/>
            </w:pPr>
            <w:r>
              <w:t>The Government of Mongolia (GoM) decreases political support for</w:t>
            </w:r>
            <w:r w:rsidR="00E415E3" w:rsidRPr="00E415E3">
              <w:t xml:space="preserve"> </w:t>
            </w:r>
            <w:r w:rsidR="00AD5D2E">
              <w:t>A</w:t>
            </w:r>
            <w:r>
              <w:t>ustralia Awards, resulting in a decline in the quality of candidates.</w:t>
            </w:r>
          </w:p>
        </w:tc>
        <w:tc>
          <w:tcPr>
            <w:tcW w:w="3054" w:type="dxa"/>
          </w:tcPr>
          <w:p w:rsidR="00E415E3" w:rsidRPr="00E415E3" w:rsidRDefault="00E415E3" w:rsidP="00B53586">
            <w:pPr>
              <w:pStyle w:val="TableTextEntries"/>
            </w:pPr>
            <w:r w:rsidRPr="00E415E3">
              <w:t xml:space="preserve">The program maintains a strong and open relationship with the </w:t>
            </w:r>
            <w:r w:rsidR="00B53586">
              <w:t>GoM</w:t>
            </w:r>
            <w:r w:rsidRPr="00E415E3">
              <w:t xml:space="preserve">, including </w:t>
            </w:r>
            <w:r w:rsidR="00AD5D2E">
              <w:t>through the</w:t>
            </w:r>
            <w:r w:rsidRPr="00E415E3">
              <w:t xml:space="preserve"> Annual Strategic Review and Program </w:t>
            </w:r>
            <w:r w:rsidR="00B217B5">
              <w:t xml:space="preserve">Coordinating Committee Meetings. </w:t>
            </w:r>
            <w:r w:rsidR="00330CD0">
              <w:t>We discuss</w:t>
            </w:r>
            <w:r w:rsidRPr="00E415E3">
              <w:t xml:space="preserve"> updates to the program as they occur</w:t>
            </w:r>
            <w:r w:rsidR="00B217B5">
              <w:t>.</w:t>
            </w:r>
            <w:r w:rsidR="00B53586" w:rsidRPr="00E415E3">
              <w:t xml:space="preserve"> </w:t>
            </w:r>
            <w:r w:rsidR="00B53586">
              <w:br/>
            </w:r>
            <w:r w:rsidR="00B53586" w:rsidRPr="00E415E3">
              <w:t>The program ha</w:t>
            </w:r>
            <w:r w:rsidR="00B53586">
              <w:t>s promotion campaigns to</w:t>
            </w:r>
            <w:r w:rsidR="00B53586" w:rsidRPr="00E415E3">
              <w:t xml:space="preserve"> </w:t>
            </w:r>
            <w:r w:rsidR="00B53586">
              <w:t>highlight</w:t>
            </w:r>
            <w:r w:rsidR="00B53586" w:rsidRPr="00E415E3">
              <w:t xml:space="preserve"> the be</w:t>
            </w:r>
            <w:r w:rsidR="00B53586">
              <w:t>nefits of studying in Australia and the</w:t>
            </w:r>
            <w:r w:rsidR="00B53586" w:rsidRPr="00E415E3">
              <w:t xml:space="preserve"> strengths of the Australia Awards in Mongolia program</w:t>
            </w:r>
            <w:r w:rsidR="00B53586">
              <w:t>.</w:t>
            </w:r>
          </w:p>
        </w:tc>
        <w:tc>
          <w:tcPr>
            <w:tcW w:w="3124" w:type="dxa"/>
          </w:tcPr>
          <w:p w:rsidR="00E415E3" w:rsidRPr="00E415E3" w:rsidRDefault="00B53586" w:rsidP="0047358A">
            <w:pPr>
              <w:pStyle w:val="TableTextEntries"/>
            </w:pPr>
            <w:r>
              <w:t>Increase GoM</w:t>
            </w:r>
            <w:r w:rsidRPr="00E415E3">
              <w:t xml:space="preserve"> </w:t>
            </w:r>
            <w:r w:rsidR="00E415E3" w:rsidRPr="00E415E3">
              <w:t>represent</w:t>
            </w:r>
            <w:r>
              <w:t>ation in</w:t>
            </w:r>
            <w:r w:rsidR="00E415E3" w:rsidRPr="00E415E3">
              <w:t xml:space="preserve"> program activities such as interview panel</w:t>
            </w:r>
            <w:r>
              <w:t>s</w:t>
            </w:r>
            <w:r w:rsidR="00E415E3" w:rsidRPr="00E415E3">
              <w:t xml:space="preserve">, promotion activities, and other meetings. </w:t>
            </w:r>
          </w:p>
          <w:p w:rsidR="00E415E3" w:rsidRPr="00E415E3" w:rsidRDefault="00B53586" w:rsidP="00B53586">
            <w:pPr>
              <w:pStyle w:val="TableTextEntries"/>
            </w:pPr>
            <w:r>
              <w:t>Establish</w:t>
            </w:r>
            <w:r w:rsidR="00627EF7">
              <w:t xml:space="preserve"> an annual aid consultation </w:t>
            </w:r>
            <w:r>
              <w:t>to set tighter direction for</w:t>
            </w:r>
            <w:r w:rsidR="00627EF7">
              <w:t xml:space="preserve"> the program each year</w:t>
            </w:r>
            <w:r>
              <w:t>, and align expectations</w:t>
            </w:r>
            <w:r w:rsidR="00627EF7">
              <w:t>.</w:t>
            </w:r>
            <w:r w:rsidR="00E415E3" w:rsidRPr="00E415E3">
              <w:t xml:space="preserve"> </w:t>
            </w:r>
            <w:r>
              <w:br/>
            </w:r>
          </w:p>
        </w:tc>
      </w:tr>
      <w:tr w:rsidR="00E415E3" w:rsidRPr="00180B19" w:rsidTr="00BA190C">
        <w:trPr>
          <w:trHeight w:val="1147"/>
        </w:trPr>
        <w:tc>
          <w:tcPr>
            <w:tcW w:w="2487" w:type="dxa"/>
          </w:tcPr>
          <w:p w:rsidR="00E415E3" w:rsidRPr="00E415E3" w:rsidRDefault="00E415E3" w:rsidP="00B53586">
            <w:pPr>
              <w:pStyle w:val="TableTextEntries"/>
            </w:pPr>
            <w:r w:rsidRPr="00E415E3">
              <w:t xml:space="preserve">Mongolia’s </w:t>
            </w:r>
            <w:r w:rsidR="00B53586">
              <w:t xml:space="preserve">economic conditions deteriorate, </w:t>
            </w:r>
            <w:r w:rsidR="00B44F14">
              <w:t xml:space="preserve">reducing the relevance of </w:t>
            </w:r>
            <w:r w:rsidR="008C3215">
              <w:t>Australian</w:t>
            </w:r>
            <w:r w:rsidR="00627EF7">
              <w:t xml:space="preserve"> assistance</w:t>
            </w:r>
            <w:r w:rsidR="00B53586">
              <w:t xml:space="preserve"> in the extractives sector.</w:t>
            </w:r>
          </w:p>
        </w:tc>
        <w:tc>
          <w:tcPr>
            <w:tcW w:w="3054" w:type="dxa"/>
          </w:tcPr>
          <w:p w:rsidR="00E415E3" w:rsidRPr="00E415E3" w:rsidRDefault="00E415E3" w:rsidP="008C3215">
            <w:pPr>
              <w:pStyle w:val="TableTextEntries"/>
            </w:pPr>
            <w:r w:rsidRPr="00E415E3">
              <w:t xml:space="preserve">The </w:t>
            </w:r>
            <w:r w:rsidR="00B53586">
              <w:t xml:space="preserve">AMEP </w:t>
            </w:r>
            <w:r w:rsidRPr="00E415E3">
              <w:t xml:space="preserve">program is designed </w:t>
            </w:r>
            <w:r w:rsidR="008C3215">
              <w:t xml:space="preserve">to be flexible and respond to </w:t>
            </w:r>
            <w:r w:rsidRPr="00E415E3">
              <w:t xml:space="preserve">the new Government of Mongolia’s policies and expectations. </w:t>
            </w:r>
          </w:p>
        </w:tc>
        <w:tc>
          <w:tcPr>
            <w:tcW w:w="3124" w:type="dxa"/>
          </w:tcPr>
          <w:p w:rsidR="00E415E3" w:rsidRPr="00E415E3" w:rsidRDefault="00E415E3" w:rsidP="0047358A">
            <w:pPr>
              <w:pStyle w:val="TableTextEntries"/>
            </w:pPr>
            <w:r w:rsidRPr="00E415E3">
              <w:t xml:space="preserve">Maintain the current </w:t>
            </w:r>
            <w:r w:rsidR="00922FA5">
              <w:t xml:space="preserve">engagement with GoM to check </w:t>
            </w:r>
            <w:r w:rsidRPr="00E415E3">
              <w:t xml:space="preserve">program alignment with their priorities. </w:t>
            </w:r>
            <w:r w:rsidR="008C3215">
              <w:t>Ensure AMEP is active in donor coordination.</w:t>
            </w:r>
          </w:p>
        </w:tc>
      </w:tr>
    </w:tbl>
    <w:p w:rsidR="008E29AB" w:rsidRDefault="008E29AB" w:rsidP="000D733F">
      <w:pPr>
        <w:pStyle w:val="Note"/>
        <w:rPr>
          <w:color w:val="92D050"/>
        </w:rPr>
      </w:pPr>
    </w:p>
    <w:p w:rsidR="000D733F" w:rsidRPr="003275D0" w:rsidRDefault="000D733F" w:rsidP="000D733F">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6A18AF" w:rsidRDefault="00D83C9D" w:rsidP="006A18AF">
      <w:pPr>
        <w:pStyle w:val="ListBullet"/>
        <w:numPr>
          <w:ilvl w:val="0"/>
          <w:numId w:val="20"/>
        </w:numPr>
      </w:pPr>
      <w:r>
        <w:t>DFAT Canberra to m</w:t>
      </w:r>
      <w:r w:rsidR="00E503B7">
        <w:t>anag</w:t>
      </w:r>
      <w:r>
        <w:t>e</w:t>
      </w:r>
      <w:r w:rsidR="00FD2EEB">
        <w:t xml:space="preserve"> the</w:t>
      </w:r>
      <w:r w:rsidR="00E503B7">
        <w:t xml:space="preserve"> risk</w:t>
      </w:r>
      <w:r w:rsidR="00FD2EEB">
        <w:t>s</w:t>
      </w:r>
      <w:r w:rsidR="00E503B7">
        <w:t xml:space="preserve"> </w:t>
      </w:r>
      <w:r w:rsidR="00FD2EEB">
        <w:t xml:space="preserve">associated </w:t>
      </w:r>
      <w:r w:rsidR="00E503B7">
        <w:t>with</w:t>
      </w:r>
      <w:r w:rsidR="00FD2EEB">
        <w:t xml:space="preserve"> the</w:t>
      </w:r>
      <w:r w:rsidR="00E503B7">
        <w:t xml:space="preserve"> </w:t>
      </w:r>
      <w:r w:rsidR="006A18AF" w:rsidRPr="00093AB0">
        <w:t xml:space="preserve">transition in </w:t>
      </w:r>
      <w:r w:rsidR="00EF78D2">
        <w:t xml:space="preserve">program </w:t>
      </w:r>
      <w:r w:rsidR="006A18AF" w:rsidRPr="00093AB0">
        <w:t>management arrangements from Beijing to Seoul</w:t>
      </w:r>
      <w:r w:rsidR="00FD2EEB">
        <w:t xml:space="preserve"> </w:t>
      </w:r>
      <w:r w:rsidR="00EF78D2">
        <w:t xml:space="preserve">post </w:t>
      </w:r>
      <w:r w:rsidR="00FD2EEB">
        <w:t>by December 2014</w:t>
      </w:r>
      <w:r w:rsidR="00E503B7">
        <w:t>.</w:t>
      </w:r>
    </w:p>
    <w:p w:rsidR="006A18AF" w:rsidRDefault="006A18AF" w:rsidP="006A18AF">
      <w:pPr>
        <w:pStyle w:val="ListBullet"/>
        <w:numPr>
          <w:ilvl w:val="1"/>
          <w:numId w:val="20"/>
        </w:numPr>
      </w:pPr>
      <w:r>
        <w:t>New A</w:t>
      </w:r>
      <w:r w:rsidR="00EF78D2">
        <w:t>ustralian</w:t>
      </w:r>
      <w:r>
        <w:t xml:space="preserve"> and </w:t>
      </w:r>
      <w:r w:rsidR="00EF78D2">
        <w:t>local staff</w:t>
      </w:r>
      <w:r>
        <w:t xml:space="preserve"> positions in Seoul to manage the Mongolia aid program </w:t>
      </w:r>
      <w:r w:rsidR="00FD2EEB">
        <w:t xml:space="preserve">to be filled </w:t>
      </w:r>
      <w:r>
        <w:t>by December 2014.</w:t>
      </w:r>
    </w:p>
    <w:p w:rsidR="006A18AF" w:rsidRDefault="006A18AF" w:rsidP="006A18AF">
      <w:pPr>
        <w:pStyle w:val="ListBullet"/>
        <w:numPr>
          <w:ilvl w:val="1"/>
          <w:numId w:val="20"/>
        </w:numPr>
      </w:pPr>
      <w:r>
        <w:t xml:space="preserve">Day-to-day management </w:t>
      </w:r>
      <w:r w:rsidR="00FD2EEB">
        <w:t>and support to staff in Ulaanbaatar is</w:t>
      </w:r>
      <w:r w:rsidR="00E503B7">
        <w:t xml:space="preserve"> </w:t>
      </w:r>
      <w:r w:rsidR="00FD2EEB">
        <w:t>provided</w:t>
      </w:r>
      <w:r w:rsidR="00E503B7">
        <w:t xml:space="preserve"> by </w:t>
      </w:r>
      <w:r w:rsidR="00D83C9D">
        <w:t>DFAT</w:t>
      </w:r>
      <w:r w:rsidR="00E503B7">
        <w:t xml:space="preserve"> Canberra</w:t>
      </w:r>
      <w:r>
        <w:t xml:space="preserve"> </w:t>
      </w:r>
      <w:r w:rsidR="00FD2EEB">
        <w:t>from</w:t>
      </w:r>
      <w:r>
        <w:t xml:space="preserve"> July </w:t>
      </w:r>
      <w:r w:rsidR="00FD2EEB">
        <w:t>to</w:t>
      </w:r>
      <w:r>
        <w:t xml:space="preserve"> December 2014</w:t>
      </w:r>
      <w:r w:rsidR="00D83C9D">
        <w:t>, until Seoul staff</w:t>
      </w:r>
      <w:r w:rsidR="00EF78D2">
        <w:t xml:space="preserve"> are</w:t>
      </w:r>
      <w:r w:rsidR="00D83C9D">
        <w:t xml:space="preserve"> recruited</w:t>
      </w:r>
      <w:r>
        <w:t>.</w:t>
      </w:r>
    </w:p>
    <w:p w:rsidR="00D83C9D" w:rsidRDefault="006A18AF" w:rsidP="006A18AF">
      <w:pPr>
        <w:pStyle w:val="ListBullet"/>
        <w:numPr>
          <w:ilvl w:val="0"/>
          <w:numId w:val="20"/>
        </w:numPr>
      </w:pPr>
      <w:r>
        <w:t xml:space="preserve">DFAT Canberra </w:t>
      </w:r>
      <w:r w:rsidR="00D83C9D">
        <w:t>and Seoul (from December 2014)</w:t>
      </w:r>
      <w:r>
        <w:t xml:space="preserve"> </w:t>
      </w:r>
      <w:r w:rsidR="00D83C9D">
        <w:t xml:space="preserve">support </w:t>
      </w:r>
      <w:r>
        <w:t>the establishment of AMEP</w:t>
      </w:r>
      <w:r w:rsidR="00EF78D2">
        <w:t>.</w:t>
      </w:r>
    </w:p>
    <w:p w:rsidR="00D83C9D" w:rsidRDefault="00EF78D2" w:rsidP="00D83C9D">
      <w:pPr>
        <w:pStyle w:val="ListBullet"/>
        <w:numPr>
          <w:ilvl w:val="1"/>
          <w:numId w:val="20"/>
        </w:numPr>
      </w:pPr>
      <w:r>
        <w:t>C</w:t>
      </w:r>
      <w:r w:rsidR="006A18AF">
        <w:t xml:space="preserve">lose oversight </w:t>
      </w:r>
      <w:r>
        <w:t>of and guidance to the new implementation service p</w:t>
      </w:r>
      <w:r w:rsidR="006A18AF">
        <w:t>rovider</w:t>
      </w:r>
      <w:r>
        <w:t>.</w:t>
      </w:r>
    </w:p>
    <w:p w:rsidR="00D83C9D" w:rsidRDefault="00EF78D2" w:rsidP="00D83C9D">
      <w:pPr>
        <w:pStyle w:val="ListBullet"/>
        <w:numPr>
          <w:ilvl w:val="1"/>
          <w:numId w:val="20"/>
        </w:numPr>
      </w:pPr>
      <w:r>
        <w:t>I</w:t>
      </w:r>
      <w:r w:rsidR="00D83C9D">
        <w:t>ncorporation of existing mining sector activities under the AMEP umbrella</w:t>
      </w:r>
      <w:r>
        <w:t>.</w:t>
      </w:r>
    </w:p>
    <w:p w:rsidR="006A18AF" w:rsidRDefault="00146344" w:rsidP="00D83C9D">
      <w:pPr>
        <w:pStyle w:val="ListBullet"/>
        <w:numPr>
          <w:ilvl w:val="1"/>
          <w:numId w:val="20"/>
        </w:numPr>
      </w:pPr>
      <w:r>
        <w:t>Active e</w:t>
      </w:r>
      <w:r w:rsidR="00EF78D2">
        <w:t>ngagement with the</w:t>
      </w:r>
      <w:r w:rsidR="00D83C9D">
        <w:t xml:space="preserve"> Mongolian</w:t>
      </w:r>
      <w:r w:rsidR="006A18AF">
        <w:t xml:space="preserve"> Government and other donors</w:t>
      </w:r>
      <w:r w:rsidR="00E503B7">
        <w:t xml:space="preserve"> </w:t>
      </w:r>
      <w:r>
        <w:t>on AMEP</w:t>
      </w:r>
      <w:r w:rsidR="00EF78D2">
        <w:t>.</w:t>
      </w:r>
    </w:p>
    <w:p w:rsidR="00B53586" w:rsidRDefault="00B53586" w:rsidP="006A18AF">
      <w:pPr>
        <w:pStyle w:val="ListBullet"/>
        <w:numPr>
          <w:ilvl w:val="0"/>
          <w:numId w:val="20"/>
        </w:numPr>
      </w:pPr>
      <w:r>
        <w:t xml:space="preserve">Australia Awards guidelines and selection processes reviewed by DFAT and </w:t>
      </w:r>
      <w:r w:rsidR="00146344">
        <w:t>Coffey</w:t>
      </w:r>
      <w:r w:rsidR="0042349B">
        <w:t xml:space="preserve"> International</w:t>
      </w:r>
      <w:r>
        <w:t>.</w:t>
      </w:r>
    </w:p>
    <w:p w:rsidR="00B53586" w:rsidRDefault="00B53586" w:rsidP="00B53586">
      <w:pPr>
        <w:pStyle w:val="ListBullet"/>
        <w:numPr>
          <w:ilvl w:val="1"/>
          <w:numId w:val="20"/>
        </w:numPr>
      </w:pPr>
      <w:r>
        <w:t xml:space="preserve">Information sessions held and IT </w:t>
      </w:r>
      <w:r w:rsidR="007B7CA4">
        <w:t>systems</w:t>
      </w:r>
      <w:r>
        <w:t xml:space="preserve"> enhanced to reduce high</w:t>
      </w:r>
      <w:r w:rsidR="007B7CA4">
        <w:t xml:space="preserve"> rates of non-conforming applications.</w:t>
      </w:r>
    </w:p>
    <w:p w:rsidR="006A18AF" w:rsidRDefault="006A18AF" w:rsidP="006A18AF">
      <w:pPr>
        <w:pStyle w:val="ListBullet"/>
        <w:numPr>
          <w:ilvl w:val="0"/>
          <w:numId w:val="20"/>
        </w:numPr>
      </w:pPr>
      <w:r>
        <w:t>A high-level consultat</w:t>
      </w:r>
      <w:r w:rsidR="00D83C9D">
        <w:t>ive forum for the aid program will be</w:t>
      </w:r>
      <w:r>
        <w:t xml:space="preserve"> establ</w:t>
      </w:r>
      <w:r w:rsidR="00D83C9D">
        <w:t xml:space="preserve">ished and led by DFAT Canberra </w:t>
      </w:r>
      <w:r>
        <w:t>to provide a forum for policy discussion and risk management, includi</w:t>
      </w:r>
      <w:r w:rsidR="00922FA5">
        <w:t>ng the elevation of serious aid-</w:t>
      </w:r>
      <w:r>
        <w:t>progra</w:t>
      </w:r>
      <w:r w:rsidR="00EF78D2">
        <w:t>m-</w:t>
      </w:r>
      <w:r>
        <w:t xml:space="preserve">related relationship issues. </w:t>
      </w:r>
    </w:p>
    <w:p w:rsidR="006A18AF" w:rsidRPr="00093AB0" w:rsidRDefault="00EF78D2" w:rsidP="006A18AF">
      <w:pPr>
        <w:pStyle w:val="ListBullet"/>
        <w:numPr>
          <w:ilvl w:val="0"/>
          <w:numId w:val="20"/>
        </w:numPr>
      </w:pPr>
      <w:r>
        <w:t>A new Aid Investment Plan will be</w:t>
      </w:r>
      <w:r w:rsidR="006A18AF">
        <w:t xml:space="preserve"> comple</w:t>
      </w:r>
      <w:r w:rsidR="00D83C9D">
        <w:t>ted by June 2015 that focuses</w:t>
      </w:r>
      <w:r w:rsidR="006A18AF">
        <w:t xml:space="preserve"> the Mongolian aid program on the new </w:t>
      </w:r>
      <w:r w:rsidR="00922FA5">
        <w:t>aid-</w:t>
      </w:r>
      <w:r w:rsidR="00D83C9D">
        <w:t>policy</w:t>
      </w:r>
      <w:r w:rsidR="006A18AF">
        <w:t xml:space="preserve"> priorities, identifies </w:t>
      </w:r>
      <w:r w:rsidR="00D83C9D">
        <w:t xml:space="preserve">opportunities for innovation in </w:t>
      </w:r>
      <w:r>
        <w:t>existing and new i</w:t>
      </w:r>
      <w:r w:rsidR="006A18AF">
        <w:t xml:space="preserve">nitiatives, and strengthens private sector engagement. </w:t>
      </w:r>
    </w:p>
    <w:p w:rsidR="009C461F" w:rsidRPr="00D65196" w:rsidRDefault="009C461F" w:rsidP="00D65196">
      <w:pPr>
        <w:pStyle w:val="ListBullet"/>
        <w:numPr>
          <w:ilvl w:val="0"/>
          <w:numId w:val="0"/>
        </w:numPr>
        <w:ind w:left="360"/>
        <w:rPr>
          <w:color w:val="FF0000"/>
        </w:rPr>
        <w:sectPr w:rsidR="009C461F" w:rsidRPr="00D65196" w:rsidSect="00CD061B">
          <w:headerReference w:type="default" r:id="rId17"/>
          <w:type w:val="continuous"/>
          <w:pgSz w:w="11907" w:h="16840" w:code="9"/>
          <w:pgMar w:top="2381" w:right="1701" w:bottom="907" w:left="1701" w:header="850" w:footer="567" w:gutter="0"/>
          <w:pgNumType w:start="1"/>
          <w:cols w:space="720"/>
          <w:docGrid w:linePitch="326"/>
        </w:sectPr>
      </w:pPr>
    </w:p>
    <w:p w:rsidR="000D733F" w:rsidRPr="009E38C1" w:rsidRDefault="000D733F" w:rsidP="000D733F">
      <w:pPr>
        <w:pStyle w:val="Heading2"/>
        <w:rPr>
          <w:sz w:val="28"/>
        </w:rPr>
      </w:pPr>
      <w:r w:rsidRPr="009E38C1">
        <w:rPr>
          <w:sz w:val="28"/>
        </w:rPr>
        <w:lastRenderedPageBreak/>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3" w:type="pct"/>
        <w:tblLayout w:type="fixed"/>
        <w:tblLook w:val="0000" w:firstRow="0" w:lastRow="0" w:firstColumn="0" w:lastColumn="0" w:noHBand="0" w:noVBand="0"/>
      </w:tblPr>
      <w:tblGrid>
        <w:gridCol w:w="6516"/>
        <w:gridCol w:w="992"/>
        <w:gridCol w:w="6946"/>
      </w:tblGrid>
      <w:tr w:rsidR="000D733F" w:rsidRPr="00180B19" w:rsidTr="008C3215">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Rating</w:t>
            </w:r>
          </w:p>
        </w:tc>
        <w:tc>
          <w:tcPr>
            <w:tcW w:w="6904" w:type="dxa"/>
          </w:tcPr>
          <w:p w:rsidR="000D733F" w:rsidRPr="00180B19" w:rsidRDefault="000D733F" w:rsidP="000D733F">
            <w:pPr>
              <w:pStyle w:val="TableTextColumnHeading"/>
            </w:pPr>
            <w:r w:rsidRPr="00FE4491">
              <w:t xml:space="preserve">Progress made in </w:t>
            </w:r>
            <w:r>
              <w:t>2013-14</w:t>
            </w:r>
          </w:p>
        </w:tc>
      </w:tr>
      <w:tr w:rsidR="000D733F" w:rsidRPr="00180B19" w:rsidTr="006875B3">
        <w:trPr>
          <w:cnfStyle w:val="000000010000" w:firstRow="0" w:lastRow="0" w:firstColumn="0" w:lastColumn="0" w:oddVBand="0" w:evenVBand="0" w:oddHBand="0" w:evenHBand="1" w:firstRowFirstColumn="0" w:firstRowLastColumn="0" w:lastRowFirstColumn="0" w:lastRowLastColumn="0"/>
        </w:trPr>
        <w:tc>
          <w:tcPr>
            <w:tcW w:w="6473" w:type="dxa"/>
          </w:tcPr>
          <w:p w:rsidR="000D733F" w:rsidRDefault="00DD5451" w:rsidP="00E415E3">
            <w:pPr>
              <w:pStyle w:val="BodyText"/>
              <w:spacing w:after="0" w:line="240" w:lineRule="auto"/>
            </w:pPr>
            <w:r>
              <w:t>Strengthen</w:t>
            </w:r>
            <w:r w:rsidR="00E415E3">
              <w:t xml:space="preserve"> policy dialogue with the Ministry of Economic Development, Ministry of Mining and other development partners.</w:t>
            </w:r>
          </w:p>
          <w:p w:rsidR="00E415E3" w:rsidRPr="00100AA2" w:rsidRDefault="00E415E3" w:rsidP="00E415E3">
            <w:pPr>
              <w:pStyle w:val="BodyText"/>
              <w:spacing w:after="0" w:line="240" w:lineRule="auto"/>
            </w:pPr>
          </w:p>
        </w:tc>
        <w:tc>
          <w:tcPr>
            <w:tcW w:w="964" w:type="dxa"/>
            <w:shd w:val="clear" w:color="auto" w:fill="92D050"/>
          </w:tcPr>
          <w:p w:rsidR="000D733F" w:rsidRPr="00443639" w:rsidRDefault="000D733F" w:rsidP="000D733F">
            <w:pPr>
              <w:pStyle w:val="TableTextEntries"/>
              <w:jc w:val="center"/>
              <w:rPr>
                <w:color w:val="FFFFFF" w:themeColor="background1"/>
              </w:rPr>
            </w:pPr>
            <w:r>
              <w:rPr>
                <w:color w:val="FFFFFF" w:themeColor="background1"/>
              </w:rPr>
              <w:t>Achieved</w:t>
            </w:r>
          </w:p>
        </w:tc>
        <w:tc>
          <w:tcPr>
            <w:tcW w:w="6904" w:type="dxa"/>
          </w:tcPr>
          <w:p w:rsidR="000D733F" w:rsidRPr="00B30E77" w:rsidRDefault="00DD5451" w:rsidP="006875B3">
            <w:pPr>
              <w:pStyle w:val="TableTextEntries"/>
              <w:rPr>
                <w:color w:val="92D050"/>
              </w:rPr>
            </w:pPr>
            <w:r w:rsidRPr="00DD5451">
              <w:rPr>
                <w:iCs w:val="0"/>
                <w:sz w:val="21"/>
                <w:szCs w:val="24"/>
                <w:lang w:eastAsia="en-AU"/>
              </w:rPr>
              <w:t xml:space="preserve">The level of engagement with </w:t>
            </w:r>
            <w:r>
              <w:rPr>
                <w:iCs w:val="0"/>
                <w:sz w:val="21"/>
                <w:szCs w:val="24"/>
                <w:lang w:eastAsia="en-AU"/>
              </w:rPr>
              <w:t>partners</w:t>
            </w:r>
            <w:r w:rsidRPr="00DD5451">
              <w:rPr>
                <w:iCs w:val="0"/>
                <w:sz w:val="21"/>
                <w:szCs w:val="24"/>
                <w:lang w:eastAsia="en-AU"/>
              </w:rPr>
              <w:t xml:space="preserve"> increased</w:t>
            </w:r>
            <w:r w:rsidR="00533CB4">
              <w:rPr>
                <w:iCs w:val="0"/>
                <w:sz w:val="21"/>
                <w:szCs w:val="24"/>
                <w:lang w:eastAsia="en-AU"/>
              </w:rPr>
              <w:t xml:space="preserve"> over 2013–</w:t>
            </w:r>
            <w:r w:rsidR="008C3215">
              <w:rPr>
                <w:iCs w:val="0"/>
                <w:sz w:val="21"/>
                <w:szCs w:val="24"/>
                <w:lang w:eastAsia="en-AU"/>
              </w:rPr>
              <w:t>14</w:t>
            </w:r>
            <w:r w:rsidR="006875B3">
              <w:rPr>
                <w:iCs w:val="0"/>
                <w:sz w:val="21"/>
                <w:szCs w:val="24"/>
                <w:lang w:eastAsia="en-AU"/>
              </w:rPr>
              <w:t>. MoM and MED</w:t>
            </w:r>
            <w:r w:rsidRPr="00DD5451">
              <w:rPr>
                <w:iCs w:val="0"/>
                <w:sz w:val="21"/>
                <w:szCs w:val="24"/>
                <w:lang w:eastAsia="en-AU"/>
              </w:rPr>
              <w:t xml:space="preserve"> participated in </w:t>
            </w:r>
            <w:r w:rsidR="008C3215">
              <w:rPr>
                <w:iCs w:val="0"/>
                <w:sz w:val="21"/>
                <w:szCs w:val="24"/>
                <w:lang w:eastAsia="en-AU"/>
              </w:rPr>
              <w:t>the AM</w:t>
            </w:r>
            <w:r w:rsidRPr="00DD5451">
              <w:rPr>
                <w:iCs w:val="0"/>
                <w:sz w:val="21"/>
                <w:szCs w:val="24"/>
                <w:lang w:eastAsia="en-AU"/>
              </w:rPr>
              <w:t xml:space="preserve">EP design and MoM took part in </w:t>
            </w:r>
            <w:r w:rsidR="006875B3">
              <w:rPr>
                <w:iCs w:val="0"/>
                <w:sz w:val="21"/>
                <w:szCs w:val="24"/>
                <w:lang w:eastAsia="en-AU"/>
              </w:rPr>
              <w:t xml:space="preserve">the </w:t>
            </w:r>
            <w:r w:rsidRPr="00DD5451">
              <w:rPr>
                <w:iCs w:val="0"/>
                <w:sz w:val="21"/>
                <w:szCs w:val="24"/>
                <w:lang w:eastAsia="en-AU"/>
              </w:rPr>
              <w:t>s</w:t>
            </w:r>
            <w:r w:rsidR="006875B3">
              <w:rPr>
                <w:iCs w:val="0"/>
                <w:sz w:val="21"/>
                <w:szCs w:val="24"/>
                <w:lang w:eastAsia="en-AU"/>
              </w:rPr>
              <w:t>election process for the implementation service provider</w:t>
            </w:r>
            <w:r w:rsidRPr="00DD5451">
              <w:rPr>
                <w:iCs w:val="0"/>
                <w:sz w:val="21"/>
                <w:szCs w:val="24"/>
                <w:lang w:eastAsia="en-AU"/>
              </w:rPr>
              <w:t xml:space="preserve">. Regular meetings and monitoring visits </w:t>
            </w:r>
            <w:r w:rsidR="006875B3">
              <w:rPr>
                <w:iCs w:val="0"/>
                <w:sz w:val="21"/>
                <w:szCs w:val="24"/>
                <w:lang w:eastAsia="en-AU"/>
              </w:rPr>
              <w:t>were</w:t>
            </w:r>
            <w:r w:rsidR="005E3C92">
              <w:rPr>
                <w:iCs w:val="0"/>
                <w:sz w:val="21"/>
                <w:szCs w:val="24"/>
                <w:lang w:eastAsia="en-AU"/>
              </w:rPr>
              <w:t xml:space="preserve"> held at the</w:t>
            </w:r>
            <w:r w:rsidRPr="00DD5451">
              <w:rPr>
                <w:iCs w:val="0"/>
                <w:sz w:val="21"/>
                <w:szCs w:val="24"/>
                <w:lang w:eastAsia="en-AU"/>
              </w:rPr>
              <w:t xml:space="preserve"> project site and offices of delivery partners</w:t>
            </w:r>
            <w:r w:rsidR="005E3C92">
              <w:rPr>
                <w:iCs w:val="0"/>
                <w:sz w:val="21"/>
                <w:szCs w:val="24"/>
                <w:lang w:eastAsia="en-AU"/>
              </w:rPr>
              <w:t xml:space="preserve">. </w:t>
            </w:r>
            <w:r w:rsidR="008C3215">
              <w:rPr>
                <w:iCs w:val="0"/>
                <w:sz w:val="21"/>
                <w:szCs w:val="24"/>
                <w:lang w:eastAsia="en-AU"/>
              </w:rPr>
              <w:t xml:space="preserve">DFAT is active member of the </w:t>
            </w:r>
            <w:r w:rsidRPr="00DD5451">
              <w:rPr>
                <w:iCs w:val="0"/>
                <w:sz w:val="21"/>
                <w:szCs w:val="24"/>
                <w:lang w:eastAsia="en-AU"/>
              </w:rPr>
              <w:t xml:space="preserve">mining donor </w:t>
            </w:r>
            <w:r w:rsidR="008C3215">
              <w:rPr>
                <w:iCs w:val="0"/>
                <w:sz w:val="21"/>
                <w:szCs w:val="24"/>
                <w:lang w:eastAsia="en-AU"/>
              </w:rPr>
              <w:t>coordination community.</w:t>
            </w:r>
          </w:p>
        </w:tc>
      </w:tr>
      <w:tr w:rsidR="000D733F" w:rsidRPr="00180B19" w:rsidTr="006875B3">
        <w:trPr>
          <w:cnfStyle w:val="000000010000" w:firstRow="0" w:lastRow="0" w:firstColumn="0" w:lastColumn="0" w:oddVBand="0" w:evenVBand="0" w:oddHBand="0" w:evenHBand="1" w:firstRowFirstColumn="0" w:firstRowLastColumn="0" w:lastRowFirstColumn="0" w:lastRowLastColumn="0"/>
        </w:trPr>
        <w:tc>
          <w:tcPr>
            <w:tcW w:w="6473" w:type="dxa"/>
          </w:tcPr>
          <w:p w:rsidR="000D733F" w:rsidRDefault="00E415E3" w:rsidP="00E415E3">
            <w:pPr>
              <w:pStyle w:val="BodyText"/>
              <w:spacing w:after="0" w:line="240" w:lineRule="auto"/>
            </w:pPr>
            <w:r>
              <w:t>Mongol</w:t>
            </w:r>
            <w:r w:rsidR="00DD5451">
              <w:t xml:space="preserve">ia program staff will deliver an AMEP </w:t>
            </w:r>
            <w:r>
              <w:t>design that has broad endorsement across DFAT</w:t>
            </w:r>
            <w:r w:rsidR="008C3215">
              <w:t>,</w:t>
            </w:r>
            <w:r>
              <w:t xml:space="preserve"> including consis</w:t>
            </w:r>
            <w:r w:rsidR="008C3215">
              <w:t>tency with the relevant thematic s</w:t>
            </w:r>
            <w:r>
              <w:t xml:space="preserve">trategies, the Government of Mongolia and Australian whole-of-government partners. </w:t>
            </w:r>
          </w:p>
          <w:p w:rsidR="00E415E3" w:rsidRPr="00100AA2" w:rsidRDefault="00E415E3" w:rsidP="00E415E3">
            <w:pPr>
              <w:pStyle w:val="BodyText"/>
              <w:spacing w:after="0" w:line="240" w:lineRule="auto"/>
            </w:pPr>
          </w:p>
        </w:tc>
        <w:tc>
          <w:tcPr>
            <w:tcW w:w="964" w:type="dxa"/>
            <w:shd w:val="clear" w:color="auto" w:fill="92D050"/>
          </w:tcPr>
          <w:p w:rsidR="000D733F" w:rsidRPr="00443639" w:rsidRDefault="000D733F" w:rsidP="000D733F">
            <w:pPr>
              <w:pStyle w:val="TableTextEntries"/>
              <w:jc w:val="center"/>
              <w:rPr>
                <w:color w:val="FFFFFF" w:themeColor="background1"/>
              </w:rPr>
            </w:pPr>
            <w:r>
              <w:rPr>
                <w:color w:val="FFFFFF" w:themeColor="background1"/>
              </w:rPr>
              <w:t>Achieved</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904" w:type="dxa"/>
          </w:tcPr>
          <w:p w:rsidR="000D733F" w:rsidRPr="00B30E77" w:rsidRDefault="000F3698" w:rsidP="008C3215">
            <w:pPr>
              <w:pStyle w:val="TableTextEntries"/>
              <w:rPr>
                <w:color w:val="92D050"/>
              </w:rPr>
            </w:pPr>
            <w:r>
              <w:rPr>
                <w:iCs w:val="0"/>
                <w:sz w:val="21"/>
                <w:szCs w:val="24"/>
                <w:lang w:eastAsia="en-AU"/>
              </w:rPr>
              <w:t>AMEP design was finalis</w:t>
            </w:r>
            <w:r w:rsidR="00DD5451" w:rsidRPr="00DD5451">
              <w:rPr>
                <w:iCs w:val="0"/>
                <w:sz w:val="21"/>
                <w:szCs w:val="24"/>
                <w:lang w:eastAsia="en-AU"/>
              </w:rPr>
              <w:t xml:space="preserve">ed and funding was approved </w:t>
            </w:r>
            <w:r w:rsidR="00533CB4">
              <w:rPr>
                <w:iCs w:val="0"/>
                <w:sz w:val="21"/>
                <w:szCs w:val="24"/>
                <w:lang w:eastAsia="en-AU"/>
              </w:rPr>
              <w:t>in 2013–</w:t>
            </w:r>
            <w:r w:rsidR="008C3215">
              <w:rPr>
                <w:iCs w:val="0"/>
                <w:sz w:val="21"/>
                <w:szCs w:val="24"/>
                <w:lang w:eastAsia="en-AU"/>
              </w:rPr>
              <w:t xml:space="preserve">14. Thematic areas and whole of government </w:t>
            </w:r>
            <w:r>
              <w:rPr>
                <w:iCs w:val="0"/>
                <w:sz w:val="21"/>
                <w:szCs w:val="24"/>
                <w:lang w:eastAsia="en-AU"/>
              </w:rPr>
              <w:t xml:space="preserve">partners </w:t>
            </w:r>
            <w:r w:rsidR="008C3215">
              <w:rPr>
                <w:iCs w:val="0"/>
                <w:sz w:val="21"/>
                <w:szCs w:val="24"/>
                <w:lang w:eastAsia="en-AU"/>
              </w:rPr>
              <w:t>participated in the Peer Review</w:t>
            </w:r>
            <w:r w:rsidR="005E3C92">
              <w:rPr>
                <w:iCs w:val="0"/>
                <w:sz w:val="21"/>
                <w:szCs w:val="24"/>
                <w:lang w:eastAsia="en-AU"/>
              </w:rPr>
              <w:t xml:space="preserve"> of the design document</w:t>
            </w:r>
            <w:r w:rsidR="008C3215">
              <w:rPr>
                <w:iCs w:val="0"/>
                <w:sz w:val="21"/>
                <w:szCs w:val="24"/>
                <w:lang w:eastAsia="en-AU"/>
              </w:rPr>
              <w:t>.</w:t>
            </w:r>
          </w:p>
        </w:tc>
      </w:tr>
      <w:tr w:rsidR="000D733F" w:rsidRPr="00180B19" w:rsidTr="008C3215">
        <w:trPr>
          <w:cnfStyle w:val="000000010000" w:firstRow="0" w:lastRow="0" w:firstColumn="0" w:lastColumn="0" w:oddVBand="0" w:evenVBand="0" w:oddHBand="0" w:evenHBand="1" w:firstRowFirstColumn="0" w:firstRowLastColumn="0" w:lastRowFirstColumn="0" w:lastRowLastColumn="0"/>
        </w:trPr>
        <w:tc>
          <w:tcPr>
            <w:tcW w:w="6473" w:type="dxa"/>
          </w:tcPr>
          <w:p w:rsidR="000D733F" w:rsidRDefault="00E415E3" w:rsidP="00E415E3">
            <w:pPr>
              <w:pStyle w:val="BodyText"/>
              <w:spacing w:after="0" w:line="240" w:lineRule="auto"/>
            </w:pPr>
            <w:r>
              <w:t xml:space="preserve">Ensure that new Mongolia local staff </w:t>
            </w:r>
            <w:r w:rsidRPr="00036C5F">
              <w:t>have adequate skills and information to manage current and future engagements</w:t>
            </w:r>
            <w:r>
              <w:t>, and sufficient knowledge of corporate policy and requirements to deliver the program effectively</w:t>
            </w:r>
            <w:r w:rsidRPr="00036C5F">
              <w:t xml:space="preserve">. </w:t>
            </w:r>
          </w:p>
          <w:p w:rsidR="00E415E3" w:rsidRPr="00100AA2" w:rsidRDefault="00E415E3" w:rsidP="00E415E3">
            <w:pPr>
              <w:pStyle w:val="BodyText"/>
              <w:spacing w:after="0" w:line="240" w:lineRule="auto"/>
            </w:pPr>
          </w:p>
        </w:tc>
        <w:tc>
          <w:tcPr>
            <w:tcW w:w="964" w:type="dxa"/>
            <w:shd w:val="clear" w:color="auto" w:fill="E36C0A" w:themeFill="accent6" w:themeFillShade="BF"/>
          </w:tcPr>
          <w:p w:rsidR="000D733F" w:rsidRPr="00443639" w:rsidRDefault="00DD5451" w:rsidP="000D733F">
            <w:pPr>
              <w:pStyle w:val="TableTextEntries"/>
              <w:jc w:val="center"/>
              <w:rPr>
                <w:color w:val="FFFFFF" w:themeColor="background1"/>
              </w:rPr>
            </w:pPr>
            <w:r>
              <w:rPr>
                <w:color w:val="FFFFFF" w:themeColor="background1"/>
              </w:rPr>
              <w:t xml:space="preserve">Partially </w:t>
            </w:r>
            <w:r w:rsidR="000D733F">
              <w:rPr>
                <w:color w:val="FFFFFF" w:themeColor="background1"/>
              </w:rPr>
              <w:t>Achieved</w:t>
            </w:r>
          </w:p>
        </w:tc>
        <w:tc>
          <w:tcPr>
            <w:tcW w:w="6904" w:type="dxa"/>
          </w:tcPr>
          <w:p w:rsidR="000D733F" w:rsidRPr="00B30E77" w:rsidRDefault="005E3C92" w:rsidP="005E3C92">
            <w:pPr>
              <w:pStyle w:val="BodyText"/>
              <w:spacing w:after="0" w:line="240" w:lineRule="auto"/>
              <w:rPr>
                <w:color w:val="92D050"/>
              </w:rPr>
            </w:pPr>
            <w:r>
              <w:t>Mongolia-based staff undertook</w:t>
            </w:r>
            <w:r w:rsidR="008C3215">
              <w:t xml:space="preserve"> training in </w:t>
            </w:r>
            <w:r w:rsidR="0047358A" w:rsidRPr="0047358A">
              <w:t xml:space="preserve">Canberra </w:t>
            </w:r>
            <w:r w:rsidR="008C3215">
              <w:t xml:space="preserve">in June 2013 </w:t>
            </w:r>
            <w:r w:rsidR="0047358A" w:rsidRPr="0047358A">
              <w:t>and in Bangkok</w:t>
            </w:r>
            <w:r w:rsidR="008C3215">
              <w:t xml:space="preserve"> in June</w:t>
            </w:r>
            <w:r w:rsidR="0047358A" w:rsidRPr="0047358A">
              <w:t xml:space="preserve"> 2014</w:t>
            </w:r>
            <w:r w:rsidR="008C3215">
              <w:t>. The training</w:t>
            </w:r>
            <w:r w:rsidR="0047358A" w:rsidRPr="0047358A">
              <w:t xml:space="preserve"> </w:t>
            </w:r>
            <w:r w:rsidR="008C3215">
              <w:t>has</w:t>
            </w:r>
            <w:r w:rsidR="0047358A" w:rsidRPr="0047358A">
              <w:t xml:space="preserve"> improve</w:t>
            </w:r>
            <w:r w:rsidR="008C3215">
              <w:t>d</w:t>
            </w:r>
            <w:r w:rsidR="0047358A" w:rsidRPr="0047358A">
              <w:t xml:space="preserve"> the knowledge and skil</w:t>
            </w:r>
            <w:r w:rsidR="008C3215">
              <w:t>ls of the local staff on</w:t>
            </w:r>
            <w:r w:rsidR="0047358A" w:rsidRPr="0047358A">
              <w:t xml:space="preserve"> aid programming</w:t>
            </w:r>
            <w:r>
              <w:t xml:space="preserve">. Further training opportunities will be sourced </w:t>
            </w:r>
            <w:r w:rsidR="00533CB4">
              <w:t>in 2014–</w:t>
            </w:r>
            <w:r w:rsidR="008C3215">
              <w:t>15.</w:t>
            </w:r>
          </w:p>
        </w:tc>
      </w:tr>
      <w:tr w:rsidR="000D733F" w:rsidRPr="00180B19" w:rsidTr="006875B3">
        <w:trPr>
          <w:cnfStyle w:val="000000010000" w:firstRow="0" w:lastRow="0" w:firstColumn="0" w:lastColumn="0" w:oddVBand="0" w:evenVBand="0" w:oddHBand="0" w:evenHBand="1" w:firstRowFirstColumn="0" w:firstRowLastColumn="0" w:lastRowFirstColumn="0" w:lastRowLastColumn="0"/>
        </w:trPr>
        <w:tc>
          <w:tcPr>
            <w:tcW w:w="6473" w:type="dxa"/>
          </w:tcPr>
          <w:p w:rsidR="00E415E3" w:rsidRDefault="00E415E3" w:rsidP="00E415E3">
            <w:pPr>
              <w:pStyle w:val="BodyText"/>
              <w:spacing w:after="0" w:line="240" w:lineRule="auto"/>
            </w:pPr>
            <w:r>
              <w:t xml:space="preserve">Staff will ensure that transition from the first to the second phase of </w:t>
            </w:r>
            <w:r w:rsidRPr="00E415E3">
              <w:t>Australia Awards in Mongolia</w:t>
            </w:r>
            <w:r>
              <w:t xml:space="preserve"> is smooth.</w:t>
            </w:r>
          </w:p>
          <w:p w:rsidR="000D733F" w:rsidRPr="00100AA2" w:rsidRDefault="00E415E3" w:rsidP="00E415E3">
            <w:pPr>
              <w:pStyle w:val="BodyText"/>
              <w:spacing w:after="0" w:line="240" w:lineRule="auto"/>
            </w:pPr>
            <w:r>
              <w:t xml:space="preserve"> </w:t>
            </w:r>
          </w:p>
        </w:tc>
        <w:tc>
          <w:tcPr>
            <w:tcW w:w="964" w:type="dxa"/>
            <w:shd w:val="clear" w:color="auto" w:fill="92D050"/>
          </w:tcPr>
          <w:p w:rsidR="000D733F" w:rsidRPr="00443639" w:rsidRDefault="00DD5451" w:rsidP="000D733F">
            <w:pPr>
              <w:pStyle w:val="TableTextEntries"/>
              <w:jc w:val="center"/>
              <w:rPr>
                <w:color w:val="FFFFFF" w:themeColor="background1"/>
              </w:rPr>
            </w:pPr>
            <w:r>
              <w:rPr>
                <w:color w:val="FFFFFF" w:themeColor="background1"/>
              </w:rPr>
              <w:t>Achieved</w:t>
            </w:r>
          </w:p>
        </w:tc>
        <w:tc>
          <w:tcPr>
            <w:tcW w:w="6904" w:type="dxa"/>
          </w:tcPr>
          <w:p w:rsidR="000D733F" w:rsidRPr="00B30E77" w:rsidRDefault="008C3215" w:rsidP="000D733F">
            <w:pPr>
              <w:pStyle w:val="TableTextEntries"/>
              <w:rPr>
                <w:color w:val="F79646" w:themeColor="accent6"/>
              </w:rPr>
            </w:pPr>
            <w:r w:rsidRPr="008C3215">
              <w:rPr>
                <w:iCs w:val="0"/>
                <w:sz w:val="21"/>
                <w:szCs w:val="24"/>
                <w:lang w:eastAsia="en-AU"/>
              </w:rPr>
              <w:t>The new phase has been successfully impl</w:t>
            </w:r>
            <w:r w:rsidR="000F3698">
              <w:rPr>
                <w:iCs w:val="0"/>
                <w:sz w:val="21"/>
                <w:szCs w:val="24"/>
                <w:lang w:eastAsia="en-AU"/>
              </w:rPr>
              <w:t>emented by Coffey International in</w:t>
            </w:r>
            <w:r w:rsidR="00533CB4">
              <w:rPr>
                <w:iCs w:val="0"/>
                <w:sz w:val="21"/>
                <w:szCs w:val="24"/>
                <w:lang w:eastAsia="en-AU"/>
              </w:rPr>
              <w:t xml:space="preserve"> 2013–</w:t>
            </w:r>
            <w:r w:rsidRPr="008C3215">
              <w:rPr>
                <w:iCs w:val="0"/>
                <w:sz w:val="21"/>
                <w:szCs w:val="24"/>
                <w:lang w:eastAsia="en-AU"/>
              </w:rPr>
              <w:t>14</w:t>
            </w:r>
            <w:r>
              <w:rPr>
                <w:iCs w:val="0"/>
                <w:sz w:val="21"/>
                <w:szCs w:val="24"/>
                <w:lang w:eastAsia="en-AU"/>
              </w:rPr>
              <w:t>.</w:t>
            </w:r>
            <w:r>
              <w:rPr>
                <w:color w:val="F79646" w:themeColor="accent6"/>
              </w:rPr>
              <w:t xml:space="preserve"> </w:t>
            </w:r>
          </w:p>
        </w:tc>
      </w:tr>
      <w:tr w:rsidR="000D733F" w:rsidRPr="00180B19" w:rsidTr="008C3215">
        <w:trPr>
          <w:cnfStyle w:val="000000010000" w:firstRow="0" w:lastRow="0" w:firstColumn="0" w:lastColumn="0" w:oddVBand="0" w:evenVBand="0" w:oddHBand="0" w:evenHBand="1" w:firstRowFirstColumn="0" w:firstRowLastColumn="0" w:lastRowFirstColumn="0" w:lastRowLastColumn="0"/>
        </w:trPr>
        <w:tc>
          <w:tcPr>
            <w:tcW w:w="6473" w:type="dxa"/>
          </w:tcPr>
          <w:p w:rsidR="00E415E3" w:rsidRDefault="00E415E3" w:rsidP="00E415E3">
            <w:pPr>
              <w:pStyle w:val="BodyText"/>
              <w:spacing w:after="0" w:line="240" w:lineRule="auto"/>
            </w:pPr>
            <w:r>
              <w:t>Use the performance assessment framework to elicit better activity-lev</w:t>
            </w:r>
            <w:r w:rsidR="008C3215">
              <w:t>el data from partners. E</w:t>
            </w:r>
            <w:r>
              <w:t>nsure that enhance</w:t>
            </w:r>
            <w:r w:rsidR="008C3215">
              <w:t>d performance reporting</w:t>
            </w:r>
            <w:r>
              <w:t xml:space="preserve"> is integrated into the design of </w:t>
            </w:r>
            <w:r w:rsidR="008C3215">
              <w:t>AMEP</w:t>
            </w:r>
            <w:r>
              <w:t xml:space="preserve"> and that future </w:t>
            </w:r>
            <w:r w:rsidR="008C3215">
              <w:t>APPRs</w:t>
            </w:r>
            <w:r w:rsidDel="000D7B52">
              <w:t xml:space="preserve"> </w:t>
            </w:r>
            <w:r>
              <w:t xml:space="preserve">are more analytical. </w:t>
            </w:r>
          </w:p>
          <w:p w:rsidR="000D733F" w:rsidRPr="00100AA2" w:rsidRDefault="000D733F" w:rsidP="000D733F">
            <w:pPr>
              <w:pStyle w:val="TableTextEntries"/>
            </w:pPr>
          </w:p>
        </w:tc>
        <w:tc>
          <w:tcPr>
            <w:tcW w:w="964" w:type="dxa"/>
            <w:shd w:val="clear" w:color="auto" w:fill="E36C0A" w:themeFill="accent6" w:themeFillShade="BF"/>
          </w:tcPr>
          <w:p w:rsidR="000D733F" w:rsidRPr="00443639" w:rsidRDefault="00DD5451" w:rsidP="000D733F">
            <w:pPr>
              <w:pStyle w:val="TableTextEntries"/>
              <w:jc w:val="center"/>
              <w:rPr>
                <w:color w:val="FFFFFF" w:themeColor="background1"/>
              </w:rPr>
            </w:pPr>
            <w:r>
              <w:rPr>
                <w:color w:val="FFFFFF" w:themeColor="background1"/>
              </w:rPr>
              <w:t xml:space="preserve">Partially </w:t>
            </w:r>
            <w:r w:rsidR="000D733F">
              <w:rPr>
                <w:color w:val="FFFFFF" w:themeColor="background1"/>
              </w:rPr>
              <w:t>achieved</w:t>
            </w:r>
          </w:p>
        </w:tc>
        <w:tc>
          <w:tcPr>
            <w:tcW w:w="6904" w:type="dxa"/>
          </w:tcPr>
          <w:p w:rsidR="000D733F" w:rsidRPr="00B30E77" w:rsidRDefault="008C3215" w:rsidP="008C3215">
            <w:pPr>
              <w:pStyle w:val="TableTextEntries"/>
              <w:rPr>
                <w:color w:val="F79646" w:themeColor="accent6"/>
              </w:rPr>
            </w:pPr>
            <w:r w:rsidRPr="008C3215">
              <w:rPr>
                <w:iCs w:val="0"/>
                <w:sz w:val="21"/>
                <w:szCs w:val="24"/>
                <w:lang w:eastAsia="en-AU"/>
              </w:rPr>
              <w:t>Communicated PAF and reporting requirements to partners which resulted in solid data for headline results</w:t>
            </w:r>
            <w:r w:rsidR="005E3C92">
              <w:rPr>
                <w:iCs w:val="0"/>
                <w:sz w:val="21"/>
                <w:szCs w:val="24"/>
                <w:lang w:eastAsia="en-AU"/>
              </w:rPr>
              <w:t xml:space="preserve"> reporting</w:t>
            </w:r>
            <w:r w:rsidRPr="008C3215">
              <w:rPr>
                <w:iCs w:val="0"/>
                <w:sz w:val="21"/>
                <w:szCs w:val="24"/>
                <w:lang w:eastAsia="en-AU"/>
              </w:rPr>
              <w:t>.</w:t>
            </w:r>
            <w:r w:rsidRPr="000F3698">
              <w:rPr>
                <w:iCs w:val="0"/>
                <w:sz w:val="21"/>
                <w:szCs w:val="24"/>
                <w:lang w:eastAsia="en-AU"/>
              </w:rPr>
              <w:t xml:space="preserve"> </w:t>
            </w:r>
            <w:r w:rsidR="000F3698" w:rsidRPr="000F3698">
              <w:rPr>
                <w:iCs w:val="0"/>
                <w:sz w:val="21"/>
                <w:szCs w:val="24"/>
                <w:lang w:eastAsia="en-AU"/>
              </w:rPr>
              <w:t>There is more w</w:t>
            </w:r>
            <w:r w:rsidR="005E3C92">
              <w:rPr>
                <w:iCs w:val="0"/>
                <w:sz w:val="21"/>
                <w:szCs w:val="24"/>
                <w:lang w:eastAsia="en-AU"/>
              </w:rPr>
              <w:t>ork to be done to identify and compile base</w:t>
            </w:r>
            <w:r w:rsidR="000F3698" w:rsidRPr="000F3698">
              <w:rPr>
                <w:iCs w:val="0"/>
                <w:sz w:val="21"/>
                <w:szCs w:val="24"/>
                <w:lang w:eastAsia="en-AU"/>
              </w:rPr>
              <w:t>line data.</w:t>
            </w: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p>
    <w:p w:rsidR="000D733F" w:rsidRPr="009E38C1" w:rsidRDefault="000D733F" w:rsidP="000D733F">
      <w:pPr>
        <w:pStyle w:val="Heading2"/>
        <w:tabs>
          <w:tab w:val="left" w:pos="1560"/>
        </w:tabs>
        <w:rPr>
          <w:sz w:val="28"/>
        </w:rPr>
      </w:pPr>
      <w:r w:rsidRPr="009E38C1">
        <w:rPr>
          <w:sz w:val="28"/>
        </w:rPr>
        <w:t xml:space="preserve">Annex B </w:t>
      </w:r>
      <w:r w:rsidRPr="009E38C1">
        <w:rPr>
          <w:sz w:val="28"/>
        </w:rPr>
        <w:tab/>
      </w:r>
    </w:p>
    <w:p w:rsidR="000D733F" w:rsidRPr="009E38C1" w:rsidRDefault="000D733F" w:rsidP="000D733F">
      <w:pPr>
        <w:pStyle w:val="Heading2"/>
        <w:rPr>
          <w:sz w:val="28"/>
        </w:rPr>
      </w:pPr>
      <w:r w:rsidRPr="009E38C1">
        <w:rPr>
          <w:sz w:val="28"/>
        </w:rPr>
        <w:t>Quality at Implementation ratings</w:t>
      </w:r>
    </w:p>
    <w:tbl>
      <w:tblPr>
        <w:tblStyle w:val="APPR"/>
        <w:tblW w:w="4244" w:type="pct"/>
        <w:tblLayout w:type="fixed"/>
        <w:tblLook w:val="0000" w:firstRow="0" w:lastRow="0" w:firstColumn="0" w:lastColumn="0" w:noHBand="0" w:noVBand="0"/>
      </w:tblPr>
      <w:tblGrid>
        <w:gridCol w:w="2532"/>
        <w:gridCol w:w="1843"/>
        <w:gridCol w:w="1174"/>
        <w:gridCol w:w="365"/>
        <w:gridCol w:w="1178"/>
        <w:gridCol w:w="1039"/>
        <w:gridCol w:w="1039"/>
        <w:gridCol w:w="1099"/>
        <w:gridCol w:w="956"/>
        <w:gridCol w:w="1036"/>
      </w:tblGrid>
      <w:tr w:rsidR="000D733F" w:rsidRPr="009D53C4" w:rsidTr="00DD5451">
        <w:trPr>
          <w:cnfStyle w:val="000000010000" w:firstRow="0" w:lastRow="0" w:firstColumn="0" w:lastColumn="0" w:oddVBand="0" w:evenVBand="0" w:oddHBand="0" w:evenHBand="1" w:firstRowFirstColumn="0" w:firstRowLastColumn="0" w:lastRowFirstColumn="0" w:lastRowLastColumn="0"/>
          <w:trHeight w:val="1413"/>
        </w:trPr>
        <w:tc>
          <w:tcPr>
            <w:tcW w:w="1018" w:type="pct"/>
          </w:tcPr>
          <w:p w:rsidR="000D733F" w:rsidRPr="00FE4491" w:rsidRDefault="000D733F" w:rsidP="000D733F">
            <w:pPr>
              <w:pStyle w:val="TableTextColumnHeading"/>
            </w:pPr>
            <w:r w:rsidRPr="00FE4491">
              <w:rPr>
                <w:noProof/>
                <w:lang w:eastAsia="en-AU"/>
              </w:rPr>
              <w:drawing>
                <wp:anchor distT="0" distB="0" distL="114300" distR="114300" simplePos="0" relativeHeight="251665408" behindDoc="0" locked="0" layoutInCell="1" allowOverlap="1" wp14:anchorId="7CA5202B" wp14:editId="65D00070">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D2">
              <w:t>Investment</w:t>
            </w:r>
            <w:r w:rsidRPr="00FE4491">
              <w:t xml:space="preserve"> name</w:t>
            </w:r>
          </w:p>
        </w:tc>
        <w:tc>
          <w:tcPr>
            <w:tcW w:w="742" w:type="pct"/>
            <w:textDirection w:val="btLr"/>
          </w:tcPr>
          <w:p w:rsidR="000D733F" w:rsidRPr="00FE4491" w:rsidRDefault="000D733F" w:rsidP="000D733F">
            <w:pPr>
              <w:pStyle w:val="TableTextColumnHeading"/>
            </w:pPr>
            <w:r w:rsidRPr="00FE4491">
              <w:t>Approved budget and duration</w:t>
            </w:r>
          </w:p>
        </w:tc>
        <w:tc>
          <w:tcPr>
            <w:tcW w:w="468" w:type="pct"/>
            <w:textDirection w:val="btLr"/>
          </w:tcPr>
          <w:p w:rsidR="000D733F" w:rsidRPr="00FE4491" w:rsidRDefault="00AB1207" w:rsidP="000D733F">
            <w:pPr>
              <w:pStyle w:val="TableTextColumnHeading"/>
            </w:pPr>
            <w:r>
              <w:t>QA</w:t>
            </w:r>
            <w:r w:rsidR="000D733F" w:rsidRPr="00FE4491">
              <w:t>I year</w:t>
            </w:r>
          </w:p>
        </w:tc>
        <w:tc>
          <w:tcPr>
            <w:tcW w:w="608" w:type="pct"/>
            <w:gridSpan w:val="2"/>
            <w:textDirection w:val="btLr"/>
          </w:tcPr>
          <w:p w:rsidR="000D733F" w:rsidRPr="00FE4491" w:rsidRDefault="000D733F" w:rsidP="000D733F">
            <w:pPr>
              <w:pStyle w:val="TableTextColumnHeading"/>
            </w:pPr>
            <w:r w:rsidRPr="00FE4491">
              <w:t>Relevance</w:t>
            </w:r>
          </w:p>
        </w:tc>
        <w:tc>
          <w:tcPr>
            <w:tcW w:w="414" w:type="pct"/>
            <w:textDirection w:val="btLr"/>
          </w:tcPr>
          <w:p w:rsidR="000D733F" w:rsidRPr="00FE4491" w:rsidRDefault="000D733F" w:rsidP="000D733F">
            <w:pPr>
              <w:pStyle w:val="TableTextColumnHeading"/>
            </w:pPr>
            <w:r w:rsidRPr="00FE4491">
              <w:t>Effectiveness</w:t>
            </w:r>
          </w:p>
        </w:tc>
        <w:tc>
          <w:tcPr>
            <w:tcW w:w="414" w:type="pct"/>
            <w:textDirection w:val="btLr"/>
          </w:tcPr>
          <w:p w:rsidR="000D733F" w:rsidRPr="00FE4491" w:rsidRDefault="000D733F" w:rsidP="000D733F">
            <w:pPr>
              <w:pStyle w:val="TableTextColumnHeading"/>
            </w:pPr>
            <w:r w:rsidRPr="00FE4491">
              <w:t>Efficiency</w:t>
            </w:r>
          </w:p>
        </w:tc>
        <w:tc>
          <w:tcPr>
            <w:tcW w:w="438" w:type="pct"/>
            <w:textDirection w:val="btLr"/>
          </w:tcPr>
          <w:p w:rsidR="000D733F" w:rsidRPr="00FE4491" w:rsidRDefault="000D733F" w:rsidP="000D733F">
            <w:pPr>
              <w:pStyle w:val="TableTextColumnHeading"/>
            </w:pPr>
            <w:r w:rsidRPr="00FE4491">
              <w:t>Monitoring and Evaluation</w:t>
            </w:r>
          </w:p>
        </w:tc>
        <w:tc>
          <w:tcPr>
            <w:tcW w:w="379" w:type="pct"/>
            <w:textDirection w:val="btLr"/>
          </w:tcPr>
          <w:p w:rsidR="000D733F" w:rsidRPr="00FE4491" w:rsidRDefault="000D733F" w:rsidP="000D733F">
            <w:pPr>
              <w:pStyle w:val="TableTextColumnHeading"/>
            </w:pPr>
            <w:r w:rsidRPr="00FE4491">
              <w:t>Sustainability</w:t>
            </w:r>
          </w:p>
        </w:tc>
        <w:tc>
          <w:tcPr>
            <w:tcW w:w="407" w:type="pct"/>
            <w:textDirection w:val="btLr"/>
          </w:tcPr>
          <w:p w:rsidR="000D733F" w:rsidRPr="00FE4491" w:rsidRDefault="000D733F" w:rsidP="000D733F">
            <w:pPr>
              <w:pStyle w:val="TableTextColumnHeading"/>
            </w:pPr>
            <w:r w:rsidRPr="00FE4491">
              <w:t>Gender equality</w:t>
            </w:r>
          </w:p>
        </w:tc>
      </w:tr>
      <w:tr w:rsidR="000D733F" w:rsidRPr="009D53C4" w:rsidTr="00AA0344">
        <w:trPr>
          <w:cnfStyle w:val="000000010000" w:firstRow="0" w:lastRow="0" w:firstColumn="0" w:lastColumn="0" w:oddVBand="0" w:evenVBand="0" w:oddHBand="0" w:evenHBand="1" w:firstRowFirstColumn="0" w:firstRowLastColumn="0" w:lastRowFirstColumn="0" w:lastRowLastColumn="0"/>
          <w:trHeight w:val="284"/>
        </w:trPr>
        <w:tc>
          <w:tcPr>
            <w:tcW w:w="1018" w:type="pct"/>
            <w:vMerge w:val="restart"/>
          </w:tcPr>
          <w:p w:rsidR="000D733F" w:rsidRPr="00FE4491" w:rsidRDefault="00DD5451" w:rsidP="000D733F">
            <w:pPr>
              <w:pStyle w:val="TableTextEntries"/>
            </w:pPr>
            <w:r>
              <w:t>UNICEF WASH</w:t>
            </w:r>
          </w:p>
        </w:tc>
        <w:tc>
          <w:tcPr>
            <w:tcW w:w="742" w:type="pct"/>
            <w:vMerge w:val="restart"/>
          </w:tcPr>
          <w:p w:rsidR="000D733F" w:rsidRPr="00FE4491" w:rsidRDefault="000D733F" w:rsidP="000D733F">
            <w:pPr>
              <w:pStyle w:val="TableTextEntries"/>
            </w:pPr>
          </w:p>
        </w:tc>
        <w:tc>
          <w:tcPr>
            <w:tcW w:w="606" w:type="pct"/>
            <w:gridSpan w:val="2"/>
          </w:tcPr>
          <w:p w:rsidR="000D733F" w:rsidRPr="00FE4491" w:rsidRDefault="000D733F" w:rsidP="000D733F">
            <w:pPr>
              <w:pStyle w:val="TableTextEntries"/>
            </w:pPr>
            <w:r w:rsidRPr="00FE4491">
              <w:t>201</w:t>
            </w:r>
            <w:r>
              <w:t>3</w:t>
            </w:r>
          </w:p>
        </w:tc>
        <w:tc>
          <w:tcPr>
            <w:tcW w:w="470" w:type="pct"/>
            <w:shd w:val="clear" w:color="auto" w:fill="FFFF00"/>
            <w:noWrap/>
          </w:tcPr>
          <w:p w:rsidR="000D733F" w:rsidRPr="00FE4491" w:rsidRDefault="00AA0344" w:rsidP="000D733F">
            <w:pPr>
              <w:pStyle w:val="TableTextEntries"/>
              <w:jc w:val="center"/>
            </w:pPr>
            <w:r>
              <w:t>4</w:t>
            </w:r>
          </w:p>
        </w:tc>
        <w:tc>
          <w:tcPr>
            <w:tcW w:w="414" w:type="pct"/>
            <w:shd w:val="clear" w:color="auto" w:fill="92D050"/>
            <w:noWrap/>
          </w:tcPr>
          <w:p w:rsidR="000D733F" w:rsidRPr="00FE4491" w:rsidRDefault="00AA0344" w:rsidP="000D733F">
            <w:pPr>
              <w:pStyle w:val="TableTextEntries"/>
              <w:jc w:val="center"/>
            </w:pPr>
            <w:r>
              <w:t>5</w:t>
            </w:r>
          </w:p>
        </w:tc>
        <w:tc>
          <w:tcPr>
            <w:tcW w:w="414" w:type="pct"/>
            <w:shd w:val="clear" w:color="auto" w:fill="FFFF00"/>
            <w:noWrap/>
          </w:tcPr>
          <w:p w:rsidR="000D733F" w:rsidRPr="00FE4491" w:rsidRDefault="00DD5451" w:rsidP="000D733F">
            <w:pPr>
              <w:pStyle w:val="TableTextEntries"/>
              <w:jc w:val="center"/>
            </w:pPr>
            <w:r>
              <w:t>4</w:t>
            </w:r>
          </w:p>
        </w:tc>
        <w:tc>
          <w:tcPr>
            <w:tcW w:w="438" w:type="pct"/>
            <w:shd w:val="clear" w:color="auto" w:fill="FFFF00"/>
            <w:noWrap/>
          </w:tcPr>
          <w:p w:rsidR="000D733F" w:rsidRPr="00FE4491" w:rsidRDefault="00DD5451" w:rsidP="000D733F">
            <w:pPr>
              <w:pStyle w:val="TableTextEntries"/>
              <w:jc w:val="center"/>
            </w:pPr>
            <w:r>
              <w:t>4</w:t>
            </w:r>
          </w:p>
        </w:tc>
        <w:tc>
          <w:tcPr>
            <w:tcW w:w="379" w:type="pct"/>
            <w:shd w:val="clear" w:color="auto" w:fill="92D050"/>
            <w:noWrap/>
          </w:tcPr>
          <w:p w:rsidR="000D733F" w:rsidRPr="00FE4491" w:rsidRDefault="00AA0344" w:rsidP="000D733F">
            <w:pPr>
              <w:pStyle w:val="TableTextEntries"/>
              <w:jc w:val="center"/>
            </w:pPr>
            <w:r>
              <w:t>5</w:t>
            </w:r>
          </w:p>
        </w:tc>
        <w:tc>
          <w:tcPr>
            <w:tcW w:w="407" w:type="pct"/>
            <w:shd w:val="clear" w:color="auto" w:fill="92D050"/>
            <w:noWrap/>
          </w:tcPr>
          <w:p w:rsidR="000D733F" w:rsidRPr="00FE4491" w:rsidRDefault="00DD5451" w:rsidP="000D733F">
            <w:pPr>
              <w:pStyle w:val="TableTextEntries"/>
              <w:jc w:val="center"/>
            </w:pPr>
            <w:r>
              <w:t>5</w:t>
            </w:r>
          </w:p>
        </w:tc>
      </w:tr>
      <w:tr w:rsidR="00DD5451" w:rsidRPr="009D53C4" w:rsidTr="00E732E2">
        <w:trPr>
          <w:cnfStyle w:val="000000010000" w:firstRow="0" w:lastRow="0" w:firstColumn="0" w:lastColumn="0" w:oddVBand="0" w:evenVBand="0" w:oddHBand="0" w:evenHBand="1" w:firstRowFirstColumn="0" w:firstRowLastColumn="0" w:lastRowFirstColumn="0" w:lastRowLastColumn="0"/>
          <w:trHeight w:val="284"/>
        </w:trPr>
        <w:tc>
          <w:tcPr>
            <w:tcW w:w="1018" w:type="pct"/>
            <w:vMerge/>
          </w:tcPr>
          <w:p w:rsidR="00DD5451" w:rsidRPr="00FE4491" w:rsidRDefault="00DD5451" w:rsidP="000D733F">
            <w:pPr>
              <w:pStyle w:val="TableTextEntries"/>
            </w:pPr>
          </w:p>
        </w:tc>
        <w:tc>
          <w:tcPr>
            <w:tcW w:w="742" w:type="pct"/>
            <w:vMerge/>
          </w:tcPr>
          <w:p w:rsidR="00DD5451" w:rsidRPr="00FE4491" w:rsidRDefault="00DD5451" w:rsidP="000D733F">
            <w:pPr>
              <w:pStyle w:val="TableTextEntries"/>
            </w:pPr>
          </w:p>
        </w:tc>
        <w:tc>
          <w:tcPr>
            <w:tcW w:w="606" w:type="pct"/>
            <w:gridSpan w:val="2"/>
          </w:tcPr>
          <w:p w:rsidR="00DD5451" w:rsidRPr="00FE4491" w:rsidRDefault="00DD5451" w:rsidP="000D733F">
            <w:pPr>
              <w:pStyle w:val="TableTextEntries"/>
            </w:pPr>
            <w:r w:rsidRPr="00FE4491">
              <w:t>201</w:t>
            </w:r>
            <w:r>
              <w:t>2</w:t>
            </w:r>
          </w:p>
        </w:tc>
        <w:tc>
          <w:tcPr>
            <w:tcW w:w="470" w:type="pct"/>
            <w:shd w:val="clear" w:color="auto" w:fill="92D050"/>
            <w:noWrap/>
          </w:tcPr>
          <w:p w:rsidR="00DD5451" w:rsidRPr="00FE4491" w:rsidRDefault="00AA0344" w:rsidP="00DD5451">
            <w:pPr>
              <w:pStyle w:val="TableTextEntries"/>
              <w:jc w:val="center"/>
            </w:pPr>
            <w:r>
              <w:t>6</w:t>
            </w:r>
          </w:p>
        </w:tc>
        <w:tc>
          <w:tcPr>
            <w:tcW w:w="414" w:type="pct"/>
            <w:shd w:val="clear" w:color="auto" w:fill="FFFF00"/>
            <w:noWrap/>
          </w:tcPr>
          <w:p w:rsidR="00DD5451" w:rsidRPr="00FE4491" w:rsidRDefault="00E732E2" w:rsidP="00DD5451">
            <w:pPr>
              <w:pStyle w:val="TableTextEntries"/>
              <w:jc w:val="center"/>
            </w:pPr>
            <w:r>
              <w:t>4</w:t>
            </w:r>
          </w:p>
        </w:tc>
        <w:tc>
          <w:tcPr>
            <w:tcW w:w="414" w:type="pct"/>
            <w:shd w:val="clear" w:color="auto" w:fill="FFFF00"/>
            <w:noWrap/>
          </w:tcPr>
          <w:p w:rsidR="00DD5451" w:rsidRPr="00FE4491" w:rsidRDefault="00DD5451" w:rsidP="00DD5451">
            <w:pPr>
              <w:pStyle w:val="TableTextEntries"/>
              <w:jc w:val="center"/>
            </w:pPr>
            <w:r>
              <w:t>4</w:t>
            </w:r>
          </w:p>
        </w:tc>
        <w:tc>
          <w:tcPr>
            <w:tcW w:w="438" w:type="pct"/>
            <w:shd w:val="clear" w:color="auto" w:fill="FFFF00"/>
            <w:noWrap/>
          </w:tcPr>
          <w:p w:rsidR="00DD5451" w:rsidRPr="00FE4491" w:rsidRDefault="00DD5451" w:rsidP="00DD5451">
            <w:pPr>
              <w:pStyle w:val="TableTextEntries"/>
              <w:jc w:val="center"/>
            </w:pPr>
            <w:r>
              <w:t>4</w:t>
            </w:r>
          </w:p>
        </w:tc>
        <w:tc>
          <w:tcPr>
            <w:tcW w:w="379" w:type="pct"/>
            <w:shd w:val="clear" w:color="auto" w:fill="FFFF00"/>
            <w:noWrap/>
          </w:tcPr>
          <w:p w:rsidR="00DD5451" w:rsidRPr="00FE4491" w:rsidRDefault="00E732E2" w:rsidP="00DD5451">
            <w:pPr>
              <w:pStyle w:val="TableTextEntries"/>
              <w:jc w:val="center"/>
            </w:pPr>
            <w:r>
              <w:t>4</w:t>
            </w:r>
          </w:p>
        </w:tc>
        <w:tc>
          <w:tcPr>
            <w:tcW w:w="407" w:type="pct"/>
            <w:shd w:val="clear" w:color="auto" w:fill="92D050"/>
            <w:noWrap/>
          </w:tcPr>
          <w:p w:rsidR="00DD5451" w:rsidRPr="00FE4491" w:rsidRDefault="00DD5451" w:rsidP="00DD5451">
            <w:pPr>
              <w:pStyle w:val="TableTextEntries"/>
              <w:jc w:val="center"/>
            </w:pPr>
            <w:r>
              <w:t>5</w:t>
            </w:r>
          </w:p>
        </w:tc>
      </w:tr>
      <w:tr w:rsidR="00DD5451" w:rsidRPr="009D53C4" w:rsidTr="009D249E">
        <w:trPr>
          <w:cnfStyle w:val="000000010000" w:firstRow="0" w:lastRow="0" w:firstColumn="0" w:lastColumn="0" w:oddVBand="0" w:evenVBand="0" w:oddHBand="0" w:evenHBand="1" w:firstRowFirstColumn="0" w:firstRowLastColumn="0" w:lastRowFirstColumn="0" w:lastRowLastColumn="0"/>
          <w:trHeight w:val="284"/>
        </w:trPr>
        <w:tc>
          <w:tcPr>
            <w:tcW w:w="1018" w:type="pct"/>
            <w:vMerge w:val="restart"/>
          </w:tcPr>
          <w:p w:rsidR="00DD5451" w:rsidRPr="00FE4491" w:rsidRDefault="00DD5451" w:rsidP="000D733F">
            <w:pPr>
              <w:pStyle w:val="TableTextEntries"/>
            </w:pPr>
            <w:r>
              <w:t>Australia Awards Mongolia</w:t>
            </w:r>
          </w:p>
        </w:tc>
        <w:tc>
          <w:tcPr>
            <w:tcW w:w="742" w:type="pct"/>
            <w:vMerge w:val="restart"/>
          </w:tcPr>
          <w:p w:rsidR="00DD5451" w:rsidRPr="00FE4491" w:rsidRDefault="00DD5451" w:rsidP="000D733F">
            <w:pPr>
              <w:pStyle w:val="TableTextEntries"/>
            </w:pPr>
          </w:p>
        </w:tc>
        <w:tc>
          <w:tcPr>
            <w:tcW w:w="606" w:type="pct"/>
            <w:gridSpan w:val="2"/>
          </w:tcPr>
          <w:p w:rsidR="00DD5451" w:rsidRPr="00FE4491" w:rsidRDefault="00DD5451" w:rsidP="000D733F">
            <w:pPr>
              <w:pStyle w:val="TableTextEntries"/>
            </w:pPr>
            <w:r w:rsidRPr="00FE4491">
              <w:t>201</w:t>
            </w:r>
            <w:r>
              <w:t>3</w:t>
            </w:r>
          </w:p>
        </w:tc>
        <w:tc>
          <w:tcPr>
            <w:tcW w:w="470" w:type="pct"/>
            <w:shd w:val="clear" w:color="auto" w:fill="92D050"/>
            <w:noWrap/>
          </w:tcPr>
          <w:p w:rsidR="00DD5451" w:rsidRPr="00FE4491" w:rsidRDefault="009D249E" w:rsidP="000D733F">
            <w:pPr>
              <w:pStyle w:val="TableTextEntries"/>
              <w:jc w:val="center"/>
            </w:pPr>
            <w:r>
              <w:t>5</w:t>
            </w:r>
          </w:p>
        </w:tc>
        <w:tc>
          <w:tcPr>
            <w:tcW w:w="414" w:type="pct"/>
            <w:shd w:val="clear" w:color="auto" w:fill="92D050"/>
            <w:noWrap/>
          </w:tcPr>
          <w:p w:rsidR="00DD5451" w:rsidRPr="00FE4491" w:rsidRDefault="009D249E" w:rsidP="000D733F">
            <w:pPr>
              <w:pStyle w:val="TableTextEntries"/>
              <w:jc w:val="center"/>
            </w:pPr>
            <w:r>
              <w:t>5</w:t>
            </w:r>
          </w:p>
        </w:tc>
        <w:tc>
          <w:tcPr>
            <w:tcW w:w="414" w:type="pct"/>
            <w:shd w:val="clear" w:color="auto" w:fill="92D050"/>
            <w:noWrap/>
          </w:tcPr>
          <w:p w:rsidR="00DD5451" w:rsidRPr="00FE4491" w:rsidRDefault="009D249E" w:rsidP="000D733F">
            <w:pPr>
              <w:pStyle w:val="TableTextEntries"/>
              <w:jc w:val="center"/>
            </w:pPr>
            <w:r>
              <w:t>5</w:t>
            </w:r>
          </w:p>
        </w:tc>
        <w:tc>
          <w:tcPr>
            <w:tcW w:w="438" w:type="pct"/>
            <w:shd w:val="clear" w:color="auto" w:fill="FFFF00"/>
            <w:noWrap/>
          </w:tcPr>
          <w:p w:rsidR="00DD5451" w:rsidRPr="00FE4491" w:rsidRDefault="009D249E" w:rsidP="000D733F">
            <w:pPr>
              <w:pStyle w:val="TableTextEntries"/>
              <w:jc w:val="center"/>
            </w:pPr>
            <w:r>
              <w:t>4</w:t>
            </w:r>
          </w:p>
        </w:tc>
        <w:tc>
          <w:tcPr>
            <w:tcW w:w="379" w:type="pct"/>
            <w:shd w:val="clear" w:color="auto" w:fill="FFFF00"/>
            <w:noWrap/>
          </w:tcPr>
          <w:p w:rsidR="00DD5451" w:rsidRPr="00FE4491" w:rsidRDefault="009D249E" w:rsidP="000D733F">
            <w:pPr>
              <w:pStyle w:val="TableTextEntries"/>
              <w:jc w:val="center"/>
            </w:pPr>
            <w:r>
              <w:t>4</w:t>
            </w:r>
          </w:p>
        </w:tc>
        <w:tc>
          <w:tcPr>
            <w:tcW w:w="407" w:type="pct"/>
            <w:shd w:val="clear" w:color="auto" w:fill="FFFF00"/>
            <w:noWrap/>
          </w:tcPr>
          <w:p w:rsidR="00DD5451" w:rsidRPr="00FE4491" w:rsidRDefault="009D249E" w:rsidP="000D733F">
            <w:pPr>
              <w:pStyle w:val="TableTextEntries"/>
              <w:jc w:val="center"/>
            </w:pPr>
            <w:r>
              <w:t>4</w:t>
            </w:r>
          </w:p>
        </w:tc>
      </w:tr>
      <w:tr w:rsidR="00DD5451" w:rsidRPr="009D53C4" w:rsidTr="009D249E">
        <w:trPr>
          <w:cnfStyle w:val="000000010000" w:firstRow="0" w:lastRow="0" w:firstColumn="0" w:lastColumn="0" w:oddVBand="0" w:evenVBand="0" w:oddHBand="0" w:evenHBand="1" w:firstRowFirstColumn="0" w:firstRowLastColumn="0" w:lastRowFirstColumn="0" w:lastRowLastColumn="0"/>
          <w:trHeight w:val="284"/>
        </w:trPr>
        <w:tc>
          <w:tcPr>
            <w:tcW w:w="1018" w:type="pct"/>
            <w:vMerge/>
          </w:tcPr>
          <w:p w:rsidR="00DD5451" w:rsidRPr="00FE4491" w:rsidRDefault="00DD5451" w:rsidP="000D733F">
            <w:pPr>
              <w:pStyle w:val="TableTextEntries"/>
            </w:pPr>
          </w:p>
        </w:tc>
        <w:tc>
          <w:tcPr>
            <w:tcW w:w="742" w:type="pct"/>
            <w:vMerge/>
          </w:tcPr>
          <w:p w:rsidR="00DD5451" w:rsidRPr="00FE4491" w:rsidRDefault="00DD5451" w:rsidP="000D733F">
            <w:pPr>
              <w:pStyle w:val="TableTextEntries"/>
            </w:pPr>
          </w:p>
        </w:tc>
        <w:tc>
          <w:tcPr>
            <w:tcW w:w="606" w:type="pct"/>
            <w:gridSpan w:val="2"/>
          </w:tcPr>
          <w:p w:rsidR="00DD5451" w:rsidRPr="00FE4491" w:rsidRDefault="00DD5451" w:rsidP="000D733F">
            <w:pPr>
              <w:pStyle w:val="TableTextEntries"/>
            </w:pPr>
            <w:r w:rsidRPr="00FE4491">
              <w:t>201</w:t>
            </w:r>
            <w:r>
              <w:t>2</w:t>
            </w:r>
          </w:p>
        </w:tc>
        <w:tc>
          <w:tcPr>
            <w:tcW w:w="470" w:type="pct"/>
            <w:shd w:val="clear" w:color="auto" w:fill="92D050"/>
            <w:noWrap/>
          </w:tcPr>
          <w:p w:rsidR="00DD5451" w:rsidRPr="00FE4491" w:rsidRDefault="009D249E" w:rsidP="000D733F">
            <w:pPr>
              <w:pStyle w:val="TableTextEntries"/>
              <w:jc w:val="center"/>
            </w:pPr>
            <w:r>
              <w:t>5</w:t>
            </w:r>
          </w:p>
        </w:tc>
        <w:tc>
          <w:tcPr>
            <w:tcW w:w="414" w:type="pct"/>
            <w:shd w:val="clear" w:color="auto" w:fill="92D050"/>
            <w:noWrap/>
          </w:tcPr>
          <w:p w:rsidR="00DD5451" w:rsidRPr="00FE4491" w:rsidRDefault="009D249E" w:rsidP="000D733F">
            <w:pPr>
              <w:pStyle w:val="TableTextEntries"/>
              <w:jc w:val="center"/>
            </w:pPr>
            <w:r>
              <w:t>5</w:t>
            </w:r>
          </w:p>
        </w:tc>
        <w:tc>
          <w:tcPr>
            <w:tcW w:w="414" w:type="pct"/>
            <w:shd w:val="clear" w:color="auto" w:fill="92D050"/>
            <w:noWrap/>
          </w:tcPr>
          <w:p w:rsidR="00DD5451" w:rsidRPr="00FE4491" w:rsidRDefault="009D249E" w:rsidP="000D733F">
            <w:pPr>
              <w:pStyle w:val="TableTextEntries"/>
              <w:jc w:val="center"/>
            </w:pPr>
            <w:r>
              <w:t>5</w:t>
            </w:r>
          </w:p>
        </w:tc>
        <w:tc>
          <w:tcPr>
            <w:tcW w:w="438" w:type="pct"/>
            <w:shd w:val="clear" w:color="auto" w:fill="FFFF00"/>
            <w:noWrap/>
          </w:tcPr>
          <w:p w:rsidR="00DD5451" w:rsidRPr="00FE4491" w:rsidRDefault="009D249E" w:rsidP="000D733F">
            <w:pPr>
              <w:pStyle w:val="TableTextEntries"/>
              <w:jc w:val="center"/>
            </w:pPr>
            <w:r>
              <w:t>4</w:t>
            </w:r>
          </w:p>
        </w:tc>
        <w:tc>
          <w:tcPr>
            <w:tcW w:w="379" w:type="pct"/>
            <w:shd w:val="clear" w:color="auto" w:fill="FFFF00"/>
            <w:noWrap/>
          </w:tcPr>
          <w:p w:rsidR="00DD5451" w:rsidRPr="00FE4491" w:rsidRDefault="009D249E" w:rsidP="000D733F">
            <w:pPr>
              <w:pStyle w:val="TableTextEntries"/>
              <w:jc w:val="center"/>
            </w:pPr>
            <w:r>
              <w:t>4</w:t>
            </w:r>
          </w:p>
        </w:tc>
        <w:tc>
          <w:tcPr>
            <w:tcW w:w="407" w:type="pct"/>
            <w:shd w:val="clear" w:color="auto" w:fill="92D050"/>
            <w:noWrap/>
          </w:tcPr>
          <w:p w:rsidR="00DD5451" w:rsidRPr="00FE4491" w:rsidRDefault="009D249E" w:rsidP="000D733F">
            <w:pPr>
              <w:pStyle w:val="TableTextEntries"/>
              <w:jc w:val="center"/>
            </w:pPr>
            <w:r>
              <w:t>5</w:t>
            </w:r>
          </w:p>
        </w:tc>
      </w:tr>
      <w:tr w:rsidR="009D249E" w:rsidRPr="009D53C4" w:rsidTr="00922FA5">
        <w:trPr>
          <w:cnfStyle w:val="000000010000" w:firstRow="0" w:lastRow="0" w:firstColumn="0" w:lastColumn="0" w:oddVBand="0" w:evenVBand="0" w:oddHBand="0" w:evenHBand="1" w:firstRowFirstColumn="0" w:firstRowLastColumn="0" w:lastRowFirstColumn="0" w:lastRowLastColumn="0"/>
          <w:trHeight w:val="284"/>
        </w:trPr>
        <w:tc>
          <w:tcPr>
            <w:tcW w:w="1018" w:type="pct"/>
          </w:tcPr>
          <w:p w:rsidR="009D249E" w:rsidRPr="00FE4491" w:rsidRDefault="00ED24B3" w:rsidP="000D733F">
            <w:pPr>
              <w:pStyle w:val="TableTextEntries"/>
            </w:pPr>
            <w:r>
              <w:t>Strengthen Groundwater Management in Southern Mongolia</w:t>
            </w:r>
          </w:p>
        </w:tc>
        <w:tc>
          <w:tcPr>
            <w:tcW w:w="742" w:type="pct"/>
          </w:tcPr>
          <w:p w:rsidR="009D249E" w:rsidRPr="00FE4491" w:rsidRDefault="009D249E" w:rsidP="000D733F">
            <w:pPr>
              <w:pStyle w:val="TableTextEntries"/>
            </w:pPr>
          </w:p>
        </w:tc>
        <w:tc>
          <w:tcPr>
            <w:tcW w:w="606" w:type="pct"/>
            <w:gridSpan w:val="2"/>
          </w:tcPr>
          <w:p w:rsidR="009D249E" w:rsidRPr="00FE4491" w:rsidRDefault="009D249E" w:rsidP="000D733F">
            <w:pPr>
              <w:pStyle w:val="TableTextEntries"/>
            </w:pPr>
            <w:r>
              <w:t>2013</w:t>
            </w:r>
          </w:p>
        </w:tc>
        <w:tc>
          <w:tcPr>
            <w:tcW w:w="470" w:type="pct"/>
            <w:shd w:val="clear" w:color="auto" w:fill="92D050"/>
            <w:noWrap/>
          </w:tcPr>
          <w:p w:rsidR="009D249E" w:rsidRDefault="009D249E" w:rsidP="000D733F">
            <w:pPr>
              <w:pStyle w:val="TableTextEntries"/>
              <w:jc w:val="center"/>
            </w:pPr>
            <w:r>
              <w:t>6</w:t>
            </w:r>
          </w:p>
        </w:tc>
        <w:tc>
          <w:tcPr>
            <w:tcW w:w="414" w:type="pct"/>
            <w:shd w:val="clear" w:color="auto" w:fill="E36C0A" w:themeFill="accent6" w:themeFillShade="BF"/>
            <w:noWrap/>
          </w:tcPr>
          <w:p w:rsidR="009D249E" w:rsidRDefault="009D249E" w:rsidP="000D733F">
            <w:pPr>
              <w:pStyle w:val="TableTextEntries"/>
              <w:jc w:val="center"/>
            </w:pPr>
            <w:r>
              <w:t>3</w:t>
            </w:r>
          </w:p>
        </w:tc>
        <w:tc>
          <w:tcPr>
            <w:tcW w:w="414" w:type="pct"/>
            <w:shd w:val="clear" w:color="auto" w:fill="E36C0A" w:themeFill="accent6" w:themeFillShade="BF"/>
            <w:noWrap/>
          </w:tcPr>
          <w:p w:rsidR="009D249E" w:rsidRDefault="009D249E" w:rsidP="000D733F">
            <w:pPr>
              <w:pStyle w:val="TableTextEntries"/>
              <w:jc w:val="center"/>
            </w:pPr>
            <w:r>
              <w:t>3</w:t>
            </w:r>
          </w:p>
        </w:tc>
        <w:tc>
          <w:tcPr>
            <w:tcW w:w="438" w:type="pct"/>
            <w:shd w:val="clear" w:color="auto" w:fill="E36C0A" w:themeFill="accent6" w:themeFillShade="BF"/>
            <w:noWrap/>
          </w:tcPr>
          <w:p w:rsidR="009D249E" w:rsidRDefault="009D249E" w:rsidP="000D733F">
            <w:pPr>
              <w:pStyle w:val="TableTextEntries"/>
              <w:jc w:val="center"/>
            </w:pPr>
            <w:r>
              <w:t>3</w:t>
            </w:r>
          </w:p>
        </w:tc>
        <w:tc>
          <w:tcPr>
            <w:tcW w:w="379" w:type="pct"/>
            <w:shd w:val="clear" w:color="auto" w:fill="FFFF00"/>
            <w:noWrap/>
          </w:tcPr>
          <w:p w:rsidR="009D249E" w:rsidRDefault="009D249E" w:rsidP="000D733F">
            <w:pPr>
              <w:pStyle w:val="TableTextEntries"/>
              <w:jc w:val="center"/>
            </w:pPr>
            <w:r>
              <w:t>4</w:t>
            </w:r>
          </w:p>
        </w:tc>
        <w:tc>
          <w:tcPr>
            <w:tcW w:w="407" w:type="pct"/>
            <w:shd w:val="clear" w:color="auto" w:fill="FFFF00"/>
            <w:noWrap/>
          </w:tcPr>
          <w:p w:rsidR="009D249E" w:rsidRDefault="009D249E" w:rsidP="000D733F">
            <w:pPr>
              <w:pStyle w:val="TableTextEntries"/>
              <w:jc w:val="center"/>
            </w:pPr>
            <w:r>
              <w:t>4</w:t>
            </w:r>
          </w:p>
        </w:tc>
      </w:tr>
      <w:tr w:rsidR="009D249E" w:rsidRPr="009D53C4" w:rsidTr="00922FA5">
        <w:trPr>
          <w:cnfStyle w:val="000000010000" w:firstRow="0" w:lastRow="0" w:firstColumn="0" w:lastColumn="0" w:oddVBand="0" w:evenVBand="0" w:oddHBand="0" w:evenHBand="1" w:firstRowFirstColumn="0" w:firstRowLastColumn="0" w:lastRowFirstColumn="0" w:lastRowLastColumn="0"/>
          <w:trHeight w:val="284"/>
        </w:trPr>
        <w:tc>
          <w:tcPr>
            <w:tcW w:w="1018" w:type="pct"/>
          </w:tcPr>
          <w:p w:rsidR="009D249E" w:rsidRPr="00FE4491" w:rsidRDefault="009D249E" w:rsidP="000D733F">
            <w:pPr>
              <w:pStyle w:val="TableTextEntries"/>
            </w:pPr>
          </w:p>
        </w:tc>
        <w:tc>
          <w:tcPr>
            <w:tcW w:w="742" w:type="pct"/>
          </w:tcPr>
          <w:p w:rsidR="009D249E" w:rsidRPr="00FE4491" w:rsidRDefault="009D249E" w:rsidP="000D733F">
            <w:pPr>
              <w:pStyle w:val="TableTextEntries"/>
            </w:pPr>
          </w:p>
        </w:tc>
        <w:tc>
          <w:tcPr>
            <w:tcW w:w="606" w:type="pct"/>
            <w:gridSpan w:val="2"/>
          </w:tcPr>
          <w:p w:rsidR="009D249E" w:rsidRPr="00FE4491" w:rsidRDefault="009D249E" w:rsidP="000D733F">
            <w:pPr>
              <w:pStyle w:val="TableTextEntries"/>
            </w:pPr>
            <w:r>
              <w:t>2012</w:t>
            </w:r>
          </w:p>
        </w:tc>
        <w:tc>
          <w:tcPr>
            <w:tcW w:w="470" w:type="pct"/>
            <w:shd w:val="clear" w:color="auto" w:fill="92D050"/>
            <w:noWrap/>
          </w:tcPr>
          <w:p w:rsidR="009D249E" w:rsidRDefault="009D249E" w:rsidP="000D733F">
            <w:pPr>
              <w:pStyle w:val="TableTextEntries"/>
              <w:jc w:val="center"/>
            </w:pPr>
            <w:r>
              <w:t>6</w:t>
            </w:r>
          </w:p>
        </w:tc>
        <w:tc>
          <w:tcPr>
            <w:tcW w:w="414" w:type="pct"/>
            <w:shd w:val="clear" w:color="auto" w:fill="FFFF00"/>
            <w:noWrap/>
          </w:tcPr>
          <w:p w:rsidR="009D249E" w:rsidRDefault="009D249E" w:rsidP="000D733F">
            <w:pPr>
              <w:pStyle w:val="TableTextEntries"/>
              <w:jc w:val="center"/>
            </w:pPr>
            <w:r>
              <w:t>4</w:t>
            </w:r>
          </w:p>
        </w:tc>
        <w:tc>
          <w:tcPr>
            <w:tcW w:w="414" w:type="pct"/>
            <w:shd w:val="clear" w:color="auto" w:fill="E36C0A" w:themeFill="accent6" w:themeFillShade="BF"/>
            <w:noWrap/>
          </w:tcPr>
          <w:p w:rsidR="009D249E" w:rsidRDefault="009D249E" w:rsidP="000D733F">
            <w:pPr>
              <w:pStyle w:val="TableTextEntries"/>
              <w:jc w:val="center"/>
            </w:pPr>
            <w:r>
              <w:t>3</w:t>
            </w:r>
          </w:p>
        </w:tc>
        <w:tc>
          <w:tcPr>
            <w:tcW w:w="438" w:type="pct"/>
            <w:shd w:val="clear" w:color="auto" w:fill="FFFF00"/>
            <w:noWrap/>
          </w:tcPr>
          <w:p w:rsidR="009D249E" w:rsidRDefault="009D249E" w:rsidP="000D733F">
            <w:pPr>
              <w:pStyle w:val="TableTextEntries"/>
              <w:jc w:val="center"/>
            </w:pPr>
            <w:r>
              <w:t>4</w:t>
            </w:r>
          </w:p>
        </w:tc>
        <w:tc>
          <w:tcPr>
            <w:tcW w:w="379" w:type="pct"/>
            <w:shd w:val="clear" w:color="auto" w:fill="FFFF00"/>
            <w:noWrap/>
          </w:tcPr>
          <w:p w:rsidR="009D249E" w:rsidRDefault="009D249E" w:rsidP="000D733F">
            <w:pPr>
              <w:pStyle w:val="TableTextEntries"/>
              <w:jc w:val="center"/>
            </w:pPr>
            <w:r>
              <w:t>4</w:t>
            </w:r>
          </w:p>
        </w:tc>
        <w:tc>
          <w:tcPr>
            <w:tcW w:w="407" w:type="pct"/>
            <w:shd w:val="clear" w:color="auto" w:fill="92D050"/>
            <w:noWrap/>
          </w:tcPr>
          <w:p w:rsidR="009D249E" w:rsidRDefault="009D249E" w:rsidP="000D733F">
            <w:pPr>
              <w:pStyle w:val="TableTextEntries"/>
              <w:jc w:val="center"/>
            </w:pPr>
            <w:r>
              <w:t>5</w:t>
            </w:r>
          </w:p>
        </w:tc>
      </w:tr>
    </w:tbl>
    <w:p w:rsidR="000D733F" w:rsidRDefault="000D733F" w:rsidP="000D733F">
      <w:pPr>
        <w:pStyle w:val="Note"/>
      </w:pPr>
      <w:r>
        <w:t>Definitions of rating scale:</w:t>
      </w:r>
      <w:r>
        <w:tab/>
      </w:r>
    </w:p>
    <w:p w:rsidR="000D733F" w:rsidRDefault="000D733F" w:rsidP="000D733F">
      <w:pPr>
        <w:pStyle w:val="Note"/>
      </w:pPr>
      <w:r>
        <w:t>Satisfactory (4, 5 and 6)</w:t>
      </w:r>
    </w:p>
    <w:p w:rsidR="000D733F" w:rsidRDefault="000D733F" w:rsidP="000D733F">
      <w:pPr>
        <w:pStyle w:val="Note"/>
      </w:pPr>
      <w:r w:rsidRPr="00593946">
        <w:rPr>
          <w:color w:val="72AF2F"/>
        </w:rPr>
        <w:sym w:font="Webdings" w:char="F067"/>
      </w:r>
      <w:r>
        <w:t xml:space="preserve"> = 6 = Very high quality</w:t>
      </w:r>
    </w:p>
    <w:p w:rsidR="000D733F" w:rsidRDefault="000D733F" w:rsidP="000D733F">
      <w:pPr>
        <w:pStyle w:val="Note"/>
      </w:pPr>
      <w:r w:rsidRPr="00593946">
        <w:rPr>
          <w:color w:val="72AF2F"/>
        </w:rPr>
        <w:sym w:font="Webdings" w:char="F067"/>
      </w:r>
      <w:r>
        <w:t xml:space="preserve"> = 5 = Good quality</w:t>
      </w:r>
    </w:p>
    <w:p w:rsidR="000D733F" w:rsidRDefault="000D733F" w:rsidP="000D733F">
      <w:pPr>
        <w:pStyle w:val="Note"/>
      </w:pPr>
      <w:r w:rsidRPr="000774FD">
        <w:rPr>
          <w:color w:val="FFFF00"/>
        </w:rPr>
        <w:sym w:font="Webdings" w:char="F067"/>
      </w:r>
      <w:r>
        <w:t xml:space="preserve"> = 4 = Adequate quality, needs some work</w:t>
      </w:r>
    </w:p>
    <w:p w:rsidR="000D733F" w:rsidRDefault="000D733F" w:rsidP="000D733F">
      <w:pPr>
        <w:pStyle w:val="Note"/>
      </w:pPr>
      <w:r>
        <w:t>Less than satisfactory (1, 2 and 3)</w:t>
      </w:r>
    </w:p>
    <w:p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0D733F">
      <w:pPr>
        <w:pStyle w:val="Note"/>
      </w:pPr>
      <w:r w:rsidRPr="000774FD">
        <w:rPr>
          <w:color w:val="FF0000"/>
        </w:rPr>
        <w:sym w:font="Webdings" w:char="F067"/>
      </w:r>
      <w:r>
        <w:t xml:space="preserve"> = 2 = Poor quality; needs major work to improve</w:t>
      </w:r>
    </w:p>
    <w:p w:rsidR="000D733F" w:rsidRDefault="000D733F" w:rsidP="000D733F">
      <w:pPr>
        <w:pStyle w:val="Note"/>
      </w:pPr>
      <w:r w:rsidRPr="000774FD">
        <w:rPr>
          <w:color w:val="FF0000"/>
        </w:rPr>
        <w:sym w:font="Webdings" w:char="F067"/>
      </w:r>
      <w:r>
        <w:t xml:space="preserve"> = 1 = Very poor quality; needs major overhaul</w:t>
      </w:r>
    </w:p>
    <w:p w:rsidR="000D733F" w:rsidRDefault="000D733F" w:rsidP="000D733F">
      <w:pPr>
        <w:pStyle w:val="Note"/>
      </w:pP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9E38C1" w:rsidRDefault="000D733F" w:rsidP="000D733F">
      <w:pPr>
        <w:pStyle w:val="Heading2"/>
        <w:rPr>
          <w:sz w:val="28"/>
        </w:rPr>
      </w:pPr>
      <w:r w:rsidRPr="009E38C1">
        <w:rPr>
          <w:sz w:val="28"/>
        </w:rPr>
        <w:lastRenderedPageBreak/>
        <w:t>Annex C</w:t>
      </w:r>
    </w:p>
    <w:p w:rsidR="000D733F" w:rsidRPr="009E38C1" w:rsidRDefault="000D733F" w:rsidP="000D733F">
      <w:pPr>
        <w:pStyle w:val="Heading2"/>
        <w:rPr>
          <w:sz w:val="28"/>
        </w:rPr>
      </w:pPr>
      <w:r w:rsidRPr="009E38C1">
        <w:rPr>
          <w:sz w:val="28"/>
        </w:rPr>
        <w:t>Evaluation and Review Pipeline Planning</w:t>
      </w:r>
    </w:p>
    <w:p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rsidR="000D733F" w:rsidRPr="00071B95" w:rsidRDefault="000D733F" w:rsidP="000D733F">
            <w:pPr>
              <w:pStyle w:val="TableTextColumnHeading"/>
              <w:rPr>
                <w:b/>
              </w:rPr>
            </w:pPr>
            <w:r w:rsidRPr="00071B95">
              <w:rPr>
                <w:b/>
              </w:rPr>
              <w:t>Aidworks number</w:t>
            </w:r>
          </w:p>
        </w:tc>
        <w:tc>
          <w:tcPr>
            <w:tcW w:w="2031" w:type="dxa"/>
          </w:tcPr>
          <w:p w:rsidR="000D733F" w:rsidRPr="00071B95" w:rsidRDefault="000D733F" w:rsidP="000D733F">
            <w:pPr>
              <w:pStyle w:val="TableTextColumnHeading"/>
              <w:rPr>
                <w:b/>
              </w:rPr>
            </w:pPr>
            <w:r>
              <w:rPr>
                <w:b/>
              </w:rPr>
              <w:t>Name of evaluation</w:t>
            </w:r>
          </w:p>
        </w:tc>
        <w:tc>
          <w:tcPr>
            <w:tcW w:w="1939" w:type="dxa"/>
          </w:tcPr>
          <w:p w:rsidR="000D733F" w:rsidRPr="00071B95" w:rsidRDefault="000D733F" w:rsidP="000D733F">
            <w:pPr>
              <w:pStyle w:val="TableTextColumnHeading"/>
              <w:rPr>
                <w:b/>
              </w:rPr>
            </w:pPr>
            <w:r w:rsidRPr="00071B95">
              <w:rPr>
                <w:b/>
              </w:rPr>
              <w:t xml:space="preserve">Date </w:t>
            </w:r>
            <w:r>
              <w:rPr>
                <w:b/>
              </w:rPr>
              <w:t>finalised</w:t>
            </w:r>
          </w:p>
        </w:tc>
        <w:tc>
          <w:tcPr>
            <w:tcW w:w="1921" w:type="dxa"/>
          </w:tcPr>
          <w:p w:rsidR="000D733F" w:rsidRPr="00071B95" w:rsidRDefault="000D733F" w:rsidP="000D733F">
            <w:pPr>
              <w:pStyle w:val="TableTextColumnHeading"/>
              <w:rPr>
                <w:b/>
              </w:rPr>
            </w:pPr>
            <w:r w:rsidRPr="00071B95">
              <w:rPr>
                <w:b/>
              </w:rPr>
              <w:t>Date Evaluation report Uploaded into Aidworks</w:t>
            </w:r>
          </w:p>
        </w:tc>
        <w:tc>
          <w:tcPr>
            <w:tcW w:w="1743" w:type="dxa"/>
          </w:tcPr>
          <w:p w:rsidR="000D733F" w:rsidRPr="00071B95" w:rsidRDefault="000D733F" w:rsidP="000D733F">
            <w:pPr>
              <w:pStyle w:val="TableTextColumnHeading"/>
              <w:rPr>
                <w:b/>
              </w:rPr>
            </w:pPr>
            <w:r w:rsidRPr="00071B95">
              <w:rPr>
                <w:b/>
              </w:rPr>
              <w:t>Date Management response uploaded into Aidworks</w:t>
            </w:r>
          </w:p>
        </w:tc>
        <w:tc>
          <w:tcPr>
            <w:tcW w:w="1503" w:type="dxa"/>
          </w:tcPr>
          <w:p w:rsidR="000D733F" w:rsidRPr="00071B95" w:rsidRDefault="000D733F" w:rsidP="000D733F">
            <w:pPr>
              <w:pStyle w:val="TableTextColumnHeading"/>
              <w:rPr>
                <w:b/>
              </w:rPr>
            </w:pPr>
            <w:r w:rsidRPr="00071B95">
              <w:rPr>
                <w:b/>
              </w:rPr>
              <w:t>Published on website</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Entries"/>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503" w:type="dxa"/>
          </w:tcPr>
          <w:p w:rsidR="000D733F" w:rsidRPr="00071B95" w:rsidRDefault="000D733F" w:rsidP="00850A87">
            <w:pPr>
              <w:pStyle w:val="TableTextEntries"/>
              <w:rPr>
                <w:b w:val="0"/>
              </w:rPr>
            </w:pPr>
          </w:p>
        </w:tc>
      </w:tr>
      <w:tr w:rsidR="00580B6F" w:rsidRPr="00071B95" w:rsidTr="00580B6F">
        <w:trPr>
          <w:cnfStyle w:val="100000000000" w:firstRow="1" w:lastRow="0" w:firstColumn="0" w:lastColumn="0" w:oddVBand="0" w:evenVBand="0" w:oddHBand="0" w:evenHBand="0" w:firstRowFirstColumn="0" w:firstRowLastColumn="0" w:lastRowFirstColumn="0" w:lastRowLastColumn="0"/>
        </w:trPr>
        <w:tc>
          <w:tcPr>
            <w:tcW w:w="13140" w:type="dxa"/>
            <w:gridSpan w:val="7"/>
          </w:tcPr>
          <w:p w:rsidR="00580B6F" w:rsidRPr="00071B95" w:rsidRDefault="00580B6F" w:rsidP="000D733F">
            <w:pPr>
              <w:pStyle w:val="TableTextEntries"/>
            </w:pPr>
            <w:r>
              <w:t>No evaluations were undertaken during 2013-14</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Entries"/>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503" w:type="dxa"/>
          </w:tcPr>
          <w:p w:rsidR="000D733F" w:rsidRPr="00071B95" w:rsidRDefault="000D733F" w:rsidP="000D733F">
            <w:pPr>
              <w:pStyle w:val="TableTextEntries"/>
            </w:pPr>
          </w:p>
        </w:tc>
      </w:tr>
    </w:tbl>
    <w:p w:rsidR="000D733F" w:rsidRPr="00071B95" w:rsidRDefault="000D733F" w:rsidP="000D733F">
      <w:pPr>
        <w:rPr>
          <w:b/>
        </w:rPr>
      </w:pPr>
    </w:p>
    <w:p w:rsidR="000D733F" w:rsidRPr="00071B95" w:rsidRDefault="000D733F" w:rsidP="000D733F">
      <w:pPr>
        <w:pStyle w:val="Caption"/>
      </w:pPr>
      <w:r w:rsidRPr="00071B95">
        <w:t xml:space="preserve">List of evaluations planned in the next 12 months </w:t>
      </w:r>
    </w:p>
    <w:p w:rsidR="000D733F" w:rsidRDefault="000D733F" w:rsidP="000D733F">
      <w:pPr>
        <w:pStyle w:val="TableTextColumnHeading"/>
        <w:sectPr w:rsidR="000D733F" w:rsidSect="00CD061B">
          <w:headerReference w:type="even" r:id="rId18"/>
          <w:footerReference w:type="first" r:id="rId19"/>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rsidTr="000D733F">
        <w:tc>
          <w:tcPr>
            <w:tcW w:w="2601" w:type="dxa"/>
          </w:tcPr>
          <w:p w:rsidR="000D733F" w:rsidRPr="00071B95" w:rsidRDefault="000D733F" w:rsidP="000D733F">
            <w:pPr>
              <w:pStyle w:val="TableTextColumnHeading"/>
            </w:pPr>
            <w:r w:rsidRPr="00071B95">
              <w:lastRenderedPageBreak/>
              <w:t xml:space="preserve">Name of </w:t>
            </w:r>
            <w:r w:rsidR="00501CD2">
              <w:t>Investment</w:t>
            </w:r>
          </w:p>
        </w:tc>
        <w:tc>
          <w:tcPr>
            <w:tcW w:w="2530" w:type="dxa"/>
          </w:tcPr>
          <w:p w:rsidR="000D733F" w:rsidRPr="00071B95" w:rsidRDefault="000D733F" w:rsidP="000D733F">
            <w:pPr>
              <w:pStyle w:val="TableTextColumnHeading"/>
            </w:pPr>
            <w:r w:rsidRPr="00071B95">
              <w:t>Aidworks number</w:t>
            </w:r>
          </w:p>
        </w:tc>
        <w:tc>
          <w:tcPr>
            <w:tcW w:w="2612" w:type="dxa"/>
          </w:tcPr>
          <w:p w:rsidR="000D733F" w:rsidRPr="00071B95" w:rsidRDefault="000D733F" w:rsidP="000D733F">
            <w:pPr>
              <w:pStyle w:val="TableTextColumnHeading"/>
            </w:pPr>
            <w:r w:rsidRPr="00071B95">
              <w:t>Type of evaluation</w:t>
            </w:r>
          </w:p>
        </w:tc>
        <w:tc>
          <w:tcPr>
            <w:tcW w:w="2612" w:type="dxa"/>
          </w:tcPr>
          <w:p w:rsidR="000D733F" w:rsidRPr="00071B95" w:rsidRDefault="000D733F" w:rsidP="000D733F">
            <w:pPr>
              <w:pStyle w:val="TableTextColumnHeading"/>
            </w:pPr>
            <w:r w:rsidRPr="00071B95">
              <w:t>Purpose of evaluation</w:t>
            </w:r>
          </w:p>
        </w:tc>
        <w:tc>
          <w:tcPr>
            <w:tcW w:w="2617" w:type="dxa"/>
          </w:tcPr>
          <w:p w:rsidR="000D733F" w:rsidRPr="00071B95" w:rsidRDefault="000D733F" w:rsidP="000D733F">
            <w:pPr>
              <w:pStyle w:val="TableTextColumnHeading"/>
            </w:pPr>
            <w:r w:rsidRPr="00071B95">
              <w:t>Expected completion date</w:t>
            </w:r>
          </w:p>
        </w:tc>
      </w:tr>
      <w:tr w:rsidR="00810FBA" w:rsidRPr="00071B95" w:rsidTr="00810FBA">
        <w:trPr>
          <w:trHeight w:val="1067"/>
        </w:trPr>
        <w:tc>
          <w:tcPr>
            <w:tcW w:w="2601" w:type="dxa"/>
          </w:tcPr>
          <w:p w:rsidR="00810FBA" w:rsidRPr="00810FBA" w:rsidRDefault="00810FBA" w:rsidP="00DF46FD">
            <w:pPr>
              <w:pStyle w:val="TableTextEntries"/>
            </w:pPr>
            <w:r w:rsidRPr="00810FBA">
              <w:t xml:space="preserve">Australia Awards in Mongolia program </w:t>
            </w:r>
          </w:p>
        </w:tc>
        <w:tc>
          <w:tcPr>
            <w:tcW w:w="2530" w:type="dxa"/>
          </w:tcPr>
          <w:p w:rsidR="00810FBA" w:rsidRPr="00810FBA" w:rsidRDefault="00810FBA" w:rsidP="00DF46FD">
            <w:pPr>
              <w:pStyle w:val="TableTextEntries"/>
            </w:pPr>
            <w:r w:rsidRPr="00810FBA">
              <w:t>INK950</w:t>
            </w:r>
          </w:p>
        </w:tc>
        <w:tc>
          <w:tcPr>
            <w:tcW w:w="2612" w:type="dxa"/>
          </w:tcPr>
          <w:p w:rsidR="00810FBA" w:rsidRPr="00810FBA" w:rsidRDefault="00810FBA" w:rsidP="00DF46FD">
            <w:pPr>
              <w:pStyle w:val="TableTextEntries"/>
            </w:pPr>
            <w:r w:rsidRPr="00810FBA">
              <w:t xml:space="preserve">Independent Progress Review </w:t>
            </w:r>
          </w:p>
        </w:tc>
        <w:tc>
          <w:tcPr>
            <w:tcW w:w="2612" w:type="dxa"/>
          </w:tcPr>
          <w:p w:rsidR="00810FBA" w:rsidRPr="00810FBA" w:rsidRDefault="00810FBA" w:rsidP="005E3C92">
            <w:pPr>
              <w:pStyle w:val="TableTextEntries"/>
            </w:pPr>
            <w:r w:rsidRPr="00810FBA">
              <w:t xml:space="preserve">To collect data to decide whether to support </w:t>
            </w:r>
            <w:r w:rsidR="005E3C92">
              <w:t xml:space="preserve">an </w:t>
            </w:r>
            <w:r w:rsidRPr="00810FBA">
              <w:t>extension of the program for two more years or to conclude the current phase of the program</w:t>
            </w:r>
            <w:r w:rsidR="005E3C92">
              <w:t>.</w:t>
            </w:r>
            <w:r w:rsidRPr="00810FBA">
              <w:t xml:space="preserve"> </w:t>
            </w:r>
          </w:p>
        </w:tc>
        <w:tc>
          <w:tcPr>
            <w:tcW w:w="2617" w:type="dxa"/>
          </w:tcPr>
          <w:p w:rsidR="00810FBA" w:rsidRPr="00810FBA" w:rsidRDefault="00810FBA" w:rsidP="00DF46FD">
            <w:pPr>
              <w:pStyle w:val="TableTextEntries"/>
            </w:pPr>
            <w:r w:rsidRPr="00810FBA">
              <w:t>The program current phase completes as o</w:t>
            </w:r>
            <w:r w:rsidR="005E3C92">
              <w:t>f 30 June 2016. The review is scheduled for</w:t>
            </w:r>
            <w:r w:rsidRPr="00810FBA">
              <w:t xml:space="preserve"> the first quarter of 2015. </w:t>
            </w:r>
          </w:p>
        </w:tc>
      </w:tr>
      <w:tr w:rsidR="000D733F" w:rsidRPr="00071B95" w:rsidTr="000D733F">
        <w:tc>
          <w:tcPr>
            <w:tcW w:w="2601" w:type="dxa"/>
          </w:tcPr>
          <w:p w:rsidR="000D733F" w:rsidRPr="00071B95" w:rsidRDefault="000D733F" w:rsidP="000D733F">
            <w:pPr>
              <w:pStyle w:val="TableTextEntries"/>
            </w:pPr>
          </w:p>
        </w:tc>
        <w:tc>
          <w:tcPr>
            <w:tcW w:w="2530" w:type="dxa"/>
          </w:tcPr>
          <w:p w:rsidR="000D733F" w:rsidRPr="00071B95" w:rsidRDefault="000D733F" w:rsidP="000D733F">
            <w:pPr>
              <w:pStyle w:val="TableTextEntries"/>
            </w:pPr>
          </w:p>
        </w:tc>
        <w:tc>
          <w:tcPr>
            <w:tcW w:w="2612" w:type="dxa"/>
          </w:tcPr>
          <w:p w:rsidR="000D733F" w:rsidRPr="00071B95" w:rsidRDefault="000D733F" w:rsidP="000D733F">
            <w:pPr>
              <w:pStyle w:val="TableTextEntries"/>
            </w:pPr>
          </w:p>
        </w:tc>
        <w:tc>
          <w:tcPr>
            <w:tcW w:w="2612" w:type="dxa"/>
          </w:tcPr>
          <w:p w:rsidR="000D733F" w:rsidRPr="00071B95" w:rsidRDefault="000D733F" w:rsidP="000D733F">
            <w:pPr>
              <w:pStyle w:val="TableTextEntries"/>
            </w:pPr>
          </w:p>
        </w:tc>
        <w:tc>
          <w:tcPr>
            <w:tcW w:w="2617" w:type="dxa"/>
          </w:tcPr>
          <w:p w:rsidR="000D733F" w:rsidRPr="00071B95" w:rsidRDefault="000D733F" w:rsidP="000D733F">
            <w:pPr>
              <w:pStyle w:val="TableTextEntries"/>
            </w:pPr>
          </w:p>
        </w:tc>
      </w:tr>
    </w:tbl>
    <w:p w:rsidR="000D733F" w:rsidRDefault="000D733F" w:rsidP="000D733F">
      <w:pPr>
        <w:rPr>
          <w:b/>
        </w:rPr>
        <w:sectPr w:rsidR="000D733F"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0A1755" w:rsidRDefault="000D733F" w:rsidP="000D733F">
      <w:pPr>
        <w:pStyle w:val="Heading2"/>
        <w:rPr>
          <w:sz w:val="28"/>
        </w:rPr>
      </w:pPr>
      <w:r w:rsidRPr="000A1755">
        <w:rPr>
          <w:sz w:val="28"/>
        </w:rPr>
        <w:lastRenderedPageBreak/>
        <w:t>Annex D</w:t>
      </w:r>
    </w:p>
    <w:p w:rsidR="000D733F" w:rsidRPr="000A1755" w:rsidRDefault="000D733F" w:rsidP="000D733F">
      <w:pPr>
        <w:pStyle w:val="Heading2"/>
        <w:rPr>
          <w:sz w:val="28"/>
        </w:rPr>
      </w:pPr>
      <w:r w:rsidRPr="000A1755">
        <w:rPr>
          <w:sz w:val="28"/>
        </w:rPr>
        <w:t>Performance Benchmarks 2014 -15</w:t>
      </w:r>
    </w:p>
    <w:p w:rsidR="000D733F" w:rsidRDefault="000D733F" w:rsidP="000D733F">
      <w:pPr>
        <w:pStyle w:val="BodyText"/>
      </w:pPr>
    </w:p>
    <w:tbl>
      <w:tblPr>
        <w:tblStyle w:val="DFATTable"/>
        <w:tblW w:w="5000" w:type="pct"/>
        <w:tblLook w:val="04A0" w:firstRow="1" w:lastRow="0" w:firstColumn="1" w:lastColumn="0" w:noHBand="0" w:noVBand="1"/>
      </w:tblPr>
      <w:tblGrid>
        <w:gridCol w:w="2518"/>
        <w:gridCol w:w="4084"/>
        <w:gridCol w:w="7279"/>
      </w:tblGrid>
      <w:tr w:rsidR="000D733F" w:rsidRPr="004F7D80" w:rsidTr="009C461F">
        <w:trPr>
          <w:tblHeader/>
        </w:trPr>
        <w:tc>
          <w:tcPr>
            <w:tcW w:w="907" w:type="pct"/>
            <w:tcMar>
              <w:top w:w="57" w:type="dxa"/>
              <w:bottom w:w="57" w:type="dxa"/>
            </w:tcMar>
          </w:tcPr>
          <w:p w:rsidR="000D733F" w:rsidRPr="002749B6" w:rsidRDefault="00736D2D">
            <w:pPr>
              <w:pStyle w:val="TableHeading1"/>
            </w:pPr>
            <w:r>
              <w:t>Aid</w:t>
            </w:r>
            <w:r w:rsidR="000D733F" w:rsidRPr="002749B6">
              <w:t xml:space="preserve"> objective</w:t>
            </w:r>
          </w:p>
        </w:tc>
        <w:tc>
          <w:tcPr>
            <w:tcW w:w="1471" w:type="pct"/>
          </w:tcPr>
          <w:p w:rsidR="000D733F" w:rsidRPr="002749B6" w:rsidRDefault="000D733F" w:rsidP="000D733F">
            <w:pPr>
              <w:pStyle w:val="TableHeading1"/>
            </w:pPr>
            <w:r w:rsidRPr="002749B6">
              <w:t xml:space="preserve">2014-15 benchmark </w:t>
            </w:r>
          </w:p>
        </w:tc>
        <w:tc>
          <w:tcPr>
            <w:tcW w:w="2622" w:type="pct"/>
          </w:tcPr>
          <w:p w:rsidR="000D733F" w:rsidRPr="002749B6" w:rsidRDefault="000D733F" w:rsidP="000D733F">
            <w:pPr>
              <w:pStyle w:val="TableHeading1"/>
            </w:pPr>
            <w:r w:rsidRPr="002749B6">
              <w:t>Rationale for selecting this performance benchmark</w:t>
            </w:r>
          </w:p>
        </w:tc>
      </w:tr>
      <w:tr w:rsidR="000D733F" w:rsidRPr="004F7D80" w:rsidTr="009C461F">
        <w:tc>
          <w:tcPr>
            <w:tcW w:w="907" w:type="pct"/>
            <w:tcMar>
              <w:top w:w="57" w:type="dxa"/>
              <w:bottom w:w="57" w:type="dxa"/>
            </w:tcMar>
          </w:tcPr>
          <w:p w:rsidR="000D733F" w:rsidRPr="002749B6" w:rsidRDefault="000F3698" w:rsidP="00D206B3">
            <w:pPr>
              <w:pStyle w:val="TableTextEntries"/>
            </w:pPr>
            <w:r>
              <w:t>Through post-graduate scholarships, Mongolia’s Government, civil society and private sector deliver better services.</w:t>
            </w:r>
          </w:p>
        </w:tc>
        <w:tc>
          <w:tcPr>
            <w:tcW w:w="1471" w:type="pct"/>
          </w:tcPr>
          <w:p w:rsidR="000D733F" w:rsidRPr="002749B6" w:rsidRDefault="006D7FBB" w:rsidP="00D83C9D">
            <w:pPr>
              <w:pStyle w:val="TableTextEntries"/>
            </w:pPr>
            <w:r>
              <w:rPr>
                <w:iCs w:val="0"/>
              </w:rPr>
              <w:t>Mobil</w:t>
            </w:r>
            <w:r w:rsidR="000F3698">
              <w:rPr>
                <w:iCs w:val="0"/>
              </w:rPr>
              <w:t>ise 43 scholarships targeted at</w:t>
            </w:r>
            <w:r>
              <w:rPr>
                <w:iCs w:val="0"/>
              </w:rPr>
              <w:t xml:space="preserve"> priority sectors for the Mongolian Government.  </w:t>
            </w:r>
          </w:p>
        </w:tc>
        <w:tc>
          <w:tcPr>
            <w:tcW w:w="2622" w:type="pct"/>
          </w:tcPr>
          <w:p w:rsidR="000D733F" w:rsidRPr="002749B6" w:rsidRDefault="006D7FBB" w:rsidP="005E3C92">
            <w:pPr>
              <w:pStyle w:val="TableTextEntries"/>
            </w:pPr>
            <w:r>
              <w:rPr>
                <w:iCs w:val="0"/>
              </w:rPr>
              <w:t xml:space="preserve">The rapid development of Mongolia’s mining sector has placed significant demands on human resources and skilled employment in the public and private sectors. While basic educational achievement is high, there is a gap between the educational qualifications and skills being delivered in the secondary and tertiary sectors and the human resource needs of the public and private sectors. Private companies, local and foreign, as well as the public sector are finding it difficult to source suitable staff, which highlights the need for ongoing targeted assistance in education and training. </w:t>
            </w:r>
            <w:r w:rsidR="005E3C92">
              <w:rPr>
                <w:iCs w:val="0"/>
              </w:rPr>
              <w:t>M</w:t>
            </w:r>
            <w:r>
              <w:rPr>
                <w:iCs w:val="0"/>
              </w:rPr>
              <w:t xml:space="preserve">any alumni </w:t>
            </w:r>
            <w:r w:rsidR="005E3C92">
              <w:rPr>
                <w:iCs w:val="0"/>
              </w:rPr>
              <w:t xml:space="preserve">from our scholarships program </w:t>
            </w:r>
            <w:r>
              <w:rPr>
                <w:iCs w:val="0"/>
              </w:rPr>
              <w:t>have made important contributions to Mongolia’s development, including through holding senior positions in government, the civil service and private enterprise. This strong reputation in education, combined with the current human resource challenges confronting the public and private sectors in Mongolia, makes education an obvious choice for our ongoing engagement.</w:t>
            </w:r>
          </w:p>
        </w:tc>
      </w:tr>
      <w:tr w:rsidR="007076A6" w:rsidRPr="004F7D80" w:rsidTr="009C461F">
        <w:tc>
          <w:tcPr>
            <w:tcW w:w="907" w:type="pct"/>
            <w:tcMar>
              <w:top w:w="57" w:type="dxa"/>
              <w:bottom w:w="57" w:type="dxa"/>
            </w:tcMar>
          </w:tcPr>
          <w:p w:rsidR="007076A6" w:rsidRPr="002749B6" w:rsidRDefault="000F3698" w:rsidP="00D206B3">
            <w:pPr>
              <w:pStyle w:val="TableTextEntries"/>
            </w:pPr>
            <w:r>
              <w:t>Mongolians are benefitting from a sustainably managed mining sector.</w:t>
            </w:r>
          </w:p>
        </w:tc>
        <w:tc>
          <w:tcPr>
            <w:tcW w:w="1471" w:type="pct"/>
          </w:tcPr>
          <w:p w:rsidR="0011113D" w:rsidRDefault="004A32A5" w:rsidP="000D733F">
            <w:pPr>
              <w:pStyle w:val="TableTextEntries"/>
            </w:pPr>
            <w:r>
              <w:t>Effectively m</w:t>
            </w:r>
            <w:r w:rsidR="0011113D">
              <w:t>obilise the Australia Mongolia Extractives Program</w:t>
            </w:r>
          </w:p>
          <w:p w:rsidR="007076A6" w:rsidRDefault="0011113D" w:rsidP="000D733F">
            <w:pPr>
              <w:pStyle w:val="TableTextEntries"/>
            </w:pPr>
            <w:r>
              <w:t xml:space="preserve">- </w:t>
            </w:r>
            <w:r w:rsidR="004A32A5">
              <w:t>T</w:t>
            </w:r>
            <w:r>
              <w:t>o be staffed and operational in 4</w:t>
            </w:r>
            <w:r w:rsidRPr="0011113D">
              <w:rPr>
                <w:vertAlign w:val="superscript"/>
              </w:rPr>
              <w:t>th</w:t>
            </w:r>
            <w:r>
              <w:t xml:space="preserve"> quarter of 2014</w:t>
            </w:r>
          </w:p>
          <w:p w:rsidR="0011113D" w:rsidRDefault="004A32A5" w:rsidP="000D733F">
            <w:pPr>
              <w:pStyle w:val="TableTextEntries"/>
            </w:pPr>
            <w:r>
              <w:t>- O</w:t>
            </w:r>
            <w:r w:rsidR="0011113D">
              <w:t>ne pilot program underway in an agreed priority area by June 2015</w:t>
            </w:r>
          </w:p>
          <w:p w:rsidR="0011113D" w:rsidRDefault="0011113D" w:rsidP="000D733F">
            <w:pPr>
              <w:pStyle w:val="TableTextEntries"/>
            </w:pPr>
            <w:r>
              <w:t>-Staff from an Australian TAFE college develop curriculum and provide training to students in the Dalanzadgad TVET college by June 2015.</w:t>
            </w:r>
          </w:p>
        </w:tc>
        <w:tc>
          <w:tcPr>
            <w:tcW w:w="2622" w:type="pct"/>
          </w:tcPr>
          <w:p w:rsidR="007076A6" w:rsidRPr="002749B6" w:rsidRDefault="00580B6F">
            <w:pPr>
              <w:pStyle w:val="TableTextEntries"/>
            </w:pPr>
            <w:r>
              <w:t>The Government of Mongolia has identified sustainable development of the mining sector as a key objective, and Australia can share significant expertise and experience in promoting a stable regulatory environment in the mining sector. Further, when benefits from the mining sector are shared with the broader community, through employment and investment in social services, mining contributes to poverty reduction, economic growth and national self-reliance.</w:t>
            </w:r>
            <w:r w:rsidR="0011113D">
              <w:t xml:space="preserve"> AMEP will </w:t>
            </w:r>
            <w:r w:rsidR="00311C99">
              <w:t>build</w:t>
            </w:r>
            <w:r w:rsidR="0011113D">
              <w:t xml:space="preserve"> relationships in</w:t>
            </w:r>
            <w:r w:rsidR="00311C99">
              <w:t xml:space="preserve"> the mining sector, coordinate donor assistance, manage</w:t>
            </w:r>
            <w:r w:rsidR="0011113D">
              <w:t xml:space="preserve"> Australia’s suite of mining related activities in a </w:t>
            </w:r>
            <w:r w:rsidR="00311C99">
              <w:t>comprehensive manner and seek</w:t>
            </w:r>
            <w:r w:rsidR="0011113D">
              <w:t xml:space="preserve"> out new and innovative opportunities for Australian support.</w:t>
            </w:r>
          </w:p>
        </w:tc>
      </w:tr>
      <w:tr w:rsidR="007076A6" w:rsidRPr="004F7D80" w:rsidTr="00BA190C">
        <w:trPr>
          <w:trHeight w:val="895"/>
        </w:trPr>
        <w:tc>
          <w:tcPr>
            <w:tcW w:w="907" w:type="pct"/>
            <w:tcMar>
              <w:top w:w="57" w:type="dxa"/>
              <w:bottom w:w="57" w:type="dxa"/>
            </w:tcMar>
          </w:tcPr>
          <w:p w:rsidR="007076A6" w:rsidRPr="002749B6" w:rsidRDefault="000F3698" w:rsidP="00D206B3">
            <w:pPr>
              <w:pStyle w:val="TableTextEntries"/>
            </w:pPr>
            <w:r>
              <w:t>School communities are accessing improved water and sanitation and have improved hygiene practices.</w:t>
            </w:r>
          </w:p>
        </w:tc>
        <w:tc>
          <w:tcPr>
            <w:tcW w:w="1471" w:type="pct"/>
          </w:tcPr>
          <w:p w:rsidR="007076A6" w:rsidRDefault="00580B6F" w:rsidP="00F66A76">
            <w:pPr>
              <w:pStyle w:val="TableTextEntries"/>
            </w:pPr>
            <w:r w:rsidRPr="00A40C72">
              <w:t xml:space="preserve">Complete </w:t>
            </w:r>
            <w:r w:rsidR="00F66A76">
              <w:t>28</w:t>
            </w:r>
            <w:r w:rsidRPr="00A40C72">
              <w:t xml:space="preserve"> improved water and sanitation facilities</w:t>
            </w:r>
            <w:r w:rsidR="00F66A76">
              <w:t>, benefitting 4180</w:t>
            </w:r>
            <w:r w:rsidR="00A40C72" w:rsidRPr="00A40C72">
              <w:t xml:space="preserve"> people</w:t>
            </w:r>
            <w:r w:rsidR="00A40C72">
              <w:t xml:space="preserve"> (data to be sex disaggregated)</w:t>
            </w:r>
            <w:r>
              <w:t xml:space="preserve">. </w:t>
            </w:r>
            <w:r w:rsidR="00F66A76">
              <w:br/>
              <w:t>Mongolia finalises a national minimum requirement for WASH standards at schools and kindergartens.</w:t>
            </w:r>
            <w:r w:rsidR="00F66A76">
              <w:br/>
            </w:r>
          </w:p>
        </w:tc>
        <w:tc>
          <w:tcPr>
            <w:tcW w:w="2622" w:type="pct"/>
          </w:tcPr>
          <w:p w:rsidR="007076A6" w:rsidRPr="002749B6" w:rsidRDefault="00580B6F" w:rsidP="00580B6F">
            <w:pPr>
              <w:pStyle w:val="TableTextEntries"/>
            </w:pPr>
            <w:r w:rsidRPr="00580B6F">
              <w:t>More than 50 per cent of the rural population has no access to safe water, and nearly 70 per cent has no access to adequate sanitation.  Lack of proper water and sanitation in rural schools and dormitories, where many children spend up to nine months of the year, remains a critical area of concern.</w:t>
            </w:r>
            <w:r>
              <w:t xml:space="preserve"> </w:t>
            </w:r>
          </w:p>
        </w:tc>
      </w:tr>
      <w:bookmarkEnd w:id="2"/>
    </w:tbl>
    <w:p w:rsidR="000D733F" w:rsidRPr="00D95DDC" w:rsidRDefault="000D733F" w:rsidP="00212C1F"/>
    <w:sectPr w:rsidR="000D733F" w:rsidRPr="00D95DDC" w:rsidSect="001C745A">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6C" w:rsidRDefault="00242A6C" w:rsidP="0050529F">
      <w:r>
        <w:separator/>
      </w:r>
    </w:p>
    <w:p w:rsidR="00242A6C" w:rsidRDefault="00242A6C"/>
    <w:p w:rsidR="00242A6C" w:rsidRDefault="00242A6C"/>
    <w:p w:rsidR="00242A6C" w:rsidRDefault="00242A6C"/>
    <w:p w:rsidR="00242A6C" w:rsidRDefault="00242A6C"/>
    <w:p w:rsidR="00242A6C" w:rsidRDefault="00242A6C"/>
    <w:p w:rsidR="00242A6C" w:rsidRDefault="00242A6C"/>
  </w:endnote>
  <w:endnote w:type="continuationSeparator" w:id="0">
    <w:p w:rsidR="00242A6C" w:rsidRDefault="00242A6C" w:rsidP="0050529F">
      <w:r>
        <w:continuationSeparator/>
      </w:r>
    </w:p>
    <w:p w:rsidR="00242A6C" w:rsidRDefault="00242A6C"/>
    <w:p w:rsidR="00242A6C" w:rsidRDefault="00242A6C"/>
    <w:p w:rsidR="00242A6C" w:rsidRDefault="00242A6C"/>
    <w:p w:rsidR="00242A6C" w:rsidRDefault="00242A6C"/>
    <w:p w:rsidR="00242A6C" w:rsidRDefault="00242A6C"/>
    <w:p w:rsidR="00242A6C" w:rsidRDefault="0024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6C" w:rsidRPr="0091071F" w:rsidRDefault="00242A6C" w:rsidP="000D733F">
    <w:pPr>
      <w:pStyle w:val="Footer"/>
    </w:pPr>
    <w:r w:rsidRPr="0091071F">
      <w:fldChar w:fldCharType="begin"/>
    </w:r>
    <w:r w:rsidRPr="0091071F">
      <w:instrText xml:space="preserve"> PAGE </w:instrText>
    </w:r>
    <w:r w:rsidRPr="0091071F">
      <w:fldChar w:fldCharType="separate"/>
    </w:r>
    <w:r>
      <w:rPr>
        <w:noProof/>
      </w:rPr>
      <w:t>15</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6C" w:rsidRPr="0091071F" w:rsidRDefault="00242A6C" w:rsidP="000D733F">
    <w:pPr>
      <w:pStyle w:val="Footer"/>
    </w:pPr>
    <w:r>
      <w:tab/>
    </w:r>
    <w:r>
      <w:tab/>
    </w:r>
    <w:r w:rsidR="00093DFF">
      <w:fldChar w:fldCharType="begin"/>
    </w:r>
    <w:r w:rsidR="00093DFF">
      <w:instrText xml:space="preserve"> STYLEREF Title \* MERGEFORMAT </w:instrText>
    </w:r>
    <w:r w:rsidR="00093DFF">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022EA6">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A6" w:rsidRDefault="00022E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6C" w:rsidRPr="004C4A3E" w:rsidRDefault="00242A6C"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33B6F319" wp14:editId="0C98E1F3">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165EBF">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15</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65AEC437" wp14:editId="7CAA70AE">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31B1C955" wp14:editId="0C85A0F7">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6C" w:rsidRDefault="00242A6C" w:rsidP="0050529F">
      <w:r>
        <w:separator/>
      </w:r>
    </w:p>
    <w:p w:rsidR="00242A6C" w:rsidRDefault="00242A6C"/>
  </w:footnote>
  <w:footnote w:type="continuationSeparator" w:id="0">
    <w:p w:rsidR="00242A6C" w:rsidRDefault="00242A6C" w:rsidP="0050529F">
      <w:r>
        <w:continuationSeparator/>
      </w:r>
    </w:p>
    <w:p w:rsidR="00242A6C" w:rsidRDefault="00242A6C"/>
    <w:p w:rsidR="00242A6C" w:rsidRDefault="00242A6C"/>
    <w:p w:rsidR="00242A6C" w:rsidRDefault="00242A6C"/>
    <w:p w:rsidR="00242A6C" w:rsidRDefault="00242A6C"/>
    <w:p w:rsidR="00242A6C" w:rsidRDefault="00242A6C"/>
    <w:p w:rsidR="00242A6C" w:rsidRDefault="00242A6C"/>
  </w:footnote>
  <w:footnote w:id="1">
    <w:p w:rsidR="00242A6C" w:rsidRDefault="00242A6C">
      <w:pPr>
        <w:pStyle w:val="FootnoteText"/>
      </w:pPr>
      <w:r w:rsidRPr="00242A6C">
        <w:rPr>
          <w:rStyle w:val="FootnoteReference"/>
          <w:rFonts w:ascii="Franklin Gothic Book" w:hAnsi="Franklin Gothic Book"/>
        </w:rPr>
        <w:footnoteRef/>
      </w:r>
      <w:r w:rsidRPr="00242A6C">
        <w:t xml:space="preserve"> </w:t>
      </w:r>
      <w:r>
        <w:t xml:space="preserve">The Bank of Mongolia reported that between January and May 2014 foreign direct investment declined 64 per cent compared to a year before (from USD1.1 billion to USD402.3 million). </w:t>
      </w:r>
    </w:p>
  </w:footnote>
  <w:footnote w:id="2">
    <w:p w:rsidR="00242A6C" w:rsidRDefault="00242A6C">
      <w:pPr>
        <w:pStyle w:val="FootnoteText"/>
      </w:pPr>
      <w:r w:rsidRPr="00242A6C">
        <w:rPr>
          <w:rStyle w:val="FootnoteReference"/>
          <w:rFonts w:ascii="Franklin Gothic Book" w:hAnsi="Franklin Gothic Book"/>
        </w:rPr>
        <w:footnoteRef/>
      </w:r>
      <w:r>
        <w:t xml:space="preserve"> </w:t>
      </w:r>
      <w:r w:rsidRPr="00B84C2C">
        <w:t>http://hdr.undp.org/en/content/human-development-index-hdi-table</w:t>
      </w:r>
    </w:p>
  </w:footnote>
  <w:footnote w:id="3">
    <w:p w:rsidR="00242A6C" w:rsidRDefault="00242A6C">
      <w:pPr>
        <w:pStyle w:val="FootnoteText"/>
      </w:pPr>
      <w:r w:rsidRPr="00242A6C">
        <w:rPr>
          <w:rStyle w:val="FootnoteReference"/>
          <w:rFonts w:ascii="Franklin Gothic Book" w:hAnsi="Franklin Gothic Book"/>
        </w:rPr>
        <w:footnoteRef/>
      </w:r>
      <w:r>
        <w:t xml:space="preserve"> </w:t>
      </w:r>
      <w:r w:rsidRPr="00B036D5">
        <w:t>http://www.mn.undp.org/content/mongolia/en/home/library/National-MDG-reports/TheFirthNationalMDGReport/</w:t>
      </w:r>
    </w:p>
  </w:footnote>
  <w:footnote w:id="4">
    <w:p w:rsidR="00242A6C" w:rsidRDefault="00242A6C">
      <w:pPr>
        <w:pStyle w:val="FootnoteText"/>
      </w:pPr>
      <w:r w:rsidRPr="00242A6C">
        <w:rPr>
          <w:rStyle w:val="FootnoteReference"/>
          <w:rFonts w:ascii="Franklin Gothic Book" w:hAnsi="Franklin Gothic Book"/>
        </w:rPr>
        <w:footnoteRef/>
      </w:r>
      <w:r w:rsidRPr="00242A6C">
        <w:t xml:space="preserve"> </w:t>
      </w:r>
      <w:r>
        <w:t xml:space="preserve">54 out of 187 countries on the gender inequality index: </w:t>
      </w:r>
      <w:r w:rsidRPr="005C5057">
        <w:t>http://hdr.undp.org/en/content/table-4-gender-inequality-index</w:t>
      </w:r>
    </w:p>
  </w:footnote>
  <w:footnote w:id="5">
    <w:p w:rsidR="00242A6C" w:rsidRDefault="00242A6C">
      <w:pPr>
        <w:pStyle w:val="FootnoteText"/>
      </w:pPr>
      <w:r w:rsidRPr="00242A6C">
        <w:rPr>
          <w:rStyle w:val="FootnoteReference"/>
          <w:rFonts w:ascii="Franklin Gothic Book" w:hAnsi="Franklin Gothic Book"/>
        </w:rPr>
        <w:footnoteRef/>
      </w:r>
      <w:r w:rsidRPr="00242A6C">
        <w:t xml:space="preserve"> </w:t>
      </w:r>
      <w:r>
        <w:t>Ibid.</w:t>
      </w:r>
    </w:p>
  </w:footnote>
  <w:footnote w:id="6">
    <w:p w:rsidR="00242A6C" w:rsidRDefault="00242A6C">
      <w:pPr>
        <w:pStyle w:val="FootnoteText"/>
      </w:pPr>
      <w:r w:rsidRPr="00242A6C">
        <w:rPr>
          <w:rStyle w:val="FootnoteReference"/>
          <w:rFonts w:ascii="Franklin Gothic Book" w:hAnsi="Franklin Gothic Book"/>
        </w:rPr>
        <w:footnoteRef/>
      </w:r>
      <w:r>
        <w:t xml:space="preserve"> </w:t>
      </w:r>
      <w:r w:rsidRPr="00D20CDD">
        <w:rPr>
          <w:i/>
        </w:rPr>
        <w:t>Australian aid: promoting prosperity, reducing poverty, enhancing stability</w:t>
      </w:r>
      <w:r>
        <w:rPr>
          <w:i/>
        </w:rPr>
        <w:t xml:space="preserve"> </w:t>
      </w:r>
      <w:r w:rsidRPr="00D20CDD">
        <w:t>http://aid.dfat.gov.au/aidpolicy/Pages/home.aspx</w:t>
      </w:r>
    </w:p>
  </w:footnote>
  <w:footnote w:id="7">
    <w:p w:rsidR="00242A6C" w:rsidRDefault="00242A6C">
      <w:pPr>
        <w:pStyle w:val="FootnoteText"/>
      </w:pPr>
      <w:r w:rsidRPr="00242A6C">
        <w:rPr>
          <w:rStyle w:val="FootnoteReference"/>
          <w:rFonts w:ascii="Franklin Gothic Book" w:hAnsi="Franklin Gothic Book"/>
        </w:rPr>
        <w:footnoteRef/>
      </w:r>
      <w:r>
        <w:t xml:space="preserve"> 2011-12 average of gross ODA. http://www.oecd.org/dac/stats/documentupload/MNG.JPG</w:t>
      </w:r>
    </w:p>
  </w:footnote>
  <w:footnote w:id="8">
    <w:p w:rsidR="00242A6C" w:rsidRDefault="00242A6C">
      <w:pPr>
        <w:pStyle w:val="FootnoteText"/>
      </w:pPr>
      <w:r w:rsidRPr="00AB7080">
        <w:rPr>
          <w:rStyle w:val="FootnoteReference"/>
          <w:rFonts w:ascii="Franklin Gothic Book" w:hAnsi="Franklin Gothic Book"/>
        </w:rPr>
        <w:footnoteRef/>
      </w:r>
      <w:r w:rsidRPr="00AB7080">
        <w:t xml:space="preserve"> </w:t>
      </w:r>
      <w:r>
        <w:t>At the Program Coordination Committee and Annual Strategic Review meetings in November 2013.</w:t>
      </w:r>
    </w:p>
  </w:footnote>
  <w:footnote w:id="9">
    <w:p w:rsidR="00242A6C" w:rsidRDefault="00242A6C">
      <w:pPr>
        <w:pStyle w:val="FootnoteText"/>
      </w:pPr>
      <w:r w:rsidRPr="00AB7080">
        <w:rPr>
          <w:rStyle w:val="FootnoteReference"/>
          <w:rFonts w:ascii="Franklin Gothic Book" w:hAnsi="Franklin Gothic Book"/>
        </w:rPr>
        <w:footnoteRef/>
      </w:r>
      <w:r>
        <w:t xml:space="preserve"> The large increase in applications is in the context of the opening up of eligibility and lay-offs of mining sector employees.</w:t>
      </w:r>
    </w:p>
  </w:footnote>
  <w:footnote w:id="10">
    <w:p w:rsidR="00242A6C" w:rsidRDefault="00242A6C">
      <w:pPr>
        <w:pStyle w:val="FootnoteText"/>
      </w:pPr>
      <w:r w:rsidRPr="00AB7080">
        <w:rPr>
          <w:rStyle w:val="FootnoteReference"/>
          <w:rFonts w:ascii="Franklin Gothic Book" w:hAnsi="Franklin Gothic Book"/>
        </w:rPr>
        <w:footnoteRef/>
      </w:r>
      <w:r w:rsidRPr="00AB7080">
        <w:t xml:space="preserve"> </w:t>
      </w:r>
      <w:r>
        <w:t>AAM Women’s Leadership Program Design Document, p3.</w:t>
      </w:r>
    </w:p>
  </w:footnote>
  <w:footnote w:id="11">
    <w:p w:rsidR="00242A6C" w:rsidRDefault="00242A6C">
      <w:pPr>
        <w:pStyle w:val="FootnoteText"/>
      </w:pPr>
      <w:r w:rsidRPr="00AB7080">
        <w:rPr>
          <w:rStyle w:val="FootnoteReference"/>
          <w:rFonts w:ascii="Franklin Gothic Book" w:hAnsi="Franklin Gothic Book"/>
        </w:rPr>
        <w:footnoteRef/>
      </w:r>
      <w:r>
        <w:t xml:space="preserve"> Australia contributes $5m to this component— approximately two-thirds of the total component value (USD7.43m).</w:t>
      </w:r>
    </w:p>
  </w:footnote>
  <w:footnote w:id="12">
    <w:p w:rsidR="00242A6C" w:rsidRDefault="00242A6C">
      <w:pPr>
        <w:pStyle w:val="FootnoteText"/>
      </w:pPr>
      <w:r w:rsidRPr="00AB7080">
        <w:rPr>
          <w:rStyle w:val="FootnoteReference"/>
          <w:rFonts w:ascii="Franklin Gothic Book" w:hAnsi="Franklin Gothic Book"/>
        </w:rPr>
        <w:footnoteRef/>
      </w:r>
      <w:r>
        <w:t xml:space="preserve"> </w:t>
      </w:r>
      <w:r w:rsidRPr="00570432">
        <w:t>Comment made to the Australian volunteer by 13 year old school girl from Tarialan School in northern Mongolia.</w:t>
      </w:r>
    </w:p>
  </w:footnote>
  <w:footnote w:id="13">
    <w:p w:rsidR="00242A6C" w:rsidRDefault="00242A6C">
      <w:pPr>
        <w:pStyle w:val="FootnoteText"/>
      </w:pPr>
      <w:r w:rsidRPr="00AB7080">
        <w:rPr>
          <w:rStyle w:val="FootnoteReference"/>
          <w:rFonts w:ascii="Franklin Gothic Book" w:hAnsi="Franklin Gothic Book"/>
        </w:rPr>
        <w:footnoteRef/>
      </w:r>
      <w:r w:rsidRPr="00AB7080">
        <w:t xml:space="preserve"> </w:t>
      </w:r>
      <w:r>
        <w:t>Formal reporting of v</w:t>
      </w:r>
      <w:r w:rsidRPr="00CD75E6">
        <w:t>olunteer program outc</w:t>
      </w:r>
      <w:r>
        <w:t>omes achieved during 2013–14 was</w:t>
      </w:r>
      <w:r w:rsidRPr="00CD75E6">
        <w:t xml:space="preserve"> not available at </w:t>
      </w:r>
      <w:r>
        <w:t xml:space="preserve">the </w:t>
      </w:r>
      <w:r w:rsidRPr="00CD75E6">
        <w:t>time of writing.</w:t>
      </w:r>
    </w:p>
  </w:footnote>
  <w:footnote w:id="14">
    <w:p w:rsidR="00242A6C" w:rsidRDefault="00242A6C">
      <w:pPr>
        <w:pStyle w:val="FootnoteText"/>
      </w:pPr>
      <w:r w:rsidRPr="00AB7080">
        <w:rPr>
          <w:rStyle w:val="FootnoteReference"/>
          <w:rFonts w:ascii="Franklin Gothic Book" w:hAnsi="Franklin Gothic Book"/>
        </w:rPr>
        <w:footnoteRef/>
      </w:r>
      <w:r w:rsidR="00AB7080">
        <w:t xml:space="preserve"> AMEP i</w:t>
      </w:r>
      <w:r>
        <w:t xml:space="preserve">mplementation </w:t>
      </w:r>
      <w:r w:rsidR="00AB7080">
        <w:t xml:space="preserve">will be informed by the findings </w:t>
      </w:r>
      <w:r>
        <w:t xml:space="preserve"> of the</w:t>
      </w:r>
      <w:r w:rsidRPr="00626A8C">
        <w:t xml:space="preserve"> DFAT-funded Australian Development Research Award (2013-15)</w:t>
      </w:r>
      <w:r w:rsidR="00AB7080">
        <w:t xml:space="preserve"> </w:t>
      </w:r>
      <w:r w:rsidRPr="00626A8C">
        <w:t>“Supporting Women During Mongolia’s Mining Boom</w:t>
      </w:r>
      <w:r w:rsidR="00AB7080">
        <w:t>”</w:t>
      </w:r>
      <w:r>
        <w:t xml:space="preserve">:  </w:t>
      </w:r>
      <w:r w:rsidRPr="003D3F8B">
        <w:t>https://www.csrm.uq.edu.au/research/a-gender-sensitive-approach-to-mongolia-s-mineral-development-path-applying-socio-ecological-metrics-to-evaluate-and-track-livelihood-transitions-in-a-nomadic-society</w:t>
      </w:r>
    </w:p>
  </w:footnote>
  <w:footnote w:id="15">
    <w:p w:rsidR="00242A6C" w:rsidRDefault="00242A6C">
      <w:pPr>
        <w:pStyle w:val="FootnoteText"/>
      </w:pPr>
      <w:r w:rsidRPr="00AB7080">
        <w:rPr>
          <w:rStyle w:val="FootnoteReference"/>
          <w:rFonts w:ascii="Franklin Gothic Book" w:hAnsi="Franklin Gothic Book"/>
        </w:rPr>
        <w:footnoteRef/>
      </w:r>
      <w:r>
        <w:t xml:space="preserve"> AMEP Investment Design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A6" w:rsidRDefault="00022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A6" w:rsidRDefault="00022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A6" w:rsidRDefault="00022E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6C" w:rsidRPr="00BA190C" w:rsidRDefault="00242A6C" w:rsidP="00BA19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6C" w:rsidRDefault="00242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5AF64EA"/>
    <w:multiLevelType w:val="hybridMultilevel"/>
    <w:tmpl w:val="841CA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nsid w:val="37A0338E"/>
    <w:multiLevelType w:val="hybridMultilevel"/>
    <w:tmpl w:val="519430BC"/>
    <w:lvl w:ilvl="0" w:tplc="3AF89E02">
      <w:start w:val="12"/>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ED62A29"/>
    <w:multiLevelType w:val="hybridMultilevel"/>
    <w:tmpl w:val="6658B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4"/>
  </w:num>
  <w:num w:numId="4">
    <w:abstractNumId w:val="15"/>
  </w:num>
  <w:num w:numId="5">
    <w:abstractNumId w:val="13"/>
  </w:num>
  <w:num w:numId="6">
    <w:abstractNumId w:val="12"/>
  </w:num>
  <w:num w:numId="7">
    <w:abstractNumId w:val="19"/>
  </w:num>
  <w:num w:numId="8">
    <w:abstractNumId w:val="3"/>
  </w:num>
  <w:num w:numId="9">
    <w:abstractNumId w:val="6"/>
  </w:num>
  <w:num w:numId="10">
    <w:abstractNumId w:val="20"/>
  </w:num>
  <w:num w:numId="11">
    <w:abstractNumId w:val="21"/>
  </w:num>
  <w:num w:numId="12">
    <w:abstractNumId w:val="0"/>
  </w:num>
  <w:num w:numId="13">
    <w:abstractNumId w:val="2"/>
  </w:num>
  <w:num w:numId="14">
    <w:abstractNumId w:val="18"/>
  </w:num>
  <w:num w:numId="15">
    <w:abstractNumId w:val="1"/>
  </w:num>
  <w:num w:numId="16">
    <w:abstractNumId w:val="10"/>
  </w:num>
  <w:num w:numId="17">
    <w:abstractNumId w:val="7"/>
  </w:num>
  <w:num w:numId="18">
    <w:abstractNumId w:val="5"/>
  </w:num>
  <w:num w:numId="19">
    <w:abstractNumId w:val="11"/>
  </w:num>
  <w:num w:numId="20">
    <w:abstractNumId w:val="14"/>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2C1"/>
    <w:rsid w:val="00001E9E"/>
    <w:rsid w:val="00002161"/>
    <w:rsid w:val="0000242A"/>
    <w:rsid w:val="00002A92"/>
    <w:rsid w:val="00002E28"/>
    <w:rsid w:val="000039CF"/>
    <w:rsid w:val="00004E18"/>
    <w:rsid w:val="00007E94"/>
    <w:rsid w:val="00011B3B"/>
    <w:rsid w:val="000142A2"/>
    <w:rsid w:val="000143D9"/>
    <w:rsid w:val="00020121"/>
    <w:rsid w:val="00021A9E"/>
    <w:rsid w:val="00022EA6"/>
    <w:rsid w:val="00024C12"/>
    <w:rsid w:val="00027629"/>
    <w:rsid w:val="00030111"/>
    <w:rsid w:val="00031100"/>
    <w:rsid w:val="00031EB5"/>
    <w:rsid w:val="0003231A"/>
    <w:rsid w:val="00040AF6"/>
    <w:rsid w:val="000426DF"/>
    <w:rsid w:val="000517AE"/>
    <w:rsid w:val="000529AD"/>
    <w:rsid w:val="0005506B"/>
    <w:rsid w:val="000550B0"/>
    <w:rsid w:val="00055E78"/>
    <w:rsid w:val="00057589"/>
    <w:rsid w:val="00057D09"/>
    <w:rsid w:val="0007008E"/>
    <w:rsid w:val="00071B95"/>
    <w:rsid w:val="0007395B"/>
    <w:rsid w:val="000745E2"/>
    <w:rsid w:val="0007703B"/>
    <w:rsid w:val="000774FD"/>
    <w:rsid w:val="000818C0"/>
    <w:rsid w:val="00081F4E"/>
    <w:rsid w:val="000853A0"/>
    <w:rsid w:val="000905A8"/>
    <w:rsid w:val="00091878"/>
    <w:rsid w:val="00093989"/>
    <w:rsid w:val="00093AB0"/>
    <w:rsid w:val="00093DFF"/>
    <w:rsid w:val="000957FC"/>
    <w:rsid w:val="00095CF5"/>
    <w:rsid w:val="000979A0"/>
    <w:rsid w:val="00097B02"/>
    <w:rsid w:val="000A1618"/>
    <w:rsid w:val="000A1755"/>
    <w:rsid w:val="000A4247"/>
    <w:rsid w:val="000B0DDD"/>
    <w:rsid w:val="000B3121"/>
    <w:rsid w:val="000B4022"/>
    <w:rsid w:val="000B5A68"/>
    <w:rsid w:val="000B68F6"/>
    <w:rsid w:val="000B6BE5"/>
    <w:rsid w:val="000B6FEA"/>
    <w:rsid w:val="000B75E8"/>
    <w:rsid w:val="000C258A"/>
    <w:rsid w:val="000C29BF"/>
    <w:rsid w:val="000C4A7A"/>
    <w:rsid w:val="000C6080"/>
    <w:rsid w:val="000C60A8"/>
    <w:rsid w:val="000D151B"/>
    <w:rsid w:val="000D1993"/>
    <w:rsid w:val="000D733F"/>
    <w:rsid w:val="000D7952"/>
    <w:rsid w:val="000E4573"/>
    <w:rsid w:val="000E7297"/>
    <w:rsid w:val="000E7A8D"/>
    <w:rsid w:val="000F02E7"/>
    <w:rsid w:val="000F2D94"/>
    <w:rsid w:val="000F3698"/>
    <w:rsid w:val="00100485"/>
    <w:rsid w:val="00100AA2"/>
    <w:rsid w:val="00106185"/>
    <w:rsid w:val="00106BDC"/>
    <w:rsid w:val="0010729C"/>
    <w:rsid w:val="0011113D"/>
    <w:rsid w:val="00112E97"/>
    <w:rsid w:val="001139DE"/>
    <w:rsid w:val="00114751"/>
    <w:rsid w:val="001154CA"/>
    <w:rsid w:val="001171DE"/>
    <w:rsid w:val="00120696"/>
    <w:rsid w:val="00120FC7"/>
    <w:rsid w:val="00122038"/>
    <w:rsid w:val="001227C3"/>
    <w:rsid w:val="0012429A"/>
    <w:rsid w:val="0012431E"/>
    <w:rsid w:val="001258C6"/>
    <w:rsid w:val="0012793C"/>
    <w:rsid w:val="00131FF0"/>
    <w:rsid w:val="00132003"/>
    <w:rsid w:val="00133AAD"/>
    <w:rsid w:val="00135806"/>
    <w:rsid w:val="001366B4"/>
    <w:rsid w:val="001375E3"/>
    <w:rsid w:val="00141A30"/>
    <w:rsid w:val="00143053"/>
    <w:rsid w:val="0014411B"/>
    <w:rsid w:val="001448E7"/>
    <w:rsid w:val="00146344"/>
    <w:rsid w:val="00147846"/>
    <w:rsid w:val="0015043E"/>
    <w:rsid w:val="00152DFD"/>
    <w:rsid w:val="00154C73"/>
    <w:rsid w:val="00154EF9"/>
    <w:rsid w:val="00157858"/>
    <w:rsid w:val="00160975"/>
    <w:rsid w:val="001612CE"/>
    <w:rsid w:val="001624FB"/>
    <w:rsid w:val="0016544D"/>
    <w:rsid w:val="001657F1"/>
    <w:rsid w:val="00165EBF"/>
    <w:rsid w:val="00166016"/>
    <w:rsid w:val="00167331"/>
    <w:rsid w:val="0016740F"/>
    <w:rsid w:val="00171BB2"/>
    <w:rsid w:val="00173C6E"/>
    <w:rsid w:val="00175E4C"/>
    <w:rsid w:val="001772BE"/>
    <w:rsid w:val="00180B19"/>
    <w:rsid w:val="0018196F"/>
    <w:rsid w:val="001829BB"/>
    <w:rsid w:val="0018305E"/>
    <w:rsid w:val="0018353A"/>
    <w:rsid w:val="00192498"/>
    <w:rsid w:val="001943B6"/>
    <w:rsid w:val="00194806"/>
    <w:rsid w:val="001A374B"/>
    <w:rsid w:val="001B1A0C"/>
    <w:rsid w:val="001B2948"/>
    <w:rsid w:val="001B41CD"/>
    <w:rsid w:val="001B714C"/>
    <w:rsid w:val="001C1EA0"/>
    <w:rsid w:val="001C31B9"/>
    <w:rsid w:val="001C507E"/>
    <w:rsid w:val="001C5B06"/>
    <w:rsid w:val="001C700E"/>
    <w:rsid w:val="001C7117"/>
    <w:rsid w:val="001C745A"/>
    <w:rsid w:val="001C7564"/>
    <w:rsid w:val="001C7DDD"/>
    <w:rsid w:val="001C7F08"/>
    <w:rsid w:val="001D20FC"/>
    <w:rsid w:val="001D210A"/>
    <w:rsid w:val="001D6059"/>
    <w:rsid w:val="001D7E98"/>
    <w:rsid w:val="001E4BDE"/>
    <w:rsid w:val="001E6635"/>
    <w:rsid w:val="001F12A2"/>
    <w:rsid w:val="001F5CB1"/>
    <w:rsid w:val="001F61A8"/>
    <w:rsid w:val="001F7480"/>
    <w:rsid w:val="00201174"/>
    <w:rsid w:val="00202880"/>
    <w:rsid w:val="00202E4E"/>
    <w:rsid w:val="00203BCC"/>
    <w:rsid w:val="00205E0B"/>
    <w:rsid w:val="00205F2B"/>
    <w:rsid w:val="002115BD"/>
    <w:rsid w:val="002126BA"/>
    <w:rsid w:val="00212B27"/>
    <w:rsid w:val="00212C1F"/>
    <w:rsid w:val="0021515C"/>
    <w:rsid w:val="002227A9"/>
    <w:rsid w:val="00226DEE"/>
    <w:rsid w:val="00227B38"/>
    <w:rsid w:val="00231D45"/>
    <w:rsid w:val="002335A9"/>
    <w:rsid w:val="002343CF"/>
    <w:rsid w:val="00235D29"/>
    <w:rsid w:val="002363D9"/>
    <w:rsid w:val="00236B8C"/>
    <w:rsid w:val="00237C4B"/>
    <w:rsid w:val="00240D59"/>
    <w:rsid w:val="00242A6C"/>
    <w:rsid w:val="002441D5"/>
    <w:rsid w:val="00246E5F"/>
    <w:rsid w:val="00261E78"/>
    <w:rsid w:val="00263F5F"/>
    <w:rsid w:val="00267BBD"/>
    <w:rsid w:val="00270898"/>
    <w:rsid w:val="00272AF0"/>
    <w:rsid w:val="00273C6F"/>
    <w:rsid w:val="00275C42"/>
    <w:rsid w:val="002849B4"/>
    <w:rsid w:val="002911A4"/>
    <w:rsid w:val="00291F1C"/>
    <w:rsid w:val="00297FA7"/>
    <w:rsid w:val="002A15F4"/>
    <w:rsid w:val="002A1935"/>
    <w:rsid w:val="002A1A79"/>
    <w:rsid w:val="002A21D1"/>
    <w:rsid w:val="002A22F7"/>
    <w:rsid w:val="002A3152"/>
    <w:rsid w:val="002A4D70"/>
    <w:rsid w:val="002B1CB1"/>
    <w:rsid w:val="002B1F66"/>
    <w:rsid w:val="002B31B3"/>
    <w:rsid w:val="002B433A"/>
    <w:rsid w:val="002B61A8"/>
    <w:rsid w:val="002B6EBE"/>
    <w:rsid w:val="002B79D4"/>
    <w:rsid w:val="002C1E00"/>
    <w:rsid w:val="002C639B"/>
    <w:rsid w:val="002D1328"/>
    <w:rsid w:val="002D2714"/>
    <w:rsid w:val="002D5D7B"/>
    <w:rsid w:val="002D6914"/>
    <w:rsid w:val="002D6B1E"/>
    <w:rsid w:val="002D6DF0"/>
    <w:rsid w:val="002D70CD"/>
    <w:rsid w:val="002D7FFA"/>
    <w:rsid w:val="002E1F55"/>
    <w:rsid w:val="002E55EA"/>
    <w:rsid w:val="002E5604"/>
    <w:rsid w:val="002F479A"/>
    <w:rsid w:val="002F54F3"/>
    <w:rsid w:val="002F5A14"/>
    <w:rsid w:val="00303038"/>
    <w:rsid w:val="0030318A"/>
    <w:rsid w:val="00305944"/>
    <w:rsid w:val="00306734"/>
    <w:rsid w:val="00310426"/>
    <w:rsid w:val="00310974"/>
    <w:rsid w:val="00311C99"/>
    <w:rsid w:val="00315135"/>
    <w:rsid w:val="00315D13"/>
    <w:rsid w:val="003167E5"/>
    <w:rsid w:val="00320FCE"/>
    <w:rsid w:val="003223F8"/>
    <w:rsid w:val="0032292A"/>
    <w:rsid w:val="00322D92"/>
    <w:rsid w:val="0032486D"/>
    <w:rsid w:val="003260C0"/>
    <w:rsid w:val="003266E1"/>
    <w:rsid w:val="00326AB2"/>
    <w:rsid w:val="00326B5A"/>
    <w:rsid w:val="003275D0"/>
    <w:rsid w:val="003279FD"/>
    <w:rsid w:val="003305E3"/>
    <w:rsid w:val="00330CD0"/>
    <w:rsid w:val="00331848"/>
    <w:rsid w:val="003319BD"/>
    <w:rsid w:val="0033233E"/>
    <w:rsid w:val="003326BE"/>
    <w:rsid w:val="003327F8"/>
    <w:rsid w:val="00335F19"/>
    <w:rsid w:val="003363C7"/>
    <w:rsid w:val="0033706C"/>
    <w:rsid w:val="00341177"/>
    <w:rsid w:val="00341311"/>
    <w:rsid w:val="00342BF7"/>
    <w:rsid w:val="00343B25"/>
    <w:rsid w:val="00345B8E"/>
    <w:rsid w:val="00351ACA"/>
    <w:rsid w:val="00352AE5"/>
    <w:rsid w:val="00357648"/>
    <w:rsid w:val="00357AF7"/>
    <w:rsid w:val="00360662"/>
    <w:rsid w:val="00367E52"/>
    <w:rsid w:val="003703A4"/>
    <w:rsid w:val="00371F53"/>
    <w:rsid w:val="00372E1B"/>
    <w:rsid w:val="003743C8"/>
    <w:rsid w:val="00383294"/>
    <w:rsid w:val="00383F3F"/>
    <w:rsid w:val="00384342"/>
    <w:rsid w:val="003849ED"/>
    <w:rsid w:val="00385A4C"/>
    <w:rsid w:val="00392981"/>
    <w:rsid w:val="00395CFA"/>
    <w:rsid w:val="003A27D2"/>
    <w:rsid w:val="003A2D7B"/>
    <w:rsid w:val="003A344F"/>
    <w:rsid w:val="003A74BF"/>
    <w:rsid w:val="003B122C"/>
    <w:rsid w:val="003B2756"/>
    <w:rsid w:val="003B5F7E"/>
    <w:rsid w:val="003C2263"/>
    <w:rsid w:val="003C288C"/>
    <w:rsid w:val="003C31EE"/>
    <w:rsid w:val="003C7721"/>
    <w:rsid w:val="003D081D"/>
    <w:rsid w:val="003D2E2F"/>
    <w:rsid w:val="003D3F8B"/>
    <w:rsid w:val="003D44F4"/>
    <w:rsid w:val="003E0E66"/>
    <w:rsid w:val="003E4982"/>
    <w:rsid w:val="003E63B3"/>
    <w:rsid w:val="003E7AA9"/>
    <w:rsid w:val="003F190A"/>
    <w:rsid w:val="00403152"/>
    <w:rsid w:val="00403AAA"/>
    <w:rsid w:val="00406000"/>
    <w:rsid w:val="00412707"/>
    <w:rsid w:val="00413539"/>
    <w:rsid w:val="0041396D"/>
    <w:rsid w:val="00415A92"/>
    <w:rsid w:val="0041730D"/>
    <w:rsid w:val="004176A5"/>
    <w:rsid w:val="00420E02"/>
    <w:rsid w:val="004228CD"/>
    <w:rsid w:val="0042349B"/>
    <w:rsid w:val="0042527A"/>
    <w:rsid w:val="00426354"/>
    <w:rsid w:val="00430159"/>
    <w:rsid w:val="004309E9"/>
    <w:rsid w:val="004334CC"/>
    <w:rsid w:val="00437C95"/>
    <w:rsid w:val="00441E77"/>
    <w:rsid w:val="00443639"/>
    <w:rsid w:val="004450BD"/>
    <w:rsid w:val="004453CE"/>
    <w:rsid w:val="00445A3B"/>
    <w:rsid w:val="00445C4E"/>
    <w:rsid w:val="00446742"/>
    <w:rsid w:val="004508B3"/>
    <w:rsid w:val="0045475F"/>
    <w:rsid w:val="00462000"/>
    <w:rsid w:val="00462E85"/>
    <w:rsid w:val="00466C98"/>
    <w:rsid w:val="00467C3F"/>
    <w:rsid w:val="00467CE4"/>
    <w:rsid w:val="0047358A"/>
    <w:rsid w:val="0047710F"/>
    <w:rsid w:val="0048082C"/>
    <w:rsid w:val="0048141D"/>
    <w:rsid w:val="00481777"/>
    <w:rsid w:val="00490BDE"/>
    <w:rsid w:val="00494504"/>
    <w:rsid w:val="004957EC"/>
    <w:rsid w:val="00496F8D"/>
    <w:rsid w:val="004A2EC3"/>
    <w:rsid w:val="004A32A5"/>
    <w:rsid w:val="004A568F"/>
    <w:rsid w:val="004A7400"/>
    <w:rsid w:val="004B201A"/>
    <w:rsid w:val="004B41B9"/>
    <w:rsid w:val="004B4A44"/>
    <w:rsid w:val="004B64F3"/>
    <w:rsid w:val="004C33EA"/>
    <w:rsid w:val="004C36CF"/>
    <w:rsid w:val="004C4A3E"/>
    <w:rsid w:val="004C4F84"/>
    <w:rsid w:val="004C59EA"/>
    <w:rsid w:val="004C65C6"/>
    <w:rsid w:val="004C660D"/>
    <w:rsid w:val="004C6FC1"/>
    <w:rsid w:val="004C7E92"/>
    <w:rsid w:val="004D0699"/>
    <w:rsid w:val="004D1529"/>
    <w:rsid w:val="004D19CE"/>
    <w:rsid w:val="004D23F6"/>
    <w:rsid w:val="004D2ED0"/>
    <w:rsid w:val="004D4522"/>
    <w:rsid w:val="004D70F2"/>
    <w:rsid w:val="004E01E9"/>
    <w:rsid w:val="004E3E40"/>
    <w:rsid w:val="004E570D"/>
    <w:rsid w:val="004E6400"/>
    <w:rsid w:val="004E642E"/>
    <w:rsid w:val="004E6924"/>
    <w:rsid w:val="004E6A61"/>
    <w:rsid w:val="004E6E33"/>
    <w:rsid w:val="004E702A"/>
    <w:rsid w:val="004F0C2D"/>
    <w:rsid w:val="004F3D7E"/>
    <w:rsid w:val="004F4630"/>
    <w:rsid w:val="004F50EE"/>
    <w:rsid w:val="004F521E"/>
    <w:rsid w:val="004F6FEE"/>
    <w:rsid w:val="00500EB4"/>
    <w:rsid w:val="00501024"/>
    <w:rsid w:val="00501CD2"/>
    <w:rsid w:val="005028E7"/>
    <w:rsid w:val="00503974"/>
    <w:rsid w:val="0050439B"/>
    <w:rsid w:val="0050529F"/>
    <w:rsid w:val="00506A51"/>
    <w:rsid w:val="005110C3"/>
    <w:rsid w:val="00514B5E"/>
    <w:rsid w:val="005157C1"/>
    <w:rsid w:val="00515954"/>
    <w:rsid w:val="00515E3D"/>
    <w:rsid w:val="005208AC"/>
    <w:rsid w:val="0052286C"/>
    <w:rsid w:val="00522AB9"/>
    <w:rsid w:val="005265B9"/>
    <w:rsid w:val="005307E8"/>
    <w:rsid w:val="0053175E"/>
    <w:rsid w:val="00533533"/>
    <w:rsid w:val="00533CB4"/>
    <w:rsid w:val="005348DF"/>
    <w:rsid w:val="00534CCB"/>
    <w:rsid w:val="00535C99"/>
    <w:rsid w:val="00535E24"/>
    <w:rsid w:val="00537E02"/>
    <w:rsid w:val="00542718"/>
    <w:rsid w:val="00543224"/>
    <w:rsid w:val="005440F6"/>
    <w:rsid w:val="00544CCD"/>
    <w:rsid w:val="0054557A"/>
    <w:rsid w:val="005468EE"/>
    <w:rsid w:val="00546DD6"/>
    <w:rsid w:val="0055172C"/>
    <w:rsid w:val="0055771D"/>
    <w:rsid w:val="00565055"/>
    <w:rsid w:val="00565635"/>
    <w:rsid w:val="00566396"/>
    <w:rsid w:val="00567FCF"/>
    <w:rsid w:val="00570432"/>
    <w:rsid w:val="00570765"/>
    <w:rsid w:val="005713EE"/>
    <w:rsid w:val="00571521"/>
    <w:rsid w:val="005732BD"/>
    <w:rsid w:val="005733F9"/>
    <w:rsid w:val="00573E59"/>
    <w:rsid w:val="00575295"/>
    <w:rsid w:val="005753CA"/>
    <w:rsid w:val="00580B6F"/>
    <w:rsid w:val="00581C01"/>
    <w:rsid w:val="0058242D"/>
    <w:rsid w:val="005845CB"/>
    <w:rsid w:val="0058498A"/>
    <w:rsid w:val="00586350"/>
    <w:rsid w:val="0059461A"/>
    <w:rsid w:val="00597520"/>
    <w:rsid w:val="005A18C5"/>
    <w:rsid w:val="005A3ED5"/>
    <w:rsid w:val="005A511C"/>
    <w:rsid w:val="005A7CF6"/>
    <w:rsid w:val="005B42EE"/>
    <w:rsid w:val="005B4F7A"/>
    <w:rsid w:val="005B537E"/>
    <w:rsid w:val="005B7C71"/>
    <w:rsid w:val="005C4A6B"/>
    <w:rsid w:val="005C5057"/>
    <w:rsid w:val="005C661F"/>
    <w:rsid w:val="005D2A59"/>
    <w:rsid w:val="005E3C92"/>
    <w:rsid w:val="005F0C00"/>
    <w:rsid w:val="005F15ED"/>
    <w:rsid w:val="005F33F2"/>
    <w:rsid w:val="005F460C"/>
    <w:rsid w:val="005F51F6"/>
    <w:rsid w:val="005F5CD9"/>
    <w:rsid w:val="005F7425"/>
    <w:rsid w:val="005F74D0"/>
    <w:rsid w:val="00600404"/>
    <w:rsid w:val="0060117A"/>
    <w:rsid w:val="00610400"/>
    <w:rsid w:val="00611A9F"/>
    <w:rsid w:val="00612E14"/>
    <w:rsid w:val="0061511E"/>
    <w:rsid w:val="006155DF"/>
    <w:rsid w:val="00617F30"/>
    <w:rsid w:val="006231CF"/>
    <w:rsid w:val="0062598A"/>
    <w:rsid w:val="00625A52"/>
    <w:rsid w:val="0062686B"/>
    <w:rsid w:val="00626A8C"/>
    <w:rsid w:val="00627EF7"/>
    <w:rsid w:val="00633A74"/>
    <w:rsid w:val="00637549"/>
    <w:rsid w:val="00642A6F"/>
    <w:rsid w:val="00642E50"/>
    <w:rsid w:val="00646049"/>
    <w:rsid w:val="00647FBA"/>
    <w:rsid w:val="0065268F"/>
    <w:rsid w:val="0065391A"/>
    <w:rsid w:val="0065679C"/>
    <w:rsid w:val="00657108"/>
    <w:rsid w:val="00661AF4"/>
    <w:rsid w:val="00663306"/>
    <w:rsid w:val="00663909"/>
    <w:rsid w:val="00663E95"/>
    <w:rsid w:val="006659FF"/>
    <w:rsid w:val="006671BC"/>
    <w:rsid w:val="0067299B"/>
    <w:rsid w:val="00673287"/>
    <w:rsid w:val="00680679"/>
    <w:rsid w:val="0068146D"/>
    <w:rsid w:val="00682DB1"/>
    <w:rsid w:val="00683FFB"/>
    <w:rsid w:val="006875B3"/>
    <w:rsid w:val="0068768A"/>
    <w:rsid w:val="00690BEA"/>
    <w:rsid w:val="00695279"/>
    <w:rsid w:val="00697C69"/>
    <w:rsid w:val="006A18AF"/>
    <w:rsid w:val="006B0F12"/>
    <w:rsid w:val="006B33A7"/>
    <w:rsid w:val="006C1260"/>
    <w:rsid w:val="006C2232"/>
    <w:rsid w:val="006C6800"/>
    <w:rsid w:val="006C787E"/>
    <w:rsid w:val="006D0BC5"/>
    <w:rsid w:val="006D16AA"/>
    <w:rsid w:val="006D2CF2"/>
    <w:rsid w:val="006D2E37"/>
    <w:rsid w:val="006D34C3"/>
    <w:rsid w:val="006D7FBB"/>
    <w:rsid w:val="006E327C"/>
    <w:rsid w:val="006E5114"/>
    <w:rsid w:val="006E7795"/>
    <w:rsid w:val="006E7E9F"/>
    <w:rsid w:val="006E7FA8"/>
    <w:rsid w:val="006F00DB"/>
    <w:rsid w:val="006F4623"/>
    <w:rsid w:val="006F4B40"/>
    <w:rsid w:val="006F70FB"/>
    <w:rsid w:val="00701FEA"/>
    <w:rsid w:val="007040D1"/>
    <w:rsid w:val="00704C4D"/>
    <w:rsid w:val="00705A00"/>
    <w:rsid w:val="007069F7"/>
    <w:rsid w:val="00706DE1"/>
    <w:rsid w:val="007076A6"/>
    <w:rsid w:val="00710059"/>
    <w:rsid w:val="00710337"/>
    <w:rsid w:val="007110C9"/>
    <w:rsid w:val="00712349"/>
    <w:rsid w:val="00712FCE"/>
    <w:rsid w:val="007131CA"/>
    <w:rsid w:val="00714BA3"/>
    <w:rsid w:val="00715180"/>
    <w:rsid w:val="0071537B"/>
    <w:rsid w:val="007167AE"/>
    <w:rsid w:val="00721098"/>
    <w:rsid w:val="007220F0"/>
    <w:rsid w:val="0072495B"/>
    <w:rsid w:val="007311E0"/>
    <w:rsid w:val="007360D3"/>
    <w:rsid w:val="0073644C"/>
    <w:rsid w:val="00736D2D"/>
    <w:rsid w:val="00737641"/>
    <w:rsid w:val="00737C72"/>
    <w:rsid w:val="007452F9"/>
    <w:rsid w:val="0074660C"/>
    <w:rsid w:val="00747B69"/>
    <w:rsid w:val="00750E77"/>
    <w:rsid w:val="00751449"/>
    <w:rsid w:val="00753AE8"/>
    <w:rsid w:val="00755849"/>
    <w:rsid w:val="00755D95"/>
    <w:rsid w:val="00756538"/>
    <w:rsid w:val="00756B0E"/>
    <w:rsid w:val="00757BAA"/>
    <w:rsid w:val="00762B9C"/>
    <w:rsid w:val="00766491"/>
    <w:rsid w:val="00766BCF"/>
    <w:rsid w:val="00767F39"/>
    <w:rsid w:val="007700EB"/>
    <w:rsid w:val="007705BC"/>
    <w:rsid w:val="007726E1"/>
    <w:rsid w:val="00774F4B"/>
    <w:rsid w:val="0079256F"/>
    <w:rsid w:val="0079307B"/>
    <w:rsid w:val="007941CF"/>
    <w:rsid w:val="00796F48"/>
    <w:rsid w:val="007A2A5E"/>
    <w:rsid w:val="007A3C6A"/>
    <w:rsid w:val="007A5821"/>
    <w:rsid w:val="007A6B87"/>
    <w:rsid w:val="007B0EBF"/>
    <w:rsid w:val="007B12EF"/>
    <w:rsid w:val="007B51E2"/>
    <w:rsid w:val="007B6F81"/>
    <w:rsid w:val="007B7CA4"/>
    <w:rsid w:val="007C08B4"/>
    <w:rsid w:val="007C7DCF"/>
    <w:rsid w:val="007D0A64"/>
    <w:rsid w:val="007D4367"/>
    <w:rsid w:val="007D5D8D"/>
    <w:rsid w:val="007D608D"/>
    <w:rsid w:val="007E10A5"/>
    <w:rsid w:val="007E2A95"/>
    <w:rsid w:val="007E3D71"/>
    <w:rsid w:val="007F0036"/>
    <w:rsid w:val="007F2841"/>
    <w:rsid w:val="007F3E30"/>
    <w:rsid w:val="007F7872"/>
    <w:rsid w:val="0080096B"/>
    <w:rsid w:val="00800B90"/>
    <w:rsid w:val="00802A66"/>
    <w:rsid w:val="00805ADD"/>
    <w:rsid w:val="008103A0"/>
    <w:rsid w:val="00810DE3"/>
    <w:rsid w:val="00810FBA"/>
    <w:rsid w:val="00821541"/>
    <w:rsid w:val="00821A06"/>
    <w:rsid w:val="008220F3"/>
    <w:rsid w:val="00822273"/>
    <w:rsid w:val="008235DB"/>
    <w:rsid w:val="00826FE4"/>
    <w:rsid w:val="00830647"/>
    <w:rsid w:val="00830E80"/>
    <w:rsid w:val="00832911"/>
    <w:rsid w:val="00833071"/>
    <w:rsid w:val="00833EB7"/>
    <w:rsid w:val="0084092F"/>
    <w:rsid w:val="00844C87"/>
    <w:rsid w:val="00850A87"/>
    <w:rsid w:val="008532FB"/>
    <w:rsid w:val="008540F0"/>
    <w:rsid w:val="008568C0"/>
    <w:rsid w:val="00864874"/>
    <w:rsid w:val="00870639"/>
    <w:rsid w:val="00871CA1"/>
    <w:rsid w:val="00874F47"/>
    <w:rsid w:val="00877D87"/>
    <w:rsid w:val="00880255"/>
    <w:rsid w:val="008810FA"/>
    <w:rsid w:val="00884878"/>
    <w:rsid w:val="00885B9C"/>
    <w:rsid w:val="00886D18"/>
    <w:rsid w:val="00892303"/>
    <w:rsid w:val="00896927"/>
    <w:rsid w:val="00897E16"/>
    <w:rsid w:val="008A144E"/>
    <w:rsid w:val="008A310A"/>
    <w:rsid w:val="008A6603"/>
    <w:rsid w:val="008B5F65"/>
    <w:rsid w:val="008B6A9A"/>
    <w:rsid w:val="008C0FBD"/>
    <w:rsid w:val="008C3215"/>
    <w:rsid w:val="008C4903"/>
    <w:rsid w:val="008C5617"/>
    <w:rsid w:val="008C6687"/>
    <w:rsid w:val="008C70BD"/>
    <w:rsid w:val="008C79C7"/>
    <w:rsid w:val="008C7AC8"/>
    <w:rsid w:val="008D0242"/>
    <w:rsid w:val="008D27EF"/>
    <w:rsid w:val="008D28DF"/>
    <w:rsid w:val="008D2DC8"/>
    <w:rsid w:val="008D34F9"/>
    <w:rsid w:val="008D3D46"/>
    <w:rsid w:val="008D745E"/>
    <w:rsid w:val="008E29AB"/>
    <w:rsid w:val="008E44A5"/>
    <w:rsid w:val="008E4EF2"/>
    <w:rsid w:val="008F06F2"/>
    <w:rsid w:val="008F1E28"/>
    <w:rsid w:val="008F238E"/>
    <w:rsid w:val="008F2F3C"/>
    <w:rsid w:val="008F4C4B"/>
    <w:rsid w:val="008F5D80"/>
    <w:rsid w:val="008F7202"/>
    <w:rsid w:val="008F7B8C"/>
    <w:rsid w:val="009006D2"/>
    <w:rsid w:val="00903FE0"/>
    <w:rsid w:val="009103F3"/>
    <w:rsid w:val="009126A4"/>
    <w:rsid w:val="009163AF"/>
    <w:rsid w:val="00916507"/>
    <w:rsid w:val="00916D52"/>
    <w:rsid w:val="00917700"/>
    <w:rsid w:val="00922FA5"/>
    <w:rsid w:val="00923D3D"/>
    <w:rsid w:val="00924CCB"/>
    <w:rsid w:val="0092520A"/>
    <w:rsid w:val="00927978"/>
    <w:rsid w:val="00932FAD"/>
    <w:rsid w:val="00933913"/>
    <w:rsid w:val="009366FA"/>
    <w:rsid w:val="00936ECF"/>
    <w:rsid w:val="00937307"/>
    <w:rsid w:val="00940728"/>
    <w:rsid w:val="009445BA"/>
    <w:rsid w:val="00945130"/>
    <w:rsid w:val="00945B0A"/>
    <w:rsid w:val="00946F68"/>
    <w:rsid w:val="009475F3"/>
    <w:rsid w:val="00950481"/>
    <w:rsid w:val="00951562"/>
    <w:rsid w:val="00951651"/>
    <w:rsid w:val="00953CAB"/>
    <w:rsid w:val="00954EF3"/>
    <w:rsid w:val="0095603B"/>
    <w:rsid w:val="00957948"/>
    <w:rsid w:val="009668EF"/>
    <w:rsid w:val="009713CF"/>
    <w:rsid w:val="009729A9"/>
    <w:rsid w:val="009761F8"/>
    <w:rsid w:val="00976AF1"/>
    <w:rsid w:val="00976FB3"/>
    <w:rsid w:val="0098030D"/>
    <w:rsid w:val="00981B13"/>
    <w:rsid w:val="00981E62"/>
    <w:rsid w:val="009928E1"/>
    <w:rsid w:val="00993A65"/>
    <w:rsid w:val="0099488A"/>
    <w:rsid w:val="00994D57"/>
    <w:rsid w:val="00996460"/>
    <w:rsid w:val="0099677B"/>
    <w:rsid w:val="009A1E07"/>
    <w:rsid w:val="009A25EB"/>
    <w:rsid w:val="009A290D"/>
    <w:rsid w:val="009A7A80"/>
    <w:rsid w:val="009B5190"/>
    <w:rsid w:val="009B5381"/>
    <w:rsid w:val="009B654F"/>
    <w:rsid w:val="009C16DF"/>
    <w:rsid w:val="009C1FDC"/>
    <w:rsid w:val="009C461F"/>
    <w:rsid w:val="009C4804"/>
    <w:rsid w:val="009D104E"/>
    <w:rsid w:val="009D16EA"/>
    <w:rsid w:val="009D1FDF"/>
    <w:rsid w:val="009D249E"/>
    <w:rsid w:val="009D3524"/>
    <w:rsid w:val="009D5236"/>
    <w:rsid w:val="009E1667"/>
    <w:rsid w:val="009E1CA8"/>
    <w:rsid w:val="009E28E1"/>
    <w:rsid w:val="009E38C1"/>
    <w:rsid w:val="009E6780"/>
    <w:rsid w:val="009E79EC"/>
    <w:rsid w:val="009F1D43"/>
    <w:rsid w:val="009F311B"/>
    <w:rsid w:val="009F4D99"/>
    <w:rsid w:val="009F50F0"/>
    <w:rsid w:val="00A01327"/>
    <w:rsid w:val="00A018E7"/>
    <w:rsid w:val="00A03911"/>
    <w:rsid w:val="00A05140"/>
    <w:rsid w:val="00A06FC9"/>
    <w:rsid w:val="00A10DE1"/>
    <w:rsid w:val="00A11D59"/>
    <w:rsid w:val="00A123C7"/>
    <w:rsid w:val="00A13029"/>
    <w:rsid w:val="00A14E44"/>
    <w:rsid w:val="00A14E66"/>
    <w:rsid w:val="00A20730"/>
    <w:rsid w:val="00A22538"/>
    <w:rsid w:val="00A27E2B"/>
    <w:rsid w:val="00A33B7B"/>
    <w:rsid w:val="00A34039"/>
    <w:rsid w:val="00A3552E"/>
    <w:rsid w:val="00A35E94"/>
    <w:rsid w:val="00A36449"/>
    <w:rsid w:val="00A40C72"/>
    <w:rsid w:val="00A417FA"/>
    <w:rsid w:val="00A42760"/>
    <w:rsid w:val="00A443C7"/>
    <w:rsid w:val="00A458B3"/>
    <w:rsid w:val="00A45B60"/>
    <w:rsid w:val="00A45E73"/>
    <w:rsid w:val="00A46575"/>
    <w:rsid w:val="00A5551F"/>
    <w:rsid w:val="00A61B0C"/>
    <w:rsid w:val="00A62E17"/>
    <w:rsid w:val="00A65630"/>
    <w:rsid w:val="00A65CAA"/>
    <w:rsid w:val="00A662CF"/>
    <w:rsid w:val="00A766FD"/>
    <w:rsid w:val="00A80353"/>
    <w:rsid w:val="00A81E04"/>
    <w:rsid w:val="00A820E7"/>
    <w:rsid w:val="00A82DF8"/>
    <w:rsid w:val="00A91509"/>
    <w:rsid w:val="00A9333E"/>
    <w:rsid w:val="00A94EC5"/>
    <w:rsid w:val="00A951D7"/>
    <w:rsid w:val="00A9554E"/>
    <w:rsid w:val="00AA0344"/>
    <w:rsid w:val="00AA31F2"/>
    <w:rsid w:val="00AA37A2"/>
    <w:rsid w:val="00AA406C"/>
    <w:rsid w:val="00AA4F9F"/>
    <w:rsid w:val="00AA5E1B"/>
    <w:rsid w:val="00AA7256"/>
    <w:rsid w:val="00AB0987"/>
    <w:rsid w:val="00AB1207"/>
    <w:rsid w:val="00AB3900"/>
    <w:rsid w:val="00AB7080"/>
    <w:rsid w:val="00AB7215"/>
    <w:rsid w:val="00AC005D"/>
    <w:rsid w:val="00AC0EFF"/>
    <w:rsid w:val="00AC14DE"/>
    <w:rsid w:val="00AC56C2"/>
    <w:rsid w:val="00AC5E19"/>
    <w:rsid w:val="00AC6F49"/>
    <w:rsid w:val="00AD222B"/>
    <w:rsid w:val="00AD267E"/>
    <w:rsid w:val="00AD2723"/>
    <w:rsid w:val="00AD445D"/>
    <w:rsid w:val="00AD5D2E"/>
    <w:rsid w:val="00AD6F47"/>
    <w:rsid w:val="00AE2781"/>
    <w:rsid w:val="00AE45F4"/>
    <w:rsid w:val="00AE5C52"/>
    <w:rsid w:val="00AE6D76"/>
    <w:rsid w:val="00AE6E0A"/>
    <w:rsid w:val="00AF045F"/>
    <w:rsid w:val="00AF0FA2"/>
    <w:rsid w:val="00AF0FDD"/>
    <w:rsid w:val="00AF5A70"/>
    <w:rsid w:val="00AF5C5C"/>
    <w:rsid w:val="00B036D5"/>
    <w:rsid w:val="00B03FB1"/>
    <w:rsid w:val="00B0653B"/>
    <w:rsid w:val="00B15829"/>
    <w:rsid w:val="00B16BCA"/>
    <w:rsid w:val="00B17A9D"/>
    <w:rsid w:val="00B206FA"/>
    <w:rsid w:val="00B217B5"/>
    <w:rsid w:val="00B21C2F"/>
    <w:rsid w:val="00B249B7"/>
    <w:rsid w:val="00B2764E"/>
    <w:rsid w:val="00B30E77"/>
    <w:rsid w:val="00B33F27"/>
    <w:rsid w:val="00B34B88"/>
    <w:rsid w:val="00B37A25"/>
    <w:rsid w:val="00B44032"/>
    <w:rsid w:val="00B44F14"/>
    <w:rsid w:val="00B456CC"/>
    <w:rsid w:val="00B478EF"/>
    <w:rsid w:val="00B51BAD"/>
    <w:rsid w:val="00B53586"/>
    <w:rsid w:val="00B55BE4"/>
    <w:rsid w:val="00B564A3"/>
    <w:rsid w:val="00B56514"/>
    <w:rsid w:val="00B56551"/>
    <w:rsid w:val="00B57AE9"/>
    <w:rsid w:val="00B57CA2"/>
    <w:rsid w:val="00B57DD5"/>
    <w:rsid w:val="00B6288E"/>
    <w:rsid w:val="00B638BD"/>
    <w:rsid w:val="00B65EB5"/>
    <w:rsid w:val="00B66555"/>
    <w:rsid w:val="00B71672"/>
    <w:rsid w:val="00B72CEC"/>
    <w:rsid w:val="00B73156"/>
    <w:rsid w:val="00B73BA1"/>
    <w:rsid w:val="00B74929"/>
    <w:rsid w:val="00B7716B"/>
    <w:rsid w:val="00B777E6"/>
    <w:rsid w:val="00B80134"/>
    <w:rsid w:val="00B80707"/>
    <w:rsid w:val="00B84C2C"/>
    <w:rsid w:val="00B861D4"/>
    <w:rsid w:val="00B8737A"/>
    <w:rsid w:val="00B87675"/>
    <w:rsid w:val="00B910DF"/>
    <w:rsid w:val="00B922B9"/>
    <w:rsid w:val="00B95043"/>
    <w:rsid w:val="00B9749F"/>
    <w:rsid w:val="00BA190C"/>
    <w:rsid w:val="00BA3026"/>
    <w:rsid w:val="00BA3EFF"/>
    <w:rsid w:val="00BA4972"/>
    <w:rsid w:val="00BA5FE7"/>
    <w:rsid w:val="00BA638D"/>
    <w:rsid w:val="00BB1C24"/>
    <w:rsid w:val="00BB2580"/>
    <w:rsid w:val="00BB27EC"/>
    <w:rsid w:val="00BB37EE"/>
    <w:rsid w:val="00BB530B"/>
    <w:rsid w:val="00BB58D3"/>
    <w:rsid w:val="00BC179B"/>
    <w:rsid w:val="00BC432E"/>
    <w:rsid w:val="00BC6774"/>
    <w:rsid w:val="00BC6C8B"/>
    <w:rsid w:val="00BC6EEF"/>
    <w:rsid w:val="00BC7980"/>
    <w:rsid w:val="00BD28C5"/>
    <w:rsid w:val="00BD2FEE"/>
    <w:rsid w:val="00BD47D8"/>
    <w:rsid w:val="00BD4D43"/>
    <w:rsid w:val="00BD6ABA"/>
    <w:rsid w:val="00BD7695"/>
    <w:rsid w:val="00BE0D5C"/>
    <w:rsid w:val="00BE0EE1"/>
    <w:rsid w:val="00BE4BDF"/>
    <w:rsid w:val="00BE5FED"/>
    <w:rsid w:val="00BE65E4"/>
    <w:rsid w:val="00BE7D81"/>
    <w:rsid w:val="00BF0AA7"/>
    <w:rsid w:val="00BF15C1"/>
    <w:rsid w:val="00BF2F97"/>
    <w:rsid w:val="00C00765"/>
    <w:rsid w:val="00C00E26"/>
    <w:rsid w:val="00C03A2E"/>
    <w:rsid w:val="00C06287"/>
    <w:rsid w:val="00C12309"/>
    <w:rsid w:val="00C15F0C"/>
    <w:rsid w:val="00C20D5E"/>
    <w:rsid w:val="00C23583"/>
    <w:rsid w:val="00C312CC"/>
    <w:rsid w:val="00C36C67"/>
    <w:rsid w:val="00C4066A"/>
    <w:rsid w:val="00C40D0E"/>
    <w:rsid w:val="00C45C39"/>
    <w:rsid w:val="00C469FC"/>
    <w:rsid w:val="00C51DF7"/>
    <w:rsid w:val="00C5255D"/>
    <w:rsid w:val="00C53CE3"/>
    <w:rsid w:val="00C56BAB"/>
    <w:rsid w:val="00C57E14"/>
    <w:rsid w:val="00C602B7"/>
    <w:rsid w:val="00C60D92"/>
    <w:rsid w:val="00C65930"/>
    <w:rsid w:val="00C665B4"/>
    <w:rsid w:val="00C75AB0"/>
    <w:rsid w:val="00C82AA4"/>
    <w:rsid w:val="00C8305C"/>
    <w:rsid w:val="00C83CA9"/>
    <w:rsid w:val="00C844D6"/>
    <w:rsid w:val="00C85FF6"/>
    <w:rsid w:val="00C9326B"/>
    <w:rsid w:val="00C95691"/>
    <w:rsid w:val="00C96A47"/>
    <w:rsid w:val="00C970CE"/>
    <w:rsid w:val="00CA113C"/>
    <w:rsid w:val="00CA1ECD"/>
    <w:rsid w:val="00CA4C7F"/>
    <w:rsid w:val="00CB13B7"/>
    <w:rsid w:val="00CB388E"/>
    <w:rsid w:val="00CB7087"/>
    <w:rsid w:val="00CB723D"/>
    <w:rsid w:val="00CC41EE"/>
    <w:rsid w:val="00CD061B"/>
    <w:rsid w:val="00CD0BF5"/>
    <w:rsid w:val="00CD0FA4"/>
    <w:rsid w:val="00CD1089"/>
    <w:rsid w:val="00CD1BCD"/>
    <w:rsid w:val="00CD41F8"/>
    <w:rsid w:val="00CD4340"/>
    <w:rsid w:val="00CD6D61"/>
    <w:rsid w:val="00CD75E6"/>
    <w:rsid w:val="00CD7D66"/>
    <w:rsid w:val="00CD7FFC"/>
    <w:rsid w:val="00CE2C6E"/>
    <w:rsid w:val="00CE2D75"/>
    <w:rsid w:val="00CE6C66"/>
    <w:rsid w:val="00CE799B"/>
    <w:rsid w:val="00CF046A"/>
    <w:rsid w:val="00CF321C"/>
    <w:rsid w:val="00CF4FE6"/>
    <w:rsid w:val="00CF556F"/>
    <w:rsid w:val="00CF5974"/>
    <w:rsid w:val="00D0030F"/>
    <w:rsid w:val="00D0445F"/>
    <w:rsid w:val="00D0608D"/>
    <w:rsid w:val="00D061D5"/>
    <w:rsid w:val="00D06E87"/>
    <w:rsid w:val="00D06EFC"/>
    <w:rsid w:val="00D074BF"/>
    <w:rsid w:val="00D1197E"/>
    <w:rsid w:val="00D122E5"/>
    <w:rsid w:val="00D1619E"/>
    <w:rsid w:val="00D206B3"/>
    <w:rsid w:val="00D219C1"/>
    <w:rsid w:val="00D22C33"/>
    <w:rsid w:val="00D27373"/>
    <w:rsid w:val="00D32833"/>
    <w:rsid w:val="00D33DA7"/>
    <w:rsid w:val="00D3507E"/>
    <w:rsid w:val="00D354D0"/>
    <w:rsid w:val="00D41D9A"/>
    <w:rsid w:val="00D461E5"/>
    <w:rsid w:val="00D472D8"/>
    <w:rsid w:val="00D52246"/>
    <w:rsid w:val="00D5255B"/>
    <w:rsid w:val="00D538F6"/>
    <w:rsid w:val="00D5457D"/>
    <w:rsid w:val="00D54EF5"/>
    <w:rsid w:val="00D56FF4"/>
    <w:rsid w:val="00D60D12"/>
    <w:rsid w:val="00D61E55"/>
    <w:rsid w:val="00D6213A"/>
    <w:rsid w:val="00D65196"/>
    <w:rsid w:val="00D66EC5"/>
    <w:rsid w:val="00D70223"/>
    <w:rsid w:val="00D70C37"/>
    <w:rsid w:val="00D73760"/>
    <w:rsid w:val="00D74036"/>
    <w:rsid w:val="00D802BD"/>
    <w:rsid w:val="00D808EE"/>
    <w:rsid w:val="00D83C9D"/>
    <w:rsid w:val="00D8400D"/>
    <w:rsid w:val="00D87FE7"/>
    <w:rsid w:val="00D91885"/>
    <w:rsid w:val="00D93663"/>
    <w:rsid w:val="00D94097"/>
    <w:rsid w:val="00D94F5B"/>
    <w:rsid w:val="00D95DDC"/>
    <w:rsid w:val="00D96B60"/>
    <w:rsid w:val="00DA0634"/>
    <w:rsid w:val="00DA3E6F"/>
    <w:rsid w:val="00DA62C5"/>
    <w:rsid w:val="00DA7CB8"/>
    <w:rsid w:val="00DA7DA7"/>
    <w:rsid w:val="00DB0871"/>
    <w:rsid w:val="00DB0CB2"/>
    <w:rsid w:val="00DB1327"/>
    <w:rsid w:val="00DC08BC"/>
    <w:rsid w:val="00DC1F63"/>
    <w:rsid w:val="00DC6D66"/>
    <w:rsid w:val="00DD1011"/>
    <w:rsid w:val="00DD5451"/>
    <w:rsid w:val="00DE221F"/>
    <w:rsid w:val="00DE3A2A"/>
    <w:rsid w:val="00DE55E6"/>
    <w:rsid w:val="00DE5DBB"/>
    <w:rsid w:val="00DF169D"/>
    <w:rsid w:val="00DF46FD"/>
    <w:rsid w:val="00DF7AE1"/>
    <w:rsid w:val="00E00C05"/>
    <w:rsid w:val="00E0241F"/>
    <w:rsid w:val="00E04482"/>
    <w:rsid w:val="00E04D37"/>
    <w:rsid w:val="00E05840"/>
    <w:rsid w:val="00E07968"/>
    <w:rsid w:val="00E1028D"/>
    <w:rsid w:val="00E10656"/>
    <w:rsid w:val="00E10BA8"/>
    <w:rsid w:val="00E12448"/>
    <w:rsid w:val="00E14683"/>
    <w:rsid w:val="00E207DB"/>
    <w:rsid w:val="00E21EFB"/>
    <w:rsid w:val="00E2267F"/>
    <w:rsid w:val="00E235D4"/>
    <w:rsid w:val="00E25FBA"/>
    <w:rsid w:val="00E263F8"/>
    <w:rsid w:val="00E270B7"/>
    <w:rsid w:val="00E27C9F"/>
    <w:rsid w:val="00E33435"/>
    <w:rsid w:val="00E36A50"/>
    <w:rsid w:val="00E415E3"/>
    <w:rsid w:val="00E41B22"/>
    <w:rsid w:val="00E43C87"/>
    <w:rsid w:val="00E44BDB"/>
    <w:rsid w:val="00E46E6E"/>
    <w:rsid w:val="00E503B7"/>
    <w:rsid w:val="00E528EB"/>
    <w:rsid w:val="00E5370B"/>
    <w:rsid w:val="00E56811"/>
    <w:rsid w:val="00E56A3E"/>
    <w:rsid w:val="00E6139F"/>
    <w:rsid w:val="00E61E1E"/>
    <w:rsid w:val="00E62387"/>
    <w:rsid w:val="00E64B3B"/>
    <w:rsid w:val="00E67D97"/>
    <w:rsid w:val="00E71A05"/>
    <w:rsid w:val="00E732E2"/>
    <w:rsid w:val="00E742BC"/>
    <w:rsid w:val="00E80AB0"/>
    <w:rsid w:val="00E82051"/>
    <w:rsid w:val="00E8435E"/>
    <w:rsid w:val="00E90B9D"/>
    <w:rsid w:val="00E923F1"/>
    <w:rsid w:val="00E93762"/>
    <w:rsid w:val="00E96A6F"/>
    <w:rsid w:val="00EA0947"/>
    <w:rsid w:val="00EA1B79"/>
    <w:rsid w:val="00EA42B1"/>
    <w:rsid w:val="00EA4BDE"/>
    <w:rsid w:val="00EA6D03"/>
    <w:rsid w:val="00EB1D3D"/>
    <w:rsid w:val="00EB3D8A"/>
    <w:rsid w:val="00EB4502"/>
    <w:rsid w:val="00EB4AF9"/>
    <w:rsid w:val="00EB6139"/>
    <w:rsid w:val="00EB711D"/>
    <w:rsid w:val="00EC0476"/>
    <w:rsid w:val="00EC71ED"/>
    <w:rsid w:val="00EC7486"/>
    <w:rsid w:val="00ED04F4"/>
    <w:rsid w:val="00ED24B3"/>
    <w:rsid w:val="00ED2536"/>
    <w:rsid w:val="00ED27A5"/>
    <w:rsid w:val="00ED7B38"/>
    <w:rsid w:val="00EE0057"/>
    <w:rsid w:val="00EE0E84"/>
    <w:rsid w:val="00EE120A"/>
    <w:rsid w:val="00EE208F"/>
    <w:rsid w:val="00EE308D"/>
    <w:rsid w:val="00EE44C9"/>
    <w:rsid w:val="00EE5982"/>
    <w:rsid w:val="00EE7D0B"/>
    <w:rsid w:val="00EF087C"/>
    <w:rsid w:val="00EF2769"/>
    <w:rsid w:val="00EF366A"/>
    <w:rsid w:val="00EF4DF3"/>
    <w:rsid w:val="00EF78D2"/>
    <w:rsid w:val="00F0043A"/>
    <w:rsid w:val="00F02F28"/>
    <w:rsid w:val="00F0457F"/>
    <w:rsid w:val="00F0799D"/>
    <w:rsid w:val="00F12744"/>
    <w:rsid w:val="00F13F24"/>
    <w:rsid w:val="00F1419E"/>
    <w:rsid w:val="00F1472A"/>
    <w:rsid w:val="00F209D8"/>
    <w:rsid w:val="00F212FF"/>
    <w:rsid w:val="00F25003"/>
    <w:rsid w:val="00F27ED1"/>
    <w:rsid w:val="00F30CF8"/>
    <w:rsid w:val="00F31315"/>
    <w:rsid w:val="00F40408"/>
    <w:rsid w:val="00F42301"/>
    <w:rsid w:val="00F42F5E"/>
    <w:rsid w:val="00F43BA3"/>
    <w:rsid w:val="00F46297"/>
    <w:rsid w:val="00F46ABC"/>
    <w:rsid w:val="00F5172B"/>
    <w:rsid w:val="00F53655"/>
    <w:rsid w:val="00F53C1E"/>
    <w:rsid w:val="00F55290"/>
    <w:rsid w:val="00F55956"/>
    <w:rsid w:val="00F56CA9"/>
    <w:rsid w:val="00F6071E"/>
    <w:rsid w:val="00F614AD"/>
    <w:rsid w:val="00F616C5"/>
    <w:rsid w:val="00F62CFC"/>
    <w:rsid w:val="00F639E2"/>
    <w:rsid w:val="00F65284"/>
    <w:rsid w:val="00F66A76"/>
    <w:rsid w:val="00F67E0C"/>
    <w:rsid w:val="00F711FF"/>
    <w:rsid w:val="00F71512"/>
    <w:rsid w:val="00F74363"/>
    <w:rsid w:val="00F74FA5"/>
    <w:rsid w:val="00F7658C"/>
    <w:rsid w:val="00F769FF"/>
    <w:rsid w:val="00F77E6A"/>
    <w:rsid w:val="00F81D93"/>
    <w:rsid w:val="00F831FB"/>
    <w:rsid w:val="00F86C62"/>
    <w:rsid w:val="00F907B5"/>
    <w:rsid w:val="00F93164"/>
    <w:rsid w:val="00F93332"/>
    <w:rsid w:val="00F940A3"/>
    <w:rsid w:val="00F9413F"/>
    <w:rsid w:val="00F94A2D"/>
    <w:rsid w:val="00F94D21"/>
    <w:rsid w:val="00FA11D0"/>
    <w:rsid w:val="00FA14EB"/>
    <w:rsid w:val="00FA344A"/>
    <w:rsid w:val="00FA39DE"/>
    <w:rsid w:val="00FA406D"/>
    <w:rsid w:val="00FA44DE"/>
    <w:rsid w:val="00FA4570"/>
    <w:rsid w:val="00FA690F"/>
    <w:rsid w:val="00FB3748"/>
    <w:rsid w:val="00FB5056"/>
    <w:rsid w:val="00FB59DA"/>
    <w:rsid w:val="00FC015B"/>
    <w:rsid w:val="00FC019D"/>
    <w:rsid w:val="00FC19A6"/>
    <w:rsid w:val="00FC3C87"/>
    <w:rsid w:val="00FD0CB0"/>
    <w:rsid w:val="00FD1315"/>
    <w:rsid w:val="00FD19F3"/>
    <w:rsid w:val="00FD2EEB"/>
    <w:rsid w:val="00FD7BD8"/>
    <w:rsid w:val="00FE1536"/>
    <w:rsid w:val="00FE25EE"/>
    <w:rsid w:val="00FE4491"/>
    <w:rsid w:val="00FE5718"/>
    <w:rsid w:val="00FE68CD"/>
    <w:rsid w:val="00FF061A"/>
    <w:rsid w:val="00FF2137"/>
    <w:rsid w:val="00FF287D"/>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3323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3323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865409">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B5DC7-4F27-4D71-A395-7B7EAC6A0340}"/>
</file>

<file path=customXml/itemProps2.xml><?xml version="1.0" encoding="utf-8"?>
<ds:datastoreItem xmlns:ds="http://schemas.openxmlformats.org/officeDocument/2006/customXml" ds:itemID="{0062EE53-7678-4DDD-979F-DED19DA174D9}"/>
</file>

<file path=customXml/itemProps3.xml><?xml version="1.0" encoding="utf-8"?>
<ds:datastoreItem xmlns:ds="http://schemas.openxmlformats.org/officeDocument/2006/customXml" ds:itemID="{B35A3E4B-6319-4439-9F02-FE2CD1539C1E}"/>
</file>

<file path=customXml/itemProps4.xml><?xml version="1.0" encoding="utf-8"?>
<ds:datastoreItem xmlns:ds="http://schemas.openxmlformats.org/officeDocument/2006/customXml" ds:itemID="{E9BF991F-F8C1-4972-A349-A71235584D35}"/>
</file>

<file path=docProps/app.xml><?xml version="1.0" encoding="utf-8"?>
<Properties xmlns="http://schemas.openxmlformats.org/officeDocument/2006/extended-properties" xmlns:vt="http://schemas.openxmlformats.org/officeDocument/2006/docPropsVTypes">
  <Template>7B93D71B</Template>
  <TotalTime>0</TotalTime>
  <Pages>16</Pages>
  <Words>5681</Words>
  <Characters>32383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2014-10-28T23:20:00Z</dcterms:created>
  <dcterms:modified xsi:type="dcterms:W3CDTF">2014-10-28T23:20:00Z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