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D9A8E" w14:textId="0C4FBE2D" w:rsidR="00CD0E4B" w:rsidRPr="00915221" w:rsidRDefault="03141542" w:rsidP="00B73626">
      <w:pPr>
        <w:pStyle w:val="Title"/>
        <w:spacing w:before="240" w:line="240" w:lineRule="atLeast"/>
        <w:rPr>
          <w:rFonts w:asciiTheme="minorHAnsi" w:hAnsiTheme="minorHAnsi" w:cstheme="minorBidi"/>
        </w:rPr>
      </w:pPr>
      <w:r w:rsidRPr="180D46D7">
        <w:rPr>
          <w:rFonts w:cstheme="minorBidi"/>
        </w:rPr>
        <w:t>Malaysia and Thailand Reform Partnerships</w:t>
      </w:r>
      <w:r w:rsidR="53E42FFA" w:rsidRPr="180D46D7">
        <w:rPr>
          <w:rFonts w:cstheme="minorBidi"/>
        </w:rPr>
        <w:t xml:space="preserve"> </w:t>
      </w:r>
      <w:r w:rsidR="6548DB8F" w:rsidRPr="180D46D7">
        <w:rPr>
          <w:rFonts w:cstheme="minorBidi"/>
        </w:rPr>
        <w:t>FINAL</w:t>
      </w:r>
      <w:r w:rsidR="53E42FFA" w:rsidRPr="180D46D7">
        <w:rPr>
          <w:rFonts w:cstheme="minorBidi"/>
        </w:rPr>
        <w:t xml:space="preserve"> Evaluation</w:t>
      </w:r>
      <w:r w:rsidR="5F1B1A96" w:rsidRPr="180D46D7">
        <w:rPr>
          <w:rFonts w:asciiTheme="minorHAnsi" w:hAnsiTheme="minorHAnsi" w:cstheme="minorBidi"/>
        </w:rPr>
        <w:t xml:space="preserve"> </w:t>
      </w:r>
      <w:r w:rsidR="5F1B1A96" w:rsidRPr="180D46D7">
        <w:t>Management Response</w:t>
      </w:r>
    </w:p>
    <w:p w14:paraId="714B84A9" w14:textId="7F51A586" w:rsidR="0061483A" w:rsidRPr="00307256" w:rsidRDefault="53E42FFA" w:rsidP="180D46D7">
      <w:pPr>
        <w:pStyle w:val="IntroPara"/>
        <w:contextualSpacing/>
        <w:rPr>
          <w:b w:val="0"/>
          <w:color w:val="auto"/>
          <w:sz w:val="24"/>
          <w:szCs w:val="24"/>
        </w:rPr>
      </w:pPr>
      <w:r w:rsidRPr="180D46D7">
        <w:rPr>
          <w:b w:val="0"/>
          <w:color w:val="auto"/>
          <w:sz w:val="24"/>
          <w:szCs w:val="24"/>
        </w:rPr>
        <w:t xml:space="preserve">The Malaysia and Thailand Reform Partnerships </w:t>
      </w:r>
      <w:r w:rsidR="513AE1F6" w:rsidRPr="180D46D7">
        <w:rPr>
          <w:b w:val="0"/>
          <w:color w:val="auto"/>
          <w:sz w:val="24"/>
          <w:szCs w:val="24"/>
        </w:rPr>
        <w:t xml:space="preserve">(MTRP) </w:t>
      </w:r>
      <w:r w:rsidRPr="180D46D7">
        <w:rPr>
          <w:b w:val="0"/>
          <w:color w:val="auto"/>
          <w:sz w:val="24"/>
          <w:szCs w:val="24"/>
        </w:rPr>
        <w:t xml:space="preserve">is a collaboration between the Department of Foreign Affairs and Trade (DFAT) and The Asia Foundation (TAF) to support </w:t>
      </w:r>
      <w:r w:rsidR="355928AF" w:rsidRPr="180D46D7">
        <w:rPr>
          <w:b w:val="0"/>
          <w:color w:val="auto"/>
          <w:sz w:val="24"/>
          <w:szCs w:val="24"/>
        </w:rPr>
        <w:t xml:space="preserve">critical </w:t>
      </w:r>
      <w:r w:rsidRPr="180D46D7">
        <w:rPr>
          <w:b w:val="0"/>
          <w:color w:val="auto"/>
          <w:sz w:val="24"/>
          <w:szCs w:val="24"/>
        </w:rPr>
        <w:t>reform</w:t>
      </w:r>
      <w:r w:rsidR="355928AF" w:rsidRPr="180D46D7">
        <w:rPr>
          <w:b w:val="0"/>
          <w:color w:val="auto"/>
          <w:sz w:val="24"/>
          <w:szCs w:val="24"/>
        </w:rPr>
        <w:t>s for growth</w:t>
      </w:r>
      <w:r w:rsidR="1730F8D0" w:rsidRPr="180D46D7">
        <w:rPr>
          <w:b w:val="0"/>
          <w:color w:val="auto"/>
          <w:sz w:val="24"/>
          <w:szCs w:val="24"/>
        </w:rPr>
        <w:t xml:space="preserve"> and stability</w:t>
      </w:r>
      <w:r w:rsidR="355928AF" w:rsidRPr="180D46D7">
        <w:rPr>
          <w:b w:val="0"/>
          <w:color w:val="auto"/>
          <w:sz w:val="24"/>
          <w:szCs w:val="24"/>
        </w:rPr>
        <w:t xml:space="preserve"> </w:t>
      </w:r>
      <w:r w:rsidRPr="180D46D7">
        <w:rPr>
          <w:b w:val="0"/>
          <w:color w:val="auto"/>
          <w:sz w:val="24"/>
          <w:szCs w:val="24"/>
        </w:rPr>
        <w:t xml:space="preserve">in Malaysia and Thailand. It is a three-year program </w:t>
      </w:r>
      <w:r w:rsidR="355928AF" w:rsidRPr="180D46D7">
        <w:rPr>
          <w:b w:val="0"/>
          <w:color w:val="auto"/>
          <w:sz w:val="24"/>
          <w:szCs w:val="24"/>
        </w:rPr>
        <w:t>(August 2019-</w:t>
      </w:r>
      <w:r w:rsidR="46C5977D" w:rsidRPr="180D46D7">
        <w:rPr>
          <w:b w:val="0"/>
          <w:color w:val="auto"/>
          <w:sz w:val="24"/>
          <w:szCs w:val="24"/>
        </w:rPr>
        <w:t>October</w:t>
      </w:r>
      <w:r w:rsidR="355928AF" w:rsidRPr="180D46D7">
        <w:rPr>
          <w:b w:val="0"/>
          <w:color w:val="auto"/>
          <w:sz w:val="24"/>
          <w:szCs w:val="24"/>
        </w:rPr>
        <w:t xml:space="preserve"> 2022)</w:t>
      </w:r>
      <w:r w:rsidRPr="180D46D7">
        <w:rPr>
          <w:b w:val="0"/>
          <w:color w:val="auto"/>
          <w:sz w:val="24"/>
          <w:szCs w:val="24"/>
        </w:rPr>
        <w:t xml:space="preserve"> valued at AUD 2.7 million. </w:t>
      </w:r>
    </w:p>
    <w:p w14:paraId="1CFDB4C8" w14:textId="476079F4" w:rsidR="180D46D7" w:rsidRDefault="180D46D7" w:rsidP="180D46D7">
      <w:pPr>
        <w:pStyle w:val="IntroPara"/>
        <w:contextualSpacing/>
        <w:rPr>
          <w:b w:val="0"/>
          <w:color w:val="auto"/>
          <w:sz w:val="24"/>
          <w:szCs w:val="24"/>
        </w:rPr>
      </w:pPr>
    </w:p>
    <w:p w14:paraId="35420545" w14:textId="7DF6AEEB" w:rsidR="0061483A" w:rsidRPr="00307256" w:rsidRDefault="355928AF" w:rsidP="180D46D7">
      <w:pPr>
        <w:pStyle w:val="IntroPara"/>
        <w:contextualSpacing/>
        <w:rPr>
          <w:b w:val="0"/>
          <w:color w:val="auto"/>
          <w:sz w:val="24"/>
          <w:szCs w:val="24"/>
        </w:rPr>
      </w:pPr>
      <w:r w:rsidRPr="180D46D7">
        <w:rPr>
          <w:b w:val="0"/>
          <w:color w:val="auto"/>
          <w:sz w:val="24"/>
          <w:szCs w:val="24"/>
        </w:rPr>
        <w:t>The program is linked to broader policy work on growth and development trajectories in Advanced Middle-Income Countries</w:t>
      </w:r>
      <w:r w:rsidR="0D4898DA" w:rsidRPr="180D46D7">
        <w:rPr>
          <w:b w:val="0"/>
          <w:color w:val="auto"/>
          <w:sz w:val="24"/>
          <w:szCs w:val="24"/>
        </w:rPr>
        <w:t xml:space="preserve"> (AMIC</w:t>
      </w:r>
      <w:r w:rsidR="1730F8D0" w:rsidRPr="180D46D7">
        <w:rPr>
          <w:b w:val="0"/>
          <w:color w:val="auto"/>
          <w:sz w:val="24"/>
          <w:szCs w:val="24"/>
        </w:rPr>
        <w:t>s</w:t>
      </w:r>
      <w:r w:rsidR="0D4898DA" w:rsidRPr="180D46D7">
        <w:rPr>
          <w:b w:val="0"/>
          <w:color w:val="auto"/>
          <w:sz w:val="24"/>
          <w:szCs w:val="24"/>
        </w:rPr>
        <w:t>)</w:t>
      </w:r>
      <w:r w:rsidRPr="180D46D7">
        <w:rPr>
          <w:b w:val="0"/>
          <w:color w:val="auto"/>
          <w:sz w:val="24"/>
          <w:szCs w:val="24"/>
        </w:rPr>
        <w:t xml:space="preserve"> as part of the DFAT-TAF Strategic Partnership. </w:t>
      </w:r>
      <w:r w:rsidR="1730F8D0" w:rsidRPr="180D46D7">
        <w:rPr>
          <w:b w:val="0"/>
          <w:color w:val="auto"/>
          <w:sz w:val="24"/>
          <w:szCs w:val="24"/>
        </w:rPr>
        <w:t>MTRP</w:t>
      </w:r>
      <w:r w:rsidRPr="180D46D7">
        <w:rPr>
          <w:b w:val="0"/>
          <w:color w:val="auto"/>
          <w:sz w:val="24"/>
          <w:szCs w:val="24"/>
        </w:rPr>
        <w:t xml:space="preserve"> is the first practical application of this policy work, and therefore warrants evaluation to support continuous improvement and </w:t>
      </w:r>
      <w:r w:rsidR="0D4898DA" w:rsidRPr="180D46D7">
        <w:rPr>
          <w:b w:val="0"/>
          <w:color w:val="auto"/>
          <w:sz w:val="24"/>
          <w:szCs w:val="24"/>
        </w:rPr>
        <w:t>understanding of how Australia can contribute to growth and stability as part of our bilateral engagement in AMIC</w:t>
      </w:r>
      <w:r w:rsidR="1730F8D0" w:rsidRPr="180D46D7">
        <w:rPr>
          <w:b w:val="0"/>
          <w:color w:val="auto"/>
          <w:sz w:val="24"/>
          <w:szCs w:val="24"/>
        </w:rPr>
        <w:t>s</w:t>
      </w:r>
      <w:r w:rsidR="0D4898DA" w:rsidRPr="180D46D7">
        <w:rPr>
          <w:b w:val="0"/>
          <w:color w:val="auto"/>
          <w:sz w:val="24"/>
          <w:szCs w:val="24"/>
        </w:rPr>
        <w:t xml:space="preserve">. </w:t>
      </w:r>
    </w:p>
    <w:p w14:paraId="5B19A087" w14:textId="0CD5CCAF" w:rsidR="180D46D7" w:rsidRDefault="180D46D7" w:rsidP="180D46D7">
      <w:pPr>
        <w:pStyle w:val="IntroPara"/>
        <w:contextualSpacing/>
        <w:rPr>
          <w:b w:val="0"/>
          <w:color w:val="auto"/>
          <w:sz w:val="24"/>
          <w:szCs w:val="24"/>
        </w:rPr>
      </w:pPr>
    </w:p>
    <w:p w14:paraId="4ABBA617" w14:textId="227391A3" w:rsidR="00375E80" w:rsidRPr="000B615E" w:rsidRDefault="53E42FFA" w:rsidP="180D46D7">
      <w:pPr>
        <w:pStyle w:val="IntroPara"/>
        <w:contextualSpacing/>
        <w:rPr>
          <w:b w:val="0"/>
          <w:color w:val="auto"/>
          <w:sz w:val="24"/>
          <w:szCs w:val="24"/>
        </w:rPr>
      </w:pPr>
      <w:r w:rsidRPr="180D46D7">
        <w:rPr>
          <w:b w:val="0"/>
          <w:color w:val="auto"/>
          <w:sz w:val="24"/>
          <w:szCs w:val="24"/>
        </w:rPr>
        <w:t>A</w:t>
      </w:r>
      <w:r w:rsidR="355928AF" w:rsidRPr="180D46D7">
        <w:rPr>
          <w:b w:val="0"/>
          <w:color w:val="auto"/>
          <w:sz w:val="24"/>
          <w:szCs w:val="24"/>
        </w:rPr>
        <w:t xml:space="preserve">n independent </w:t>
      </w:r>
      <w:r w:rsidR="1EF0553F" w:rsidRPr="180D46D7">
        <w:rPr>
          <w:b w:val="0"/>
          <w:color w:val="auto"/>
          <w:sz w:val="24"/>
          <w:szCs w:val="24"/>
        </w:rPr>
        <w:t>final</w:t>
      </w:r>
      <w:r w:rsidRPr="180D46D7">
        <w:rPr>
          <w:b w:val="0"/>
          <w:color w:val="auto"/>
          <w:sz w:val="24"/>
          <w:szCs w:val="24"/>
        </w:rPr>
        <w:t xml:space="preserve"> evaluation was conducted by strategic development consultant, Richard Moore, between </w:t>
      </w:r>
      <w:r w:rsidR="1EF0553F" w:rsidRPr="180D46D7">
        <w:rPr>
          <w:b w:val="0"/>
          <w:color w:val="auto"/>
          <w:sz w:val="24"/>
          <w:szCs w:val="24"/>
        </w:rPr>
        <w:t>August to November 2022 following a mid-term Evaluation in May</w:t>
      </w:r>
      <w:r w:rsidR="72847E2B" w:rsidRPr="180D46D7">
        <w:rPr>
          <w:b w:val="0"/>
          <w:color w:val="auto"/>
          <w:sz w:val="24"/>
          <w:szCs w:val="24"/>
        </w:rPr>
        <w:t xml:space="preserve"> 2021. </w:t>
      </w:r>
      <w:r w:rsidR="355928AF" w:rsidRPr="180D46D7">
        <w:rPr>
          <w:b w:val="0"/>
          <w:color w:val="auto"/>
          <w:sz w:val="24"/>
          <w:szCs w:val="24"/>
        </w:rPr>
        <w:t>Mr Moore</w:t>
      </w:r>
      <w:r w:rsidR="72847E2B" w:rsidRPr="180D46D7">
        <w:rPr>
          <w:b w:val="0"/>
          <w:color w:val="auto"/>
          <w:sz w:val="24"/>
          <w:szCs w:val="24"/>
        </w:rPr>
        <w:t xml:space="preserve">’s evaluation </w:t>
      </w:r>
      <w:r w:rsidR="355928AF" w:rsidRPr="180D46D7">
        <w:rPr>
          <w:b w:val="0"/>
          <w:color w:val="auto"/>
          <w:sz w:val="24"/>
          <w:szCs w:val="24"/>
        </w:rPr>
        <w:t>closely examine</w:t>
      </w:r>
      <w:r w:rsidR="218942CC" w:rsidRPr="180D46D7">
        <w:rPr>
          <w:b w:val="0"/>
          <w:color w:val="auto"/>
          <w:sz w:val="24"/>
          <w:szCs w:val="24"/>
        </w:rPr>
        <w:t>s</w:t>
      </w:r>
      <w:r w:rsidR="355928AF" w:rsidRPr="180D46D7">
        <w:rPr>
          <w:b w:val="0"/>
          <w:color w:val="auto"/>
          <w:sz w:val="24"/>
          <w:szCs w:val="24"/>
        </w:rPr>
        <w:t xml:space="preserve"> the impact of the reform initiatives</w:t>
      </w:r>
      <w:r w:rsidR="72847E2B" w:rsidRPr="180D46D7">
        <w:rPr>
          <w:b w:val="0"/>
          <w:color w:val="auto"/>
          <w:sz w:val="24"/>
          <w:szCs w:val="24"/>
        </w:rPr>
        <w:t xml:space="preserve"> over the life of the program</w:t>
      </w:r>
      <w:r w:rsidR="355928AF" w:rsidRPr="180D46D7">
        <w:rPr>
          <w:b w:val="0"/>
          <w:color w:val="auto"/>
          <w:sz w:val="24"/>
          <w:szCs w:val="24"/>
        </w:rPr>
        <w:t xml:space="preserve">. </w:t>
      </w:r>
      <w:r w:rsidR="218942CC" w:rsidRPr="180D46D7">
        <w:rPr>
          <w:b w:val="0"/>
          <w:color w:val="auto"/>
          <w:sz w:val="24"/>
          <w:szCs w:val="24"/>
        </w:rPr>
        <w:t xml:space="preserve">He was asked to assess </w:t>
      </w:r>
      <w:r w:rsidR="25C6546A" w:rsidRPr="180D46D7">
        <w:rPr>
          <w:b w:val="0"/>
          <w:color w:val="auto"/>
          <w:sz w:val="24"/>
          <w:szCs w:val="24"/>
        </w:rPr>
        <w:t xml:space="preserve">the program against three outcomes: the extent to which MTRP met its objectives; identify lessons for successor-programs; and reflect on where Australia might take its </w:t>
      </w:r>
      <w:r w:rsidR="0731F1C7" w:rsidRPr="180D46D7">
        <w:rPr>
          <w:b w:val="0"/>
          <w:color w:val="auto"/>
          <w:sz w:val="24"/>
          <w:szCs w:val="24"/>
        </w:rPr>
        <w:t>development engagement with AMICs</w:t>
      </w:r>
      <w:r w:rsidR="218942CC" w:rsidRPr="180D46D7">
        <w:rPr>
          <w:b w:val="0"/>
          <w:color w:val="auto"/>
          <w:sz w:val="24"/>
          <w:szCs w:val="24"/>
        </w:rPr>
        <w:t>.</w:t>
      </w:r>
    </w:p>
    <w:p w14:paraId="2907FFF5" w14:textId="1058A917" w:rsidR="004F6D1A" w:rsidRPr="00E311EB" w:rsidRDefault="4199BBD4" w:rsidP="00E311EB">
      <w:pPr>
        <w:pStyle w:val="Heading2"/>
      </w:pPr>
      <w:r w:rsidRPr="00E311EB">
        <w:t>DFAT RESPONSE TO THE EVALUATION</w:t>
      </w:r>
    </w:p>
    <w:p w14:paraId="3BE140BE" w14:textId="70E7B188" w:rsidR="004F6D1A" w:rsidRPr="000F6212" w:rsidRDefault="53E42FFA" w:rsidP="180D46D7">
      <w:pPr>
        <w:widowControl w:val="0"/>
        <w:spacing w:line="240" w:lineRule="auto"/>
        <w:rPr>
          <w:color w:val="auto"/>
          <w:sz w:val="24"/>
          <w:szCs w:val="24"/>
        </w:rPr>
      </w:pPr>
      <w:r w:rsidRPr="180D46D7">
        <w:rPr>
          <w:color w:val="auto"/>
          <w:sz w:val="24"/>
          <w:szCs w:val="24"/>
        </w:rPr>
        <w:t>DFAT welcome</w:t>
      </w:r>
      <w:r w:rsidR="4DC804A5" w:rsidRPr="180D46D7">
        <w:rPr>
          <w:color w:val="auto"/>
          <w:sz w:val="24"/>
          <w:szCs w:val="24"/>
        </w:rPr>
        <w:t>s</w:t>
      </w:r>
      <w:r w:rsidRPr="180D46D7">
        <w:rPr>
          <w:color w:val="auto"/>
          <w:sz w:val="24"/>
          <w:szCs w:val="24"/>
        </w:rPr>
        <w:t xml:space="preserve"> the </w:t>
      </w:r>
      <w:r w:rsidR="6548DB8F" w:rsidRPr="180D46D7">
        <w:rPr>
          <w:color w:val="auto"/>
          <w:sz w:val="24"/>
          <w:szCs w:val="24"/>
        </w:rPr>
        <w:t>final</w:t>
      </w:r>
      <w:r w:rsidRPr="180D46D7">
        <w:rPr>
          <w:color w:val="auto"/>
          <w:sz w:val="24"/>
          <w:szCs w:val="24"/>
        </w:rPr>
        <w:t xml:space="preserve"> evaluation of </w:t>
      </w:r>
      <w:r w:rsidR="40B802E7" w:rsidRPr="180D46D7">
        <w:rPr>
          <w:color w:val="auto"/>
          <w:sz w:val="24"/>
          <w:szCs w:val="24"/>
        </w:rPr>
        <w:t>MTRP</w:t>
      </w:r>
      <w:r w:rsidRPr="180D46D7">
        <w:rPr>
          <w:color w:val="auto"/>
          <w:sz w:val="24"/>
          <w:szCs w:val="24"/>
        </w:rPr>
        <w:t xml:space="preserve">. </w:t>
      </w:r>
      <w:r w:rsidR="6E06B85D" w:rsidRPr="180D46D7">
        <w:rPr>
          <w:color w:val="auto"/>
          <w:sz w:val="24"/>
          <w:szCs w:val="24"/>
        </w:rPr>
        <w:t xml:space="preserve">DFAT and TAF </w:t>
      </w:r>
      <w:r w:rsidRPr="180D46D7">
        <w:rPr>
          <w:color w:val="auto"/>
          <w:sz w:val="24"/>
          <w:szCs w:val="24"/>
        </w:rPr>
        <w:t xml:space="preserve">consider it to be a robust and fair assessment of the strengths and challenges of the program. The evaluation provides valuable insights to sharpen program performance </w:t>
      </w:r>
      <w:r w:rsidR="6548DB8F" w:rsidRPr="180D46D7">
        <w:rPr>
          <w:color w:val="auto"/>
          <w:sz w:val="24"/>
          <w:szCs w:val="24"/>
        </w:rPr>
        <w:t>in</w:t>
      </w:r>
      <w:r w:rsidR="0E7DEAEB" w:rsidRPr="180D46D7">
        <w:rPr>
          <w:color w:val="auto"/>
          <w:sz w:val="24"/>
          <w:szCs w:val="24"/>
        </w:rPr>
        <w:t xml:space="preserve"> any successor programs and will</w:t>
      </w:r>
      <w:r w:rsidRPr="180D46D7">
        <w:rPr>
          <w:color w:val="auto"/>
          <w:sz w:val="24"/>
          <w:szCs w:val="24"/>
        </w:rPr>
        <w:t xml:space="preserve"> </w:t>
      </w:r>
      <w:r w:rsidR="40B802E7" w:rsidRPr="180D46D7">
        <w:rPr>
          <w:color w:val="auto"/>
          <w:sz w:val="24"/>
          <w:szCs w:val="24"/>
        </w:rPr>
        <w:t>inform the design of future policy and reform based, agile programming</w:t>
      </w:r>
      <w:r w:rsidRPr="180D46D7">
        <w:rPr>
          <w:color w:val="auto"/>
          <w:sz w:val="24"/>
          <w:szCs w:val="24"/>
        </w:rPr>
        <w:t xml:space="preserve">. </w:t>
      </w:r>
      <w:r w:rsidR="0D4898DA" w:rsidRPr="180D46D7">
        <w:rPr>
          <w:color w:val="auto"/>
          <w:sz w:val="24"/>
          <w:szCs w:val="24"/>
        </w:rPr>
        <w:t>We agree</w:t>
      </w:r>
      <w:r w:rsidR="3B2E546B" w:rsidRPr="180D46D7">
        <w:rPr>
          <w:color w:val="auto"/>
          <w:sz w:val="24"/>
          <w:szCs w:val="24"/>
        </w:rPr>
        <w:t xml:space="preserve"> </w:t>
      </w:r>
      <w:r w:rsidR="0D4898DA" w:rsidRPr="180D46D7">
        <w:rPr>
          <w:color w:val="auto"/>
          <w:sz w:val="24"/>
          <w:szCs w:val="24"/>
        </w:rPr>
        <w:t xml:space="preserve">to </w:t>
      </w:r>
      <w:r w:rsidR="1B7F8DEB" w:rsidRPr="180D46D7">
        <w:rPr>
          <w:color w:val="auto"/>
          <w:sz w:val="24"/>
          <w:szCs w:val="24"/>
        </w:rPr>
        <w:t>five</w:t>
      </w:r>
      <w:r w:rsidR="0D4898DA" w:rsidRPr="180D46D7">
        <w:rPr>
          <w:color w:val="auto"/>
          <w:sz w:val="24"/>
          <w:szCs w:val="24"/>
        </w:rPr>
        <w:t xml:space="preserve"> recommendations of the </w:t>
      </w:r>
      <w:r w:rsidR="3D8449AA" w:rsidRPr="180D46D7">
        <w:rPr>
          <w:color w:val="auto"/>
          <w:sz w:val="24"/>
          <w:szCs w:val="24"/>
        </w:rPr>
        <w:t>final</w:t>
      </w:r>
      <w:r w:rsidR="0D4898DA" w:rsidRPr="180D46D7">
        <w:rPr>
          <w:color w:val="auto"/>
          <w:sz w:val="24"/>
          <w:szCs w:val="24"/>
        </w:rPr>
        <w:t xml:space="preserve"> evaluation</w:t>
      </w:r>
      <w:r w:rsidRPr="180D46D7">
        <w:rPr>
          <w:color w:val="auto"/>
          <w:sz w:val="24"/>
          <w:szCs w:val="24"/>
        </w:rPr>
        <w:t xml:space="preserve"> and</w:t>
      </w:r>
      <w:r w:rsidR="0667AF81" w:rsidRPr="180D46D7">
        <w:rPr>
          <w:color w:val="auto"/>
          <w:sz w:val="24"/>
          <w:szCs w:val="24"/>
        </w:rPr>
        <w:t xml:space="preserve"> partially-agree with </w:t>
      </w:r>
      <w:r w:rsidR="6B6C4D28" w:rsidRPr="180D46D7">
        <w:rPr>
          <w:color w:val="auto"/>
          <w:sz w:val="24"/>
          <w:szCs w:val="24"/>
        </w:rPr>
        <w:t>three</w:t>
      </w:r>
      <w:r w:rsidR="61D403C9" w:rsidRPr="180D46D7">
        <w:rPr>
          <w:color w:val="auto"/>
          <w:sz w:val="24"/>
          <w:szCs w:val="24"/>
        </w:rPr>
        <w:t xml:space="preserve"> </w:t>
      </w:r>
      <w:r w:rsidR="0667AF81" w:rsidRPr="180D46D7">
        <w:rPr>
          <w:color w:val="auto"/>
          <w:sz w:val="24"/>
          <w:szCs w:val="24"/>
        </w:rPr>
        <w:t>recommendation</w:t>
      </w:r>
      <w:r w:rsidR="022F67B2" w:rsidRPr="180D46D7">
        <w:rPr>
          <w:color w:val="auto"/>
          <w:sz w:val="24"/>
          <w:szCs w:val="24"/>
        </w:rPr>
        <w:t>s</w:t>
      </w:r>
      <w:r w:rsidR="0667AF81" w:rsidRPr="180D46D7">
        <w:rPr>
          <w:color w:val="auto"/>
          <w:sz w:val="24"/>
          <w:szCs w:val="24"/>
        </w:rPr>
        <w:t>.</w:t>
      </w:r>
      <w:r w:rsidR="4F511F99" w:rsidRPr="180D46D7">
        <w:rPr>
          <w:color w:val="auto"/>
          <w:sz w:val="24"/>
          <w:szCs w:val="24"/>
        </w:rPr>
        <w:t xml:space="preserve"> We do not agree with one recommendation, and note a further recommendation.</w:t>
      </w:r>
    </w:p>
    <w:p w14:paraId="244078DD" w14:textId="77777777" w:rsidR="00E91B4D" w:rsidRDefault="5705D1E1" w:rsidP="180D46D7">
      <w:pPr>
        <w:pStyle w:val="TableHeaderRow"/>
        <w:framePr w:hSpace="0" w:wrap="auto" w:vAnchor="margin" w:hAnchor="text" w:yAlign="inline" w:anchorLock="1"/>
        <w:contextualSpacing/>
        <w:rPr>
          <w:rFonts w:asciiTheme="minorHAnsi" w:hAnsiTheme="minorHAnsi"/>
          <w:b w:val="0"/>
          <w:color w:val="auto"/>
          <w:sz w:val="24"/>
          <w:szCs w:val="24"/>
        </w:rPr>
        <w:sectPr w:rsidR="00E91B4D" w:rsidSect="00E91B4D">
          <w:headerReference w:type="default" r:id="rId8"/>
          <w:footerReference w:type="default" r:id="rId9"/>
          <w:headerReference w:type="first" r:id="rId10"/>
          <w:footerReference w:type="first" r:id="rId11"/>
          <w:pgSz w:w="11906" w:h="16838" w:code="9"/>
          <w:pgMar w:top="1134" w:right="1418" w:bottom="1134" w:left="1701" w:header="284" w:footer="318" w:gutter="0"/>
          <w:cols w:space="397"/>
          <w:titlePg/>
          <w:docGrid w:linePitch="360"/>
        </w:sectPr>
      </w:pPr>
      <w:r w:rsidRPr="180D46D7">
        <w:rPr>
          <w:rFonts w:asciiTheme="minorHAnsi" w:hAnsiTheme="minorHAnsi"/>
          <w:b w:val="0"/>
          <w:color w:val="auto"/>
          <w:sz w:val="24"/>
          <w:szCs w:val="24"/>
        </w:rPr>
        <w:t xml:space="preserve">MTRP </w:t>
      </w:r>
      <w:r w:rsidR="614300C4" w:rsidRPr="180D46D7">
        <w:rPr>
          <w:rFonts w:asciiTheme="minorHAnsi" w:hAnsiTheme="minorHAnsi"/>
          <w:b w:val="0"/>
          <w:color w:val="auto"/>
          <w:sz w:val="24"/>
          <w:szCs w:val="24"/>
        </w:rPr>
        <w:t>has been</w:t>
      </w:r>
      <w:r w:rsidRPr="180D46D7">
        <w:rPr>
          <w:rFonts w:asciiTheme="minorHAnsi" w:hAnsiTheme="minorHAnsi"/>
          <w:b w:val="0"/>
          <w:color w:val="auto"/>
          <w:sz w:val="24"/>
          <w:szCs w:val="24"/>
        </w:rPr>
        <w:t xml:space="preserve"> succeeded by separate investments for Thailand and Malaysia modelled on MTRP which will continue the existing reform initiatives and possibly add new reform initiatives. </w:t>
      </w:r>
      <w:r w:rsidR="40B802E7" w:rsidRPr="180D46D7">
        <w:rPr>
          <w:rFonts w:asciiTheme="minorHAnsi" w:hAnsiTheme="minorHAnsi"/>
          <w:b w:val="0"/>
          <w:color w:val="auto"/>
          <w:sz w:val="24"/>
          <w:szCs w:val="24"/>
        </w:rPr>
        <w:t>The Australia</w:t>
      </w:r>
      <w:r w:rsidR="140B2284" w:rsidRPr="180D46D7">
        <w:rPr>
          <w:rFonts w:asciiTheme="minorHAnsi" w:hAnsiTheme="minorHAnsi"/>
          <w:b w:val="0"/>
          <w:color w:val="auto"/>
          <w:sz w:val="24"/>
          <w:szCs w:val="24"/>
        </w:rPr>
        <w:t>-</w:t>
      </w:r>
      <w:r w:rsidR="40B802E7" w:rsidRPr="180D46D7">
        <w:rPr>
          <w:rFonts w:asciiTheme="minorHAnsi" w:hAnsiTheme="minorHAnsi"/>
          <w:b w:val="0"/>
          <w:color w:val="auto"/>
          <w:sz w:val="24"/>
          <w:szCs w:val="24"/>
        </w:rPr>
        <w:t xml:space="preserve">Thailand </w:t>
      </w:r>
      <w:r w:rsidR="140B2284" w:rsidRPr="180D46D7">
        <w:rPr>
          <w:rFonts w:asciiTheme="minorHAnsi" w:hAnsiTheme="minorHAnsi"/>
          <w:b w:val="0"/>
          <w:color w:val="auto"/>
          <w:sz w:val="24"/>
          <w:szCs w:val="24"/>
        </w:rPr>
        <w:t>Economic Resilience Partnerships</w:t>
      </w:r>
      <w:r w:rsidR="40B802E7" w:rsidRPr="180D46D7">
        <w:rPr>
          <w:rFonts w:asciiTheme="minorHAnsi" w:hAnsiTheme="minorHAnsi"/>
          <w:b w:val="0"/>
          <w:color w:val="auto"/>
          <w:sz w:val="24"/>
          <w:szCs w:val="24"/>
        </w:rPr>
        <w:t xml:space="preserve"> (ATERP)</w:t>
      </w:r>
      <w:r w:rsidR="0667AF81" w:rsidRPr="180D46D7">
        <w:rPr>
          <w:rFonts w:asciiTheme="minorHAnsi" w:hAnsiTheme="minorHAnsi"/>
          <w:b w:val="0"/>
          <w:color w:val="auto"/>
          <w:sz w:val="24"/>
          <w:szCs w:val="24"/>
        </w:rPr>
        <w:t xml:space="preserve"> program</w:t>
      </w:r>
      <w:r w:rsidR="40B802E7" w:rsidRPr="180D46D7">
        <w:rPr>
          <w:rFonts w:asciiTheme="minorHAnsi" w:hAnsiTheme="minorHAnsi"/>
          <w:b w:val="0"/>
          <w:color w:val="auto"/>
          <w:sz w:val="24"/>
          <w:szCs w:val="24"/>
        </w:rPr>
        <w:t xml:space="preserve"> commenced in </w:t>
      </w:r>
      <w:r w:rsidR="608FDD0B" w:rsidRPr="180D46D7">
        <w:rPr>
          <w:rFonts w:asciiTheme="minorHAnsi" w:hAnsiTheme="minorHAnsi"/>
          <w:b w:val="0"/>
          <w:color w:val="auto"/>
          <w:sz w:val="24"/>
          <w:szCs w:val="24"/>
        </w:rPr>
        <w:t>June 2021</w:t>
      </w:r>
      <w:r w:rsidR="40B802E7" w:rsidRPr="180D46D7">
        <w:rPr>
          <w:rFonts w:asciiTheme="minorHAnsi" w:hAnsiTheme="minorHAnsi"/>
          <w:b w:val="0"/>
          <w:color w:val="auto"/>
          <w:sz w:val="24"/>
          <w:szCs w:val="24"/>
        </w:rPr>
        <w:t xml:space="preserve"> </w:t>
      </w:r>
      <w:r w:rsidR="614300C4" w:rsidRPr="180D46D7">
        <w:rPr>
          <w:rFonts w:asciiTheme="minorHAnsi" w:hAnsiTheme="minorHAnsi"/>
          <w:b w:val="0"/>
          <w:color w:val="auto"/>
          <w:sz w:val="24"/>
          <w:szCs w:val="24"/>
        </w:rPr>
        <w:t>(</w:t>
      </w:r>
      <w:r w:rsidR="40B802E7" w:rsidRPr="180D46D7">
        <w:rPr>
          <w:rFonts w:asciiTheme="minorHAnsi" w:hAnsiTheme="minorHAnsi"/>
          <w:b w:val="0"/>
          <w:color w:val="auto"/>
          <w:sz w:val="24"/>
          <w:szCs w:val="24"/>
        </w:rPr>
        <w:t>while MTRP was in its second phase</w:t>
      </w:r>
      <w:r w:rsidR="614300C4" w:rsidRPr="180D46D7">
        <w:rPr>
          <w:rFonts w:asciiTheme="minorHAnsi" w:hAnsiTheme="minorHAnsi"/>
          <w:b w:val="0"/>
          <w:color w:val="auto"/>
          <w:sz w:val="24"/>
          <w:szCs w:val="24"/>
        </w:rPr>
        <w:t>)</w:t>
      </w:r>
      <w:r w:rsidR="40B802E7" w:rsidRPr="180D46D7">
        <w:rPr>
          <w:rFonts w:asciiTheme="minorHAnsi" w:hAnsiTheme="minorHAnsi"/>
          <w:b w:val="0"/>
          <w:color w:val="auto"/>
          <w:sz w:val="24"/>
          <w:szCs w:val="24"/>
        </w:rPr>
        <w:t xml:space="preserve"> and runs until </w:t>
      </w:r>
      <w:r w:rsidR="608FDD0B" w:rsidRPr="180D46D7">
        <w:rPr>
          <w:rFonts w:asciiTheme="minorHAnsi" w:hAnsiTheme="minorHAnsi"/>
          <w:b w:val="0"/>
          <w:color w:val="auto"/>
          <w:sz w:val="24"/>
          <w:szCs w:val="24"/>
        </w:rPr>
        <w:t>December 2024</w:t>
      </w:r>
      <w:r w:rsidR="40B802E7" w:rsidRPr="180D46D7">
        <w:rPr>
          <w:rFonts w:asciiTheme="minorHAnsi" w:hAnsiTheme="minorHAnsi"/>
          <w:b w:val="0"/>
          <w:color w:val="auto"/>
          <w:sz w:val="24"/>
          <w:szCs w:val="24"/>
        </w:rPr>
        <w:t xml:space="preserve">. </w:t>
      </w:r>
      <w:r w:rsidR="3C2DA6A7" w:rsidRPr="180D46D7">
        <w:rPr>
          <w:rFonts w:asciiTheme="minorHAnsi" w:hAnsiTheme="minorHAnsi"/>
          <w:b w:val="0"/>
          <w:color w:val="auto"/>
          <w:sz w:val="24"/>
          <w:szCs w:val="24"/>
        </w:rPr>
        <w:t>The Australia</w:t>
      </w:r>
      <w:r w:rsidR="608FDD0B" w:rsidRPr="180D46D7">
        <w:rPr>
          <w:rFonts w:asciiTheme="minorHAnsi" w:hAnsiTheme="minorHAnsi"/>
          <w:b w:val="0"/>
          <w:color w:val="auto"/>
          <w:sz w:val="24"/>
          <w:szCs w:val="24"/>
        </w:rPr>
        <w:t>-</w:t>
      </w:r>
      <w:r w:rsidR="3C2DA6A7" w:rsidRPr="180D46D7">
        <w:rPr>
          <w:rFonts w:asciiTheme="minorHAnsi" w:hAnsiTheme="minorHAnsi"/>
          <w:b w:val="0"/>
          <w:color w:val="auto"/>
          <w:sz w:val="24"/>
          <w:szCs w:val="24"/>
        </w:rPr>
        <w:t xml:space="preserve">Malaysia Reform </w:t>
      </w:r>
      <w:r w:rsidR="40918DE0" w:rsidRPr="180D46D7">
        <w:rPr>
          <w:rFonts w:asciiTheme="minorHAnsi" w:hAnsiTheme="minorHAnsi"/>
          <w:b w:val="0"/>
          <w:color w:val="auto"/>
          <w:sz w:val="24"/>
          <w:szCs w:val="24"/>
        </w:rPr>
        <w:t>Partnership</w:t>
      </w:r>
      <w:r w:rsidR="3C2DA6A7" w:rsidRPr="180D46D7">
        <w:rPr>
          <w:rFonts w:asciiTheme="minorHAnsi" w:hAnsiTheme="minorHAnsi"/>
          <w:b w:val="0"/>
          <w:color w:val="auto"/>
          <w:sz w:val="24"/>
          <w:szCs w:val="24"/>
        </w:rPr>
        <w:t xml:space="preserve"> (AMRP) commenced </w:t>
      </w:r>
      <w:r w:rsidR="3B840BBD" w:rsidRPr="180D46D7">
        <w:rPr>
          <w:rFonts w:asciiTheme="minorHAnsi" w:hAnsiTheme="minorHAnsi"/>
          <w:b w:val="0"/>
          <w:color w:val="auto"/>
          <w:sz w:val="24"/>
          <w:szCs w:val="24"/>
        </w:rPr>
        <w:t xml:space="preserve">in </w:t>
      </w:r>
      <w:r w:rsidR="608FDD0B" w:rsidRPr="180D46D7">
        <w:rPr>
          <w:rFonts w:asciiTheme="minorHAnsi" w:hAnsiTheme="minorHAnsi"/>
          <w:b w:val="0"/>
          <w:color w:val="auto"/>
          <w:sz w:val="24"/>
          <w:szCs w:val="24"/>
        </w:rPr>
        <w:t>October</w:t>
      </w:r>
      <w:r w:rsidR="3B840BBD" w:rsidRPr="180D46D7">
        <w:rPr>
          <w:rFonts w:asciiTheme="minorHAnsi" w:hAnsiTheme="minorHAnsi"/>
          <w:b w:val="0"/>
          <w:color w:val="auto"/>
          <w:sz w:val="24"/>
          <w:szCs w:val="24"/>
        </w:rPr>
        <w:t xml:space="preserve"> 2022 at the end of MTRP and run</w:t>
      </w:r>
      <w:r w:rsidR="614300C4" w:rsidRPr="180D46D7">
        <w:rPr>
          <w:rFonts w:asciiTheme="minorHAnsi" w:hAnsiTheme="minorHAnsi"/>
          <w:b w:val="0"/>
          <w:color w:val="auto"/>
          <w:sz w:val="24"/>
          <w:szCs w:val="24"/>
        </w:rPr>
        <w:t>s</w:t>
      </w:r>
      <w:r w:rsidR="3B840BBD" w:rsidRPr="180D46D7">
        <w:rPr>
          <w:rFonts w:asciiTheme="minorHAnsi" w:hAnsiTheme="minorHAnsi"/>
          <w:b w:val="0"/>
          <w:color w:val="auto"/>
          <w:sz w:val="24"/>
          <w:szCs w:val="24"/>
        </w:rPr>
        <w:t xml:space="preserve"> for four years until </w:t>
      </w:r>
      <w:r w:rsidR="608FDD0B" w:rsidRPr="180D46D7">
        <w:rPr>
          <w:rFonts w:asciiTheme="minorHAnsi" w:hAnsiTheme="minorHAnsi"/>
          <w:b w:val="0"/>
          <w:color w:val="auto"/>
          <w:sz w:val="24"/>
          <w:szCs w:val="24"/>
        </w:rPr>
        <w:t>S</w:t>
      </w:r>
      <w:r w:rsidR="5727EDFF" w:rsidRPr="180D46D7">
        <w:rPr>
          <w:rFonts w:asciiTheme="minorHAnsi" w:hAnsiTheme="minorHAnsi"/>
          <w:b w:val="0"/>
          <w:color w:val="auto"/>
          <w:sz w:val="24"/>
          <w:szCs w:val="24"/>
        </w:rPr>
        <w:t>eptember 2026</w:t>
      </w:r>
      <w:r w:rsidR="3B840BBD" w:rsidRPr="180D46D7">
        <w:rPr>
          <w:rFonts w:asciiTheme="minorHAnsi" w:hAnsiTheme="minorHAnsi"/>
          <w:b w:val="0"/>
          <w:color w:val="auto"/>
          <w:sz w:val="24"/>
          <w:szCs w:val="24"/>
        </w:rPr>
        <w:t xml:space="preserve">. </w:t>
      </w:r>
      <w:r w:rsidR="392D1ECC" w:rsidRPr="180D46D7">
        <w:rPr>
          <w:rFonts w:asciiTheme="minorHAnsi" w:hAnsiTheme="minorHAnsi"/>
          <w:b w:val="0"/>
          <w:color w:val="auto"/>
          <w:sz w:val="24"/>
          <w:szCs w:val="24"/>
        </w:rPr>
        <w:t>Many of t</w:t>
      </w:r>
      <w:r w:rsidR="0667AF81" w:rsidRPr="180D46D7">
        <w:rPr>
          <w:rFonts w:asciiTheme="minorHAnsi" w:hAnsiTheme="minorHAnsi"/>
          <w:b w:val="0"/>
          <w:color w:val="auto"/>
          <w:sz w:val="24"/>
          <w:szCs w:val="24"/>
        </w:rPr>
        <w:t xml:space="preserve">hese recommendations </w:t>
      </w:r>
      <w:r w:rsidR="0FE615EE" w:rsidRPr="180D46D7">
        <w:rPr>
          <w:rFonts w:asciiTheme="minorHAnsi" w:hAnsiTheme="minorHAnsi"/>
          <w:b w:val="0"/>
          <w:color w:val="auto"/>
          <w:sz w:val="24"/>
          <w:szCs w:val="24"/>
        </w:rPr>
        <w:t xml:space="preserve">have or </w:t>
      </w:r>
      <w:r w:rsidR="0667AF81" w:rsidRPr="180D46D7">
        <w:rPr>
          <w:rFonts w:asciiTheme="minorHAnsi" w:hAnsiTheme="minorHAnsi"/>
          <w:b w:val="0"/>
          <w:color w:val="auto"/>
          <w:sz w:val="24"/>
          <w:szCs w:val="24"/>
        </w:rPr>
        <w:t>will continue to be implemented</w:t>
      </w:r>
      <w:r w:rsidR="40918DE0" w:rsidRPr="180D46D7">
        <w:rPr>
          <w:rFonts w:asciiTheme="minorHAnsi" w:hAnsiTheme="minorHAnsi"/>
          <w:b w:val="0"/>
          <w:color w:val="auto"/>
          <w:sz w:val="24"/>
          <w:szCs w:val="24"/>
        </w:rPr>
        <w:t xml:space="preserve"> over the course of these programs</w:t>
      </w:r>
      <w:r w:rsidR="0667AF81" w:rsidRPr="180D46D7">
        <w:rPr>
          <w:rFonts w:asciiTheme="minorHAnsi" w:hAnsiTheme="minorHAnsi"/>
          <w:b w:val="0"/>
          <w:color w:val="auto"/>
          <w:sz w:val="24"/>
          <w:szCs w:val="24"/>
        </w:rPr>
        <w:t>.</w:t>
      </w:r>
    </w:p>
    <w:p w14:paraId="12BD9A93" w14:textId="4FC1B2C2" w:rsidR="00F37AE3" w:rsidRPr="00915221" w:rsidRDefault="00436D1F" w:rsidP="00436D1F">
      <w:pPr>
        <w:pStyle w:val="Heading2"/>
        <w:rPr>
          <w:color w:val="auto"/>
          <w:highlight w:val="yellow"/>
        </w:rPr>
      </w:pPr>
      <w:r w:rsidRPr="00915221">
        <w:lastRenderedPageBreak/>
        <w:t>DFAT-TAF Joint Response to the Recommendations</w:t>
      </w:r>
    </w:p>
    <w:tbl>
      <w:tblPr>
        <w:tblStyle w:val="GridTable4-Accent1"/>
        <w:tblW w:w="0" w:type="auto"/>
        <w:tblLook w:val="04A0" w:firstRow="1" w:lastRow="0" w:firstColumn="1" w:lastColumn="0" w:noHBand="0" w:noVBand="1"/>
      </w:tblPr>
      <w:tblGrid>
        <w:gridCol w:w="5699"/>
        <w:gridCol w:w="1818"/>
        <w:gridCol w:w="7043"/>
      </w:tblGrid>
      <w:tr w:rsidR="00781673" w:rsidRPr="00915221" w14:paraId="04918285" w14:textId="77777777" w:rsidTr="00A61F27">
        <w:trPr>
          <w:cnfStyle w:val="100000000000" w:firstRow="1" w:lastRow="0" w:firstColumn="0" w:lastColumn="0" w:oddVBand="0" w:evenVBand="0" w:oddHBand="0" w:evenHBand="0" w:firstRowFirstColumn="0" w:firstRowLastColumn="0" w:lastRowFirstColumn="0" w:lastRowLastColumn="0"/>
          <w:trHeight w:val="697"/>
          <w:tblHeader/>
        </w:trPr>
        <w:tc>
          <w:tcPr>
            <w:cnfStyle w:val="001000000000" w:firstRow="0" w:lastRow="0" w:firstColumn="1" w:lastColumn="0" w:oddVBand="0" w:evenVBand="0" w:oddHBand="0" w:evenHBand="0" w:firstRowFirstColumn="0" w:firstRowLastColumn="0" w:lastRowFirstColumn="0" w:lastRowLastColumn="0"/>
            <w:tcW w:w="5699" w:type="dxa"/>
          </w:tcPr>
          <w:p w14:paraId="525CCF98" w14:textId="0EEF400D" w:rsidR="00781673" w:rsidRPr="00915221" w:rsidRDefault="00781673" w:rsidP="00BF1FAD">
            <w:pPr>
              <w:pStyle w:val="Heading1smallspaceafter"/>
              <w:spacing w:after="0"/>
              <w:rPr>
                <w:rFonts w:asciiTheme="minorHAnsi" w:hAnsiTheme="minorHAnsi" w:cstheme="minorHAnsi"/>
              </w:rPr>
            </w:pPr>
            <w:r w:rsidRPr="00915221">
              <w:rPr>
                <w:rFonts w:asciiTheme="minorHAnsi" w:hAnsiTheme="minorHAnsi" w:cstheme="minorHAnsi"/>
              </w:rPr>
              <w:t>Recommendation</w:t>
            </w:r>
          </w:p>
        </w:tc>
        <w:tc>
          <w:tcPr>
            <w:tcW w:w="1818" w:type="dxa"/>
          </w:tcPr>
          <w:p w14:paraId="4D94E12B" w14:textId="25A22E76" w:rsidR="00781673" w:rsidRPr="00915221" w:rsidRDefault="00781673" w:rsidP="00BF1FAD">
            <w:pPr>
              <w:pStyle w:val="Heading1smallspaceafte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Response</w:t>
            </w:r>
          </w:p>
        </w:tc>
        <w:tc>
          <w:tcPr>
            <w:tcW w:w="7043" w:type="dxa"/>
          </w:tcPr>
          <w:p w14:paraId="638F1E7D" w14:textId="40D7C5ED" w:rsidR="00781673" w:rsidRPr="00915221" w:rsidRDefault="0093693A" w:rsidP="00BF1FAD">
            <w:pPr>
              <w:pStyle w:val="Heading1smallspaceafte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who/what/when</w:t>
            </w:r>
          </w:p>
        </w:tc>
      </w:tr>
      <w:tr w:rsidR="00781673" w:rsidRPr="00915221" w14:paraId="6EA248BD" w14:textId="77777777" w:rsidTr="00A61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9" w:type="dxa"/>
          </w:tcPr>
          <w:p w14:paraId="112D810C" w14:textId="77777777" w:rsidR="00CD55B8" w:rsidRPr="00915221" w:rsidRDefault="536A3275" w:rsidP="180D46D7">
            <w:pPr>
              <w:pStyle w:val="ListParagraph"/>
              <w:numPr>
                <w:ilvl w:val="0"/>
                <w:numId w:val="37"/>
              </w:numPr>
              <w:jc w:val="both"/>
              <w:rPr>
                <w:rFonts w:asciiTheme="minorHAnsi" w:hAnsiTheme="minorHAnsi" w:cstheme="minorBidi"/>
                <w:b w:val="0"/>
                <w:bCs w:val="0"/>
                <w:sz w:val="21"/>
                <w:szCs w:val="21"/>
              </w:rPr>
            </w:pPr>
            <w:r w:rsidRPr="180D46D7">
              <w:rPr>
                <w:rFonts w:asciiTheme="minorHAnsi" w:hAnsiTheme="minorHAnsi" w:cstheme="minorBidi"/>
                <w:b w:val="0"/>
                <w:bCs w:val="0"/>
                <w:sz w:val="21"/>
                <w:szCs w:val="21"/>
              </w:rPr>
              <w:t xml:space="preserve">In any future AMIC work, at any level of ambition, the non-aid character of the development relationship should be protected and strengthened.  This includes by:   </w:t>
            </w:r>
          </w:p>
          <w:p w14:paraId="19BC5246" w14:textId="77777777" w:rsidR="00CD55B8" w:rsidRPr="00915221" w:rsidRDefault="00CD55B8" w:rsidP="00CD55B8">
            <w:pPr>
              <w:pStyle w:val="ListParagraph"/>
              <w:numPr>
                <w:ilvl w:val="0"/>
                <w:numId w:val="38"/>
              </w:numPr>
              <w:spacing w:before="120"/>
              <w:ind w:left="1071" w:hanging="357"/>
              <w:contextualSpacing w:val="0"/>
              <w:jc w:val="both"/>
              <w:rPr>
                <w:rFonts w:asciiTheme="minorHAnsi" w:hAnsiTheme="minorHAnsi" w:cstheme="minorHAnsi"/>
                <w:b w:val="0"/>
                <w:bCs w:val="0"/>
                <w:sz w:val="21"/>
                <w:szCs w:val="21"/>
              </w:rPr>
            </w:pPr>
            <w:r w:rsidRPr="00915221">
              <w:rPr>
                <w:rFonts w:asciiTheme="minorHAnsi" w:hAnsiTheme="minorHAnsi" w:cstheme="minorHAnsi"/>
                <w:b w:val="0"/>
                <w:bCs w:val="0"/>
                <w:sz w:val="21"/>
                <w:szCs w:val="21"/>
              </w:rPr>
              <w:t xml:space="preserve">Maintaining AMIC programs as partnerships, not projects </w:t>
            </w:r>
          </w:p>
          <w:p w14:paraId="68AD01A6" w14:textId="77777777" w:rsidR="00CD55B8" w:rsidRPr="00915221" w:rsidRDefault="00CD55B8" w:rsidP="00052119">
            <w:pPr>
              <w:pStyle w:val="ListParagraph"/>
              <w:numPr>
                <w:ilvl w:val="0"/>
                <w:numId w:val="38"/>
              </w:numPr>
              <w:spacing w:before="120"/>
              <w:ind w:left="1071" w:hanging="357"/>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 xml:space="preserve">Focusing on shared experiences/problems/public policy dilemmas and regional public goods and building in mutuality through ongoing exchange of ideas and solutions </w:t>
            </w:r>
          </w:p>
          <w:p w14:paraId="50251C50" w14:textId="77777777" w:rsidR="00CD55B8" w:rsidRPr="00915221" w:rsidRDefault="536A3275" w:rsidP="180D46D7">
            <w:pPr>
              <w:pStyle w:val="ListParagraph"/>
              <w:numPr>
                <w:ilvl w:val="0"/>
                <w:numId w:val="38"/>
              </w:numPr>
              <w:spacing w:before="120"/>
              <w:ind w:left="1071" w:hanging="357"/>
              <w:jc w:val="both"/>
              <w:rPr>
                <w:rFonts w:asciiTheme="minorHAnsi" w:hAnsiTheme="minorHAnsi" w:cstheme="minorBidi"/>
                <w:b w:val="0"/>
                <w:bCs w:val="0"/>
                <w:sz w:val="21"/>
                <w:szCs w:val="21"/>
              </w:rPr>
            </w:pPr>
            <w:r w:rsidRPr="180D46D7">
              <w:rPr>
                <w:rFonts w:asciiTheme="minorHAnsi" w:hAnsiTheme="minorHAnsi" w:cstheme="minorBidi"/>
                <w:b w:val="0"/>
                <w:bCs w:val="0"/>
                <w:sz w:val="21"/>
                <w:szCs w:val="21"/>
              </w:rPr>
              <w:t>Drawing on non-ODA resources where possible &amp; combined ODA and non-ODA where sensible</w:t>
            </w:r>
          </w:p>
          <w:p w14:paraId="54460D02" w14:textId="77777777" w:rsidR="00052119" w:rsidRPr="00915221" w:rsidRDefault="00CD55B8" w:rsidP="00D309EE">
            <w:pPr>
              <w:pStyle w:val="ListParagraph"/>
              <w:numPr>
                <w:ilvl w:val="0"/>
                <w:numId w:val="38"/>
              </w:numPr>
              <w:spacing w:before="120"/>
              <w:ind w:left="1071" w:hanging="357"/>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 xml:space="preserve">Evolving a new set of good practice working arrangements for AMICs, more based on </w:t>
            </w:r>
            <w:r w:rsidRPr="00915221">
              <w:rPr>
                <w:rFonts w:asciiTheme="minorHAnsi" w:hAnsiTheme="minorHAnsi" w:cstheme="minorHAnsi"/>
                <w:b w:val="0"/>
                <w:bCs w:val="0"/>
                <w:sz w:val="21"/>
                <w:szCs w:val="21"/>
              </w:rPr>
              <w:lastRenderedPageBreak/>
              <w:t xml:space="preserve">overarching public policy and administration than aid machinery </w:t>
            </w:r>
          </w:p>
          <w:p w14:paraId="5D48EB60" w14:textId="66EE0516" w:rsidR="00781673" w:rsidRPr="00915221" w:rsidRDefault="536A3275" w:rsidP="180D46D7">
            <w:pPr>
              <w:pStyle w:val="ListParagraph"/>
              <w:numPr>
                <w:ilvl w:val="0"/>
                <w:numId w:val="38"/>
              </w:numPr>
              <w:spacing w:before="120"/>
              <w:ind w:left="1071" w:hanging="357"/>
              <w:rPr>
                <w:rFonts w:asciiTheme="minorHAnsi" w:hAnsiTheme="minorHAnsi" w:cstheme="minorBidi"/>
                <w:b w:val="0"/>
                <w:bCs w:val="0"/>
                <w:sz w:val="21"/>
                <w:szCs w:val="21"/>
              </w:rPr>
            </w:pPr>
            <w:r w:rsidRPr="180D46D7">
              <w:rPr>
                <w:rFonts w:asciiTheme="minorHAnsi" w:hAnsiTheme="minorHAnsi" w:cstheme="minorBidi"/>
                <w:b w:val="0"/>
                <w:bCs w:val="0"/>
                <w:sz w:val="21"/>
                <w:szCs w:val="21"/>
              </w:rPr>
              <w:t>Managing the relationship and associated activities in the field via appropriately resourced and skilled pol-eco teams, rather than solely aid personnel</w:t>
            </w:r>
          </w:p>
        </w:tc>
        <w:tc>
          <w:tcPr>
            <w:tcW w:w="1818" w:type="dxa"/>
          </w:tcPr>
          <w:p w14:paraId="517AB184" w14:textId="1A937724" w:rsidR="00781673" w:rsidRPr="00915221" w:rsidRDefault="0003312E" w:rsidP="00860259">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15221">
              <w:rPr>
                <w:rFonts w:asciiTheme="minorHAnsi" w:hAnsiTheme="minorHAnsi" w:cstheme="minorHAnsi"/>
              </w:rPr>
              <w:lastRenderedPageBreak/>
              <w:t>PARTIALLY</w:t>
            </w:r>
            <w:r w:rsidR="00CD55B8" w:rsidRPr="00915221">
              <w:rPr>
                <w:rFonts w:asciiTheme="minorHAnsi" w:hAnsiTheme="minorHAnsi" w:cstheme="minorHAnsi"/>
              </w:rPr>
              <w:t xml:space="preserve"> </w:t>
            </w:r>
            <w:r w:rsidR="0024171F" w:rsidRPr="00915221">
              <w:rPr>
                <w:rFonts w:asciiTheme="minorHAnsi" w:hAnsiTheme="minorHAnsi" w:cstheme="minorHAnsi"/>
              </w:rPr>
              <w:t>A</w:t>
            </w:r>
            <w:r w:rsidR="00860259" w:rsidRPr="00915221">
              <w:rPr>
                <w:rFonts w:asciiTheme="minorHAnsi" w:hAnsiTheme="minorHAnsi" w:cstheme="minorHAnsi"/>
              </w:rPr>
              <w:t>GREED</w:t>
            </w:r>
          </w:p>
        </w:tc>
        <w:tc>
          <w:tcPr>
            <w:tcW w:w="7043" w:type="dxa"/>
          </w:tcPr>
          <w:p w14:paraId="59E704CF" w14:textId="163D7B40" w:rsidR="00781673" w:rsidRPr="00915221" w:rsidRDefault="0061483A" w:rsidP="00860259">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L</w:t>
            </w:r>
            <w:r w:rsidR="00860259" w:rsidRPr="00915221">
              <w:rPr>
                <w:rFonts w:asciiTheme="minorHAnsi" w:hAnsiTheme="minorHAnsi" w:cstheme="minorHAnsi"/>
              </w:rPr>
              <w:t>EAD</w:t>
            </w:r>
            <w:r w:rsidRPr="00915221">
              <w:rPr>
                <w:rFonts w:asciiTheme="minorHAnsi" w:hAnsiTheme="minorHAnsi" w:cstheme="minorHAnsi"/>
              </w:rPr>
              <w:t xml:space="preserve">: </w:t>
            </w:r>
            <w:r w:rsidR="00D309EE" w:rsidRPr="00915221">
              <w:rPr>
                <w:rFonts w:asciiTheme="minorHAnsi" w:hAnsiTheme="minorHAnsi" w:cstheme="minorHAnsi"/>
              </w:rPr>
              <w:t xml:space="preserve">Office of Southeast Asia </w:t>
            </w:r>
            <w:r w:rsidR="00C7043A" w:rsidRPr="00915221">
              <w:rPr>
                <w:rFonts w:asciiTheme="minorHAnsi" w:hAnsiTheme="minorHAnsi" w:cstheme="minorHAnsi"/>
              </w:rPr>
              <w:t>and Post</w:t>
            </w:r>
          </w:p>
          <w:p w14:paraId="3A317A69" w14:textId="3CC47CED" w:rsidR="00D309EE" w:rsidRDefault="3B2E546B" w:rsidP="180D46D7">
            <w:pPr>
              <w:pStyle w:val="TableHeaderRow"/>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180D46D7">
              <w:rPr>
                <w:rFonts w:asciiTheme="minorHAnsi" w:hAnsiTheme="minorHAnsi"/>
              </w:rPr>
              <w:t xml:space="preserve">BY: </w:t>
            </w:r>
            <w:r w:rsidR="02BB37B6" w:rsidRPr="180D46D7">
              <w:rPr>
                <w:rFonts w:asciiTheme="minorHAnsi" w:hAnsiTheme="minorHAnsi"/>
              </w:rPr>
              <w:t>Ongoing</w:t>
            </w:r>
          </w:p>
          <w:p w14:paraId="623F2E59" w14:textId="3E5D63E3" w:rsidR="180D46D7" w:rsidRDefault="180D46D7" w:rsidP="180D46D7">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p>
          <w:p w14:paraId="47537C63" w14:textId="13D53077" w:rsidR="003441CB" w:rsidRPr="00915221" w:rsidRDefault="614300C4" w:rsidP="180D46D7">
            <w:pPr>
              <w:pStyle w:val="TableHeaderRow"/>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r w:rsidRPr="180D46D7">
              <w:rPr>
                <w:rFonts w:asciiTheme="minorHAnsi" w:hAnsiTheme="minorHAnsi"/>
                <w:b w:val="0"/>
              </w:rPr>
              <w:t>DFAT agrees to 1(</w:t>
            </w:r>
            <w:proofErr w:type="spellStart"/>
            <w:r w:rsidRPr="180D46D7">
              <w:rPr>
                <w:rFonts w:asciiTheme="minorHAnsi" w:hAnsiTheme="minorHAnsi"/>
                <w:b w:val="0"/>
              </w:rPr>
              <w:t>i</w:t>
            </w:r>
            <w:proofErr w:type="spellEnd"/>
            <w:r w:rsidRPr="180D46D7">
              <w:rPr>
                <w:rFonts w:asciiTheme="minorHAnsi" w:hAnsiTheme="minorHAnsi"/>
                <w:b w:val="0"/>
              </w:rPr>
              <w:t>), (ii) and (iv).</w:t>
            </w:r>
            <w:r w:rsidR="65F6C90A" w:rsidRPr="180D46D7">
              <w:rPr>
                <w:rFonts w:asciiTheme="minorHAnsi" w:hAnsiTheme="minorHAnsi"/>
                <w:b w:val="0"/>
              </w:rPr>
              <w:t xml:space="preserve"> </w:t>
            </w:r>
            <w:r w:rsidRPr="180D46D7">
              <w:rPr>
                <w:rFonts w:asciiTheme="minorHAnsi" w:hAnsiTheme="minorHAnsi"/>
                <w:b w:val="0"/>
              </w:rPr>
              <w:t>DFAT partially agrees to 1(iii) and (v)</w:t>
            </w:r>
            <w:r w:rsidR="6B1BB4CB" w:rsidRPr="180D46D7">
              <w:rPr>
                <w:rFonts w:asciiTheme="minorHAnsi" w:hAnsiTheme="minorHAnsi"/>
                <w:b w:val="0"/>
              </w:rPr>
              <w:t>.</w:t>
            </w:r>
          </w:p>
          <w:p w14:paraId="4C70ED31" w14:textId="5C90B27D" w:rsidR="180D46D7" w:rsidRDefault="180D46D7" w:rsidP="180D46D7">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p>
          <w:p w14:paraId="77B50A8A" w14:textId="159D9313" w:rsidR="00FE692B" w:rsidRPr="00915221" w:rsidRDefault="7C10EC32" w:rsidP="180D46D7">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r w:rsidRPr="180D46D7">
              <w:rPr>
                <w:rFonts w:asciiTheme="minorHAnsi" w:hAnsiTheme="minorHAnsi"/>
                <w:b w:val="0"/>
              </w:rPr>
              <w:t>DFAT will seek o</w:t>
            </w:r>
            <w:r w:rsidR="6BF6D59D" w:rsidRPr="180D46D7">
              <w:rPr>
                <w:rFonts w:asciiTheme="minorHAnsi" w:hAnsiTheme="minorHAnsi"/>
                <w:b w:val="0"/>
              </w:rPr>
              <w:t xml:space="preserve">pportunities to complement ODA </w:t>
            </w:r>
            <w:r w:rsidR="4D0E601B" w:rsidRPr="180D46D7">
              <w:rPr>
                <w:rFonts w:asciiTheme="minorHAnsi" w:hAnsiTheme="minorHAnsi"/>
                <w:b w:val="0"/>
              </w:rPr>
              <w:t>programming</w:t>
            </w:r>
            <w:r w:rsidR="79633354" w:rsidRPr="180D46D7">
              <w:rPr>
                <w:rFonts w:asciiTheme="minorHAnsi" w:hAnsiTheme="minorHAnsi"/>
                <w:b w:val="0"/>
              </w:rPr>
              <w:t xml:space="preserve"> </w:t>
            </w:r>
            <w:r w:rsidR="4D0E601B" w:rsidRPr="180D46D7">
              <w:rPr>
                <w:rFonts w:asciiTheme="minorHAnsi" w:hAnsiTheme="minorHAnsi"/>
                <w:b w:val="0"/>
              </w:rPr>
              <w:t>in</w:t>
            </w:r>
            <w:r w:rsidR="79633354" w:rsidRPr="180D46D7">
              <w:rPr>
                <w:rFonts w:asciiTheme="minorHAnsi" w:hAnsiTheme="minorHAnsi"/>
                <w:b w:val="0"/>
              </w:rPr>
              <w:t xml:space="preserve"> Malaysia and Thailand with </w:t>
            </w:r>
            <w:r w:rsidR="4A0EEDF6" w:rsidRPr="180D46D7">
              <w:rPr>
                <w:rFonts w:asciiTheme="minorHAnsi" w:hAnsiTheme="minorHAnsi"/>
                <w:b w:val="0"/>
              </w:rPr>
              <w:t>non-ODA</w:t>
            </w:r>
            <w:r w:rsidR="65804860" w:rsidRPr="180D46D7">
              <w:rPr>
                <w:rFonts w:asciiTheme="minorHAnsi" w:hAnsiTheme="minorHAnsi"/>
                <w:b w:val="0"/>
              </w:rPr>
              <w:t xml:space="preserve"> </w:t>
            </w:r>
            <w:r w:rsidR="4D0E601B" w:rsidRPr="180D46D7">
              <w:rPr>
                <w:rFonts w:asciiTheme="minorHAnsi" w:hAnsiTheme="minorHAnsi"/>
                <w:b w:val="0"/>
              </w:rPr>
              <w:t>activities</w:t>
            </w:r>
            <w:r w:rsidR="6BF6D59D" w:rsidRPr="180D46D7">
              <w:rPr>
                <w:rFonts w:asciiTheme="minorHAnsi" w:hAnsiTheme="minorHAnsi"/>
                <w:b w:val="0"/>
              </w:rPr>
              <w:t xml:space="preserve"> or </w:t>
            </w:r>
            <w:r w:rsidR="79633354" w:rsidRPr="180D46D7">
              <w:rPr>
                <w:rFonts w:asciiTheme="minorHAnsi" w:hAnsiTheme="minorHAnsi"/>
                <w:b w:val="0"/>
              </w:rPr>
              <w:t xml:space="preserve">other tools of diplomacy </w:t>
            </w:r>
            <w:r w:rsidRPr="180D46D7">
              <w:rPr>
                <w:rFonts w:asciiTheme="minorHAnsi" w:hAnsiTheme="minorHAnsi"/>
                <w:b w:val="0"/>
              </w:rPr>
              <w:t xml:space="preserve">to </w:t>
            </w:r>
            <w:r w:rsidR="4A0EEDF6" w:rsidRPr="180D46D7">
              <w:rPr>
                <w:rFonts w:asciiTheme="minorHAnsi" w:hAnsiTheme="minorHAnsi"/>
                <w:b w:val="0"/>
              </w:rPr>
              <w:t xml:space="preserve">deepen Australia’s partnership with each country, including through the respective comprehensive strategic partnerships. </w:t>
            </w:r>
          </w:p>
          <w:p w14:paraId="653B84F4" w14:textId="5D6F3136" w:rsidR="00A860F8" w:rsidRPr="00915221" w:rsidRDefault="00A860F8" w:rsidP="180D46D7">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p>
          <w:p w14:paraId="4284AA89" w14:textId="403A7BCA" w:rsidR="00A860F8" w:rsidRPr="00915221" w:rsidRDefault="656C190D" w:rsidP="180D46D7">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r w:rsidRPr="180D46D7">
              <w:rPr>
                <w:rFonts w:asciiTheme="minorHAnsi" w:hAnsiTheme="minorHAnsi"/>
                <w:b w:val="0"/>
              </w:rPr>
              <w:lastRenderedPageBreak/>
              <w:t>While DFAT acknowledges recommendation (v) as best practice, the composition of teams at Post will be determined by respective Post operational needs and broader Departmental staffing decisions.</w:t>
            </w:r>
          </w:p>
          <w:p w14:paraId="6AF90784" w14:textId="6821B2A1" w:rsidR="00A860F8" w:rsidRPr="00915221" w:rsidRDefault="00A860F8" w:rsidP="180D46D7">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p>
        </w:tc>
      </w:tr>
      <w:tr w:rsidR="00781673" w:rsidRPr="00915221" w14:paraId="5040C41B" w14:textId="77777777" w:rsidTr="00A61F27">
        <w:tc>
          <w:tcPr>
            <w:cnfStyle w:val="001000000000" w:firstRow="0" w:lastRow="0" w:firstColumn="1" w:lastColumn="0" w:oddVBand="0" w:evenVBand="0" w:oddHBand="0" w:evenHBand="0" w:firstRowFirstColumn="0" w:firstRowLastColumn="0" w:lastRowFirstColumn="0" w:lastRowLastColumn="0"/>
            <w:tcW w:w="5699" w:type="dxa"/>
          </w:tcPr>
          <w:p w14:paraId="311BC0A6" w14:textId="72794FD4" w:rsidR="00A942CF" w:rsidRPr="00915221" w:rsidRDefault="00A942CF" w:rsidP="637F07A8">
            <w:pPr>
              <w:pStyle w:val="ListParagraph"/>
              <w:numPr>
                <w:ilvl w:val="0"/>
                <w:numId w:val="37"/>
              </w:numPr>
              <w:ind w:left="357" w:hanging="357"/>
              <w:rPr>
                <w:rFonts w:asciiTheme="minorHAnsi" w:hAnsiTheme="minorHAnsi" w:cstheme="minorBidi"/>
                <w:b w:val="0"/>
                <w:bCs w:val="0"/>
                <w:sz w:val="21"/>
                <w:szCs w:val="21"/>
              </w:rPr>
            </w:pPr>
            <w:r w:rsidRPr="637F07A8">
              <w:rPr>
                <w:rFonts w:asciiTheme="minorHAnsi" w:hAnsiTheme="minorHAnsi" w:cstheme="minorBidi"/>
                <w:b w:val="0"/>
                <w:bCs w:val="0"/>
                <w:sz w:val="21"/>
                <w:szCs w:val="21"/>
              </w:rPr>
              <w:lastRenderedPageBreak/>
              <w:t xml:space="preserve">TAF and DFAT should collaborate to enhance successor-program outcomes by further improving </w:t>
            </w:r>
            <w:r w:rsidR="00533404" w:rsidRPr="637F07A8">
              <w:rPr>
                <w:rFonts w:asciiTheme="minorHAnsi" w:hAnsiTheme="minorHAnsi" w:cstheme="minorBidi"/>
                <w:b w:val="0"/>
                <w:bCs w:val="0"/>
                <w:sz w:val="21"/>
                <w:szCs w:val="21"/>
              </w:rPr>
              <w:t>Strategy Testing (</w:t>
            </w:r>
            <w:r w:rsidRPr="637F07A8">
              <w:rPr>
                <w:rFonts w:asciiTheme="minorHAnsi" w:hAnsiTheme="minorHAnsi" w:cstheme="minorBidi"/>
                <w:b w:val="0"/>
                <w:bCs w:val="0"/>
                <w:sz w:val="21"/>
                <w:szCs w:val="21"/>
              </w:rPr>
              <w:t>ST</w:t>
            </w:r>
            <w:r w:rsidR="00533404" w:rsidRPr="637F07A8">
              <w:rPr>
                <w:rFonts w:asciiTheme="minorHAnsi" w:hAnsiTheme="minorHAnsi" w:cstheme="minorBidi"/>
                <w:b w:val="0"/>
                <w:bCs w:val="0"/>
                <w:sz w:val="21"/>
                <w:szCs w:val="21"/>
              </w:rPr>
              <w:t>)</w:t>
            </w:r>
            <w:r w:rsidRPr="637F07A8">
              <w:rPr>
                <w:rFonts w:asciiTheme="minorHAnsi" w:hAnsiTheme="minorHAnsi" w:cstheme="minorBidi"/>
                <w:b w:val="0"/>
                <w:bCs w:val="0"/>
                <w:sz w:val="21"/>
                <w:szCs w:val="21"/>
              </w:rPr>
              <w:t xml:space="preserve"> and </w:t>
            </w:r>
            <w:r w:rsidR="00533404" w:rsidRPr="637F07A8">
              <w:rPr>
                <w:rFonts w:asciiTheme="minorHAnsi" w:hAnsiTheme="minorHAnsi" w:cstheme="minorBidi"/>
                <w:b w:val="0"/>
                <w:bCs w:val="0"/>
                <w:sz w:val="21"/>
                <w:szCs w:val="21"/>
              </w:rPr>
              <w:t>working Theories of Change (</w:t>
            </w:r>
            <w:proofErr w:type="spellStart"/>
            <w:r w:rsidRPr="637F07A8">
              <w:rPr>
                <w:rFonts w:asciiTheme="minorHAnsi" w:hAnsiTheme="minorHAnsi" w:cstheme="minorBidi"/>
                <w:b w:val="0"/>
                <w:bCs w:val="0"/>
                <w:sz w:val="21"/>
                <w:szCs w:val="21"/>
              </w:rPr>
              <w:t>wTOC</w:t>
            </w:r>
            <w:proofErr w:type="spellEnd"/>
            <w:r w:rsidR="00533404" w:rsidRPr="637F07A8">
              <w:rPr>
                <w:rFonts w:asciiTheme="minorHAnsi" w:hAnsiTheme="minorHAnsi" w:cstheme="minorBidi"/>
                <w:b w:val="0"/>
                <w:bCs w:val="0"/>
                <w:sz w:val="21"/>
                <w:szCs w:val="21"/>
              </w:rPr>
              <w:t>)</w:t>
            </w:r>
            <w:r w:rsidRPr="637F07A8">
              <w:rPr>
                <w:rFonts w:asciiTheme="minorHAnsi" w:hAnsiTheme="minorHAnsi" w:cstheme="minorBidi"/>
                <w:b w:val="0"/>
                <w:bCs w:val="0"/>
                <w:sz w:val="21"/>
                <w:szCs w:val="21"/>
              </w:rPr>
              <w:t xml:space="preserve"> processes and addressing MTRP opportunities for improvement, including:   </w:t>
            </w:r>
          </w:p>
          <w:p w14:paraId="10BA63F8" w14:textId="77777777" w:rsidR="00A942CF" w:rsidRPr="00915221" w:rsidRDefault="00A942CF" w:rsidP="00477D5E">
            <w:pPr>
              <w:pStyle w:val="ListParagraph"/>
              <w:numPr>
                <w:ilvl w:val="0"/>
                <w:numId w:val="40"/>
              </w:numPr>
              <w:snapToGrid w:val="0"/>
              <w:spacing w:before="120"/>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 xml:space="preserve">More rigorous activity selection and objective setting to find the most impactful initiatives and specify what partners are trying to achieve </w:t>
            </w:r>
          </w:p>
          <w:p w14:paraId="5999D564" w14:textId="77777777" w:rsidR="00A942CF" w:rsidRPr="00915221" w:rsidRDefault="00A942CF" w:rsidP="00477D5E">
            <w:pPr>
              <w:pStyle w:val="ListParagraph"/>
              <w:numPr>
                <w:ilvl w:val="0"/>
                <w:numId w:val="40"/>
              </w:numPr>
              <w:snapToGrid w:val="0"/>
              <w:spacing w:before="120"/>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 xml:space="preserve">Clarity and brevity in documents to allow assessment of progress and illuminate decision points; </w:t>
            </w:r>
          </w:p>
          <w:p w14:paraId="7D9C5549" w14:textId="77777777" w:rsidR="00A942CF" w:rsidRPr="00915221" w:rsidRDefault="00A942CF" w:rsidP="00477D5E">
            <w:pPr>
              <w:pStyle w:val="ListParagraph"/>
              <w:numPr>
                <w:ilvl w:val="0"/>
                <w:numId w:val="40"/>
              </w:numPr>
              <w:snapToGrid w:val="0"/>
              <w:spacing w:before="120"/>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 xml:space="preserve">Joint planning of meeting agendas and choreography to squeeze maximum value out of a short amount of time </w:t>
            </w:r>
          </w:p>
          <w:p w14:paraId="7180CA4D" w14:textId="77777777" w:rsidR="00A942CF" w:rsidRPr="00915221" w:rsidRDefault="00A942CF" w:rsidP="00477D5E">
            <w:pPr>
              <w:pStyle w:val="ListParagraph"/>
              <w:numPr>
                <w:ilvl w:val="0"/>
                <w:numId w:val="40"/>
              </w:numPr>
              <w:snapToGrid w:val="0"/>
              <w:spacing w:before="120"/>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 xml:space="preserve">Sufficient DFAT senior engagement to steer processes, constructively challenge assessments and determine next steps </w:t>
            </w:r>
          </w:p>
          <w:p w14:paraId="74DDE4AE" w14:textId="77777777" w:rsidR="00A942CF" w:rsidRPr="00915221" w:rsidRDefault="00A942CF" w:rsidP="00477D5E">
            <w:pPr>
              <w:pStyle w:val="ListParagraph"/>
              <w:numPr>
                <w:ilvl w:val="0"/>
                <w:numId w:val="40"/>
              </w:numPr>
              <w:spacing w:before="120"/>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Delineating DFAT roles more clearly within an overarching framework that sees the Post responsible for daily decision making and strategic prioritisation, while Canberra sets policy parameters; helps critique performance; gathers, synthesises; and applies knowledge and provides surge capacity</w:t>
            </w:r>
          </w:p>
          <w:p w14:paraId="62CD692D" w14:textId="66D27879" w:rsidR="00781673" w:rsidRPr="00915221" w:rsidRDefault="00781673" w:rsidP="00A942CF">
            <w:pPr>
              <w:pStyle w:val="NumberedList1"/>
              <w:numPr>
                <w:ilvl w:val="0"/>
                <w:numId w:val="0"/>
              </w:numPr>
              <w:ind w:left="284"/>
              <w:rPr>
                <w:rFonts w:cstheme="minorHAnsi"/>
                <w:b w:val="0"/>
                <w:bCs w:val="0"/>
              </w:rPr>
            </w:pPr>
          </w:p>
        </w:tc>
        <w:tc>
          <w:tcPr>
            <w:tcW w:w="1818" w:type="dxa"/>
          </w:tcPr>
          <w:p w14:paraId="7D48E08D" w14:textId="0FA464AE" w:rsidR="00781673" w:rsidRPr="00915221" w:rsidRDefault="0024171F" w:rsidP="00860259">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15221">
              <w:rPr>
                <w:rFonts w:asciiTheme="minorHAnsi" w:hAnsiTheme="minorHAnsi" w:cstheme="minorHAnsi"/>
              </w:rPr>
              <w:lastRenderedPageBreak/>
              <w:t>A</w:t>
            </w:r>
            <w:r w:rsidR="00860259" w:rsidRPr="00915221">
              <w:rPr>
                <w:rFonts w:asciiTheme="minorHAnsi" w:hAnsiTheme="minorHAnsi" w:cstheme="minorHAnsi"/>
              </w:rPr>
              <w:t>GREED</w:t>
            </w:r>
          </w:p>
        </w:tc>
        <w:tc>
          <w:tcPr>
            <w:tcW w:w="7043" w:type="dxa"/>
          </w:tcPr>
          <w:p w14:paraId="754A8160" w14:textId="665BE603" w:rsidR="00781673" w:rsidRPr="00915221" w:rsidRDefault="0061483A" w:rsidP="00860259">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 xml:space="preserve">LEAD: </w:t>
            </w:r>
            <w:r w:rsidR="00B674E6" w:rsidRPr="00915221">
              <w:rPr>
                <w:rFonts w:asciiTheme="minorHAnsi" w:hAnsiTheme="minorHAnsi" w:cstheme="minorHAnsi"/>
              </w:rPr>
              <w:t>The Asia Foundation and the Office of Southeast Asia</w:t>
            </w:r>
          </w:p>
          <w:p w14:paraId="514D58F5" w14:textId="04F7B4C5" w:rsidR="00D930DB" w:rsidRDefault="1730F8D0" w:rsidP="180D46D7">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80D46D7">
              <w:rPr>
                <w:rFonts w:asciiTheme="minorHAnsi" w:hAnsiTheme="minorHAnsi"/>
              </w:rPr>
              <w:t>BY:</w:t>
            </w:r>
            <w:r w:rsidR="3B2E546B" w:rsidRPr="180D46D7">
              <w:rPr>
                <w:rFonts w:asciiTheme="minorHAnsi" w:hAnsiTheme="minorHAnsi"/>
              </w:rPr>
              <w:t xml:space="preserve"> </w:t>
            </w:r>
            <w:r w:rsidR="7D051951" w:rsidRPr="180D46D7">
              <w:rPr>
                <w:rFonts w:asciiTheme="minorHAnsi" w:hAnsiTheme="minorHAnsi"/>
              </w:rPr>
              <w:t>June 2023</w:t>
            </w:r>
          </w:p>
          <w:p w14:paraId="2DDE9626" w14:textId="4603B76F" w:rsidR="003441CB" w:rsidRPr="00EC7D5F" w:rsidRDefault="614300C4" w:rsidP="180D46D7">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r w:rsidRPr="180D46D7">
              <w:rPr>
                <w:rFonts w:asciiTheme="minorHAnsi" w:hAnsiTheme="minorHAnsi"/>
                <w:b w:val="0"/>
              </w:rPr>
              <w:t>DFAT agrees to</w:t>
            </w:r>
            <w:r w:rsidR="2A019B9B" w:rsidRPr="180D46D7">
              <w:rPr>
                <w:rFonts w:asciiTheme="minorHAnsi" w:hAnsiTheme="minorHAnsi"/>
                <w:b w:val="0"/>
              </w:rPr>
              <w:t xml:space="preserve"> Recommendation</w:t>
            </w:r>
            <w:r w:rsidRPr="180D46D7">
              <w:rPr>
                <w:rFonts w:asciiTheme="minorHAnsi" w:hAnsiTheme="minorHAnsi"/>
                <w:b w:val="0"/>
              </w:rPr>
              <w:t xml:space="preserve"> 2</w:t>
            </w:r>
            <w:r w:rsidR="72BFEA26" w:rsidRPr="180D46D7">
              <w:rPr>
                <w:rFonts w:asciiTheme="minorHAnsi" w:hAnsiTheme="minorHAnsi"/>
                <w:b w:val="0"/>
              </w:rPr>
              <w:t xml:space="preserve">, </w:t>
            </w:r>
            <w:r w:rsidR="47826F7C" w:rsidRPr="180D46D7">
              <w:rPr>
                <w:rFonts w:asciiTheme="minorHAnsi" w:hAnsiTheme="minorHAnsi"/>
                <w:b w:val="0"/>
              </w:rPr>
              <w:t xml:space="preserve">which </w:t>
            </w:r>
            <w:r w:rsidRPr="180D46D7">
              <w:rPr>
                <w:rFonts w:asciiTheme="minorHAnsi" w:hAnsiTheme="minorHAnsi"/>
                <w:b w:val="0"/>
              </w:rPr>
              <w:t xml:space="preserve">have been </w:t>
            </w:r>
            <w:r w:rsidR="47826F7C" w:rsidRPr="180D46D7">
              <w:rPr>
                <w:rFonts w:asciiTheme="minorHAnsi" w:hAnsiTheme="minorHAnsi"/>
                <w:b w:val="0"/>
              </w:rPr>
              <w:t xml:space="preserve">actioned in </w:t>
            </w:r>
            <w:r w:rsidRPr="180D46D7">
              <w:rPr>
                <w:rFonts w:asciiTheme="minorHAnsi" w:hAnsiTheme="minorHAnsi"/>
                <w:b w:val="0"/>
              </w:rPr>
              <w:t>the AMRP design and management model.</w:t>
            </w:r>
          </w:p>
          <w:p w14:paraId="160D53EC" w14:textId="58963AF6" w:rsidR="180D46D7" w:rsidRDefault="180D46D7" w:rsidP="180D46D7">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p>
          <w:p w14:paraId="63F4C573" w14:textId="7BEBA75E" w:rsidR="005C4FF7" w:rsidRPr="00915221" w:rsidRDefault="1730F8D0" w:rsidP="637F07A8">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r w:rsidRPr="637F07A8">
              <w:rPr>
                <w:rFonts w:asciiTheme="minorHAnsi" w:hAnsiTheme="minorHAnsi"/>
                <w:b w:val="0"/>
              </w:rPr>
              <w:t xml:space="preserve">DFAT and TAF agree </w:t>
            </w:r>
            <w:r w:rsidR="57FA3B83" w:rsidRPr="637F07A8">
              <w:rPr>
                <w:rFonts w:asciiTheme="minorHAnsi" w:hAnsiTheme="minorHAnsi"/>
                <w:b w:val="0"/>
              </w:rPr>
              <w:t xml:space="preserve">to </w:t>
            </w:r>
            <w:r w:rsidR="6E12FACA" w:rsidRPr="637F07A8">
              <w:rPr>
                <w:rFonts w:asciiTheme="minorHAnsi" w:hAnsiTheme="minorHAnsi"/>
                <w:b w:val="0"/>
              </w:rPr>
              <w:t>update</w:t>
            </w:r>
            <w:r w:rsidR="57FA3B83" w:rsidRPr="637F07A8">
              <w:rPr>
                <w:rFonts w:asciiTheme="minorHAnsi" w:hAnsiTheme="minorHAnsi"/>
                <w:b w:val="0"/>
              </w:rPr>
              <w:t xml:space="preserve"> </w:t>
            </w:r>
            <w:r w:rsidR="1F5E238C" w:rsidRPr="637F07A8">
              <w:rPr>
                <w:rFonts w:asciiTheme="minorHAnsi" w:hAnsiTheme="minorHAnsi"/>
                <w:b w:val="0"/>
              </w:rPr>
              <w:t>ST</w:t>
            </w:r>
            <w:r w:rsidR="0CE50B01" w:rsidRPr="637F07A8">
              <w:rPr>
                <w:rFonts w:asciiTheme="minorHAnsi" w:hAnsiTheme="minorHAnsi"/>
                <w:b w:val="0"/>
              </w:rPr>
              <w:t xml:space="preserve"> and </w:t>
            </w:r>
            <w:proofErr w:type="spellStart"/>
            <w:r w:rsidR="1F5E238C" w:rsidRPr="637F07A8">
              <w:rPr>
                <w:rFonts w:asciiTheme="minorHAnsi" w:hAnsiTheme="minorHAnsi"/>
                <w:b w:val="0"/>
              </w:rPr>
              <w:t>wT</w:t>
            </w:r>
            <w:r w:rsidR="0CE50B01" w:rsidRPr="637F07A8">
              <w:rPr>
                <w:rFonts w:asciiTheme="minorHAnsi" w:hAnsiTheme="minorHAnsi"/>
                <w:b w:val="0"/>
              </w:rPr>
              <w:t>OC</w:t>
            </w:r>
            <w:proofErr w:type="spellEnd"/>
            <w:r w:rsidR="1F5E238C" w:rsidRPr="637F07A8">
              <w:rPr>
                <w:rFonts w:asciiTheme="minorHAnsi" w:hAnsiTheme="minorHAnsi"/>
                <w:b w:val="0"/>
              </w:rPr>
              <w:t xml:space="preserve"> </w:t>
            </w:r>
            <w:r w:rsidR="0CE50B01" w:rsidRPr="637F07A8">
              <w:rPr>
                <w:rFonts w:asciiTheme="minorHAnsi" w:hAnsiTheme="minorHAnsi"/>
                <w:b w:val="0"/>
              </w:rPr>
              <w:t>processes</w:t>
            </w:r>
            <w:r w:rsidR="6E12FACA" w:rsidRPr="637F07A8">
              <w:rPr>
                <w:rFonts w:asciiTheme="minorHAnsi" w:hAnsiTheme="minorHAnsi"/>
                <w:b w:val="0"/>
              </w:rPr>
              <w:t xml:space="preserve"> </w:t>
            </w:r>
            <w:r w:rsidR="1F5E238C" w:rsidRPr="637F07A8">
              <w:rPr>
                <w:rFonts w:asciiTheme="minorHAnsi" w:hAnsiTheme="minorHAnsi"/>
                <w:b w:val="0"/>
              </w:rPr>
              <w:t xml:space="preserve">as well as </w:t>
            </w:r>
            <w:r w:rsidR="6E12FACA" w:rsidRPr="637F07A8">
              <w:rPr>
                <w:rFonts w:asciiTheme="minorHAnsi" w:hAnsiTheme="minorHAnsi"/>
                <w:b w:val="0"/>
              </w:rPr>
              <w:t xml:space="preserve">increase senior </w:t>
            </w:r>
            <w:r w:rsidR="604ACB5A" w:rsidRPr="637F07A8">
              <w:rPr>
                <w:rFonts w:asciiTheme="minorHAnsi" w:hAnsiTheme="minorHAnsi"/>
                <w:b w:val="0"/>
              </w:rPr>
              <w:t xml:space="preserve">management </w:t>
            </w:r>
            <w:r w:rsidR="6E12FACA" w:rsidRPr="637F07A8">
              <w:rPr>
                <w:rFonts w:asciiTheme="minorHAnsi" w:hAnsiTheme="minorHAnsi"/>
                <w:b w:val="0"/>
              </w:rPr>
              <w:t>engagement in</w:t>
            </w:r>
            <w:r w:rsidR="1B55926D" w:rsidRPr="637F07A8">
              <w:rPr>
                <w:rFonts w:asciiTheme="minorHAnsi" w:hAnsiTheme="minorHAnsi"/>
                <w:b w:val="0"/>
              </w:rPr>
              <w:t xml:space="preserve"> program management forums</w:t>
            </w:r>
            <w:r w:rsidR="0CE50B01" w:rsidRPr="637F07A8">
              <w:rPr>
                <w:rFonts w:asciiTheme="minorHAnsi" w:hAnsiTheme="minorHAnsi"/>
                <w:b w:val="0"/>
              </w:rPr>
              <w:t xml:space="preserve"> to </w:t>
            </w:r>
            <w:r w:rsidR="733C010C" w:rsidRPr="637F07A8">
              <w:rPr>
                <w:rFonts w:asciiTheme="minorHAnsi" w:hAnsiTheme="minorHAnsi"/>
                <w:b w:val="0"/>
              </w:rPr>
              <w:t>improve</w:t>
            </w:r>
            <w:r w:rsidR="604ACB5A" w:rsidRPr="637F07A8">
              <w:rPr>
                <w:rFonts w:asciiTheme="minorHAnsi" w:hAnsiTheme="minorHAnsi"/>
                <w:b w:val="0"/>
              </w:rPr>
              <w:t xml:space="preserve"> oversight on</w:t>
            </w:r>
            <w:r w:rsidR="0CE50B01" w:rsidRPr="637F07A8">
              <w:rPr>
                <w:rFonts w:asciiTheme="minorHAnsi" w:hAnsiTheme="minorHAnsi"/>
                <w:b w:val="0"/>
              </w:rPr>
              <w:t xml:space="preserve"> </w:t>
            </w:r>
            <w:r w:rsidR="1B55926D" w:rsidRPr="637F07A8">
              <w:rPr>
                <w:rFonts w:asciiTheme="minorHAnsi" w:hAnsiTheme="minorHAnsi"/>
                <w:b w:val="0"/>
              </w:rPr>
              <w:t>implementation of</w:t>
            </w:r>
            <w:r w:rsidR="7B4AD279" w:rsidRPr="637F07A8">
              <w:rPr>
                <w:rFonts w:asciiTheme="minorHAnsi" w:hAnsiTheme="minorHAnsi"/>
                <w:b w:val="0"/>
              </w:rPr>
              <w:t xml:space="preserve"> reform initiatives</w:t>
            </w:r>
            <w:r w:rsidR="49E84D01" w:rsidRPr="637F07A8">
              <w:rPr>
                <w:rFonts w:asciiTheme="minorHAnsi" w:hAnsiTheme="minorHAnsi"/>
                <w:b w:val="0"/>
              </w:rPr>
              <w:t xml:space="preserve"> </w:t>
            </w:r>
            <w:r w:rsidR="6DC1C718" w:rsidRPr="637F07A8">
              <w:rPr>
                <w:rFonts w:asciiTheme="minorHAnsi" w:hAnsiTheme="minorHAnsi"/>
                <w:b w:val="0"/>
              </w:rPr>
              <w:t>in successor programs</w:t>
            </w:r>
            <w:r w:rsidR="7D051951" w:rsidRPr="637F07A8">
              <w:rPr>
                <w:rFonts w:asciiTheme="minorHAnsi" w:hAnsiTheme="minorHAnsi"/>
                <w:b w:val="0"/>
              </w:rPr>
              <w:t>. A light touch review of the previous program</w:t>
            </w:r>
            <w:r w:rsidR="245D0725" w:rsidRPr="637F07A8">
              <w:rPr>
                <w:rFonts w:asciiTheme="minorHAnsi" w:hAnsiTheme="minorHAnsi"/>
                <w:b w:val="0"/>
              </w:rPr>
              <w:t>’s</w:t>
            </w:r>
            <w:r w:rsidR="7D051951" w:rsidRPr="637F07A8">
              <w:rPr>
                <w:rFonts w:asciiTheme="minorHAnsi" w:hAnsiTheme="minorHAnsi"/>
                <w:b w:val="0"/>
              </w:rPr>
              <w:t xml:space="preserve"> initiatives will be undertaken to </w:t>
            </w:r>
            <w:r w:rsidR="347DDED3" w:rsidRPr="637F07A8">
              <w:rPr>
                <w:rFonts w:asciiTheme="minorHAnsi" w:hAnsiTheme="minorHAnsi"/>
                <w:b w:val="0"/>
              </w:rPr>
              <w:t xml:space="preserve">inform the activity selection </w:t>
            </w:r>
            <w:r w:rsidR="51FD7B83" w:rsidRPr="637F07A8">
              <w:rPr>
                <w:rFonts w:asciiTheme="minorHAnsi" w:hAnsiTheme="minorHAnsi"/>
                <w:b w:val="0"/>
              </w:rPr>
              <w:t>process</w:t>
            </w:r>
            <w:r w:rsidR="347DDED3" w:rsidRPr="637F07A8">
              <w:rPr>
                <w:rFonts w:asciiTheme="minorHAnsi" w:hAnsiTheme="minorHAnsi"/>
                <w:b w:val="0"/>
              </w:rPr>
              <w:t xml:space="preserve">. </w:t>
            </w:r>
            <w:r w:rsidR="7CCD59C2" w:rsidRPr="637F07A8">
              <w:rPr>
                <w:rFonts w:asciiTheme="minorHAnsi" w:hAnsiTheme="minorHAnsi"/>
                <w:b w:val="0"/>
              </w:rPr>
              <w:t xml:space="preserve">Further, ST and </w:t>
            </w:r>
            <w:proofErr w:type="spellStart"/>
            <w:r w:rsidR="7CCD59C2" w:rsidRPr="637F07A8">
              <w:rPr>
                <w:rFonts w:asciiTheme="minorHAnsi" w:hAnsiTheme="minorHAnsi"/>
                <w:b w:val="0"/>
              </w:rPr>
              <w:t>wTOC</w:t>
            </w:r>
            <w:proofErr w:type="spellEnd"/>
            <w:r w:rsidR="7CCD59C2" w:rsidRPr="637F07A8">
              <w:rPr>
                <w:rFonts w:asciiTheme="minorHAnsi" w:hAnsiTheme="minorHAnsi"/>
                <w:b w:val="0"/>
              </w:rPr>
              <w:t xml:space="preserve"> processes will regularly review</w:t>
            </w:r>
            <w:r w:rsidR="347DDED3" w:rsidRPr="637F07A8">
              <w:rPr>
                <w:rFonts w:asciiTheme="minorHAnsi" w:hAnsiTheme="minorHAnsi"/>
                <w:b w:val="0"/>
              </w:rPr>
              <w:t xml:space="preserve"> outcomes, objectives and activities </w:t>
            </w:r>
            <w:r w:rsidR="64C28A20" w:rsidRPr="637F07A8">
              <w:rPr>
                <w:rFonts w:asciiTheme="minorHAnsi" w:hAnsiTheme="minorHAnsi"/>
                <w:b w:val="0"/>
              </w:rPr>
              <w:t xml:space="preserve">to </w:t>
            </w:r>
            <w:r w:rsidR="7CCD59C2" w:rsidRPr="637F07A8">
              <w:rPr>
                <w:rFonts w:asciiTheme="minorHAnsi" w:hAnsiTheme="minorHAnsi"/>
                <w:b w:val="0"/>
              </w:rPr>
              <w:t xml:space="preserve">ensure they </w:t>
            </w:r>
            <w:r w:rsidR="64C28A20" w:rsidRPr="637F07A8">
              <w:rPr>
                <w:rFonts w:asciiTheme="minorHAnsi" w:hAnsiTheme="minorHAnsi"/>
                <w:b w:val="0"/>
              </w:rPr>
              <w:t>remain</w:t>
            </w:r>
            <w:r w:rsidR="7CCD59C2" w:rsidRPr="637F07A8">
              <w:rPr>
                <w:rFonts w:asciiTheme="minorHAnsi" w:hAnsiTheme="minorHAnsi"/>
                <w:b w:val="0"/>
              </w:rPr>
              <w:t xml:space="preserve"> effective, relevant and fit for purpose</w:t>
            </w:r>
            <w:r w:rsidR="347DDED3" w:rsidRPr="637F07A8">
              <w:rPr>
                <w:rFonts w:asciiTheme="minorHAnsi" w:hAnsiTheme="minorHAnsi"/>
                <w:b w:val="0"/>
              </w:rPr>
              <w:t xml:space="preserve">. </w:t>
            </w:r>
          </w:p>
          <w:p w14:paraId="6FDB6F11" w14:textId="71E875D5" w:rsidR="00477D5E" w:rsidRPr="00915221" w:rsidRDefault="00477D5E" w:rsidP="180D46D7">
            <w:pPr>
              <w:pStyle w:val="TableHeaderRow"/>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p>
        </w:tc>
      </w:tr>
      <w:tr w:rsidR="00781673" w:rsidRPr="00915221" w14:paraId="0A64C9DB" w14:textId="77777777" w:rsidTr="00A61F27">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5699" w:type="dxa"/>
          </w:tcPr>
          <w:p w14:paraId="4D1F82C4" w14:textId="77777777" w:rsidR="00887835" w:rsidRPr="00915221" w:rsidRDefault="00887835" w:rsidP="00BF1FAD">
            <w:pPr>
              <w:pStyle w:val="ListParagraph"/>
              <w:numPr>
                <w:ilvl w:val="0"/>
                <w:numId w:val="37"/>
              </w:numPr>
              <w:ind w:left="357" w:hanging="357"/>
              <w:contextualSpacing w:val="0"/>
              <w:jc w:val="both"/>
              <w:rPr>
                <w:rFonts w:asciiTheme="minorHAnsi" w:hAnsiTheme="minorHAnsi" w:cstheme="minorHAnsi"/>
                <w:b w:val="0"/>
                <w:bCs w:val="0"/>
                <w:sz w:val="21"/>
                <w:szCs w:val="21"/>
              </w:rPr>
            </w:pPr>
            <w:r w:rsidRPr="00915221">
              <w:rPr>
                <w:rFonts w:asciiTheme="minorHAnsi" w:hAnsiTheme="minorHAnsi" w:cstheme="minorHAnsi"/>
                <w:b w:val="0"/>
                <w:bCs w:val="0"/>
                <w:sz w:val="21"/>
                <w:szCs w:val="21"/>
              </w:rPr>
              <w:t>New AMIC program design should factor in additional resourcing to cover vital tasks that were inadequately provisioned in MTRP:</w:t>
            </w:r>
          </w:p>
          <w:p w14:paraId="4CE86E2C" w14:textId="77777777" w:rsidR="00887835" w:rsidRPr="00915221" w:rsidRDefault="00887835" w:rsidP="00EB0065">
            <w:pPr>
              <w:pStyle w:val="ListParagraph"/>
              <w:numPr>
                <w:ilvl w:val="0"/>
                <w:numId w:val="41"/>
              </w:numPr>
              <w:spacing w:before="120"/>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The inception phase of new programs (the initial 18 months) which is highly resource intensive, difficult and stressful</w:t>
            </w:r>
          </w:p>
          <w:p w14:paraId="0BD76714" w14:textId="77777777" w:rsidR="00887835" w:rsidRPr="00915221" w:rsidRDefault="00887835" w:rsidP="00EB0065">
            <w:pPr>
              <w:pStyle w:val="ListParagraph"/>
              <w:numPr>
                <w:ilvl w:val="0"/>
                <w:numId w:val="41"/>
              </w:numPr>
              <w:spacing w:before="120"/>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Initial diagnostic work that, even if less comprehensive than originally planned for MTRP, still takes substantial time and expertise</w:t>
            </w:r>
          </w:p>
          <w:p w14:paraId="619A1C9E" w14:textId="77777777" w:rsidR="00887835" w:rsidRPr="00915221" w:rsidRDefault="1556CAA4" w:rsidP="180D46D7">
            <w:pPr>
              <w:pStyle w:val="ListParagraph"/>
              <w:numPr>
                <w:ilvl w:val="0"/>
                <w:numId w:val="41"/>
              </w:numPr>
              <w:spacing w:before="120"/>
              <w:rPr>
                <w:rFonts w:asciiTheme="minorHAnsi" w:hAnsiTheme="minorHAnsi" w:cstheme="minorBidi"/>
                <w:b w:val="0"/>
                <w:bCs w:val="0"/>
                <w:sz w:val="21"/>
                <w:szCs w:val="21"/>
              </w:rPr>
            </w:pPr>
            <w:r w:rsidRPr="180D46D7">
              <w:rPr>
                <w:rFonts w:asciiTheme="minorHAnsi" w:hAnsiTheme="minorHAnsi" w:cstheme="minorBidi"/>
                <w:b w:val="0"/>
                <w:bCs w:val="0"/>
                <w:sz w:val="21"/>
                <w:szCs w:val="21"/>
              </w:rPr>
              <w:t xml:space="preserve">Dedicated locally engaged staff time to handle administration and meet procedural requirements </w:t>
            </w:r>
          </w:p>
          <w:p w14:paraId="7048B5A2" w14:textId="77777777" w:rsidR="00887835" w:rsidRPr="00915221" w:rsidRDefault="00887835" w:rsidP="00EB0065">
            <w:pPr>
              <w:pStyle w:val="ListParagraph"/>
              <w:numPr>
                <w:ilvl w:val="0"/>
                <w:numId w:val="41"/>
              </w:numPr>
              <w:spacing w:before="120"/>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Sufficient DFAT and TAF senior management time to deliver major value adding in strategic decision making; preparation of policy ready products and high-quality performance assessments</w:t>
            </w:r>
          </w:p>
          <w:p w14:paraId="5FB00D0F" w14:textId="2DDD8468" w:rsidR="00C33DC0" w:rsidRPr="00915221" w:rsidRDefault="00C33DC0" w:rsidP="00887835">
            <w:pPr>
              <w:pStyle w:val="TableBullet1"/>
              <w:rPr>
                <w:rFonts w:asciiTheme="minorHAnsi" w:hAnsiTheme="minorHAnsi" w:cstheme="minorHAnsi"/>
                <w:b w:val="0"/>
                <w:bCs w:val="0"/>
              </w:rPr>
            </w:pPr>
          </w:p>
        </w:tc>
        <w:tc>
          <w:tcPr>
            <w:tcW w:w="1818" w:type="dxa"/>
          </w:tcPr>
          <w:p w14:paraId="7FF1DCB3" w14:textId="04E0BCDE" w:rsidR="0017462C" w:rsidRPr="00915221" w:rsidRDefault="00EB0065" w:rsidP="005C4FF7">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PARTIALLY AGREED</w:t>
            </w:r>
          </w:p>
        </w:tc>
        <w:tc>
          <w:tcPr>
            <w:tcW w:w="7043" w:type="dxa"/>
          </w:tcPr>
          <w:p w14:paraId="1D72542A" w14:textId="4DCC471C" w:rsidR="00781673" w:rsidRPr="00915221" w:rsidRDefault="0061483A" w:rsidP="00860259">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 xml:space="preserve">LEAD: </w:t>
            </w:r>
            <w:r w:rsidR="00EB0065" w:rsidRPr="00915221">
              <w:rPr>
                <w:rFonts w:asciiTheme="minorHAnsi" w:hAnsiTheme="minorHAnsi" w:cstheme="minorHAnsi"/>
              </w:rPr>
              <w:t xml:space="preserve">The Asia Foundation, Office of </w:t>
            </w:r>
            <w:r w:rsidRPr="00915221">
              <w:rPr>
                <w:rFonts w:asciiTheme="minorHAnsi" w:hAnsiTheme="minorHAnsi" w:cstheme="minorHAnsi"/>
              </w:rPr>
              <w:t xml:space="preserve">Southeast Asia </w:t>
            </w:r>
          </w:p>
          <w:p w14:paraId="573D49C6" w14:textId="23F3A333" w:rsidR="00AF5321" w:rsidRPr="00915221" w:rsidRDefault="1730F8D0" w:rsidP="180D46D7">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r w:rsidRPr="180D46D7">
              <w:rPr>
                <w:rFonts w:asciiTheme="minorHAnsi" w:hAnsiTheme="minorHAnsi"/>
              </w:rPr>
              <w:t>BY:</w:t>
            </w:r>
            <w:r w:rsidR="7B4AD279" w:rsidRPr="180D46D7">
              <w:rPr>
                <w:rFonts w:asciiTheme="minorHAnsi" w:hAnsiTheme="minorHAnsi"/>
              </w:rPr>
              <w:t xml:space="preserve"> July 202</w:t>
            </w:r>
            <w:r w:rsidR="35EA391E" w:rsidRPr="180D46D7">
              <w:rPr>
                <w:rFonts w:asciiTheme="minorHAnsi" w:hAnsiTheme="minorHAnsi"/>
              </w:rPr>
              <w:t>3</w:t>
            </w:r>
          </w:p>
          <w:p w14:paraId="62390920" w14:textId="77777777" w:rsidR="009A7688" w:rsidRDefault="009A7688" w:rsidP="180D46D7">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p>
          <w:p w14:paraId="28F3FA30" w14:textId="7159EFAD" w:rsidR="00945139" w:rsidRPr="00915221" w:rsidRDefault="07D2A011" w:rsidP="180D46D7">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r w:rsidRPr="180D46D7">
              <w:rPr>
                <w:rFonts w:asciiTheme="minorHAnsi" w:hAnsiTheme="minorHAnsi"/>
                <w:b w:val="0"/>
              </w:rPr>
              <w:t xml:space="preserve">DFAT agrees to </w:t>
            </w:r>
            <w:r w:rsidR="4774C143" w:rsidRPr="180D46D7">
              <w:rPr>
                <w:rFonts w:asciiTheme="minorHAnsi" w:hAnsiTheme="minorHAnsi"/>
                <w:b w:val="0"/>
              </w:rPr>
              <w:t xml:space="preserve">Recommendation </w:t>
            </w:r>
            <w:r w:rsidRPr="180D46D7">
              <w:rPr>
                <w:rFonts w:asciiTheme="minorHAnsi" w:hAnsiTheme="minorHAnsi"/>
                <w:b w:val="0"/>
              </w:rPr>
              <w:t>3 (</w:t>
            </w:r>
            <w:proofErr w:type="spellStart"/>
            <w:r w:rsidR="2134447B" w:rsidRPr="180D46D7">
              <w:rPr>
                <w:rFonts w:asciiTheme="minorHAnsi" w:hAnsiTheme="minorHAnsi"/>
                <w:b w:val="0"/>
              </w:rPr>
              <w:t>i</w:t>
            </w:r>
            <w:proofErr w:type="spellEnd"/>
            <w:r w:rsidR="2134447B" w:rsidRPr="180D46D7">
              <w:rPr>
                <w:rFonts w:asciiTheme="minorHAnsi" w:hAnsiTheme="minorHAnsi"/>
                <w:b w:val="0"/>
              </w:rPr>
              <w:t xml:space="preserve"> and ii)</w:t>
            </w:r>
            <w:r w:rsidR="30646153" w:rsidRPr="180D46D7">
              <w:rPr>
                <w:rFonts w:asciiTheme="minorHAnsi" w:hAnsiTheme="minorHAnsi"/>
                <w:b w:val="0"/>
              </w:rPr>
              <w:t xml:space="preserve"> </w:t>
            </w:r>
            <w:r w:rsidR="47826F7C" w:rsidRPr="180D46D7">
              <w:rPr>
                <w:rFonts w:asciiTheme="minorHAnsi" w:hAnsiTheme="minorHAnsi"/>
                <w:b w:val="0"/>
              </w:rPr>
              <w:t xml:space="preserve">which have been actioned </w:t>
            </w:r>
            <w:r w:rsidR="30646153" w:rsidRPr="180D46D7">
              <w:rPr>
                <w:rFonts w:asciiTheme="minorHAnsi" w:hAnsiTheme="minorHAnsi"/>
                <w:b w:val="0"/>
              </w:rPr>
              <w:t>in the design and set up of AMRP.</w:t>
            </w:r>
          </w:p>
          <w:p w14:paraId="76A31F8B" w14:textId="0AD46AFE" w:rsidR="00945139" w:rsidRPr="00915221" w:rsidRDefault="00945139" w:rsidP="180D46D7">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p>
          <w:p w14:paraId="7CACC093" w14:textId="7A5435A2" w:rsidR="00945139" w:rsidRPr="00915221" w:rsidRDefault="39E66ACB" w:rsidP="180D46D7">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r w:rsidRPr="180D46D7">
              <w:rPr>
                <w:rFonts w:asciiTheme="minorHAnsi" w:hAnsiTheme="minorHAnsi"/>
                <w:b w:val="0"/>
              </w:rPr>
              <w:t>While DFAT acknowledges recommendation (iii) and (iv) as best practice, the composition of teams</w:t>
            </w:r>
            <w:r w:rsidR="016F0DB2" w:rsidRPr="180D46D7">
              <w:rPr>
                <w:rFonts w:asciiTheme="minorHAnsi" w:hAnsiTheme="minorHAnsi"/>
                <w:b w:val="0"/>
              </w:rPr>
              <w:t xml:space="preserve"> at Post </w:t>
            </w:r>
            <w:r w:rsidRPr="180D46D7">
              <w:rPr>
                <w:rFonts w:asciiTheme="minorHAnsi" w:hAnsiTheme="minorHAnsi"/>
                <w:b w:val="0"/>
              </w:rPr>
              <w:t>will be determined by respective Post operational needs and broader Departmental staffing decisions.</w:t>
            </w:r>
          </w:p>
        </w:tc>
      </w:tr>
      <w:tr w:rsidR="00781673" w:rsidRPr="00915221" w14:paraId="3BF02E84" w14:textId="77777777" w:rsidTr="00A61F27">
        <w:trPr>
          <w:cantSplit/>
        </w:trPr>
        <w:tc>
          <w:tcPr>
            <w:cnfStyle w:val="001000000000" w:firstRow="0" w:lastRow="0" w:firstColumn="1" w:lastColumn="0" w:oddVBand="0" w:evenVBand="0" w:oddHBand="0" w:evenHBand="0" w:firstRowFirstColumn="0" w:firstRowLastColumn="0" w:lastRowFirstColumn="0" w:lastRowLastColumn="0"/>
            <w:tcW w:w="5699" w:type="dxa"/>
          </w:tcPr>
          <w:p w14:paraId="418AC328" w14:textId="1D4467EF" w:rsidR="003200B8" w:rsidRPr="00915221" w:rsidRDefault="003200B8" w:rsidP="003200B8">
            <w:pPr>
              <w:pStyle w:val="NumberedList1"/>
              <w:numPr>
                <w:ilvl w:val="0"/>
                <w:numId w:val="37"/>
              </w:numPr>
              <w:rPr>
                <w:rFonts w:cstheme="minorHAnsi"/>
                <w:b w:val="0"/>
                <w:bCs w:val="0"/>
              </w:rPr>
            </w:pPr>
            <w:r w:rsidRPr="00915221">
              <w:rPr>
                <w:rFonts w:cstheme="minorHAnsi"/>
                <w:b w:val="0"/>
                <w:bCs w:val="0"/>
              </w:rPr>
              <w:t xml:space="preserve">New programs should recognise that superior program implementation was achieved through TAF engagement of expert in-house managers, rather than wholesale sub-contracting.  This should be the preferred future model </w:t>
            </w:r>
          </w:p>
          <w:p w14:paraId="57A0932D" w14:textId="3373BD8B" w:rsidR="0024171F" w:rsidRPr="00915221" w:rsidRDefault="0024171F" w:rsidP="003200B8">
            <w:pPr>
              <w:pStyle w:val="NumberedList1"/>
              <w:numPr>
                <w:ilvl w:val="0"/>
                <w:numId w:val="0"/>
              </w:numPr>
              <w:rPr>
                <w:rFonts w:cstheme="minorHAnsi"/>
                <w:b w:val="0"/>
                <w:bCs w:val="0"/>
              </w:rPr>
            </w:pPr>
          </w:p>
        </w:tc>
        <w:tc>
          <w:tcPr>
            <w:tcW w:w="1818" w:type="dxa"/>
          </w:tcPr>
          <w:p w14:paraId="463AFD2A" w14:textId="54734637" w:rsidR="00781673" w:rsidRPr="00915221" w:rsidRDefault="00EB0065" w:rsidP="00860259">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 xml:space="preserve">AGREED </w:t>
            </w:r>
          </w:p>
        </w:tc>
        <w:tc>
          <w:tcPr>
            <w:tcW w:w="7043" w:type="dxa"/>
          </w:tcPr>
          <w:p w14:paraId="0210A728" w14:textId="77777777" w:rsidR="00781673" w:rsidRPr="00915221" w:rsidRDefault="0061483A" w:rsidP="00860259">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L</w:t>
            </w:r>
            <w:r w:rsidR="00860259" w:rsidRPr="00915221">
              <w:rPr>
                <w:rFonts w:asciiTheme="minorHAnsi" w:hAnsiTheme="minorHAnsi" w:cstheme="minorHAnsi"/>
              </w:rPr>
              <w:t>EAD</w:t>
            </w:r>
            <w:r w:rsidRPr="00915221">
              <w:rPr>
                <w:rFonts w:asciiTheme="minorHAnsi" w:hAnsiTheme="minorHAnsi" w:cstheme="minorHAnsi"/>
              </w:rPr>
              <w:t>: The Asia Foundation</w:t>
            </w:r>
          </w:p>
          <w:p w14:paraId="76ACB19F" w14:textId="541D729B" w:rsidR="00EB0065" w:rsidRPr="00582532" w:rsidRDefault="1730F8D0" w:rsidP="180D46D7">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80D46D7">
              <w:rPr>
                <w:rFonts w:asciiTheme="minorHAnsi" w:hAnsiTheme="minorHAnsi"/>
              </w:rPr>
              <w:t xml:space="preserve">BY: </w:t>
            </w:r>
            <w:r w:rsidR="15E83F57" w:rsidRPr="180D46D7">
              <w:rPr>
                <w:rFonts w:asciiTheme="minorHAnsi" w:hAnsiTheme="minorHAnsi"/>
              </w:rPr>
              <w:t>January 2023</w:t>
            </w:r>
          </w:p>
          <w:p w14:paraId="600F0999" w14:textId="7CCBE90C" w:rsidR="00B77D28" w:rsidRPr="00915221" w:rsidRDefault="5F89B4CB" w:rsidP="180D46D7">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r w:rsidRPr="180D46D7">
              <w:rPr>
                <w:rFonts w:asciiTheme="minorHAnsi" w:hAnsiTheme="minorHAnsi"/>
                <w:b w:val="0"/>
              </w:rPr>
              <w:t>This Recommendation has been implemented in</w:t>
            </w:r>
            <w:r w:rsidR="21A9B8B0" w:rsidRPr="180D46D7">
              <w:rPr>
                <w:rFonts w:asciiTheme="minorHAnsi" w:hAnsiTheme="minorHAnsi"/>
                <w:b w:val="0"/>
              </w:rPr>
              <w:t xml:space="preserve"> the design of </w:t>
            </w:r>
            <w:r w:rsidR="2B87AB58" w:rsidRPr="180D46D7">
              <w:rPr>
                <w:rFonts w:asciiTheme="minorHAnsi" w:hAnsiTheme="minorHAnsi"/>
                <w:b w:val="0"/>
              </w:rPr>
              <w:t xml:space="preserve">AMRP. </w:t>
            </w:r>
          </w:p>
        </w:tc>
      </w:tr>
      <w:tr w:rsidR="00781673" w:rsidRPr="00915221" w14:paraId="4FACAFD6" w14:textId="77777777" w:rsidTr="00A61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9" w:type="dxa"/>
          </w:tcPr>
          <w:p w14:paraId="425A0FB4" w14:textId="7B77DAF5" w:rsidR="006022F5" w:rsidRPr="00915221" w:rsidRDefault="12704F54" w:rsidP="180D46D7">
            <w:pPr>
              <w:pStyle w:val="ListParagraph"/>
              <w:numPr>
                <w:ilvl w:val="0"/>
                <w:numId w:val="37"/>
              </w:numPr>
              <w:ind w:left="357" w:hanging="357"/>
              <w:rPr>
                <w:rFonts w:asciiTheme="minorHAnsi" w:hAnsiTheme="minorHAnsi" w:cstheme="minorBidi"/>
                <w:b w:val="0"/>
                <w:bCs w:val="0"/>
                <w:sz w:val="21"/>
                <w:szCs w:val="21"/>
              </w:rPr>
            </w:pPr>
            <w:r w:rsidRPr="180D46D7">
              <w:rPr>
                <w:rFonts w:asciiTheme="minorHAnsi" w:hAnsiTheme="minorHAnsi" w:cstheme="minorBidi"/>
                <w:b w:val="0"/>
                <w:bCs w:val="0"/>
                <w:sz w:val="21"/>
                <w:szCs w:val="21"/>
              </w:rPr>
              <w:t>Financial arrangements should be altered so that funding for bilateral programs such as MTRP is not drawn from competitive regional pools by delegates with predominantly regional responsibilities</w:t>
            </w:r>
          </w:p>
          <w:p w14:paraId="08354211" w14:textId="4EA131CC" w:rsidR="00781673" w:rsidRPr="00915221" w:rsidRDefault="00781673" w:rsidP="008E460A">
            <w:pPr>
              <w:pStyle w:val="NumberedList1"/>
              <w:numPr>
                <w:ilvl w:val="0"/>
                <w:numId w:val="0"/>
              </w:numPr>
              <w:ind w:left="284" w:hanging="284"/>
              <w:rPr>
                <w:rFonts w:cstheme="minorHAnsi"/>
                <w:b w:val="0"/>
                <w:bCs w:val="0"/>
              </w:rPr>
            </w:pPr>
          </w:p>
        </w:tc>
        <w:tc>
          <w:tcPr>
            <w:tcW w:w="1818" w:type="dxa"/>
          </w:tcPr>
          <w:p w14:paraId="7E343DEB" w14:textId="0A38BF00" w:rsidR="00781673" w:rsidRPr="00915221" w:rsidRDefault="2B87AB58" w:rsidP="180D46D7">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180D46D7">
              <w:rPr>
                <w:rFonts w:asciiTheme="minorHAnsi" w:hAnsiTheme="minorHAnsi"/>
              </w:rPr>
              <w:t xml:space="preserve">NOT </w:t>
            </w:r>
            <w:r w:rsidR="6FF2244F" w:rsidRPr="180D46D7">
              <w:rPr>
                <w:rFonts w:asciiTheme="minorHAnsi" w:hAnsiTheme="minorHAnsi"/>
              </w:rPr>
              <w:t>AGREED</w:t>
            </w:r>
          </w:p>
        </w:tc>
        <w:tc>
          <w:tcPr>
            <w:tcW w:w="7043" w:type="dxa"/>
          </w:tcPr>
          <w:p w14:paraId="7CD28E1D" w14:textId="66F6CB5B" w:rsidR="0093693A" w:rsidRPr="00915221" w:rsidRDefault="0061483A" w:rsidP="00860259">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 xml:space="preserve">LEAD: </w:t>
            </w:r>
            <w:r w:rsidR="00CC366C" w:rsidRPr="00915221">
              <w:rPr>
                <w:rFonts w:asciiTheme="minorHAnsi" w:hAnsiTheme="minorHAnsi" w:cstheme="minorHAnsi"/>
              </w:rPr>
              <w:t>Office of Southeast Asia</w:t>
            </w:r>
          </w:p>
          <w:p w14:paraId="2A5A7B2B" w14:textId="5D872301" w:rsidR="00B77D28" w:rsidRPr="00582532" w:rsidRDefault="00513D04" w:rsidP="00B77D28">
            <w:pPr>
              <w:pStyle w:val="TableHeaderRow"/>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 xml:space="preserve">BY: </w:t>
            </w:r>
            <w:r w:rsidR="00D930DB" w:rsidRPr="00915221">
              <w:rPr>
                <w:rFonts w:asciiTheme="minorHAnsi" w:hAnsiTheme="minorHAnsi" w:cstheme="minorHAnsi"/>
              </w:rPr>
              <w:t>Ongoing</w:t>
            </w:r>
          </w:p>
          <w:p w14:paraId="353865F8" w14:textId="5C98AF22" w:rsidR="0064398E" w:rsidRPr="00915221" w:rsidRDefault="3C7736A5" w:rsidP="180D46D7">
            <w:pPr>
              <w:pStyle w:val="TableHeaderRow"/>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r w:rsidRPr="180D46D7">
              <w:rPr>
                <w:rFonts w:asciiTheme="minorHAnsi" w:hAnsiTheme="minorHAnsi"/>
                <w:b w:val="0"/>
              </w:rPr>
              <w:t>As Australia does not have an ODA program with Malaysia</w:t>
            </w:r>
            <w:r w:rsidR="754B1A32" w:rsidRPr="180D46D7">
              <w:rPr>
                <w:rFonts w:asciiTheme="minorHAnsi" w:hAnsiTheme="minorHAnsi"/>
                <w:b w:val="0"/>
              </w:rPr>
              <w:t xml:space="preserve"> or Thailand</w:t>
            </w:r>
            <w:r w:rsidRPr="180D46D7">
              <w:rPr>
                <w:rFonts w:asciiTheme="minorHAnsi" w:hAnsiTheme="minorHAnsi"/>
                <w:b w:val="0"/>
              </w:rPr>
              <w:t>, funding arrangements for AMRP</w:t>
            </w:r>
            <w:r w:rsidR="18D6E5B8" w:rsidRPr="180D46D7">
              <w:rPr>
                <w:rFonts w:asciiTheme="minorHAnsi" w:hAnsiTheme="minorHAnsi"/>
                <w:b w:val="0"/>
              </w:rPr>
              <w:t xml:space="preserve"> and ATERP</w:t>
            </w:r>
            <w:r w:rsidRPr="180D46D7">
              <w:rPr>
                <w:rFonts w:asciiTheme="minorHAnsi" w:hAnsiTheme="minorHAnsi"/>
                <w:b w:val="0"/>
              </w:rPr>
              <w:t xml:space="preserve"> will remain as part of Southeast </w:t>
            </w:r>
            <w:r w:rsidRPr="180D46D7">
              <w:rPr>
                <w:rFonts w:asciiTheme="minorHAnsi" w:hAnsiTheme="minorHAnsi"/>
                <w:b w:val="0"/>
              </w:rPr>
              <w:lastRenderedPageBreak/>
              <w:t>As</w:t>
            </w:r>
            <w:r w:rsidR="2A7794A3" w:rsidRPr="180D46D7">
              <w:rPr>
                <w:rFonts w:asciiTheme="minorHAnsi" w:hAnsiTheme="minorHAnsi"/>
                <w:b w:val="0"/>
              </w:rPr>
              <w:t>ia r</w:t>
            </w:r>
            <w:r w:rsidRPr="180D46D7">
              <w:rPr>
                <w:rFonts w:asciiTheme="minorHAnsi" w:hAnsiTheme="minorHAnsi"/>
                <w:b w:val="0"/>
              </w:rPr>
              <w:t>egional</w:t>
            </w:r>
            <w:r w:rsidR="5C0A6751" w:rsidRPr="180D46D7">
              <w:rPr>
                <w:rFonts w:asciiTheme="minorHAnsi" w:hAnsiTheme="minorHAnsi"/>
                <w:b w:val="0"/>
              </w:rPr>
              <w:t xml:space="preserve"> funding</w:t>
            </w:r>
            <w:r w:rsidRPr="180D46D7">
              <w:rPr>
                <w:rFonts w:asciiTheme="minorHAnsi" w:hAnsiTheme="minorHAnsi"/>
                <w:b w:val="0"/>
              </w:rPr>
              <w:t xml:space="preserve">, with </w:t>
            </w:r>
            <w:r w:rsidR="3170AC9D" w:rsidRPr="180D46D7">
              <w:rPr>
                <w:rFonts w:asciiTheme="minorHAnsi" w:hAnsiTheme="minorHAnsi"/>
                <w:b w:val="0"/>
              </w:rPr>
              <w:t xml:space="preserve">program </w:t>
            </w:r>
            <w:r w:rsidRPr="180D46D7">
              <w:rPr>
                <w:rFonts w:asciiTheme="minorHAnsi" w:hAnsiTheme="minorHAnsi"/>
                <w:b w:val="0"/>
              </w:rPr>
              <w:t xml:space="preserve">decisions continuing to be made jointly by Southeast Asia </w:t>
            </w:r>
            <w:r w:rsidR="0C033B15" w:rsidRPr="180D46D7">
              <w:rPr>
                <w:rFonts w:asciiTheme="minorHAnsi" w:hAnsiTheme="minorHAnsi"/>
                <w:b w:val="0"/>
              </w:rPr>
              <w:t>r</w:t>
            </w:r>
            <w:r w:rsidRPr="180D46D7">
              <w:rPr>
                <w:rFonts w:asciiTheme="minorHAnsi" w:hAnsiTheme="minorHAnsi"/>
                <w:b w:val="0"/>
              </w:rPr>
              <w:t xml:space="preserve">egional and </w:t>
            </w:r>
            <w:r w:rsidR="1AEE0146" w:rsidRPr="180D46D7">
              <w:rPr>
                <w:rFonts w:asciiTheme="minorHAnsi" w:hAnsiTheme="minorHAnsi"/>
                <w:b w:val="0"/>
              </w:rPr>
              <w:t>country</w:t>
            </w:r>
            <w:r w:rsidRPr="180D46D7">
              <w:rPr>
                <w:rFonts w:asciiTheme="minorHAnsi" w:hAnsiTheme="minorHAnsi"/>
                <w:b w:val="0"/>
              </w:rPr>
              <w:t xml:space="preserve"> delegates. </w:t>
            </w:r>
          </w:p>
        </w:tc>
      </w:tr>
      <w:tr w:rsidR="00781673" w:rsidRPr="00915221" w14:paraId="63C6F9BA" w14:textId="77777777" w:rsidTr="00A61F27">
        <w:tc>
          <w:tcPr>
            <w:cnfStyle w:val="001000000000" w:firstRow="0" w:lastRow="0" w:firstColumn="1" w:lastColumn="0" w:oddVBand="0" w:evenVBand="0" w:oddHBand="0" w:evenHBand="0" w:firstRowFirstColumn="0" w:firstRowLastColumn="0" w:lastRowFirstColumn="0" w:lastRowLastColumn="0"/>
            <w:tcW w:w="5699" w:type="dxa"/>
          </w:tcPr>
          <w:p w14:paraId="1A83EBDE" w14:textId="77777777" w:rsidR="006D4A2E" w:rsidRPr="00915221" w:rsidRDefault="006D4A2E" w:rsidP="00D410D9">
            <w:pPr>
              <w:pStyle w:val="ListParagraph"/>
              <w:numPr>
                <w:ilvl w:val="0"/>
                <w:numId w:val="37"/>
              </w:numPr>
              <w:ind w:left="357" w:hanging="357"/>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lastRenderedPageBreak/>
              <w:t xml:space="preserve">DFAT and TAF should collaborate to strengthen the performance system for successor programs so that it briefly and clearly tracks and reports evidence-based progress, allowing managers to focus on implications and required actions.  This includes: </w:t>
            </w:r>
          </w:p>
          <w:p w14:paraId="51FC6343" w14:textId="77777777" w:rsidR="006D4A2E" w:rsidRPr="00915221" w:rsidRDefault="006D4A2E" w:rsidP="0049617A">
            <w:pPr>
              <w:pStyle w:val="ListParagraph"/>
              <w:numPr>
                <w:ilvl w:val="0"/>
                <w:numId w:val="42"/>
              </w:numPr>
              <w:snapToGrid w:val="0"/>
              <w:spacing w:before="120"/>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Ensuring there is a jointly developed and agreed performance framework in place that is consistently used</w:t>
            </w:r>
          </w:p>
          <w:p w14:paraId="5A78E358" w14:textId="77777777" w:rsidR="006D4A2E" w:rsidRPr="00915221" w:rsidRDefault="006D4A2E" w:rsidP="0049617A">
            <w:pPr>
              <w:pStyle w:val="ListParagraph"/>
              <w:numPr>
                <w:ilvl w:val="0"/>
                <w:numId w:val="42"/>
              </w:numPr>
              <w:snapToGrid w:val="0"/>
              <w:spacing w:before="120"/>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 xml:space="preserve">Framing program and initiative objectives carefully at the start; deliberately and transparently refining them where necessary as part of ST and </w:t>
            </w:r>
            <w:proofErr w:type="spellStart"/>
            <w:r w:rsidRPr="00915221">
              <w:rPr>
                <w:rFonts w:asciiTheme="minorHAnsi" w:hAnsiTheme="minorHAnsi" w:cstheme="minorHAnsi"/>
                <w:b w:val="0"/>
                <w:bCs w:val="0"/>
                <w:sz w:val="21"/>
                <w:szCs w:val="21"/>
              </w:rPr>
              <w:t>wTOC</w:t>
            </w:r>
            <w:proofErr w:type="spellEnd"/>
            <w:r w:rsidRPr="00915221">
              <w:rPr>
                <w:rFonts w:asciiTheme="minorHAnsi" w:hAnsiTheme="minorHAnsi" w:cstheme="minorHAnsi"/>
                <w:b w:val="0"/>
                <w:bCs w:val="0"/>
                <w:sz w:val="21"/>
                <w:szCs w:val="21"/>
              </w:rPr>
              <w:t xml:space="preserve"> processes; and applying them consistently</w:t>
            </w:r>
          </w:p>
          <w:p w14:paraId="6AB69749" w14:textId="77777777" w:rsidR="006D4A2E" w:rsidRPr="00915221" w:rsidRDefault="006D4A2E" w:rsidP="0049617A">
            <w:pPr>
              <w:pStyle w:val="ListParagraph"/>
              <w:numPr>
                <w:ilvl w:val="0"/>
                <w:numId w:val="42"/>
              </w:numPr>
              <w:snapToGrid w:val="0"/>
              <w:spacing w:before="120"/>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Avoiding the temptation to use management meetings as activity briefings, rather using them to interrogate performance information, explore existing and proposed strategies and very clearly determine future directions</w:t>
            </w:r>
          </w:p>
          <w:p w14:paraId="79D6B012" w14:textId="77777777" w:rsidR="006D4A2E" w:rsidRPr="00915221" w:rsidRDefault="006D4A2E" w:rsidP="0049617A">
            <w:pPr>
              <w:pStyle w:val="ListParagraph"/>
              <w:numPr>
                <w:ilvl w:val="0"/>
                <w:numId w:val="42"/>
              </w:numPr>
              <w:snapToGrid w:val="0"/>
              <w:spacing w:before="120"/>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Appointing a Canberra-based officer with no direct managerial role as a performance sceptic, to provide contestability, constructively pushing for substantiation of claimed progress</w:t>
            </w:r>
          </w:p>
          <w:p w14:paraId="2EE28F4B" w14:textId="799EEB31" w:rsidR="00781673" w:rsidRPr="00915221" w:rsidRDefault="00781673" w:rsidP="006D4A2E">
            <w:pPr>
              <w:pStyle w:val="NumberedList1"/>
              <w:numPr>
                <w:ilvl w:val="0"/>
                <w:numId w:val="0"/>
              </w:numPr>
              <w:ind w:left="360"/>
              <w:rPr>
                <w:rFonts w:cstheme="minorHAnsi"/>
                <w:b w:val="0"/>
                <w:bCs w:val="0"/>
              </w:rPr>
            </w:pPr>
          </w:p>
        </w:tc>
        <w:tc>
          <w:tcPr>
            <w:tcW w:w="1818" w:type="dxa"/>
          </w:tcPr>
          <w:p w14:paraId="449FEEF6" w14:textId="099AC822" w:rsidR="00781673" w:rsidRPr="00915221" w:rsidRDefault="00DC668C" w:rsidP="00860259">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AGREED</w:t>
            </w:r>
          </w:p>
        </w:tc>
        <w:tc>
          <w:tcPr>
            <w:tcW w:w="7043" w:type="dxa"/>
          </w:tcPr>
          <w:p w14:paraId="06311FB1" w14:textId="3971C5C7" w:rsidR="00781673" w:rsidRPr="00915221" w:rsidRDefault="0061483A" w:rsidP="00860259">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 xml:space="preserve">LEAD: The </w:t>
            </w:r>
            <w:r w:rsidR="00860259" w:rsidRPr="00915221">
              <w:rPr>
                <w:rFonts w:asciiTheme="minorHAnsi" w:hAnsiTheme="minorHAnsi" w:cstheme="minorHAnsi"/>
              </w:rPr>
              <w:t>A</w:t>
            </w:r>
            <w:r w:rsidRPr="00915221">
              <w:rPr>
                <w:rFonts w:asciiTheme="minorHAnsi" w:hAnsiTheme="minorHAnsi" w:cstheme="minorHAnsi"/>
              </w:rPr>
              <w:t>sia Foundation</w:t>
            </w:r>
            <w:r w:rsidR="00F860A6" w:rsidRPr="00915221">
              <w:rPr>
                <w:rFonts w:asciiTheme="minorHAnsi" w:hAnsiTheme="minorHAnsi" w:cstheme="minorHAnsi"/>
              </w:rPr>
              <w:t xml:space="preserve"> and Office of Southeast Asia </w:t>
            </w:r>
          </w:p>
          <w:p w14:paraId="01CEA941" w14:textId="67F55FFC" w:rsidR="00DC668C" w:rsidRPr="00582532" w:rsidRDefault="3B2E546B" w:rsidP="180D46D7">
            <w:pPr>
              <w:pStyle w:val="TableHeaderRow"/>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80D46D7">
              <w:rPr>
                <w:rFonts w:asciiTheme="minorHAnsi" w:hAnsiTheme="minorHAnsi"/>
              </w:rPr>
              <w:t xml:space="preserve">BY: </w:t>
            </w:r>
            <w:r w:rsidR="63239F8B" w:rsidRPr="180D46D7">
              <w:rPr>
                <w:rFonts w:asciiTheme="minorHAnsi" w:hAnsiTheme="minorHAnsi"/>
              </w:rPr>
              <w:t>September</w:t>
            </w:r>
            <w:r w:rsidR="0FA35F47" w:rsidRPr="180D46D7">
              <w:rPr>
                <w:rFonts w:asciiTheme="minorHAnsi" w:hAnsiTheme="minorHAnsi"/>
              </w:rPr>
              <w:t xml:space="preserve"> </w:t>
            </w:r>
            <w:r w:rsidR="0D660ADB" w:rsidRPr="180D46D7">
              <w:rPr>
                <w:rFonts w:asciiTheme="minorHAnsi" w:hAnsiTheme="minorHAnsi"/>
              </w:rPr>
              <w:t>2023</w:t>
            </w:r>
          </w:p>
          <w:p w14:paraId="3FECADA2" w14:textId="0BEB7AB0" w:rsidR="002D6EED" w:rsidRPr="00915221" w:rsidRDefault="51153485" w:rsidP="180D46D7">
            <w:pPr>
              <w:pStyle w:val="TableHeaderRow"/>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r w:rsidRPr="180D46D7">
              <w:rPr>
                <w:rFonts w:asciiTheme="minorHAnsi" w:hAnsiTheme="minorHAnsi"/>
                <w:b w:val="0"/>
              </w:rPr>
              <w:t>DFAT</w:t>
            </w:r>
            <w:r w:rsidR="74F7E63E" w:rsidRPr="180D46D7">
              <w:rPr>
                <w:rFonts w:asciiTheme="minorHAnsi" w:hAnsiTheme="minorHAnsi"/>
                <w:b w:val="0"/>
              </w:rPr>
              <w:t xml:space="preserve"> agrees with Recommendation 6 and has applied these recommendations in the design of AMRP.</w:t>
            </w:r>
          </w:p>
          <w:p w14:paraId="2B392900" w14:textId="2F17A232" w:rsidR="002D6EED" w:rsidRPr="00915221" w:rsidRDefault="74F7E63E" w:rsidP="637F07A8">
            <w:pPr>
              <w:pStyle w:val="TableHeaderRow"/>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r w:rsidRPr="637F07A8">
              <w:rPr>
                <w:rFonts w:asciiTheme="minorHAnsi" w:hAnsiTheme="minorHAnsi"/>
                <w:b w:val="0"/>
              </w:rPr>
              <w:t>In particular, DFAT</w:t>
            </w:r>
            <w:r w:rsidR="51153485" w:rsidRPr="637F07A8">
              <w:rPr>
                <w:rFonts w:asciiTheme="minorHAnsi" w:hAnsiTheme="minorHAnsi"/>
                <w:b w:val="0"/>
              </w:rPr>
              <w:t xml:space="preserve"> and TAF agree to update ST and </w:t>
            </w:r>
            <w:proofErr w:type="spellStart"/>
            <w:r w:rsidR="51153485" w:rsidRPr="637F07A8">
              <w:rPr>
                <w:rFonts w:asciiTheme="minorHAnsi" w:hAnsiTheme="minorHAnsi"/>
                <w:b w:val="0"/>
              </w:rPr>
              <w:t>wTOC</w:t>
            </w:r>
            <w:proofErr w:type="spellEnd"/>
            <w:r w:rsidR="51153485" w:rsidRPr="637F07A8">
              <w:rPr>
                <w:rFonts w:asciiTheme="minorHAnsi" w:hAnsiTheme="minorHAnsi"/>
                <w:b w:val="0"/>
              </w:rPr>
              <w:t xml:space="preserve"> processes as well as increase senior management engagement in program management forums to improve oversight on implementation of reform initiatives in successor programs. A light touch review of the previous program’s initiatives will be undertaken to inform the activity selection process. Further, ST and </w:t>
            </w:r>
            <w:proofErr w:type="spellStart"/>
            <w:r w:rsidR="51153485" w:rsidRPr="637F07A8">
              <w:rPr>
                <w:rFonts w:asciiTheme="minorHAnsi" w:hAnsiTheme="minorHAnsi"/>
                <w:b w:val="0"/>
              </w:rPr>
              <w:t>wTOC</w:t>
            </w:r>
            <w:proofErr w:type="spellEnd"/>
            <w:r w:rsidR="51153485" w:rsidRPr="637F07A8">
              <w:rPr>
                <w:rFonts w:asciiTheme="minorHAnsi" w:hAnsiTheme="minorHAnsi"/>
                <w:b w:val="0"/>
              </w:rPr>
              <w:t xml:space="preserve"> processes will regularly review outcomes, objectives and activities to ensure they </w:t>
            </w:r>
            <w:r w:rsidR="74132AD8" w:rsidRPr="637F07A8">
              <w:rPr>
                <w:rFonts w:asciiTheme="minorHAnsi" w:hAnsiTheme="minorHAnsi"/>
                <w:b w:val="0"/>
              </w:rPr>
              <w:t>remain</w:t>
            </w:r>
            <w:r w:rsidR="51153485" w:rsidRPr="637F07A8">
              <w:rPr>
                <w:rFonts w:asciiTheme="minorHAnsi" w:hAnsiTheme="minorHAnsi"/>
                <w:b w:val="0"/>
              </w:rPr>
              <w:t xml:space="preserve"> effective, relevant and fit for purpose. </w:t>
            </w:r>
          </w:p>
          <w:p w14:paraId="727FC1A5" w14:textId="449CE0FB" w:rsidR="00C54185" w:rsidRPr="00AF2B20" w:rsidRDefault="0FBA19B7" w:rsidP="180D46D7">
            <w:pPr>
              <w:pStyle w:val="TableHeaderRow"/>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r w:rsidRPr="180D46D7">
              <w:rPr>
                <w:rFonts w:asciiTheme="minorHAnsi" w:hAnsiTheme="minorHAnsi"/>
                <w:b w:val="0"/>
              </w:rPr>
              <w:t xml:space="preserve">A robust yet adaptive governance structure and performance reporting will be implemented for the program delivering robust development outcomes. </w:t>
            </w:r>
            <w:r w:rsidR="47F86884" w:rsidRPr="180D46D7">
              <w:rPr>
                <w:rFonts w:asciiTheme="minorHAnsi" w:hAnsiTheme="minorHAnsi"/>
                <w:b w:val="0"/>
              </w:rPr>
              <w:t xml:space="preserve"> </w:t>
            </w:r>
            <w:r w:rsidR="54078D1A" w:rsidRPr="180D46D7">
              <w:rPr>
                <w:rFonts w:asciiTheme="minorHAnsi" w:hAnsiTheme="minorHAnsi"/>
                <w:b w:val="0"/>
              </w:rPr>
              <w:t xml:space="preserve">Updates to </w:t>
            </w:r>
            <w:proofErr w:type="spellStart"/>
            <w:r w:rsidR="54078D1A" w:rsidRPr="180D46D7">
              <w:rPr>
                <w:rFonts w:asciiTheme="minorHAnsi" w:hAnsiTheme="minorHAnsi"/>
                <w:b w:val="0"/>
              </w:rPr>
              <w:t>wTOCs</w:t>
            </w:r>
            <w:proofErr w:type="spellEnd"/>
            <w:r w:rsidR="54078D1A" w:rsidRPr="180D46D7">
              <w:rPr>
                <w:rFonts w:asciiTheme="minorHAnsi" w:hAnsiTheme="minorHAnsi"/>
                <w:b w:val="0"/>
              </w:rPr>
              <w:t xml:space="preserve"> for each reform initiative will be complemented by </w:t>
            </w:r>
            <w:r w:rsidRPr="180D46D7">
              <w:rPr>
                <w:rFonts w:asciiTheme="minorHAnsi" w:hAnsiTheme="minorHAnsi"/>
                <w:b w:val="0"/>
              </w:rPr>
              <w:t>activity</w:t>
            </w:r>
            <w:r w:rsidR="54078D1A" w:rsidRPr="180D46D7">
              <w:rPr>
                <w:rFonts w:asciiTheme="minorHAnsi" w:hAnsiTheme="minorHAnsi"/>
                <w:b w:val="0"/>
              </w:rPr>
              <w:t xml:space="preserve"> timelines</w:t>
            </w:r>
            <w:r w:rsidRPr="180D46D7">
              <w:rPr>
                <w:rFonts w:asciiTheme="minorHAnsi" w:hAnsiTheme="minorHAnsi"/>
                <w:b w:val="0"/>
              </w:rPr>
              <w:t xml:space="preserve">. Any changes to </w:t>
            </w:r>
            <w:proofErr w:type="spellStart"/>
            <w:r w:rsidRPr="180D46D7">
              <w:rPr>
                <w:rFonts w:asciiTheme="minorHAnsi" w:hAnsiTheme="minorHAnsi"/>
                <w:b w:val="0"/>
              </w:rPr>
              <w:t>wTOCs</w:t>
            </w:r>
            <w:proofErr w:type="spellEnd"/>
            <w:r w:rsidRPr="180D46D7">
              <w:rPr>
                <w:rFonts w:asciiTheme="minorHAnsi" w:hAnsiTheme="minorHAnsi"/>
                <w:b w:val="0"/>
              </w:rPr>
              <w:t xml:space="preserve"> will be documented </w:t>
            </w:r>
            <w:r w:rsidR="3C9EAA59" w:rsidRPr="180D46D7">
              <w:rPr>
                <w:rFonts w:asciiTheme="minorHAnsi" w:hAnsiTheme="minorHAnsi"/>
                <w:b w:val="0"/>
              </w:rPr>
              <w:t>and discussed during ST sessions.</w:t>
            </w:r>
          </w:p>
          <w:p w14:paraId="43918992" w14:textId="757B7B72" w:rsidR="00811D8D" w:rsidRPr="00915221" w:rsidRDefault="00431986" w:rsidP="00AF2B20">
            <w:pPr>
              <w:pStyle w:val="TableHeaderRow"/>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highlight w:val="yellow"/>
              </w:rPr>
            </w:pPr>
            <w:r w:rsidRPr="00AF2B20">
              <w:rPr>
                <w:rFonts w:asciiTheme="minorHAnsi" w:hAnsiTheme="minorHAnsi" w:cstheme="minorHAnsi"/>
                <w:b w:val="0"/>
                <w:bCs/>
              </w:rPr>
              <w:t xml:space="preserve">DFAT and TAF </w:t>
            </w:r>
            <w:r w:rsidR="00AF2B20" w:rsidRPr="00AF2B20">
              <w:rPr>
                <w:rFonts w:asciiTheme="minorHAnsi" w:hAnsiTheme="minorHAnsi" w:cstheme="minorHAnsi"/>
                <w:b w:val="0"/>
                <w:bCs/>
              </w:rPr>
              <w:t xml:space="preserve">will update ST processes to focus the agenda on strategy oversight and provide contestability of </w:t>
            </w:r>
            <w:r w:rsidR="00AF2B20" w:rsidRPr="004C5CDC">
              <w:rPr>
                <w:rFonts w:asciiTheme="minorHAnsi" w:hAnsiTheme="minorHAnsi" w:cstheme="minorHAnsi"/>
                <w:b w:val="0"/>
                <w:bCs/>
              </w:rPr>
              <w:t>the proposed activities</w:t>
            </w:r>
            <w:r w:rsidRPr="004C5CDC">
              <w:rPr>
                <w:rFonts w:asciiTheme="minorHAnsi" w:hAnsiTheme="minorHAnsi" w:cstheme="minorHAnsi"/>
                <w:b w:val="0"/>
                <w:bCs/>
              </w:rPr>
              <w:t xml:space="preserve">. </w:t>
            </w:r>
            <w:r w:rsidR="00EC5E3A" w:rsidRPr="004C5CDC">
              <w:rPr>
                <w:rFonts w:asciiTheme="minorHAnsi" w:hAnsiTheme="minorHAnsi" w:cstheme="minorHAnsi"/>
                <w:b w:val="0"/>
                <w:bCs/>
              </w:rPr>
              <w:t xml:space="preserve">One change to help activity this objective is to include a </w:t>
            </w:r>
            <w:r w:rsidR="00C54185" w:rsidRPr="004C5CDC">
              <w:rPr>
                <w:rFonts w:asciiTheme="minorHAnsi" w:hAnsiTheme="minorHAnsi" w:cstheme="minorHAnsi"/>
                <w:b w:val="0"/>
                <w:bCs/>
              </w:rPr>
              <w:t xml:space="preserve">representative from Canberra </w:t>
            </w:r>
            <w:r w:rsidR="004C5CDC" w:rsidRPr="004C5CDC">
              <w:rPr>
                <w:rFonts w:asciiTheme="minorHAnsi" w:hAnsiTheme="minorHAnsi" w:cstheme="minorHAnsi"/>
                <w:b w:val="0"/>
                <w:bCs/>
              </w:rPr>
              <w:t>at these meetings that provides</w:t>
            </w:r>
            <w:r w:rsidR="00C54185" w:rsidRPr="004C5CDC">
              <w:rPr>
                <w:rFonts w:asciiTheme="minorHAnsi" w:hAnsiTheme="minorHAnsi" w:cstheme="minorHAnsi"/>
                <w:b w:val="0"/>
                <w:bCs/>
              </w:rPr>
              <w:t xml:space="preserve"> contestability and </w:t>
            </w:r>
            <w:r w:rsidR="00EC5E3A" w:rsidRPr="004C5CDC">
              <w:rPr>
                <w:rFonts w:asciiTheme="minorHAnsi" w:hAnsiTheme="minorHAnsi" w:cstheme="minorHAnsi"/>
                <w:b w:val="0"/>
                <w:bCs/>
              </w:rPr>
              <w:t>strategic a</w:t>
            </w:r>
            <w:r w:rsidR="00C54185" w:rsidRPr="004C5CDC">
              <w:rPr>
                <w:rFonts w:asciiTheme="minorHAnsi" w:hAnsiTheme="minorHAnsi" w:cstheme="minorHAnsi"/>
                <w:b w:val="0"/>
                <w:bCs/>
              </w:rPr>
              <w:t xml:space="preserve">dvice. </w:t>
            </w:r>
          </w:p>
          <w:p w14:paraId="469F2E7B" w14:textId="555C1A8B" w:rsidR="00811D8D" w:rsidRPr="00915221" w:rsidRDefault="00811D8D" w:rsidP="00513D04">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highlight w:val="yellow"/>
              </w:rPr>
            </w:pPr>
            <w:r w:rsidRPr="00915221">
              <w:rPr>
                <w:rFonts w:asciiTheme="minorHAnsi" w:hAnsiTheme="minorHAnsi" w:cstheme="minorHAnsi"/>
                <w:b w:val="0"/>
                <w:bCs/>
              </w:rPr>
              <w:t xml:space="preserve">The Monitoring and Evaluation Plan will be updated to enhance </w:t>
            </w:r>
            <w:r w:rsidR="004C5CDC">
              <w:rPr>
                <w:rFonts w:asciiTheme="minorHAnsi" w:hAnsiTheme="minorHAnsi" w:cstheme="minorHAnsi"/>
                <w:b w:val="0"/>
                <w:bCs/>
              </w:rPr>
              <w:t>reporting against</w:t>
            </w:r>
            <w:r w:rsidRPr="00915221">
              <w:rPr>
                <w:rFonts w:asciiTheme="minorHAnsi" w:hAnsiTheme="minorHAnsi" w:cstheme="minorHAnsi"/>
                <w:b w:val="0"/>
                <w:bCs/>
              </w:rPr>
              <w:t xml:space="preserve"> </w:t>
            </w:r>
            <w:r w:rsidR="004C5CDC">
              <w:rPr>
                <w:rFonts w:asciiTheme="minorHAnsi" w:hAnsiTheme="minorHAnsi" w:cstheme="minorHAnsi"/>
                <w:b w:val="0"/>
                <w:bCs/>
              </w:rPr>
              <w:t>successor program</w:t>
            </w:r>
            <w:r w:rsidRPr="00915221">
              <w:rPr>
                <w:rFonts w:asciiTheme="minorHAnsi" w:hAnsiTheme="minorHAnsi" w:cstheme="minorHAnsi"/>
                <w:b w:val="0"/>
                <w:bCs/>
              </w:rPr>
              <w:t xml:space="preserve"> objectives. </w:t>
            </w:r>
            <w:r w:rsidR="004C5CDC">
              <w:rPr>
                <w:rFonts w:asciiTheme="minorHAnsi" w:hAnsiTheme="minorHAnsi" w:cstheme="minorHAnsi"/>
                <w:b w:val="0"/>
                <w:bCs/>
              </w:rPr>
              <w:t>These objects</w:t>
            </w:r>
            <w:r w:rsidRPr="00915221">
              <w:rPr>
                <w:rFonts w:asciiTheme="minorHAnsi" w:hAnsiTheme="minorHAnsi" w:cstheme="minorHAnsi"/>
                <w:b w:val="0"/>
                <w:bCs/>
              </w:rPr>
              <w:t xml:space="preserve"> will continue </w:t>
            </w:r>
            <w:r w:rsidR="004C5CDC">
              <w:rPr>
                <w:rFonts w:asciiTheme="minorHAnsi" w:hAnsiTheme="minorHAnsi" w:cstheme="minorHAnsi"/>
                <w:b w:val="0"/>
                <w:bCs/>
              </w:rPr>
              <w:t>being</w:t>
            </w:r>
            <w:r w:rsidRPr="00915221">
              <w:rPr>
                <w:rFonts w:asciiTheme="minorHAnsi" w:hAnsiTheme="minorHAnsi" w:cstheme="minorHAnsi"/>
                <w:b w:val="0"/>
                <w:bCs/>
              </w:rPr>
              <w:t xml:space="preserve"> discussed in six-monthly Joint Working Group meetings. Traffic lights and ‘performance on a page’ will be incorporated into Semi-Annual Reports and Annual Reports.</w:t>
            </w:r>
          </w:p>
        </w:tc>
      </w:tr>
      <w:tr w:rsidR="00832906" w:rsidRPr="00915221" w14:paraId="35C554A7" w14:textId="77777777" w:rsidTr="00A61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9" w:type="dxa"/>
          </w:tcPr>
          <w:p w14:paraId="3C98A60F" w14:textId="77777777" w:rsidR="00832906" w:rsidRPr="00915221" w:rsidRDefault="6CA5EF5C" w:rsidP="180D46D7">
            <w:pPr>
              <w:pStyle w:val="ListParagraph"/>
              <w:numPr>
                <w:ilvl w:val="0"/>
                <w:numId w:val="37"/>
              </w:numPr>
              <w:ind w:left="357" w:hanging="357"/>
              <w:jc w:val="both"/>
              <w:rPr>
                <w:rFonts w:asciiTheme="minorHAnsi" w:hAnsiTheme="minorHAnsi" w:cstheme="minorBidi"/>
                <w:b w:val="0"/>
                <w:bCs w:val="0"/>
                <w:sz w:val="21"/>
                <w:szCs w:val="21"/>
              </w:rPr>
            </w:pPr>
            <w:r w:rsidRPr="180D46D7">
              <w:rPr>
                <w:rFonts w:asciiTheme="minorHAnsi" w:hAnsiTheme="minorHAnsi" w:cstheme="minorBidi"/>
                <w:b w:val="0"/>
                <w:bCs w:val="0"/>
                <w:sz w:val="21"/>
                <w:szCs w:val="21"/>
              </w:rPr>
              <w:lastRenderedPageBreak/>
              <w:t>DFAT should develop a suite of short, straight-forward, complementary documents that explain the essential operating features of its AMIC model and the key drivers of success to guide staff and embed management principles and protocols</w:t>
            </w:r>
          </w:p>
          <w:p w14:paraId="3B5DBAF7" w14:textId="601FE47C" w:rsidR="00832906" w:rsidRPr="00915221" w:rsidRDefault="00832906" w:rsidP="00832906">
            <w:pPr>
              <w:pStyle w:val="NumberedList1"/>
              <w:numPr>
                <w:ilvl w:val="0"/>
                <w:numId w:val="0"/>
              </w:numPr>
              <w:ind w:left="284" w:hanging="284"/>
              <w:rPr>
                <w:rFonts w:cstheme="minorHAnsi"/>
                <w:b w:val="0"/>
                <w:bCs w:val="0"/>
              </w:rPr>
            </w:pPr>
          </w:p>
        </w:tc>
        <w:tc>
          <w:tcPr>
            <w:tcW w:w="1818" w:type="dxa"/>
          </w:tcPr>
          <w:p w14:paraId="15DA598B" w14:textId="72B84CE6" w:rsidR="00832906" w:rsidRPr="00915221" w:rsidRDefault="6CA5EF5C" w:rsidP="180D46D7">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180D46D7">
              <w:rPr>
                <w:rFonts w:asciiTheme="minorHAnsi" w:hAnsiTheme="minorHAnsi"/>
              </w:rPr>
              <w:t xml:space="preserve">AGREED </w:t>
            </w:r>
          </w:p>
        </w:tc>
        <w:tc>
          <w:tcPr>
            <w:tcW w:w="7043" w:type="dxa"/>
          </w:tcPr>
          <w:p w14:paraId="4F3F01B5" w14:textId="76C09FA1" w:rsidR="00832906" w:rsidRPr="00915221" w:rsidRDefault="00832906" w:rsidP="00832906">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bookmarkStart w:id="0" w:name="_Hlk78184997"/>
            <w:r w:rsidRPr="00915221">
              <w:rPr>
                <w:rFonts w:asciiTheme="minorHAnsi" w:hAnsiTheme="minorHAnsi" w:cstheme="minorHAnsi"/>
              </w:rPr>
              <w:t xml:space="preserve">LEAD: </w:t>
            </w:r>
            <w:r w:rsidR="001D5520" w:rsidRPr="00915221">
              <w:rPr>
                <w:rFonts w:asciiTheme="minorHAnsi" w:hAnsiTheme="minorHAnsi" w:cstheme="minorHAnsi"/>
              </w:rPr>
              <w:t xml:space="preserve"> Office of Southeast Asia</w:t>
            </w:r>
          </w:p>
          <w:p w14:paraId="3F315CE3" w14:textId="3FA4ABC4" w:rsidR="00832906" w:rsidRPr="00915221" w:rsidRDefault="00832906" w:rsidP="00832906">
            <w:pPr>
              <w:pStyle w:val="TableHeaderRow"/>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 xml:space="preserve">BY: </w:t>
            </w:r>
            <w:r w:rsidR="001D5520" w:rsidRPr="00915221">
              <w:rPr>
                <w:rFonts w:asciiTheme="minorHAnsi" w:hAnsiTheme="minorHAnsi" w:cstheme="minorHAnsi"/>
              </w:rPr>
              <w:t xml:space="preserve">Ongoing </w:t>
            </w:r>
          </w:p>
          <w:bookmarkEnd w:id="0"/>
          <w:p w14:paraId="74A9EBBB" w14:textId="29A839CE" w:rsidR="001D5520" w:rsidRPr="00582532" w:rsidRDefault="24DFC8E3" w:rsidP="180D46D7">
            <w:pPr>
              <w:pStyle w:val="TableHeaderRow"/>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180D46D7">
              <w:rPr>
                <w:rFonts w:asciiTheme="minorHAnsi" w:hAnsiTheme="minorHAnsi"/>
                <w:b w:val="0"/>
              </w:rPr>
              <w:t xml:space="preserve">DFAT </w:t>
            </w:r>
            <w:r w:rsidR="5BF70246" w:rsidRPr="180D46D7">
              <w:rPr>
                <w:rFonts w:asciiTheme="minorHAnsi" w:hAnsiTheme="minorHAnsi"/>
                <w:b w:val="0"/>
              </w:rPr>
              <w:t xml:space="preserve">and TAF will work together to produce </w:t>
            </w:r>
            <w:r w:rsidR="27F15989" w:rsidRPr="180D46D7">
              <w:rPr>
                <w:rFonts w:asciiTheme="minorHAnsi" w:hAnsiTheme="minorHAnsi"/>
                <w:b w:val="0"/>
              </w:rPr>
              <w:t>short</w:t>
            </w:r>
            <w:r w:rsidR="5BF70246" w:rsidRPr="180D46D7">
              <w:rPr>
                <w:rFonts w:asciiTheme="minorHAnsi" w:hAnsiTheme="minorHAnsi"/>
                <w:b w:val="0"/>
              </w:rPr>
              <w:t xml:space="preserve"> guidance documents</w:t>
            </w:r>
            <w:r w:rsidR="3DD487C8" w:rsidRPr="180D46D7">
              <w:rPr>
                <w:rFonts w:asciiTheme="minorHAnsi" w:hAnsiTheme="minorHAnsi"/>
                <w:b w:val="0"/>
              </w:rPr>
              <w:t xml:space="preserve"> in 2024. </w:t>
            </w:r>
          </w:p>
        </w:tc>
      </w:tr>
      <w:tr w:rsidR="00832906" w:rsidRPr="00915221" w14:paraId="21BC2C7C" w14:textId="77777777" w:rsidTr="00A61F27">
        <w:trPr>
          <w:trHeight w:val="703"/>
        </w:trPr>
        <w:tc>
          <w:tcPr>
            <w:cnfStyle w:val="001000000000" w:firstRow="0" w:lastRow="0" w:firstColumn="1" w:lastColumn="0" w:oddVBand="0" w:evenVBand="0" w:oddHBand="0" w:evenHBand="0" w:firstRowFirstColumn="0" w:firstRowLastColumn="0" w:lastRowFirstColumn="0" w:lastRowLastColumn="0"/>
            <w:tcW w:w="5699" w:type="dxa"/>
          </w:tcPr>
          <w:p w14:paraId="25A0DE70" w14:textId="77777777" w:rsidR="00832906" w:rsidRPr="00915221" w:rsidRDefault="00832906" w:rsidP="004C5CDC">
            <w:pPr>
              <w:pStyle w:val="ListParagraph"/>
              <w:numPr>
                <w:ilvl w:val="0"/>
                <w:numId w:val="37"/>
              </w:numPr>
              <w:ind w:left="357" w:hanging="357"/>
              <w:contextualSpacing w:val="0"/>
              <w:jc w:val="both"/>
              <w:rPr>
                <w:rFonts w:asciiTheme="minorHAnsi" w:hAnsiTheme="minorHAnsi" w:cstheme="minorHAnsi"/>
                <w:b w:val="0"/>
                <w:bCs w:val="0"/>
                <w:sz w:val="21"/>
                <w:szCs w:val="21"/>
              </w:rPr>
            </w:pPr>
            <w:r w:rsidRPr="00915221">
              <w:rPr>
                <w:rFonts w:asciiTheme="minorHAnsi" w:hAnsiTheme="minorHAnsi" w:cstheme="minorHAnsi"/>
                <w:b w:val="0"/>
                <w:bCs w:val="0"/>
                <w:sz w:val="21"/>
                <w:szCs w:val="21"/>
              </w:rPr>
              <w:t>Australian foreign policy principles that apply across all programs and policies, such as gender equality and environmental sustainability should be incorporated into the new operating procedures.  This as much to put boundaries around what is asked of the program as it is to ensure broad consistency with DFAT-wide requirements.  These principles should be</w:t>
            </w:r>
          </w:p>
          <w:p w14:paraId="278228FC" w14:textId="77777777" w:rsidR="00832906" w:rsidRPr="00915221" w:rsidRDefault="6CA5EF5C" w:rsidP="180D46D7">
            <w:pPr>
              <w:pStyle w:val="ListParagraph"/>
              <w:numPr>
                <w:ilvl w:val="2"/>
                <w:numId w:val="43"/>
              </w:numPr>
              <w:spacing w:before="120"/>
              <w:rPr>
                <w:rFonts w:asciiTheme="minorHAnsi" w:hAnsiTheme="minorHAnsi" w:cstheme="minorBidi"/>
                <w:b w:val="0"/>
                <w:bCs w:val="0"/>
                <w:sz w:val="21"/>
                <w:szCs w:val="21"/>
              </w:rPr>
            </w:pPr>
            <w:r w:rsidRPr="180D46D7">
              <w:rPr>
                <w:rFonts w:asciiTheme="minorHAnsi" w:hAnsiTheme="minorHAnsi" w:cstheme="minorBidi"/>
                <w:b w:val="0"/>
                <w:bCs w:val="0"/>
                <w:sz w:val="21"/>
                <w:szCs w:val="21"/>
              </w:rPr>
              <w:t>Few in number and proportional to the small scale of activities and reflecting their non-aid nature</w:t>
            </w:r>
          </w:p>
          <w:p w14:paraId="476B0B29" w14:textId="77777777" w:rsidR="00832906" w:rsidRPr="00915221" w:rsidRDefault="00832906" w:rsidP="00832906">
            <w:pPr>
              <w:pStyle w:val="ListParagraph"/>
              <w:numPr>
                <w:ilvl w:val="2"/>
                <w:numId w:val="43"/>
              </w:numPr>
              <w:spacing w:before="120"/>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Tier 1 government priorities, only</w:t>
            </w:r>
          </w:p>
          <w:p w14:paraId="709805E6" w14:textId="77777777" w:rsidR="00832906" w:rsidRPr="00915221" w:rsidRDefault="00832906" w:rsidP="00832906">
            <w:pPr>
              <w:pStyle w:val="ListParagraph"/>
              <w:numPr>
                <w:ilvl w:val="2"/>
                <w:numId w:val="43"/>
              </w:numPr>
              <w:spacing w:before="120"/>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 xml:space="preserve">Primarily achieved through mainstreaming principles into analysis and reform proposals </w:t>
            </w:r>
          </w:p>
          <w:p w14:paraId="636734A0" w14:textId="2AD7159F" w:rsidR="00832906" w:rsidRPr="00915221" w:rsidRDefault="00832906" w:rsidP="008C0C93">
            <w:pPr>
              <w:pStyle w:val="NumberedList1"/>
              <w:numPr>
                <w:ilvl w:val="0"/>
                <w:numId w:val="0"/>
              </w:numPr>
              <w:rPr>
                <w:rFonts w:cstheme="minorHAnsi"/>
                <w:b w:val="0"/>
                <w:bCs w:val="0"/>
              </w:rPr>
            </w:pPr>
          </w:p>
        </w:tc>
        <w:tc>
          <w:tcPr>
            <w:tcW w:w="1818" w:type="dxa"/>
          </w:tcPr>
          <w:p w14:paraId="095AD916" w14:textId="62BDA7A3" w:rsidR="00832906" w:rsidRPr="00915221" w:rsidRDefault="00832906" w:rsidP="00832906">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AGREED</w:t>
            </w:r>
          </w:p>
        </w:tc>
        <w:tc>
          <w:tcPr>
            <w:tcW w:w="7043" w:type="dxa"/>
          </w:tcPr>
          <w:p w14:paraId="20D5163F" w14:textId="77777777" w:rsidR="00832906" w:rsidRPr="00915221" w:rsidRDefault="00832906" w:rsidP="00832906">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LEAD:  The Asia Foundation</w:t>
            </w:r>
          </w:p>
          <w:p w14:paraId="4106B90E" w14:textId="172D37BA" w:rsidR="00832906" w:rsidRPr="00915221" w:rsidRDefault="6CA5EF5C" w:rsidP="180D46D7">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80D46D7">
              <w:rPr>
                <w:rFonts w:asciiTheme="minorHAnsi" w:hAnsiTheme="minorHAnsi"/>
              </w:rPr>
              <w:t>BY: June 2023</w:t>
            </w:r>
          </w:p>
          <w:p w14:paraId="2D412ACA" w14:textId="7162E01B" w:rsidR="008A49F5" w:rsidRPr="00915221" w:rsidRDefault="4E5EFEE8" w:rsidP="180D46D7">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r w:rsidRPr="180D46D7">
              <w:rPr>
                <w:rFonts w:asciiTheme="minorHAnsi" w:hAnsiTheme="minorHAnsi"/>
                <w:b w:val="0"/>
              </w:rPr>
              <w:t xml:space="preserve">DFAT and TAF have </w:t>
            </w:r>
            <w:r w:rsidR="7F036A16" w:rsidRPr="180D46D7">
              <w:rPr>
                <w:rFonts w:asciiTheme="minorHAnsi" w:hAnsiTheme="minorHAnsi"/>
                <w:b w:val="0"/>
              </w:rPr>
              <w:t xml:space="preserve">actioned this recommendation by </w:t>
            </w:r>
            <w:r w:rsidRPr="180D46D7">
              <w:rPr>
                <w:rFonts w:asciiTheme="minorHAnsi" w:hAnsiTheme="minorHAnsi"/>
                <w:b w:val="0"/>
              </w:rPr>
              <w:t>incorpora</w:t>
            </w:r>
            <w:r w:rsidR="7F036A16" w:rsidRPr="180D46D7">
              <w:rPr>
                <w:rFonts w:asciiTheme="minorHAnsi" w:hAnsiTheme="minorHAnsi"/>
                <w:b w:val="0"/>
              </w:rPr>
              <w:t>ting</w:t>
            </w:r>
            <w:r w:rsidRPr="180D46D7">
              <w:rPr>
                <w:rFonts w:asciiTheme="minorHAnsi" w:hAnsiTheme="minorHAnsi"/>
                <w:b w:val="0"/>
              </w:rPr>
              <w:t xml:space="preserve"> </w:t>
            </w:r>
            <w:r w:rsidR="634B133F" w:rsidRPr="180D46D7">
              <w:rPr>
                <w:rFonts w:asciiTheme="minorHAnsi" w:hAnsiTheme="minorHAnsi"/>
                <w:b w:val="0"/>
              </w:rPr>
              <w:t xml:space="preserve">GEDSI and Climate Change </w:t>
            </w:r>
            <w:r w:rsidRPr="180D46D7">
              <w:rPr>
                <w:rFonts w:asciiTheme="minorHAnsi" w:hAnsiTheme="minorHAnsi"/>
                <w:b w:val="0"/>
              </w:rPr>
              <w:t xml:space="preserve">considerations into </w:t>
            </w:r>
            <w:r w:rsidR="5BABC26F" w:rsidRPr="180D46D7">
              <w:rPr>
                <w:rFonts w:asciiTheme="minorHAnsi" w:hAnsiTheme="minorHAnsi"/>
                <w:b w:val="0"/>
              </w:rPr>
              <w:t xml:space="preserve">the </w:t>
            </w:r>
            <w:r w:rsidRPr="180D46D7">
              <w:rPr>
                <w:rFonts w:asciiTheme="minorHAnsi" w:hAnsiTheme="minorHAnsi"/>
                <w:b w:val="0"/>
              </w:rPr>
              <w:t>AMRP</w:t>
            </w:r>
            <w:r w:rsidR="3F380DF7" w:rsidRPr="180D46D7">
              <w:rPr>
                <w:rFonts w:asciiTheme="minorHAnsi" w:hAnsiTheme="minorHAnsi"/>
                <w:b w:val="0"/>
              </w:rPr>
              <w:t xml:space="preserve"> design and implementation</w:t>
            </w:r>
            <w:r w:rsidR="52FE0CF4" w:rsidRPr="180D46D7">
              <w:rPr>
                <w:rFonts w:asciiTheme="minorHAnsi" w:hAnsiTheme="minorHAnsi"/>
                <w:b w:val="0"/>
              </w:rPr>
              <w:t xml:space="preserve">. If an </w:t>
            </w:r>
            <w:r w:rsidR="349D4354" w:rsidRPr="180D46D7">
              <w:rPr>
                <w:rFonts w:asciiTheme="minorHAnsi" w:hAnsiTheme="minorHAnsi"/>
                <w:b w:val="0"/>
              </w:rPr>
              <w:t>activity</w:t>
            </w:r>
            <w:r w:rsidR="52FE0CF4" w:rsidRPr="180D46D7">
              <w:rPr>
                <w:rFonts w:asciiTheme="minorHAnsi" w:hAnsiTheme="minorHAnsi"/>
                <w:b w:val="0"/>
              </w:rPr>
              <w:t xml:space="preserve"> is not included against either </w:t>
            </w:r>
            <w:r w:rsidR="349D4354" w:rsidRPr="180D46D7">
              <w:rPr>
                <w:rFonts w:asciiTheme="minorHAnsi" w:hAnsiTheme="minorHAnsi"/>
                <w:b w:val="0"/>
              </w:rPr>
              <w:t>target</w:t>
            </w:r>
            <w:r w:rsidR="52FE0CF4" w:rsidRPr="180D46D7">
              <w:rPr>
                <w:rFonts w:asciiTheme="minorHAnsi" w:hAnsiTheme="minorHAnsi"/>
                <w:b w:val="0"/>
              </w:rPr>
              <w:t xml:space="preserve"> this will be </w:t>
            </w:r>
            <w:r w:rsidR="349D4354" w:rsidRPr="180D46D7">
              <w:rPr>
                <w:rFonts w:asciiTheme="minorHAnsi" w:hAnsiTheme="minorHAnsi"/>
                <w:b w:val="0"/>
              </w:rPr>
              <w:t xml:space="preserve">documented and </w:t>
            </w:r>
            <w:r w:rsidR="74132AD8" w:rsidRPr="180D46D7">
              <w:rPr>
                <w:rFonts w:asciiTheme="minorHAnsi" w:hAnsiTheme="minorHAnsi"/>
                <w:b w:val="0"/>
              </w:rPr>
              <w:t>outline why</w:t>
            </w:r>
            <w:r w:rsidR="6A85E033" w:rsidRPr="180D46D7">
              <w:rPr>
                <w:rFonts w:asciiTheme="minorHAnsi" w:hAnsiTheme="minorHAnsi"/>
                <w:b w:val="0"/>
              </w:rPr>
              <w:t xml:space="preserve"> it does not</w:t>
            </w:r>
            <w:r w:rsidR="13DE5FAF" w:rsidRPr="180D46D7">
              <w:rPr>
                <w:rFonts w:asciiTheme="minorHAnsi" w:hAnsiTheme="minorHAnsi"/>
                <w:b w:val="0"/>
              </w:rPr>
              <w:t xml:space="preserve"> fit the scope of the program. </w:t>
            </w:r>
          </w:p>
          <w:p w14:paraId="7D46D73D" w14:textId="07E5B33F" w:rsidR="00832906" w:rsidRPr="00915221" w:rsidRDefault="00832906" w:rsidP="00832906">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rPr>
            </w:pPr>
          </w:p>
        </w:tc>
      </w:tr>
      <w:tr w:rsidR="00832906" w:rsidRPr="00915221" w14:paraId="225679E4" w14:textId="77777777" w:rsidTr="00A61F2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699" w:type="dxa"/>
          </w:tcPr>
          <w:p w14:paraId="66D1EF8A" w14:textId="77777777" w:rsidR="00832906" w:rsidRPr="00915221" w:rsidRDefault="6CA5EF5C" w:rsidP="180D46D7">
            <w:pPr>
              <w:pStyle w:val="ListParagraph"/>
              <w:numPr>
                <w:ilvl w:val="0"/>
                <w:numId w:val="37"/>
              </w:numPr>
              <w:jc w:val="both"/>
              <w:rPr>
                <w:rFonts w:asciiTheme="minorHAnsi" w:hAnsiTheme="minorHAnsi" w:cstheme="minorBidi"/>
                <w:b w:val="0"/>
                <w:bCs w:val="0"/>
                <w:sz w:val="21"/>
                <w:szCs w:val="21"/>
              </w:rPr>
            </w:pPr>
            <w:r w:rsidRPr="180D46D7">
              <w:rPr>
                <w:rFonts w:asciiTheme="minorHAnsi" w:hAnsiTheme="minorHAnsi" w:cstheme="minorBidi"/>
                <w:b w:val="0"/>
                <w:bCs w:val="0"/>
                <w:sz w:val="21"/>
                <w:szCs w:val="21"/>
              </w:rPr>
              <w:t>DFAT should advance Australian interests in the growing number of Asian AMICs in a strategy that establishes a compelling narrative for cooperation and sets out how to configure the range of diplomatic and development tools available for maximum impact</w:t>
            </w:r>
          </w:p>
          <w:p w14:paraId="0AB89486" w14:textId="1DC04079" w:rsidR="00832906" w:rsidRPr="00915221" w:rsidRDefault="00832906" w:rsidP="00832906">
            <w:pPr>
              <w:pStyle w:val="ListParagraph"/>
              <w:spacing w:before="120"/>
              <w:ind w:left="1077"/>
              <w:contextualSpacing w:val="0"/>
              <w:jc w:val="both"/>
              <w:rPr>
                <w:rFonts w:asciiTheme="minorHAnsi" w:hAnsiTheme="minorHAnsi" w:cstheme="minorHAnsi"/>
                <w:b w:val="0"/>
                <w:bCs w:val="0"/>
                <w:sz w:val="21"/>
                <w:szCs w:val="21"/>
              </w:rPr>
            </w:pPr>
          </w:p>
        </w:tc>
        <w:tc>
          <w:tcPr>
            <w:tcW w:w="1818" w:type="dxa"/>
          </w:tcPr>
          <w:p w14:paraId="662689AE" w14:textId="1EDF79C5" w:rsidR="00832906" w:rsidRPr="00915221" w:rsidRDefault="6CA5EF5C" w:rsidP="180D46D7">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180D46D7">
              <w:rPr>
                <w:rFonts w:asciiTheme="minorHAnsi" w:hAnsiTheme="minorHAnsi"/>
              </w:rPr>
              <w:t>PARTIALLY AGREE</w:t>
            </w:r>
          </w:p>
        </w:tc>
        <w:tc>
          <w:tcPr>
            <w:tcW w:w="7043" w:type="dxa"/>
          </w:tcPr>
          <w:p w14:paraId="7E4F3EF9" w14:textId="77777777" w:rsidR="00832906" w:rsidRPr="00915221" w:rsidRDefault="00832906" w:rsidP="00832906">
            <w:pPr>
              <w:pStyle w:val="TableHeaderRow"/>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LEAD: Office of Southeast Asia</w:t>
            </w:r>
          </w:p>
          <w:p w14:paraId="625C4DCC" w14:textId="1A9F1A3F" w:rsidR="00832906" w:rsidRPr="00647E94" w:rsidRDefault="00832906" w:rsidP="00832906">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BY: Ongoing</w:t>
            </w:r>
          </w:p>
          <w:p w14:paraId="218C7D49" w14:textId="7B891534" w:rsidR="0059432D" w:rsidRPr="003E3865" w:rsidRDefault="3EBCF7CE" w:rsidP="180D46D7">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b w:val="0"/>
                <w:vertAlign w:val="subscript"/>
              </w:rPr>
            </w:pPr>
            <w:r w:rsidRPr="180D46D7">
              <w:rPr>
                <w:rFonts w:asciiTheme="minorHAnsi" w:hAnsiTheme="minorHAnsi"/>
                <w:b w:val="0"/>
              </w:rPr>
              <w:t>DFAT</w:t>
            </w:r>
            <w:r w:rsidR="3CEB7BE6" w:rsidRPr="180D46D7">
              <w:rPr>
                <w:rFonts w:asciiTheme="minorHAnsi" w:hAnsiTheme="minorHAnsi"/>
                <w:b w:val="0"/>
              </w:rPr>
              <w:t xml:space="preserve"> </w:t>
            </w:r>
            <w:r w:rsidR="469F4ED8" w:rsidRPr="180D46D7">
              <w:rPr>
                <w:rFonts w:asciiTheme="minorHAnsi" w:hAnsiTheme="minorHAnsi"/>
                <w:b w:val="0"/>
              </w:rPr>
              <w:t>released</w:t>
            </w:r>
            <w:r w:rsidR="3CEB7BE6" w:rsidRPr="180D46D7">
              <w:rPr>
                <w:rFonts w:asciiTheme="minorHAnsi" w:hAnsiTheme="minorHAnsi"/>
                <w:b w:val="0"/>
              </w:rPr>
              <w:t xml:space="preserve"> a new International Development Policy </w:t>
            </w:r>
            <w:r w:rsidR="469F4ED8" w:rsidRPr="180D46D7">
              <w:rPr>
                <w:rFonts w:asciiTheme="minorHAnsi" w:hAnsiTheme="minorHAnsi"/>
                <w:b w:val="0"/>
              </w:rPr>
              <w:t>that outlines our ambitions in the Indo-Pacific region. As a part of this policy</w:t>
            </w:r>
            <w:r w:rsidRPr="180D46D7">
              <w:rPr>
                <w:rFonts w:asciiTheme="minorHAnsi" w:hAnsiTheme="minorHAnsi"/>
                <w:b w:val="0"/>
              </w:rPr>
              <w:t xml:space="preserve"> DFAT </w:t>
            </w:r>
            <w:r w:rsidR="469F4ED8" w:rsidRPr="180D46D7">
              <w:rPr>
                <w:rFonts w:asciiTheme="minorHAnsi" w:hAnsiTheme="minorHAnsi"/>
                <w:b w:val="0"/>
              </w:rPr>
              <w:t>is</w:t>
            </w:r>
            <w:r w:rsidR="48257E3E" w:rsidRPr="180D46D7">
              <w:rPr>
                <w:rFonts w:asciiTheme="minorHAnsi" w:hAnsiTheme="minorHAnsi"/>
                <w:b w:val="0"/>
              </w:rPr>
              <w:t xml:space="preserve"> preparing Development Partnership Plans</w:t>
            </w:r>
            <w:r w:rsidR="334B44E4" w:rsidRPr="180D46D7">
              <w:rPr>
                <w:rFonts w:asciiTheme="minorHAnsi" w:hAnsiTheme="minorHAnsi"/>
                <w:b w:val="0"/>
              </w:rPr>
              <w:t xml:space="preserve"> (DPPs)</w:t>
            </w:r>
            <w:r w:rsidR="5A6463F3" w:rsidRPr="180D46D7">
              <w:rPr>
                <w:rFonts w:asciiTheme="minorHAnsi" w:hAnsiTheme="minorHAnsi"/>
                <w:b w:val="0"/>
              </w:rPr>
              <w:t xml:space="preserve"> for our bilateral and regional programs</w:t>
            </w:r>
            <w:r w:rsidR="48257E3E" w:rsidRPr="180D46D7">
              <w:rPr>
                <w:rFonts w:asciiTheme="minorHAnsi" w:hAnsiTheme="minorHAnsi"/>
                <w:b w:val="0"/>
              </w:rPr>
              <w:t xml:space="preserve">, including one for Southeast Asia Regional </w:t>
            </w:r>
            <w:r w:rsidR="5A6463F3" w:rsidRPr="180D46D7">
              <w:rPr>
                <w:rFonts w:asciiTheme="minorHAnsi" w:hAnsiTheme="minorHAnsi"/>
                <w:b w:val="0"/>
              </w:rPr>
              <w:t xml:space="preserve">position that will outline our policy priorities, strategy and focus in the region over the coming five years. </w:t>
            </w:r>
            <w:r w:rsidR="09B0B848" w:rsidRPr="180D46D7">
              <w:rPr>
                <w:rFonts w:asciiTheme="minorHAnsi" w:hAnsiTheme="minorHAnsi"/>
                <w:b w:val="0"/>
              </w:rPr>
              <w:t>DFAT will consider if a separate AMIC strategy is needed after the DPPs are completed</w:t>
            </w:r>
            <w:r w:rsidR="4B809726" w:rsidRPr="180D46D7">
              <w:rPr>
                <w:rFonts w:asciiTheme="minorHAnsi" w:hAnsiTheme="minorHAnsi"/>
                <w:b w:val="0"/>
              </w:rPr>
              <w:t>.</w:t>
            </w:r>
          </w:p>
          <w:p w14:paraId="6F7CD078" w14:textId="4C2934B1" w:rsidR="00832906" w:rsidRPr="008C0C93" w:rsidRDefault="00832906" w:rsidP="180D46D7">
            <w:pPr>
              <w:pStyle w:val="TableHeaderRow"/>
              <w:framePr w:wrap="around"/>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p>
        </w:tc>
      </w:tr>
      <w:tr w:rsidR="00832906" w:rsidRPr="00915221" w14:paraId="5E8B28AB" w14:textId="77777777" w:rsidTr="00A61F27">
        <w:tc>
          <w:tcPr>
            <w:cnfStyle w:val="001000000000" w:firstRow="0" w:lastRow="0" w:firstColumn="1" w:lastColumn="0" w:oddVBand="0" w:evenVBand="0" w:oddHBand="0" w:evenHBand="0" w:firstRowFirstColumn="0" w:firstRowLastColumn="0" w:lastRowFirstColumn="0" w:lastRowLastColumn="0"/>
            <w:tcW w:w="5699" w:type="dxa"/>
          </w:tcPr>
          <w:p w14:paraId="75B376C5" w14:textId="77777777" w:rsidR="00832906" w:rsidRPr="00915221" w:rsidRDefault="00832906" w:rsidP="00F03CE1">
            <w:pPr>
              <w:pStyle w:val="ListParagraph"/>
              <w:numPr>
                <w:ilvl w:val="0"/>
                <w:numId w:val="37"/>
              </w:numPr>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lastRenderedPageBreak/>
              <w:t>The AMIC strategy should clarify Australia's objectives and then align strategy, modalities, resourcing and management:</w:t>
            </w:r>
          </w:p>
          <w:p w14:paraId="00E068C9" w14:textId="77777777" w:rsidR="00832906" w:rsidRPr="00915221" w:rsidRDefault="00832906" w:rsidP="00832906">
            <w:pPr>
              <w:pStyle w:val="ListParagraph"/>
              <w:numPr>
                <w:ilvl w:val="0"/>
                <w:numId w:val="44"/>
              </w:numPr>
              <w:spacing w:before="120"/>
              <w:ind w:left="714" w:hanging="357"/>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 xml:space="preserve">Low ambition argues for keeping things very simple and proceeding case-by-case  </w:t>
            </w:r>
          </w:p>
          <w:p w14:paraId="3C2089B6" w14:textId="77777777" w:rsidR="00832906" w:rsidRPr="00915221" w:rsidRDefault="00832906" w:rsidP="00832906">
            <w:pPr>
              <w:pStyle w:val="ListParagraph"/>
              <w:numPr>
                <w:ilvl w:val="0"/>
                <w:numId w:val="44"/>
              </w:numPr>
              <w:spacing w:before="120"/>
              <w:ind w:left="714" w:hanging="357"/>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 xml:space="preserve">Medium ambition suggests an augmented, MTRP-like program with additional initiatives, longer duration activities &amp; greater AMIC-Australia exchanges, study tours and secondments </w:t>
            </w:r>
          </w:p>
          <w:p w14:paraId="4A92730E" w14:textId="4807BEF5" w:rsidR="00832906" w:rsidRPr="00915221" w:rsidRDefault="00832906" w:rsidP="00143669">
            <w:pPr>
              <w:pStyle w:val="ListParagraph"/>
              <w:numPr>
                <w:ilvl w:val="0"/>
                <w:numId w:val="44"/>
              </w:numPr>
              <w:spacing w:before="120"/>
              <w:ind w:left="714" w:hanging="357"/>
              <w:contextualSpacing w:val="0"/>
              <w:rPr>
                <w:rFonts w:asciiTheme="minorHAnsi" w:hAnsiTheme="minorHAnsi" w:cstheme="minorHAnsi"/>
                <w:b w:val="0"/>
                <w:bCs w:val="0"/>
                <w:sz w:val="21"/>
                <w:szCs w:val="21"/>
              </w:rPr>
            </w:pPr>
            <w:r w:rsidRPr="00915221">
              <w:rPr>
                <w:rFonts w:asciiTheme="minorHAnsi" w:hAnsiTheme="minorHAnsi" w:cstheme="minorHAnsi"/>
                <w:b w:val="0"/>
                <w:bCs w:val="0"/>
                <w:sz w:val="21"/>
                <w:szCs w:val="21"/>
              </w:rPr>
              <w:t>High ambition will require a more comprehensive, systematic and robust approach to change perceptions of Australia and work seriously and consistently on some of the biggest regional challenges</w:t>
            </w:r>
          </w:p>
        </w:tc>
        <w:tc>
          <w:tcPr>
            <w:tcW w:w="1818" w:type="dxa"/>
          </w:tcPr>
          <w:p w14:paraId="6F54BA39" w14:textId="4CC3C0E1" w:rsidR="00832906" w:rsidRPr="00915221" w:rsidRDefault="588A1993" w:rsidP="180D46D7">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80D46D7">
              <w:rPr>
                <w:rFonts w:asciiTheme="minorHAnsi" w:hAnsiTheme="minorHAnsi"/>
              </w:rPr>
              <w:t>NOTED</w:t>
            </w:r>
          </w:p>
        </w:tc>
        <w:tc>
          <w:tcPr>
            <w:tcW w:w="7043" w:type="dxa"/>
          </w:tcPr>
          <w:p w14:paraId="652216DF" w14:textId="77777777" w:rsidR="00832906" w:rsidRPr="00915221" w:rsidRDefault="00832906" w:rsidP="00832906">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221">
              <w:rPr>
                <w:rFonts w:asciiTheme="minorHAnsi" w:hAnsiTheme="minorHAnsi" w:cstheme="minorHAnsi"/>
              </w:rPr>
              <w:t>LEAD: Office of Southeast Asia</w:t>
            </w:r>
          </w:p>
          <w:p w14:paraId="7FF501B6" w14:textId="1DEEA2DE" w:rsidR="00ED4333" w:rsidRPr="003E3865" w:rsidRDefault="6CA5EF5C" w:rsidP="00832906">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180D46D7">
              <w:rPr>
                <w:rFonts w:asciiTheme="minorHAnsi" w:hAnsiTheme="minorHAnsi"/>
              </w:rPr>
              <w:t xml:space="preserve">BY: Ongoing </w:t>
            </w:r>
          </w:p>
          <w:p w14:paraId="7364EA99" w14:textId="1F0513E9" w:rsidR="002E4689" w:rsidRPr="00915221" w:rsidRDefault="5CB44F98" w:rsidP="180D46D7">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r w:rsidRPr="180D46D7">
              <w:rPr>
                <w:rFonts w:asciiTheme="minorHAnsi" w:hAnsiTheme="minorHAnsi"/>
                <w:b w:val="0"/>
              </w:rPr>
              <w:t>DFAT notes this Recommendation</w:t>
            </w:r>
            <w:r w:rsidR="67B3B475" w:rsidRPr="180D46D7">
              <w:rPr>
                <w:rFonts w:asciiTheme="minorHAnsi" w:hAnsiTheme="minorHAnsi"/>
                <w:b w:val="0"/>
              </w:rPr>
              <w:t xml:space="preserve"> and will </w:t>
            </w:r>
            <w:r w:rsidR="0DC6A45B" w:rsidRPr="180D46D7">
              <w:rPr>
                <w:rFonts w:asciiTheme="minorHAnsi" w:hAnsiTheme="minorHAnsi"/>
                <w:b w:val="0"/>
              </w:rPr>
              <w:t xml:space="preserve">take </w:t>
            </w:r>
            <w:r w:rsidR="508A8488" w:rsidRPr="180D46D7">
              <w:rPr>
                <w:rFonts w:asciiTheme="minorHAnsi" w:hAnsiTheme="minorHAnsi"/>
                <w:b w:val="0"/>
              </w:rPr>
              <w:t xml:space="preserve">it </w:t>
            </w:r>
            <w:r w:rsidR="0DC6A45B" w:rsidRPr="180D46D7">
              <w:rPr>
                <w:rFonts w:asciiTheme="minorHAnsi" w:hAnsiTheme="minorHAnsi"/>
                <w:b w:val="0"/>
              </w:rPr>
              <w:t>under consideration</w:t>
            </w:r>
            <w:r w:rsidRPr="180D46D7">
              <w:rPr>
                <w:rFonts w:asciiTheme="minorHAnsi" w:hAnsiTheme="minorHAnsi"/>
                <w:b w:val="0"/>
              </w:rPr>
              <w:t xml:space="preserve"> should </w:t>
            </w:r>
            <w:r w:rsidR="0B4B3F1F" w:rsidRPr="180D46D7">
              <w:rPr>
                <w:rFonts w:asciiTheme="minorHAnsi" w:hAnsiTheme="minorHAnsi"/>
                <w:b w:val="0"/>
              </w:rPr>
              <w:t>we</w:t>
            </w:r>
            <w:r w:rsidRPr="180D46D7">
              <w:rPr>
                <w:rFonts w:asciiTheme="minorHAnsi" w:hAnsiTheme="minorHAnsi"/>
                <w:b w:val="0"/>
              </w:rPr>
              <w:t xml:space="preserve"> choose to proceed with an AMICs strategy</w:t>
            </w:r>
            <w:r w:rsidR="775B52AB" w:rsidRPr="180D46D7">
              <w:rPr>
                <w:rFonts w:asciiTheme="minorHAnsi" w:hAnsiTheme="minorHAnsi"/>
                <w:b w:val="0"/>
              </w:rPr>
              <w:t xml:space="preserve"> in the future</w:t>
            </w:r>
            <w:r w:rsidRPr="180D46D7">
              <w:rPr>
                <w:rFonts w:asciiTheme="minorHAnsi" w:hAnsiTheme="minorHAnsi"/>
                <w:b w:val="0"/>
              </w:rPr>
              <w:t xml:space="preserve">. </w:t>
            </w:r>
            <w:r w:rsidR="21BFCB2E" w:rsidRPr="180D46D7">
              <w:rPr>
                <w:rFonts w:asciiTheme="minorHAnsi" w:hAnsiTheme="minorHAnsi"/>
                <w:b w:val="0"/>
              </w:rPr>
              <w:t xml:space="preserve">We continue to engage with AMICs through our </w:t>
            </w:r>
            <w:r w:rsidR="423A5302" w:rsidRPr="180D46D7">
              <w:rPr>
                <w:rFonts w:asciiTheme="minorHAnsi" w:hAnsiTheme="minorHAnsi"/>
                <w:b w:val="0"/>
              </w:rPr>
              <w:t xml:space="preserve">valued </w:t>
            </w:r>
            <w:r w:rsidR="21BFCB2E" w:rsidRPr="180D46D7">
              <w:rPr>
                <w:rFonts w:asciiTheme="minorHAnsi" w:hAnsiTheme="minorHAnsi"/>
                <w:b w:val="0"/>
              </w:rPr>
              <w:t>partnerships with Malaysia and Thailand</w:t>
            </w:r>
            <w:r w:rsidR="6CADAB05" w:rsidRPr="180D46D7">
              <w:rPr>
                <w:rFonts w:asciiTheme="minorHAnsi" w:hAnsiTheme="minorHAnsi"/>
                <w:b w:val="0"/>
              </w:rPr>
              <w:t>, which provides a model for any future AMICs work.</w:t>
            </w:r>
            <w:r w:rsidR="21BFCB2E" w:rsidRPr="180D46D7">
              <w:rPr>
                <w:rFonts w:asciiTheme="minorHAnsi" w:hAnsiTheme="minorHAnsi"/>
                <w:b w:val="0"/>
              </w:rPr>
              <w:t xml:space="preserve"> </w:t>
            </w:r>
          </w:p>
          <w:p w14:paraId="34A1A146" w14:textId="5B3FEF22" w:rsidR="002E4689" w:rsidRPr="00915221" w:rsidRDefault="002E4689" w:rsidP="180D46D7">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p>
          <w:p w14:paraId="20790A41" w14:textId="6C0AE924" w:rsidR="00ED4333" w:rsidRPr="00915221" w:rsidRDefault="00ED4333" w:rsidP="00832906">
            <w:pPr>
              <w:pStyle w:val="TableHeaderRow"/>
              <w:framePr w:wrap="arou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highlight w:val="yellow"/>
              </w:rPr>
            </w:pPr>
          </w:p>
        </w:tc>
      </w:tr>
    </w:tbl>
    <w:p w14:paraId="0AAD3AEF" w14:textId="77777777" w:rsidR="00781673" w:rsidRPr="00915221" w:rsidRDefault="00781673" w:rsidP="00781673">
      <w:pPr>
        <w:pStyle w:val="Heading1smallspaceafter"/>
        <w:rPr>
          <w:rFonts w:asciiTheme="minorHAnsi" w:hAnsiTheme="minorHAnsi" w:cstheme="minorHAnsi"/>
        </w:rPr>
      </w:pPr>
    </w:p>
    <w:sectPr w:rsidR="00781673" w:rsidRPr="00915221" w:rsidSect="00E91B4D">
      <w:pgSz w:w="16838" w:h="11906" w:orient="landscape" w:code="9"/>
      <w:pgMar w:top="1418" w:right="1134" w:bottom="1701" w:left="1134" w:header="284" w:footer="318"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B9EA" w14:textId="77777777" w:rsidR="00806B62" w:rsidRDefault="00806B62" w:rsidP="00D37B04">
      <w:r>
        <w:separator/>
      </w:r>
    </w:p>
  </w:endnote>
  <w:endnote w:type="continuationSeparator" w:id="0">
    <w:p w14:paraId="7B3E4BAE" w14:textId="77777777" w:rsidR="00806B62" w:rsidRDefault="00806B62"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8C6E" w14:textId="77777777" w:rsidR="00375E80" w:rsidRDefault="00375E80" w:rsidP="00AA4C78">
    <w:pPr>
      <w:pStyle w:val="Footer"/>
      <w:tabs>
        <w:tab w:val="left" w:pos="14286"/>
      </w:tabs>
    </w:pPr>
    <w:r w:rsidRPr="00375E80">
      <w:rPr>
        <w:rStyle w:val="Green"/>
        <w:b/>
        <w:noProof/>
        <w:color w:val="495965" w:themeColor="text2"/>
      </w:rPr>
      <w:drawing>
        <wp:anchor distT="0" distB="0" distL="114300" distR="114300" simplePos="0" relativeHeight="251661312" behindDoc="1" locked="0" layoutInCell="1" allowOverlap="1" wp14:anchorId="1E991421" wp14:editId="1CB7D28A">
          <wp:simplePos x="0" y="0"/>
          <wp:positionH relativeFrom="margin">
            <wp:posOffset>32385</wp:posOffset>
          </wp:positionH>
          <wp:positionV relativeFrom="paragraph">
            <wp:posOffset>-208280</wp:posOffset>
          </wp:positionV>
          <wp:extent cx="9246870" cy="438150"/>
          <wp:effectExtent l="0" t="0" r="0" b="0"/>
          <wp:wrapNone/>
          <wp:docPr id="389" name="Picture 38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S-LS-Granite-Footer.png"/>
                  <pic:cNvPicPr/>
                </pic:nvPicPr>
                <pic:blipFill>
                  <a:blip r:embed="rId1">
                    <a:extLst>
                      <a:ext uri="{28A0092B-C50C-407E-A947-70E740481C1C}">
                        <a14:useLocalDpi xmlns:a14="http://schemas.microsoft.com/office/drawing/2010/main" val="0"/>
                      </a:ext>
                    </a:extLst>
                  </a:blip>
                  <a:stretch>
                    <a:fillRect/>
                  </a:stretch>
                </pic:blipFill>
                <pic:spPr>
                  <a:xfrm>
                    <a:off x="0" y="0"/>
                    <a:ext cx="9246870" cy="438150"/>
                  </a:xfrm>
                  <a:prstGeom prst="rect">
                    <a:avLst/>
                  </a:prstGeom>
                </pic:spPr>
              </pic:pic>
            </a:graphicData>
          </a:graphic>
          <wp14:sizeRelV relativeFrom="margin">
            <wp14:pctHeight>0</wp14:pctHeight>
          </wp14:sizeRelV>
        </wp:anchor>
      </w:drawing>
    </w:r>
    <w:r w:rsidRPr="00375E80">
      <w:rPr>
        <w:rStyle w:val="Green"/>
        <w:b/>
        <w:noProof/>
        <w:color w:val="495965" w:themeColor="text2"/>
      </w:rPr>
      <w:drawing>
        <wp:anchor distT="0" distB="0" distL="114300" distR="114300" simplePos="0" relativeHeight="251662336" behindDoc="0" locked="0" layoutInCell="1" allowOverlap="1" wp14:anchorId="09E83322" wp14:editId="2BFE4C63">
          <wp:simplePos x="0" y="0"/>
          <wp:positionH relativeFrom="column">
            <wp:posOffset>7576185</wp:posOffset>
          </wp:positionH>
          <wp:positionV relativeFrom="paragraph">
            <wp:posOffset>-31115</wp:posOffset>
          </wp:positionV>
          <wp:extent cx="182982" cy="152400"/>
          <wp:effectExtent l="0" t="0" r="7620" b="0"/>
          <wp:wrapNone/>
          <wp:docPr id="390" name="Picture 390"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182982"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E80">
      <w:rPr>
        <w:rStyle w:val="Green"/>
        <w:b/>
        <w:color w:val="495965" w:themeColor="text2"/>
      </w:rPr>
      <w:t>@DFAT</w:t>
    </w:r>
    <w:r>
      <w:rPr>
        <w:b/>
      </w:rPr>
      <w:t xml:space="preserve">  </w:t>
    </w:r>
    <w:r w:rsidRPr="00A5013C">
      <w:rPr>
        <w:rStyle w:val="Green"/>
        <w:b/>
        <w:color w:val="495965" w:themeColor="text2"/>
      </w:rPr>
      <w:t>DFAT.GOV.AU</w:t>
    </w:r>
  </w:p>
  <w:p w14:paraId="12BD9A9B" w14:textId="25112999" w:rsidR="007D283B" w:rsidRPr="00375E80" w:rsidRDefault="007D283B" w:rsidP="0037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9A9E" w14:textId="7EA98FDD" w:rsidR="007D283B" w:rsidRDefault="00375E80">
    <w:pPr>
      <w:pStyle w:val="Footer"/>
    </w:pPr>
    <w:r w:rsidRPr="00375E80">
      <w:rPr>
        <w:rStyle w:val="Green"/>
        <w:b/>
        <w:bCs/>
        <w:noProof/>
        <w:color w:val="495965" w:themeColor="text2"/>
      </w:rPr>
      <w:drawing>
        <wp:anchor distT="0" distB="0" distL="114300" distR="114300" simplePos="0" relativeHeight="251658240" behindDoc="1" locked="0" layoutInCell="1" allowOverlap="1" wp14:anchorId="12BD9AA9" wp14:editId="7337D198">
          <wp:simplePos x="0" y="0"/>
          <wp:positionH relativeFrom="margin">
            <wp:posOffset>175259</wp:posOffset>
          </wp:positionH>
          <wp:positionV relativeFrom="paragraph">
            <wp:posOffset>-204470</wp:posOffset>
          </wp:positionV>
          <wp:extent cx="9223375" cy="438150"/>
          <wp:effectExtent l="0" t="0" r="0" b="0"/>
          <wp:wrapNone/>
          <wp:docPr id="393" name="Picture 39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S-LS-Granite-Footer.png"/>
                  <pic:cNvPicPr/>
                </pic:nvPicPr>
                <pic:blipFill>
                  <a:blip r:embed="rId1">
                    <a:extLst>
                      <a:ext uri="{28A0092B-C50C-407E-A947-70E740481C1C}">
                        <a14:useLocalDpi xmlns:a14="http://schemas.microsoft.com/office/drawing/2010/main" val="0"/>
                      </a:ext>
                    </a:extLst>
                  </a:blip>
                  <a:stretch>
                    <a:fillRect/>
                  </a:stretch>
                </pic:blipFill>
                <pic:spPr>
                  <a:xfrm>
                    <a:off x="0" y="0"/>
                    <a:ext cx="9223375" cy="438150"/>
                  </a:xfrm>
                  <a:prstGeom prst="rect">
                    <a:avLst/>
                  </a:prstGeom>
                </pic:spPr>
              </pic:pic>
            </a:graphicData>
          </a:graphic>
          <wp14:sizeRelH relativeFrom="margin">
            <wp14:pctWidth>0</wp14:pctWidth>
          </wp14:sizeRelH>
          <wp14:sizeRelV relativeFrom="margin">
            <wp14:pctHeight>0</wp14:pctHeight>
          </wp14:sizeRelV>
        </wp:anchor>
      </w:drawing>
    </w:r>
    <w:r w:rsidRPr="00375E80">
      <w:rPr>
        <w:rStyle w:val="Green"/>
        <w:b/>
        <w:bCs/>
        <w:noProof/>
        <w:color w:val="495965" w:themeColor="text2"/>
      </w:rPr>
      <w:drawing>
        <wp:anchor distT="0" distB="0" distL="114300" distR="114300" simplePos="0" relativeHeight="251659264" behindDoc="0" locked="0" layoutInCell="1" allowOverlap="1" wp14:anchorId="12BD9AAB" wp14:editId="4C4D8521">
          <wp:simplePos x="0" y="0"/>
          <wp:positionH relativeFrom="column">
            <wp:posOffset>7576185</wp:posOffset>
          </wp:positionH>
          <wp:positionV relativeFrom="paragraph">
            <wp:posOffset>-31115</wp:posOffset>
          </wp:positionV>
          <wp:extent cx="182982" cy="152400"/>
          <wp:effectExtent l="0" t="0" r="7620" b="0"/>
          <wp:wrapNone/>
          <wp:docPr id="394" name="Picture 394"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182982"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283B" w:rsidRPr="00375E80">
      <w:rPr>
        <w:rStyle w:val="Green"/>
        <w:b/>
        <w:bCs/>
        <w:color w:val="495965" w:themeColor="text2"/>
      </w:rPr>
      <w:t>@DFAT</w:t>
    </w:r>
    <w:r w:rsidR="007D283B" w:rsidRPr="00375E80">
      <w:rPr>
        <w:b/>
        <w:color w:val="F2F2F2" w:themeColor="background1" w:themeShade="F2"/>
      </w:rPr>
      <w:t xml:space="preserve">  </w:t>
    </w:r>
    <w:r w:rsidR="007D283B" w:rsidRPr="00A5013C">
      <w:rPr>
        <w:rStyle w:val="Green"/>
        <w:b/>
        <w:color w:val="495965" w:themeColor="text2"/>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1BD6" w14:textId="77777777" w:rsidR="00806B62" w:rsidRPr="008C5A0E" w:rsidRDefault="00806B62" w:rsidP="00D37B04">
      <w:pPr>
        <w:pStyle w:val="Footer"/>
      </w:pPr>
    </w:p>
  </w:footnote>
  <w:footnote w:type="continuationSeparator" w:id="0">
    <w:p w14:paraId="3E50C11D" w14:textId="77777777" w:rsidR="00806B62" w:rsidRDefault="00806B62"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9A9A" w14:textId="77777777" w:rsidR="002D5B25" w:rsidRPr="000854FD" w:rsidRDefault="00F35099" w:rsidP="00AA4C78">
    <w:pPr>
      <w:pStyle w:val="Header"/>
      <w:ind w:left="0"/>
    </w:pPr>
    <w:r>
      <w:rPr>
        <w:noProof/>
        <w:color w:val="2B579A"/>
        <w:shd w:val="clear" w:color="auto" w:fill="E6E6E6"/>
        <w:lang w:val="en-AU" w:eastAsia="en-AU"/>
      </w:rPr>
      <w:drawing>
        <wp:inline distT="0" distB="0" distL="0" distR="0" wp14:anchorId="12BD9A9F" wp14:editId="03376088">
          <wp:extent cx="9249445" cy="754560"/>
          <wp:effectExtent l="0" t="0" r="0" b="7620"/>
          <wp:docPr id="388" name="Picture 38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Granite-Header-PT.png"/>
                  <pic:cNvPicPr/>
                </pic:nvPicPr>
                <pic:blipFill>
                  <a:blip r:embed="rId1">
                    <a:extLst>
                      <a:ext uri="{28A0092B-C50C-407E-A947-70E740481C1C}">
                        <a14:useLocalDpi xmlns:a14="http://schemas.microsoft.com/office/drawing/2010/main" val="0"/>
                      </a:ext>
                    </a:extLst>
                  </a:blip>
                  <a:stretch>
                    <a:fillRect/>
                  </a:stretch>
                </pic:blipFill>
                <pic:spPr>
                  <a:xfrm>
                    <a:off x="0" y="0"/>
                    <a:ext cx="9249445" cy="754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9A9C" w14:textId="77777777" w:rsidR="002D5B25" w:rsidRDefault="002D5B25" w:rsidP="002D5B25">
    <w:pPr>
      <w:pStyle w:val="Header"/>
    </w:pPr>
  </w:p>
  <w:p w14:paraId="3F4A6F32" w14:textId="77777777" w:rsidR="00375E80" w:rsidRDefault="00A5013C" w:rsidP="00943730">
    <w:pPr>
      <w:pStyle w:val="Header"/>
    </w:pPr>
    <w:r>
      <w:rPr>
        <w:noProof/>
        <w:color w:val="2B579A"/>
        <w:shd w:val="clear" w:color="auto" w:fill="E6E6E6"/>
        <w:lang w:val="en-AU" w:eastAsia="en-AU"/>
      </w:rPr>
      <w:drawing>
        <wp:inline distT="0" distB="0" distL="0" distR="0" wp14:anchorId="12BD9AA5" wp14:editId="662AC263">
          <wp:extent cx="9252000" cy="754560"/>
          <wp:effectExtent l="0" t="0" r="6350" b="7620"/>
          <wp:docPr id="391" name="Picture 39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Granite-Header-PT.png"/>
                  <pic:cNvPicPr/>
                </pic:nvPicPr>
                <pic:blipFill>
                  <a:blip r:embed="rId1">
                    <a:extLst>
                      <a:ext uri="{28A0092B-C50C-407E-A947-70E740481C1C}">
                        <a14:useLocalDpi xmlns:a14="http://schemas.microsoft.com/office/drawing/2010/main" val="0"/>
                      </a:ext>
                    </a:extLst>
                  </a:blip>
                  <a:stretch>
                    <a:fillRect/>
                  </a:stretch>
                </pic:blipFill>
                <pic:spPr>
                  <a:xfrm>
                    <a:off x="0" y="0"/>
                    <a:ext cx="9252000" cy="754560"/>
                  </a:xfrm>
                  <a:prstGeom prst="rect">
                    <a:avLst/>
                  </a:prstGeom>
                </pic:spPr>
              </pic:pic>
            </a:graphicData>
          </a:graphic>
        </wp:inline>
      </w:drawing>
    </w:r>
  </w:p>
  <w:p w14:paraId="6C4CBDE3" w14:textId="59E88E5D" w:rsidR="00375E80" w:rsidRDefault="00375E80" w:rsidP="00943730">
    <w:pPr>
      <w:pStyle w:val="Header"/>
    </w:pPr>
    <w:r w:rsidRPr="00943730">
      <w:rPr>
        <w:noProof/>
        <w:color w:val="2B579A"/>
        <w:shd w:val="clear" w:color="auto" w:fill="E6E6E6"/>
        <w:lang w:val="en-AU" w:eastAsia="en-AU"/>
      </w:rPr>
      <w:drawing>
        <wp:inline distT="0" distB="0" distL="0" distR="0" wp14:anchorId="49AA7C19" wp14:editId="5CCA8562">
          <wp:extent cx="3166745" cy="554355"/>
          <wp:effectExtent l="0" t="0" r="0" b="0"/>
          <wp:docPr id="392" name="Picture 392" descr="Department of Foreign Affairs and Trad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392" descr="Department of Foreign Affairs and Trade crest"/>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inline>
      </w:drawing>
    </w:r>
  </w:p>
  <w:p w14:paraId="301094D6" w14:textId="77777777" w:rsidR="00375E80" w:rsidRDefault="00375E80" w:rsidP="00943730">
    <w:pPr>
      <w:pStyle w:val="Header"/>
    </w:pPr>
  </w:p>
  <w:p w14:paraId="12BD9A9D" w14:textId="3F2289B0" w:rsidR="00D37B04" w:rsidRPr="00943730" w:rsidRDefault="002D5B25" w:rsidP="00943730">
    <w:pPr>
      <w:pStyle w:val="Header"/>
    </w:pPr>
    <w:r w:rsidRPr="00943730">
      <w:rPr>
        <w:color w:val="2B579A"/>
        <w:shd w:val="clear" w:color="auto" w:fill="E6E6E6"/>
      </w:rPr>
      <w:fldChar w:fldCharType="begin"/>
    </w:r>
    <w:r w:rsidRPr="00943730">
      <w:instrText xml:space="preserve"> DATE  \@ "MMMM yyyy"  \* MERGEFORMAT </w:instrText>
    </w:r>
    <w:r w:rsidRPr="00943730">
      <w:rPr>
        <w:color w:val="2B579A"/>
        <w:shd w:val="clear" w:color="auto" w:fill="E6E6E6"/>
      </w:rPr>
      <w:fldChar w:fldCharType="separate"/>
    </w:r>
    <w:r w:rsidR="00E91B4D">
      <w:rPr>
        <w:noProof/>
      </w:rPr>
      <w:t>November 2023</w:t>
    </w:r>
    <w:r w:rsidRPr="00943730">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5156D"/>
    <w:multiLevelType w:val="hybridMultilevel"/>
    <w:tmpl w:val="933E5560"/>
    <w:lvl w:ilvl="0" w:tplc="0130F918">
      <w:start w:val="1"/>
      <w:numFmt w:val="lowerLetter"/>
      <w:lvlText w:val="%1)"/>
      <w:lvlJc w:val="left"/>
      <w:pPr>
        <w:ind w:left="785"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07283A59"/>
    <w:multiLevelType w:val="hybridMultilevel"/>
    <w:tmpl w:val="43603C32"/>
    <w:lvl w:ilvl="0" w:tplc="0809001B">
      <w:start w:val="1"/>
      <w:numFmt w:val="lowerRoman"/>
      <w:lvlText w:val="%1."/>
      <w:lvlJc w:val="right"/>
      <w:pPr>
        <w:ind w:left="1077" w:hanging="360"/>
      </w:pPr>
      <w:rPr>
        <w:rFonts w:hint="default"/>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A2B07E4"/>
    <w:multiLevelType w:val="hybridMultilevel"/>
    <w:tmpl w:val="FF8E733A"/>
    <w:lvl w:ilvl="0" w:tplc="0809001B">
      <w:start w:val="1"/>
      <w:numFmt w:val="lowerRoman"/>
      <w:lvlText w:val="%1."/>
      <w:lvlJc w:val="right"/>
      <w:pPr>
        <w:ind w:left="107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15236D"/>
    <w:multiLevelType w:val="hybridMultilevel"/>
    <w:tmpl w:val="262A9382"/>
    <w:lvl w:ilvl="0" w:tplc="A6E08066">
      <w:start w:val="6"/>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EB508AA"/>
    <w:multiLevelType w:val="hybridMultilevel"/>
    <w:tmpl w:val="6F28B90A"/>
    <w:lvl w:ilvl="0" w:tplc="0809000F">
      <w:start w:val="1"/>
      <w:numFmt w:val="decimal"/>
      <w:lvlText w:val="%1."/>
      <w:lvlJc w:val="left"/>
      <w:pPr>
        <w:ind w:left="36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1D7EA4"/>
    <w:multiLevelType w:val="multilevel"/>
    <w:tmpl w:val="E33E858A"/>
    <w:numStyleLink w:val="BulletsList"/>
  </w:abstractNum>
  <w:abstractNum w:abstractNumId="20" w15:restartNumberingAfterBreak="0">
    <w:nsid w:val="570C2835"/>
    <w:multiLevelType w:val="hybridMultilevel"/>
    <w:tmpl w:val="2AEE657E"/>
    <w:lvl w:ilvl="0" w:tplc="08090003">
      <w:start w:val="1"/>
      <w:numFmt w:val="bullet"/>
      <w:lvlText w:val="o"/>
      <w:lvlJc w:val="left"/>
      <w:pPr>
        <w:ind w:left="360" w:hanging="360"/>
      </w:pPr>
      <w:rPr>
        <w:rFonts w:ascii="Courier New" w:hAnsi="Courier New" w:cs="Courier New"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959056F"/>
    <w:multiLevelType w:val="hybridMultilevel"/>
    <w:tmpl w:val="8A8474C0"/>
    <w:lvl w:ilvl="0" w:tplc="0809001B">
      <w:start w:val="1"/>
      <w:numFmt w:val="lowerRoman"/>
      <w:lvlText w:val="%1."/>
      <w:lvlJc w:val="right"/>
      <w:pPr>
        <w:ind w:left="1077" w:hanging="360"/>
      </w:pPr>
    </w:lvl>
    <w:lvl w:ilvl="1" w:tplc="FFFFFFFF">
      <w:start w:val="1"/>
      <w:numFmt w:val="upperRoman"/>
      <w:lvlText w:val="%2."/>
      <w:lvlJc w:val="right"/>
      <w:pPr>
        <w:ind w:left="216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B022D3D"/>
    <w:multiLevelType w:val="hybridMultilevel"/>
    <w:tmpl w:val="FF1EAD6E"/>
    <w:lvl w:ilvl="0" w:tplc="84287104">
      <w:start w:val="3"/>
      <w:numFmt w:val="bullet"/>
      <w:lvlText w:val="-"/>
      <w:lvlJc w:val="left"/>
      <w:pPr>
        <w:ind w:left="720" w:hanging="360"/>
      </w:pPr>
      <w:rPr>
        <w:rFonts w:ascii="Calibri" w:eastAsiaTheme="minorHAnsi" w:hAnsi="Calibri" w:cs="Calibri" w:hint="default"/>
        <w:b/>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3C1EA7"/>
    <w:multiLevelType w:val="multilevel"/>
    <w:tmpl w:val="E33E858A"/>
    <w:numStyleLink w:val="BulletsList"/>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610B3C77"/>
    <w:multiLevelType w:val="hybridMultilevel"/>
    <w:tmpl w:val="2B663214"/>
    <w:lvl w:ilvl="0" w:tplc="323C979E">
      <w:start w:val="6"/>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C348B6"/>
    <w:multiLevelType w:val="hybridMultilevel"/>
    <w:tmpl w:val="B7ACC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7843FF"/>
    <w:multiLevelType w:val="hybridMultilevel"/>
    <w:tmpl w:val="779C3C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73107305"/>
    <w:multiLevelType w:val="multilevel"/>
    <w:tmpl w:val="E33E858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3526F99"/>
    <w:multiLevelType w:val="multilevel"/>
    <w:tmpl w:val="241A65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77"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BB25D8"/>
    <w:multiLevelType w:val="hybridMultilevel"/>
    <w:tmpl w:val="9646A1DE"/>
    <w:lvl w:ilvl="0" w:tplc="0809001B">
      <w:start w:val="1"/>
      <w:numFmt w:val="lowerRoman"/>
      <w:lvlText w:val="%1."/>
      <w:lvlJc w:val="right"/>
      <w:pPr>
        <w:ind w:left="1077"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23613569">
    <w:abstractNumId w:val="29"/>
  </w:num>
  <w:num w:numId="2" w16cid:durableId="20305260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4387766">
    <w:abstractNumId w:val="12"/>
  </w:num>
  <w:num w:numId="4" w16cid:durableId="19022486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1903137">
    <w:abstractNumId w:val="17"/>
  </w:num>
  <w:num w:numId="6" w16cid:durableId="21303881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1611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1681929">
    <w:abstractNumId w:val="13"/>
  </w:num>
  <w:num w:numId="9" w16cid:durableId="285041859">
    <w:abstractNumId w:val="22"/>
  </w:num>
  <w:num w:numId="10" w16cid:durableId="1437601871">
    <w:abstractNumId w:val="25"/>
  </w:num>
  <w:num w:numId="11" w16cid:durableId="867530134">
    <w:abstractNumId w:val="9"/>
  </w:num>
  <w:num w:numId="12" w16cid:durableId="1446077371">
    <w:abstractNumId w:val="7"/>
  </w:num>
  <w:num w:numId="13" w16cid:durableId="1405449030">
    <w:abstractNumId w:val="6"/>
  </w:num>
  <w:num w:numId="14" w16cid:durableId="790588236">
    <w:abstractNumId w:val="5"/>
  </w:num>
  <w:num w:numId="15" w16cid:durableId="1619988910">
    <w:abstractNumId w:val="4"/>
  </w:num>
  <w:num w:numId="16" w16cid:durableId="516039870">
    <w:abstractNumId w:val="8"/>
  </w:num>
  <w:num w:numId="17" w16cid:durableId="1824077231">
    <w:abstractNumId w:val="3"/>
  </w:num>
  <w:num w:numId="18" w16cid:durableId="1054504394">
    <w:abstractNumId w:val="2"/>
  </w:num>
  <w:num w:numId="19" w16cid:durableId="1899585561">
    <w:abstractNumId w:val="1"/>
  </w:num>
  <w:num w:numId="20" w16cid:durableId="1002784352">
    <w:abstractNumId w:val="0"/>
  </w:num>
  <w:num w:numId="21" w16cid:durableId="483855485">
    <w:abstractNumId w:val="24"/>
  </w:num>
  <w:num w:numId="22" w16cid:durableId="1571041888">
    <w:abstractNumId w:val="17"/>
  </w:num>
  <w:num w:numId="23" w16cid:durableId="1253704932">
    <w:abstractNumId w:val="17"/>
  </w:num>
  <w:num w:numId="24" w16cid:durableId="474223217">
    <w:abstractNumId w:val="24"/>
  </w:num>
  <w:num w:numId="25" w16cid:durableId="1338464734">
    <w:abstractNumId w:val="24"/>
  </w:num>
  <w:num w:numId="26" w16cid:durableId="1275751138">
    <w:abstractNumId w:val="24"/>
  </w:num>
  <w:num w:numId="27" w16cid:durableId="1404910901">
    <w:abstractNumId w:val="22"/>
  </w:num>
  <w:num w:numId="28" w16cid:durableId="1011297602">
    <w:abstractNumId w:val="12"/>
  </w:num>
  <w:num w:numId="29" w16cid:durableId="244922917">
    <w:abstractNumId w:val="12"/>
  </w:num>
  <w:num w:numId="30" w16cid:durableId="2144999026">
    <w:abstractNumId w:val="12"/>
  </w:num>
  <w:num w:numId="31" w16cid:durableId="238291422">
    <w:abstractNumId w:val="14"/>
  </w:num>
  <w:num w:numId="32" w16cid:durableId="1716153375">
    <w:abstractNumId w:val="32"/>
  </w:num>
  <w:num w:numId="33" w16cid:durableId="1984458565">
    <w:abstractNumId w:val="19"/>
  </w:num>
  <w:num w:numId="34" w16cid:durableId="1889875627">
    <w:abstractNumId w:val="23"/>
  </w:num>
  <w:num w:numId="35" w16cid:durableId="207107564">
    <w:abstractNumId w:val="10"/>
  </w:num>
  <w:num w:numId="36" w16cid:durableId="352807939">
    <w:abstractNumId w:val="27"/>
  </w:num>
  <w:num w:numId="37" w16cid:durableId="155149823">
    <w:abstractNumId w:val="18"/>
  </w:num>
  <w:num w:numId="38" w16cid:durableId="1146356986">
    <w:abstractNumId w:val="21"/>
  </w:num>
  <w:num w:numId="39" w16cid:durableId="226839937">
    <w:abstractNumId w:val="20"/>
  </w:num>
  <w:num w:numId="40" w16cid:durableId="298341485">
    <w:abstractNumId w:val="11"/>
  </w:num>
  <w:num w:numId="41" w16cid:durableId="47732044">
    <w:abstractNumId w:val="31"/>
  </w:num>
  <w:num w:numId="42" w16cid:durableId="967709761">
    <w:abstractNumId w:val="15"/>
  </w:num>
  <w:num w:numId="43" w16cid:durableId="1154103132">
    <w:abstractNumId w:val="30"/>
  </w:num>
  <w:num w:numId="44" w16cid:durableId="1518538890">
    <w:abstractNumId w:val="28"/>
  </w:num>
  <w:num w:numId="45" w16cid:durableId="1080328170">
    <w:abstractNumId w:val="26"/>
  </w:num>
  <w:num w:numId="46" w16cid:durableId="18795897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6C"/>
    <w:rsid w:val="00001DA8"/>
    <w:rsid w:val="000020C1"/>
    <w:rsid w:val="00003156"/>
    <w:rsid w:val="000102DA"/>
    <w:rsid w:val="000110FB"/>
    <w:rsid w:val="000131C5"/>
    <w:rsid w:val="0002080A"/>
    <w:rsid w:val="0002782F"/>
    <w:rsid w:val="0003312E"/>
    <w:rsid w:val="000339D0"/>
    <w:rsid w:val="00035BBF"/>
    <w:rsid w:val="00050806"/>
    <w:rsid w:val="00052119"/>
    <w:rsid w:val="000546D9"/>
    <w:rsid w:val="00054E4D"/>
    <w:rsid w:val="00060073"/>
    <w:rsid w:val="000616C6"/>
    <w:rsid w:val="00080A16"/>
    <w:rsid w:val="000854FD"/>
    <w:rsid w:val="00090183"/>
    <w:rsid w:val="000B37F5"/>
    <w:rsid w:val="000B51A0"/>
    <w:rsid w:val="000B615E"/>
    <w:rsid w:val="000D47C0"/>
    <w:rsid w:val="000D66D6"/>
    <w:rsid w:val="000E6C4B"/>
    <w:rsid w:val="000F1DA3"/>
    <w:rsid w:val="000F358D"/>
    <w:rsid w:val="000F6212"/>
    <w:rsid w:val="001075B9"/>
    <w:rsid w:val="00113288"/>
    <w:rsid w:val="001214BE"/>
    <w:rsid w:val="00122B24"/>
    <w:rsid w:val="00124BC7"/>
    <w:rsid w:val="001267D5"/>
    <w:rsid w:val="0013101C"/>
    <w:rsid w:val="0013318B"/>
    <w:rsid w:val="0013789B"/>
    <w:rsid w:val="00143669"/>
    <w:rsid w:val="001461D6"/>
    <w:rsid w:val="00151755"/>
    <w:rsid w:val="001534E1"/>
    <w:rsid w:val="001541EA"/>
    <w:rsid w:val="00162435"/>
    <w:rsid w:val="0017462C"/>
    <w:rsid w:val="00184EBF"/>
    <w:rsid w:val="0019456F"/>
    <w:rsid w:val="00197F7D"/>
    <w:rsid w:val="001A3346"/>
    <w:rsid w:val="001D090B"/>
    <w:rsid w:val="001D16C5"/>
    <w:rsid w:val="001D3248"/>
    <w:rsid w:val="001D5520"/>
    <w:rsid w:val="001D663E"/>
    <w:rsid w:val="001E1DC0"/>
    <w:rsid w:val="00214984"/>
    <w:rsid w:val="002174F7"/>
    <w:rsid w:val="0024171F"/>
    <w:rsid w:val="002503A8"/>
    <w:rsid w:val="00257063"/>
    <w:rsid w:val="0026188C"/>
    <w:rsid w:val="00270531"/>
    <w:rsid w:val="00274F91"/>
    <w:rsid w:val="0028602A"/>
    <w:rsid w:val="002A2503"/>
    <w:rsid w:val="002A2EF4"/>
    <w:rsid w:val="002B3D3F"/>
    <w:rsid w:val="002B5E10"/>
    <w:rsid w:val="002C21D0"/>
    <w:rsid w:val="002C24B1"/>
    <w:rsid w:val="002C793D"/>
    <w:rsid w:val="002D1AFE"/>
    <w:rsid w:val="002D5B25"/>
    <w:rsid w:val="002D6EED"/>
    <w:rsid w:val="002D7134"/>
    <w:rsid w:val="002E0C68"/>
    <w:rsid w:val="002E35BC"/>
    <w:rsid w:val="002E4689"/>
    <w:rsid w:val="002E77A7"/>
    <w:rsid w:val="002F3E37"/>
    <w:rsid w:val="002F4F2B"/>
    <w:rsid w:val="003002C0"/>
    <w:rsid w:val="00301144"/>
    <w:rsid w:val="003031C6"/>
    <w:rsid w:val="00304984"/>
    <w:rsid w:val="00305F1E"/>
    <w:rsid w:val="00307256"/>
    <w:rsid w:val="00311460"/>
    <w:rsid w:val="00312BF8"/>
    <w:rsid w:val="003148B7"/>
    <w:rsid w:val="003158C3"/>
    <w:rsid w:val="00317F22"/>
    <w:rsid w:val="003200B8"/>
    <w:rsid w:val="00322C20"/>
    <w:rsid w:val="00325DE4"/>
    <w:rsid w:val="003264C0"/>
    <w:rsid w:val="003274CD"/>
    <w:rsid w:val="00333501"/>
    <w:rsid w:val="00333DEE"/>
    <w:rsid w:val="003441CB"/>
    <w:rsid w:val="00344AA4"/>
    <w:rsid w:val="003457C4"/>
    <w:rsid w:val="0035119D"/>
    <w:rsid w:val="00355CA4"/>
    <w:rsid w:val="00357762"/>
    <w:rsid w:val="003623FC"/>
    <w:rsid w:val="00375E80"/>
    <w:rsid w:val="00377123"/>
    <w:rsid w:val="0039344A"/>
    <w:rsid w:val="003A46E9"/>
    <w:rsid w:val="003B4F12"/>
    <w:rsid w:val="003D4DE7"/>
    <w:rsid w:val="003E308B"/>
    <w:rsid w:val="003E3865"/>
    <w:rsid w:val="003F2041"/>
    <w:rsid w:val="003F30CF"/>
    <w:rsid w:val="003F543F"/>
    <w:rsid w:val="00402ACC"/>
    <w:rsid w:val="00406685"/>
    <w:rsid w:val="004120EC"/>
    <w:rsid w:val="00412FC4"/>
    <w:rsid w:val="00423F31"/>
    <w:rsid w:val="004311F4"/>
    <w:rsid w:val="00431899"/>
    <w:rsid w:val="00431986"/>
    <w:rsid w:val="00436D1F"/>
    <w:rsid w:val="00442180"/>
    <w:rsid w:val="00446C0E"/>
    <w:rsid w:val="00457088"/>
    <w:rsid w:val="00457ACC"/>
    <w:rsid w:val="00463D03"/>
    <w:rsid w:val="00464082"/>
    <w:rsid w:val="0046479F"/>
    <w:rsid w:val="00470112"/>
    <w:rsid w:val="0047727B"/>
    <w:rsid w:val="00477D5E"/>
    <w:rsid w:val="00482AE8"/>
    <w:rsid w:val="00485A44"/>
    <w:rsid w:val="004864E0"/>
    <w:rsid w:val="00486804"/>
    <w:rsid w:val="00492057"/>
    <w:rsid w:val="0049617A"/>
    <w:rsid w:val="004B3775"/>
    <w:rsid w:val="004B6964"/>
    <w:rsid w:val="004C242F"/>
    <w:rsid w:val="004C5CDC"/>
    <w:rsid w:val="004C7403"/>
    <w:rsid w:val="004D0AE4"/>
    <w:rsid w:val="004D0BA0"/>
    <w:rsid w:val="004E058F"/>
    <w:rsid w:val="004E3B87"/>
    <w:rsid w:val="004F6D1A"/>
    <w:rsid w:val="00506C1C"/>
    <w:rsid w:val="00510921"/>
    <w:rsid w:val="00510AD3"/>
    <w:rsid w:val="00510BDD"/>
    <w:rsid w:val="00513348"/>
    <w:rsid w:val="00513AD8"/>
    <w:rsid w:val="00513D04"/>
    <w:rsid w:val="005204D2"/>
    <w:rsid w:val="005222DD"/>
    <w:rsid w:val="00522396"/>
    <w:rsid w:val="00526299"/>
    <w:rsid w:val="00532742"/>
    <w:rsid w:val="00533404"/>
    <w:rsid w:val="00533B5D"/>
    <w:rsid w:val="00554434"/>
    <w:rsid w:val="005651EE"/>
    <w:rsid w:val="00573BDC"/>
    <w:rsid w:val="00577139"/>
    <w:rsid w:val="00582532"/>
    <w:rsid w:val="0059432D"/>
    <w:rsid w:val="005A20F6"/>
    <w:rsid w:val="005C4FF7"/>
    <w:rsid w:val="005D3655"/>
    <w:rsid w:val="005E4830"/>
    <w:rsid w:val="005F14C3"/>
    <w:rsid w:val="005F5227"/>
    <w:rsid w:val="006022F5"/>
    <w:rsid w:val="00611FB2"/>
    <w:rsid w:val="0061483A"/>
    <w:rsid w:val="00622B86"/>
    <w:rsid w:val="00623BA1"/>
    <w:rsid w:val="006251A0"/>
    <w:rsid w:val="0062671A"/>
    <w:rsid w:val="006346BC"/>
    <w:rsid w:val="00637520"/>
    <w:rsid w:val="0064398E"/>
    <w:rsid w:val="0064532F"/>
    <w:rsid w:val="00647E94"/>
    <w:rsid w:val="0065262E"/>
    <w:rsid w:val="00663AB5"/>
    <w:rsid w:val="0066652A"/>
    <w:rsid w:val="006719C3"/>
    <w:rsid w:val="00674A76"/>
    <w:rsid w:val="00680522"/>
    <w:rsid w:val="00682167"/>
    <w:rsid w:val="00695C78"/>
    <w:rsid w:val="006A462F"/>
    <w:rsid w:val="006A793B"/>
    <w:rsid w:val="006B3DD8"/>
    <w:rsid w:val="006C42AF"/>
    <w:rsid w:val="006D371C"/>
    <w:rsid w:val="006D4A2E"/>
    <w:rsid w:val="006D5327"/>
    <w:rsid w:val="006E035C"/>
    <w:rsid w:val="006E318F"/>
    <w:rsid w:val="00711D8E"/>
    <w:rsid w:val="00712672"/>
    <w:rsid w:val="00716008"/>
    <w:rsid w:val="0072340F"/>
    <w:rsid w:val="00723BCD"/>
    <w:rsid w:val="00734E3F"/>
    <w:rsid w:val="00736985"/>
    <w:rsid w:val="00745DF5"/>
    <w:rsid w:val="00754C8F"/>
    <w:rsid w:val="0076250F"/>
    <w:rsid w:val="007653D5"/>
    <w:rsid w:val="00780FA5"/>
    <w:rsid w:val="00781673"/>
    <w:rsid w:val="00795D76"/>
    <w:rsid w:val="007B6200"/>
    <w:rsid w:val="007C3541"/>
    <w:rsid w:val="007D283B"/>
    <w:rsid w:val="007F3395"/>
    <w:rsid w:val="007F65EB"/>
    <w:rsid w:val="00800880"/>
    <w:rsid w:val="00801B9F"/>
    <w:rsid w:val="0080204D"/>
    <w:rsid w:val="00803568"/>
    <w:rsid w:val="00806B62"/>
    <w:rsid w:val="00811D8D"/>
    <w:rsid w:val="008325F4"/>
    <w:rsid w:val="00832906"/>
    <w:rsid w:val="00833F6E"/>
    <w:rsid w:val="0084140F"/>
    <w:rsid w:val="00842565"/>
    <w:rsid w:val="008475F0"/>
    <w:rsid w:val="008557A7"/>
    <w:rsid w:val="00860259"/>
    <w:rsid w:val="00866784"/>
    <w:rsid w:val="00870928"/>
    <w:rsid w:val="00887835"/>
    <w:rsid w:val="0089405C"/>
    <w:rsid w:val="00897FA2"/>
    <w:rsid w:val="008A49F5"/>
    <w:rsid w:val="008A4DBF"/>
    <w:rsid w:val="008A5AFE"/>
    <w:rsid w:val="008C0C93"/>
    <w:rsid w:val="008C5A0E"/>
    <w:rsid w:val="008E460A"/>
    <w:rsid w:val="008E5982"/>
    <w:rsid w:val="008F068E"/>
    <w:rsid w:val="00912066"/>
    <w:rsid w:val="00915221"/>
    <w:rsid w:val="00917326"/>
    <w:rsid w:val="00917B15"/>
    <w:rsid w:val="0093693A"/>
    <w:rsid w:val="00943730"/>
    <w:rsid w:val="00945139"/>
    <w:rsid w:val="00965F25"/>
    <w:rsid w:val="00966DF2"/>
    <w:rsid w:val="009700ED"/>
    <w:rsid w:val="00971EE3"/>
    <w:rsid w:val="00975AC0"/>
    <w:rsid w:val="00975CA5"/>
    <w:rsid w:val="00986590"/>
    <w:rsid w:val="0099033A"/>
    <w:rsid w:val="00992C76"/>
    <w:rsid w:val="009969D6"/>
    <w:rsid w:val="009A6419"/>
    <w:rsid w:val="009A7688"/>
    <w:rsid w:val="009B0206"/>
    <w:rsid w:val="009B4D3B"/>
    <w:rsid w:val="009D0778"/>
    <w:rsid w:val="009D7407"/>
    <w:rsid w:val="009E0866"/>
    <w:rsid w:val="009E205B"/>
    <w:rsid w:val="009E273C"/>
    <w:rsid w:val="009E38C6"/>
    <w:rsid w:val="009F1350"/>
    <w:rsid w:val="009F4001"/>
    <w:rsid w:val="009F6423"/>
    <w:rsid w:val="009F78AA"/>
    <w:rsid w:val="00A229E0"/>
    <w:rsid w:val="00A24A62"/>
    <w:rsid w:val="00A31C9F"/>
    <w:rsid w:val="00A4144F"/>
    <w:rsid w:val="00A5013C"/>
    <w:rsid w:val="00A533F7"/>
    <w:rsid w:val="00A61B4D"/>
    <w:rsid w:val="00A61C49"/>
    <w:rsid w:val="00A61F27"/>
    <w:rsid w:val="00A64293"/>
    <w:rsid w:val="00A72CB1"/>
    <w:rsid w:val="00A80F95"/>
    <w:rsid w:val="00A85569"/>
    <w:rsid w:val="00A860F8"/>
    <w:rsid w:val="00A942CF"/>
    <w:rsid w:val="00A94CF3"/>
    <w:rsid w:val="00A97BF1"/>
    <w:rsid w:val="00AA298A"/>
    <w:rsid w:val="00AA4C78"/>
    <w:rsid w:val="00AB5010"/>
    <w:rsid w:val="00AB5B1A"/>
    <w:rsid w:val="00AC164A"/>
    <w:rsid w:val="00AC5970"/>
    <w:rsid w:val="00AE448A"/>
    <w:rsid w:val="00AF2050"/>
    <w:rsid w:val="00AF2B20"/>
    <w:rsid w:val="00AF5321"/>
    <w:rsid w:val="00B03CA8"/>
    <w:rsid w:val="00B1197F"/>
    <w:rsid w:val="00B14B56"/>
    <w:rsid w:val="00B33C0A"/>
    <w:rsid w:val="00B55E19"/>
    <w:rsid w:val="00B64A91"/>
    <w:rsid w:val="00B674E6"/>
    <w:rsid w:val="00B73626"/>
    <w:rsid w:val="00B77D28"/>
    <w:rsid w:val="00B857E1"/>
    <w:rsid w:val="00B92E28"/>
    <w:rsid w:val="00B94758"/>
    <w:rsid w:val="00B97A08"/>
    <w:rsid w:val="00BA14ED"/>
    <w:rsid w:val="00BA4B6D"/>
    <w:rsid w:val="00BB26C5"/>
    <w:rsid w:val="00BB4D8E"/>
    <w:rsid w:val="00BC4F83"/>
    <w:rsid w:val="00BF1FAD"/>
    <w:rsid w:val="00BF4DE6"/>
    <w:rsid w:val="00BF5454"/>
    <w:rsid w:val="00C06B13"/>
    <w:rsid w:val="00C17BF0"/>
    <w:rsid w:val="00C27D25"/>
    <w:rsid w:val="00C33DC0"/>
    <w:rsid w:val="00C42541"/>
    <w:rsid w:val="00C42CDE"/>
    <w:rsid w:val="00C5182A"/>
    <w:rsid w:val="00C54185"/>
    <w:rsid w:val="00C63EE9"/>
    <w:rsid w:val="00C7043A"/>
    <w:rsid w:val="00C86225"/>
    <w:rsid w:val="00CA16F3"/>
    <w:rsid w:val="00CA37B1"/>
    <w:rsid w:val="00CA4260"/>
    <w:rsid w:val="00CB1959"/>
    <w:rsid w:val="00CC34A5"/>
    <w:rsid w:val="00CC366C"/>
    <w:rsid w:val="00CC741B"/>
    <w:rsid w:val="00CD0E4B"/>
    <w:rsid w:val="00CD55B8"/>
    <w:rsid w:val="00CE16C0"/>
    <w:rsid w:val="00CE4C89"/>
    <w:rsid w:val="00CE6B72"/>
    <w:rsid w:val="00CF07BA"/>
    <w:rsid w:val="00D0296C"/>
    <w:rsid w:val="00D0657E"/>
    <w:rsid w:val="00D127C6"/>
    <w:rsid w:val="00D219E9"/>
    <w:rsid w:val="00D309EE"/>
    <w:rsid w:val="00D32D6F"/>
    <w:rsid w:val="00D33710"/>
    <w:rsid w:val="00D33B35"/>
    <w:rsid w:val="00D37B04"/>
    <w:rsid w:val="00D410D9"/>
    <w:rsid w:val="00D50147"/>
    <w:rsid w:val="00D540C6"/>
    <w:rsid w:val="00D547CF"/>
    <w:rsid w:val="00D57779"/>
    <w:rsid w:val="00D64BD1"/>
    <w:rsid w:val="00D7102A"/>
    <w:rsid w:val="00D7367A"/>
    <w:rsid w:val="00D75C75"/>
    <w:rsid w:val="00D82C27"/>
    <w:rsid w:val="00D92254"/>
    <w:rsid w:val="00D930DB"/>
    <w:rsid w:val="00D9429D"/>
    <w:rsid w:val="00DA422A"/>
    <w:rsid w:val="00DB760F"/>
    <w:rsid w:val="00DB7780"/>
    <w:rsid w:val="00DC668C"/>
    <w:rsid w:val="00DE084C"/>
    <w:rsid w:val="00DF35C4"/>
    <w:rsid w:val="00E14F51"/>
    <w:rsid w:val="00E203BF"/>
    <w:rsid w:val="00E311EB"/>
    <w:rsid w:val="00E357B7"/>
    <w:rsid w:val="00E4269F"/>
    <w:rsid w:val="00E478CD"/>
    <w:rsid w:val="00E53800"/>
    <w:rsid w:val="00E6081F"/>
    <w:rsid w:val="00E60DD3"/>
    <w:rsid w:val="00E821A1"/>
    <w:rsid w:val="00E8296D"/>
    <w:rsid w:val="00E8457B"/>
    <w:rsid w:val="00E86645"/>
    <w:rsid w:val="00E91B4D"/>
    <w:rsid w:val="00EA04B2"/>
    <w:rsid w:val="00EA20F3"/>
    <w:rsid w:val="00EA3A73"/>
    <w:rsid w:val="00EB0065"/>
    <w:rsid w:val="00EB3614"/>
    <w:rsid w:val="00EC5E3A"/>
    <w:rsid w:val="00EC7D5F"/>
    <w:rsid w:val="00EC7F53"/>
    <w:rsid w:val="00ED0180"/>
    <w:rsid w:val="00ED1988"/>
    <w:rsid w:val="00ED2831"/>
    <w:rsid w:val="00ED4333"/>
    <w:rsid w:val="00ED43D1"/>
    <w:rsid w:val="00EE161D"/>
    <w:rsid w:val="00EE4EE1"/>
    <w:rsid w:val="00EF4574"/>
    <w:rsid w:val="00F03CE1"/>
    <w:rsid w:val="00F10A50"/>
    <w:rsid w:val="00F12FE9"/>
    <w:rsid w:val="00F22C56"/>
    <w:rsid w:val="00F248AD"/>
    <w:rsid w:val="00F25A93"/>
    <w:rsid w:val="00F2684E"/>
    <w:rsid w:val="00F30106"/>
    <w:rsid w:val="00F34628"/>
    <w:rsid w:val="00F35099"/>
    <w:rsid w:val="00F37AE3"/>
    <w:rsid w:val="00F463D8"/>
    <w:rsid w:val="00F5404C"/>
    <w:rsid w:val="00F65E44"/>
    <w:rsid w:val="00F729EF"/>
    <w:rsid w:val="00F755F5"/>
    <w:rsid w:val="00F77CAE"/>
    <w:rsid w:val="00F81798"/>
    <w:rsid w:val="00F82271"/>
    <w:rsid w:val="00F83428"/>
    <w:rsid w:val="00F860A6"/>
    <w:rsid w:val="00F96BB9"/>
    <w:rsid w:val="00FB2622"/>
    <w:rsid w:val="00FB2FDE"/>
    <w:rsid w:val="00FD70E2"/>
    <w:rsid w:val="00FE692B"/>
    <w:rsid w:val="00FE6D51"/>
    <w:rsid w:val="00FE6F2A"/>
    <w:rsid w:val="00FE74E6"/>
    <w:rsid w:val="016F0DB2"/>
    <w:rsid w:val="022F67B2"/>
    <w:rsid w:val="02BB37B6"/>
    <w:rsid w:val="03141542"/>
    <w:rsid w:val="03D87CD3"/>
    <w:rsid w:val="0581F19E"/>
    <w:rsid w:val="05AB0C40"/>
    <w:rsid w:val="064BB604"/>
    <w:rsid w:val="0667AF81"/>
    <w:rsid w:val="07101D95"/>
    <w:rsid w:val="0731F1C7"/>
    <w:rsid w:val="076EE06D"/>
    <w:rsid w:val="07D2A011"/>
    <w:rsid w:val="09B0B848"/>
    <w:rsid w:val="0A47BE57"/>
    <w:rsid w:val="0B4B3F1F"/>
    <w:rsid w:val="0C033B15"/>
    <w:rsid w:val="0CE50B01"/>
    <w:rsid w:val="0D4898DA"/>
    <w:rsid w:val="0D660ADB"/>
    <w:rsid w:val="0DC6A45B"/>
    <w:rsid w:val="0E73220C"/>
    <w:rsid w:val="0E7DEAEB"/>
    <w:rsid w:val="0ECC20F1"/>
    <w:rsid w:val="0FA35F47"/>
    <w:rsid w:val="0FBA19B7"/>
    <w:rsid w:val="0FE615EE"/>
    <w:rsid w:val="11965631"/>
    <w:rsid w:val="12704F54"/>
    <w:rsid w:val="12AC484D"/>
    <w:rsid w:val="13322692"/>
    <w:rsid w:val="13DE5FAF"/>
    <w:rsid w:val="140B2284"/>
    <w:rsid w:val="14459CAC"/>
    <w:rsid w:val="1556CAA4"/>
    <w:rsid w:val="15E83F57"/>
    <w:rsid w:val="165F002D"/>
    <w:rsid w:val="1669C754"/>
    <w:rsid w:val="16D732D6"/>
    <w:rsid w:val="172E2EE5"/>
    <w:rsid w:val="1730F8D0"/>
    <w:rsid w:val="180D46D7"/>
    <w:rsid w:val="180E805F"/>
    <w:rsid w:val="18730337"/>
    <w:rsid w:val="18D6E5B8"/>
    <w:rsid w:val="1984E855"/>
    <w:rsid w:val="1AEE0146"/>
    <w:rsid w:val="1B55926D"/>
    <w:rsid w:val="1B7F8DEB"/>
    <w:rsid w:val="1CD908D8"/>
    <w:rsid w:val="1DD35695"/>
    <w:rsid w:val="1EF0553F"/>
    <w:rsid w:val="1F5E238C"/>
    <w:rsid w:val="2010A99A"/>
    <w:rsid w:val="2134447B"/>
    <w:rsid w:val="218942CC"/>
    <w:rsid w:val="21A9B8B0"/>
    <w:rsid w:val="21BFCB2E"/>
    <w:rsid w:val="23593EAE"/>
    <w:rsid w:val="245D0725"/>
    <w:rsid w:val="24DFC8E3"/>
    <w:rsid w:val="25C6546A"/>
    <w:rsid w:val="27F15989"/>
    <w:rsid w:val="2A019B9B"/>
    <w:rsid w:val="2A2CE4E8"/>
    <w:rsid w:val="2A7794A3"/>
    <w:rsid w:val="2B87AB58"/>
    <w:rsid w:val="3059F8E5"/>
    <w:rsid w:val="30646153"/>
    <w:rsid w:val="3170AC9D"/>
    <w:rsid w:val="330AA3DD"/>
    <w:rsid w:val="334B44E4"/>
    <w:rsid w:val="33619FEC"/>
    <w:rsid w:val="3441F166"/>
    <w:rsid w:val="347DDED3"/>
    <w:rsid w:val="349D4354"/>
    <w:rsid w:val="355928AF"/>
    <w:rsid w:val="35EA391E"/>
    <w:rsid w:val="369940AE"/>
    <w:rsid w:val="37DC122A"/>
    <w:rsid w:val="381BE8B2"/>
    <w:rsid w:val="392D1ECC"/>
    <w:rsid w:val="39D0E170"/>
    <w:rsid w:val="39E66ACB"/>
    <w:rsid w:val="3A9ADA23"/>
    <w:rsid w:val="3B1DA348"/>
    <w:rsid w:val="3B2E546B"/>
    <w:rsid w:val="3B840BBD"/>
    <w:rsid w:val="3C2DA6A7"/>
    <w:rsid w:val="3C7736A5"/>
    <w:rsid w:val="3C9EAA59"/>
    <w:rsid w:val="3CEB7BE6"/>
    <w:rsid w:val="3CFCFE3F"/>
    <w:rsid w:val="3D088232"/>
    <w:rsid w:val="3D8449AA"/>
    <w:rsid w:val="3DD487C8"/>
    <w:rsid w:val="3E55440A"/>
    <w:rsid w:val="3EBCF7CE"/>
    <w:rsid w:val="3F380DF7"/>
    <w:rsid w:val="3FF1146B"/>
    <w:rsid w:val="406F7E56"/>
    <w:rsid w:val="40918DE0"/>
    <w:rsid w:val="40B802E7"/>
    <w:rsid w:val="418CE4CC"/>
    <w:rsid w:val="4199BBD4"/>
    <w:rsid w:val="41F2265A"/>
    <w:rsid w:val="423A5302"/>
    <w:rsid w:val="432E4A71"/>
    <w:rsid w:val="469F4ED8"/>
    <w:rsid w:val="46C5977D"/>
    <w:rsid w:val="4774C143"/>
    <w:rsid w:val="47826F7C"/>
    <w:rsid w:val="47F86884"/>
    <w:rsid w:val="48257E3E"/>
    <w:rsid w:val="49E84D01"/>
    <w:rsid w:val="4A0EEDF6"/>
    <w:rsid w:val="4B809726"/>
    <w:rsid w:val="4D0E601B"/>
    <w:rsid w:val="4DC804A5"/>
    <w:rsid w:val="4E5EFEE8"/>
    <w:rsid w:val="4F270DF9"/>
    <w:rsid w:val="4F511F99"/>
    <w:rsid w:val="506C79C3"/>
    <w:rsid w:val="508A8488"/>
    <w:rsid w:val="51153485"/>
    <w:rsid w:val="513AE1F6"/>
    <w:rsid w:val="51FD7B83"/>
    <w:rsid w:val="52FE0CF4"/>
    <w:rsid w:val="536A3275"/>
    <w:rsid w:val="53E42FFA"/>
    <w:rsid w:val="54078D1A"/>
    <w:rsid w:val="5705D1E1"/>
    <w:rsid w:val="5727EDFF"/>
    <w:rsid w:val="572D0B93"/>
    <w:rsid w:val="575C3813"/>
    <w:rsid w:val="57ECD350"/>
    <w:rsid w:val="57FA3B83"/>
    <w:rsid w:val="588861D8"/>
    <w:rsid w:val="588A1993"/>
    <w:rsid w:val="5A6463F3"/>
    <w:rsid w:val="5BABC26F"/>
    <w:rsid w:val="5BC0029A"/>
    <w:rsid w:val="5BF70246"/>
    <w:rsid w:val="5C0A6751"/>
    <w:rsid w:val="5CB44F98"/>
    <w:rsid w:val="5D5BD2FB"/>
    <w:rsid w:val="5F1B1A96"/>
    <w:rsid w:val="5F89B4CB"/>
    <w:rsid w:val="604ACB5A"/>
    <w:rsid w:val="608FDD0B"/>
    <w:rsid w:val="614300C4"/>
    <w:rsid w:val="61D403C9"/>
    <w:rsid w:val="62161BC1"/>
    <w:rsid w:val="63239F8B"/>
    <w:rsid w:val="634B133F"/>
    <w:rsid w:val="637F07A8"/>
    <w:rsid w:val="64C28A20"/>
    <w:rsid w:val="6548DB8F"/>
    <w:rsid w:val="656C190D"/>
    <w:rsid w:val="65804860"/>
    <w:rsid w:val="65F6C90A"/>
    <w:rsid w:val="66870DDD"/>
    <w:rsid w:val="67B3B475"/>
    <w:rsid w:val="695A0489"/>
    <w:rsid w:val="6A85E033"/>
    <w:rsid w:val="6B1BB4CB"/>
    <w:rsid w:val="6B6C4D28"/>
    <w:rsid w:val="6BF6D59D"/>
    <w:rsid w:val="6CA5EF5C"/>
    <w:rsid w:val="6CADAB05"/>
    <w:rsid w:val="6D7EB20F"/>
    <w:rsid w:val="6DC1C718"/>
    <w:rsid w:val="6E06B85D"/>
    <w:rsid w:val="6E12FACA"/>
    <w:rsid w:val="6FF2244F"/>
    <w:rsid w:val="7026AE92"/>
    <w:rsid w:val="723E8214"/>
    <w:rsid w:val="72847E2B"/>
    <w:rsid w:val="72BFEA26"/>
    <w:rsid w:val="72D0218B"/>
    <w:rsid w:val="7320027E"/>
    <w:rsid w:val="733C010C"/>
    <w:rsid w:val="74132AD8"/>
    <w:rsid w:val="74F7E63E"/>
    <w:rsid w:val="754B1A32"/>
    <w:rsid w:val="775B52AB"/>
    <w:rsid w:val="79633354"/>
    <w:rsid w:val="798F4402"/>
    <w:rsid w:val="7B4AD279"/>
    <w:rsid w:val="7C10EC32"/>
    <w:rsid w:val="7C728F1F"/>
    <w:rsid w:val="7CCD59C2"/>
    <w:rsid w:val="7D051951"/>
    <w:rsid w:val="7F036A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D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12FC4"/>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D70E2"/>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Normal"/>
    <w:next w:val="Normal"/>
    <w:link w:val="Heading2Char"/>
    <w:uiPriority w:val="9"/>
    <w:unhideWhenUsed/>
    <w:qFormat/>
    <w:rsid w:val="00E311EB"/>
    <w:pPr>
      <w:widowControl w:val="0"/>
      <w:spacing w:line="240" w:lineRule="auto"/>
      <w:outlineLvl w:val="1"/>
    </w:pPr>
    <w:rPr>
      <w:b/>
      <w:bCs/>
      <w:sz w:val="28"/>
      <w:szCs w:val="28"/>
    </w:rPr>
  </w:style>
  <w:style w:type="paragraph" w:styleId="Heading3">
    <w:name w:val="heading 3"/>
    <w:basedOn w:val="Heading2"/>
    <w:next w:val="Normal"/>
    <w:link w:val="Heading3Char"/>
    <w:uiPriority w:val="9"/>
    <w:unhideWhenUsed/>
    <w:qFormat/>
    <w:rsid w:val="00ED2831"/>
    <w:pPr>
      <w:spacing w:line="360" w:lineRule="atLeast"/>
      <w:outlineLvl w:val="2"/>
    </w:pPr>
    <w:rPr>
      <w:bCs w:val="0"/>
      <w:caps/>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FD70E2"/>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0E2"/>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E311EB"/>
    <w:rPr>
      <w:b/>
      <w:bCs/>
      <w:color w:val="495965" w:themeColor="text2"/>
      <w:sz w:val="28"/>
      <w:szCs w:val="28"/>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FD70E2"/>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pPr>
    <w:rPr>
      <w:bCs w:val="0"/>
    </w:rPr>
  </w:style>
  <w:style w:type="paragraph" w:customStyle="1" w:styleId="Heading3Numbered">
    <w:name w:val="Heading 3 Numbered"/>
    <w:basedOn w:val="Heading3"/>
    <w:next w:val="Normal"/>
    <w:qFormat/>
    <w:rsid w:val="00ED2831"/>
    <w:pPr>
      <w:numPr>
        <w:ilvl w:val="2"/>
        <w:numId w:val="23"/>
      </w:numPr>
      <w:spacing w:before="300"/>
    </w:pPr>
    <w:rPr>
      <w:szCs w:val="22"/>
    </w:rPr>
  </w:style>
  <w:style w:type="numbering" w:customStyle="1" w:styleId="BulletsList">
    <w:name w:val="Bullets List"/>
    <w:uiPriority w:val="99"/>
    <w:rsid w:val="00FD70E2"/>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A5013C"/>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FD70E2"/>
    <w:pPr>
      <w:spacing w:before="400" w:after="400" w:line="280" w:lineRule="exact"/>
    </w:pPr>
    <w:rPr>
      <w:b/>
      <w:color w:val="65C5B4" w:themeColor="accent1"/>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5013C"/>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FD70E2"/>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table" w:styleId="GridTable1Light-Accent1">
    <w:name w:val="Grid Table 1 Light Accent 1"/>
    <w:basedOn w:val="TableNormal"/>
    <w:uiPriority w:val="46"/>
    <w:locked/>
    <w:rsid w:val="00781673"/>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locked/>
    <w:rsid w:val="007816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locked/>
    <w:rsid w:val="00781673"/>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paragraph" w:styleId="ListParagraph">
    <w:name w:val="List Paragraph"/>
    <w:basedOn w:val="Normal"/>
    <w:uiPriority w:val="34"/>
    <w:qFormat/>
    <w:locked/>
    <w:rsid w:val="00CD55B8"/>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GB"/>
    </w:rPr>
  </w:style>
  <w:style w:type="paragraph" w:styleId="Revision">
    <w:name w:val="Revision"/>
    <w:hidden/>
    <w:uiPriority w:val="99"/>
    <w:semiHidden/>
    <w:rsid w:val="003441CB"/>
    <w:pPr>
      <w:spacing w:after="0" w:line="240" w:lineRule="auto"/>
    </w:pPr>
    <w:rPr>
      <w:color w:val="495965" w:themeColor="text2"/>
      <w:lang w:val="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8650">
      <w:bodyDiv w:val="1"/>
      <w:marLeft w:val="0"/>
      <w:marRight w:val="0"/>
      <w:marTop w:val="0"/>
      <w:marBottom w:val="0"/>
      <w:divBdr>
        <w:top w:val="none" w:sz="0" w:space="0" w:color="auto"/>
        <w:left w:val="none" w:sz="0" w:space="0" w:color="auto"/>
        <w:bottom w:val="none" w:sz="0" w:space="0" w:color="auto"/>
        <w:right w:val="none" w:sz="0" w:space="0" w:color="auto"/>
      </w:divBdr>
    </w:div>
    <w:div w:id="729889710">
      <w:bodyDiv w:val="1"/>
      <w:marLeft w:val="0"/>
      <w:marRight w:val="0"/>
      <w:marTop w:val="0"/>
      <w:marBottom w:val="0"/>
      <w:divBdr>
        <w:top w:val="none" w:sz="0" w:space="0" w:color="auto"/>
        <w:left w:val="none" w:sz="0" w:space="0" w:color="auto"/>
        <w:bottom w:val="none" w:sz="0" w:space="0" w:color="auto"/>
        <w:right w:val="none" w:sz="0" w:space="0" w:color="auto"/>
      </w:divBdr>
    </w:div>
    <w:div w:id="1035040252">
      <w:bodyDiv w:val="1"/>
      <w:marLeft w:val="0"/>
      <w:marRight w:val="0"/>
      <w:marTop w:val="0"/>
      <w:marBottom w:val="0"/>
      <w:divBdr>
        <w:top w:val="none" w:sz="0" w:space="0" w:color="auto"/>
        <w:left w:val="none" w:sz="0" w:space="0" w:color="auto"/>
        <w:bottom w:val="none" w:sz="0" w:space="0" w:color="auto"/>
        <w:right w:val="none" w:sz="0" w:space="0" w:color="auto"/>
      </w:divBdr>
    </w:div>
    <w:div w:id="13927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17BFD-7C78-4264-A0B9-A2CF9883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1922</Words>
  <Characters>11127</Characters>
  <Application>Microsoft Office Word</Application>
  <DocSecurity>0</DocSecurity>
  <Lines>278</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Malaysia and Thailand Reform Partnerships final evaluation - Management Response</dc:title>
  <dc:creator/>
  <cp:keywords>[SEC=UNOFFICIAL]</cp:keywords>
  <cp:lastModifiedBy/>
  <cp:revision>1</cp:revision>
  <dcterms:created xsi:type="dcterms:W3CDTF">2023-11-23T19:41:00Z</dcterms:created>
  <dcterms:modified xsi:type="dcterms:W3CDTF">2023-11-23T19:44:00Z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UNOFFICIAL</vt:lpwstr>
  </property>
  <property fmtid="{D5CDD505-2E9C-101B-9397-08002B2CF9AE}" pid="4" name="PMHMAC">
    <vt:lpwstr>v=2022.1;a=SHA256;h=685208C8A9AF5A8017D01DDF6C9E40267740406D56BD20FEE27FDC055345D5B3</vt:lpwstr>
  </property>
  <property fmtid="{D5CDD505-2E9C-101B-9397-08002B2CF9AE}" pid="5" name="PM_Qualifier">
    <vt:lpwstr/>
  </property>
  <property fmtid="{D5CDD505-2E9C-101B-9397-08002B2CF9AE}" pid="6" name="PM_DisplayValueSecClassificationWithQualifier">
    <vt:lpwstr>UNOFFICIAL</vt:lpwstr>
  </property>
  <property fmtid="{D5CDD505-2E9C-101B-9397-08002B2CF9AE}" pid="7" name="PM_InsertionValue">
    <vt:lpwstr>UNOFFICIAL</vt:lpwstr>
  </property>
  <property fmtid="{D5CDD505-2E9C-101B-9397-08002B2CF9AE}" pid="8" name="PM_Originator_Hash_SHA1">
    <vt:lpwstr>D9F6E5C82DFAF7AB6E3D596D48DD43C72EDFDAB4</vt:lpwstr>
  </property>
  <property fmtid="{D5CDD505-2E9C-101B-9397-08002B2CF9AE}" pid="9" name="PM_Originating_FileId">
    <vt:lpwstr>898CCBF400194616B82D56F3A644EDFE</vt:lpwstr>
  </property>
  <property fmtid="{D5CDD505-2E9C-101B-9397-08002B2CF9AE}" pid="10" name="PM_ProtectiveMarkingValue_Footer">
    <vt:lpwstr>UNOFFICIAL</vt:lpwstr>
  </property>
  <property fmtid="{D5CDD505-2E9C-101B-9397-08002B2CF9AE}" pid="11" name="PM_ProtectiveMarkingValue_Header">
    <vt:lpwstr>UNOFFICIAL</vt:lpwstr>
  </property>
  <property fmtid="{D5CDD505-2E9C-101B-9397-08002B2CF9AE}" pid="12" name="PM_OriginationTimeStamp">
    <vt:lpwstr>2021-12-08T23:46:40Z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AC1B1B3A6EAC9E463ED6008C356116FB</vt:lpwstr>
  </property>
  <property fmtid="{D5CDD505-2E9C-101B-9397-08002B2CF9AE}" pid="20" name="PM_Hash_Salt">
    <vt:lpwstr>582352B302F611C93A76B31B4F49B801</vt:lpwstr>
  </property>
  <property fmtid="{D5CDD505-2E9C-101B-9397-08002B2CF9AE}" pid="21" name="PM_Hash_SHA1">
    <vt:lpwstr>9F3759745A66C0637BEA6EBF10E021CBBDF27E81</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_OriginatorUserAccountName_SHA256">
    <vt:lpwstr>3E9DB5AB808CA91EB3E8EC398CDB7F67B110581D6BB28BC88565729DCE387350</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v=2022.2;d=gov.au;g=65417EFE-F3B9-5E66-BD91-1E689FEC2EA6</vt:lpwstr>
  </property>
  <property fmtid="{D5CDD505-2E9C-101B-9397-08002B2CF9AE}" pid="28" name="PM_Caveats_Count">
    <vt:lpwstr>0</vt:lpwstr>
  </property>
</Properties>
</file>