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39EA6" w14:textId="585C561D" w:rsidR="00714C08" w:rsidRPr="00714C08" w:rsidRDefault="00714C08" w:rsidP="00664689">
      <w:pPr>
        <w:pStyle w:val="Heading1"/>
        <w:spacing w:before="3120"/>
        <w:jc w:val="center"/>
        <w:rPr>
          <w:b/>
          <w:bCs/>
          <w:sz w:val="52"/>
          <w:szCs w:val="52"/>
        </w:rPr>
      </w:pPr>
      <w:r w:rsidRPr="00714C08">
        <w:rPr>
          <w:b/>
          <w:bCs/>
          <w:sz w:val="52"/>
          <w:szCs w:val="52"/>
        </w:rPr>
        <w:t>Malaysia</w:t>
      </w:r>
      <w:r w:rsidR="00B82AC4">
        <w:rPr>
          <w:b/>
          <w:bCs/>
          <w:sz w:val="52"/>
          <w:szCs w:val="52"/>
        </w:rPr>
        <w:t xml:space="preserve"> and </w:t>
      </w:r>
      <w:r w:rsidRPr="00714C08">
        <w:rPr>
          <w:b/>
          <w:bCs/>
          <w:sz w:val="52"/>
          <w:szCs w:val="52"/>
        </w:rPr>
        <w:t xml:space="preserve">Thailand Reform </w:t>
      </w:r>
      <w:r w:rsidR="00B82AC4">
        <w:rPr>
          <w:b/>
          <w:bCs/>
          <w:sz w:val="52"/>
          <w:szCs w:val="52"/>
        </w:rPr>
        <w:t>Partnerships</w:t>
      </w:r>
    </w:p>
    <w:p w14:paraId="11BA414C" w14:textId="4616EA08" w:rsidR="00714C08" w:rsidRDefault="00714C08" w:rsidP="00664689">
      <w:pPr>
        <w:pStyle w:val="Heading1"/>
        <w:spacing w:before="1080"/>
        <w:jc w:val="center"/>
      </w:pPr>
      <w:r w:rsidRPr="00714C08">
        <w:rPr>
          <w:b/>
          <w:bCs/>
          <w:sz w:val="52"/>
          <w:szCs w:val="52"/>
        </w:rPr>
        <w:t>Mid</w:t>
      </w:r>
      <w:r w:rsidR="00212E3C">
        <w:rPr>
          <w:b/>
          <w:bCs/>
          <w:sz w:val="52"/>
          <w:szCs w:val="52"/>
        </w:rPr>
        <w:t>-</w:t>
      </w:r>
      <w:r w:rsidRPr="00714C08">
        <w:rPr>
          <w:b/>
          <w:bCs/>
          <w:sz w:val="52"/>
          <w:szCs w:val="52"/>
        </w:rPr>
        <w:t>Term Review</w:t>
      </w:r>
    </w:p>
    <w:p w14:paraId="75B8FC07" w14:textId="54A98E54" w:rsidR="00714C08" w:rsidRDefault="00714C08" w:rsidP="00714C08"/>
    <w:p w14:paraId="2D4F43EF" w14:textId="77777777" w:rsidR="00714C08" w:rsidRDefault="00714C08" w:rsidP="00664689">
      <w:pPr>
        <w:spacing w:before="1200"/>
        <w:jc w:val="center"/>
      </w:pPr>
      <w:r>
        <w:t xml:space="preserve">An evaluation of progress for the </w:t>
      </w:r>
    </w:p>
    <w:p w14:paraId="468F6D4A" w14:textId="77777777" w:rsidR="00714C08" w:rsidRDefault="00714C08" w:rsidP="00714C08">
      <w:pPr>
        <w:jc w:val="center"/>
      </w:pPr>
    </w:p>
    <w:p w14:paraId="07C61B0A" w14:textId="7516CE8A" w:rsidR="00714C08" w:rsidRDefault="00714C08" w:rsidP="00714C08">
      <w:pPr>
        <w:jc w:val="center"/>
      </w:pPr>
      <w:r>
        <w:t>Australian Department of Foreign Affairs and Trade</w:t>
      </w:r>
    </w:p>
    <w:p w14:paraId="63DFE0EC" w14:textId="1EC4AFDA" w:rsidR="00714C08" w:rsidRDefault="00714C08" w:rsidP="00714C08"/>
    <w:p w14:paraId="38416007" w14:textId="1D6AA347" w:rsidR="00714C08" w:rsidRDefault="00714C08" w:rsidP="00664689">
      <w:pPr>
        <w:jc w:val="center"/>
      </w:pPr>
      <w:proofErr w:type="gramStart"/>
      <w:r>
        <w:t>Ma</w:t>
      </w:r>
      <w:r w:rsidR="008C2056">
        <w:t>y</w:t>
      </w:r>
      <w:r w:rsidR="00212E3C">
        <w:t>,</w:t>
      </w:r>
      <w:proofErr w:type="gramEnd"/>
      <w:r>
        <w:t xml:space="preserve"> 2021</w:t>
      </w:r>
    </w:p>
    <w:p w14:paraId="49F1096E" w14:textId="3F039568" w:rsidR="00B748D0" w:rsidRDefault="00B748D0" w:rsidP="00714C08">
      <w:pPr>
        <w:jc w:val="center"/>
      </w:pPr>
    </w:p>
    <w:p w14:paraId="1E1AD7A8" w14:textId="67F419D4" w:rsidR="00714C08" w:rsidRDefault="00B748D0" w:rsidP="00664689">
      <w:pPr>
        <w:pStyle w:val="Heading3"/>
        <w:spacing w:before="1200"/>
        <w:jc w:val="center"/>
      </w:pPr>
      <w:r>
        <w:t>Richard Moore</w:t>
      </w:r>
      <w:r w:rsidR="00714C08">
        <w:br w:type="page"/>
      </w:r>
    </w:p>
    <w:p w14:paraId="43BAF533" w14:textId="77777777" w:rsidR="002615EA" w:rsidRPr="002615EA" w:rsidRDefault="002615EA" w:rsidP="002615EA">
      <w:pPr>
        <w:pStyle w:val="Heading2"/>
        <w:spacing w:before="120"/>
        <w:rPr>
          <w:b/>
          <w:bCs/>
          <w:sz w:val="10"/>
          <w:szCs w:val="10"/>
        </w:rPr>
      </w:pPr>
    </w:p>
    <w:p w14:paraId="2F9EE450" w14:textId="39927C65" w:rsidR="00714C08" w:rsidRDefault="00714C08" w:rsidP="002A5D1E">
      <w:pPr>
        <w:pStyle w:val="Heading2"/>
        <w:spacing w:before="120"/>
        <w:jc w:val="center"/>
        <w:rPr>
          <w:b/>
          <w:bCs/>
          <w:sz w:val="40"/>
          <w:szCs w:val="40"/>
        </w:rPr>
      </w:pPr>
      <w:r w:rsidRPr="00714C08">
        <w:rPr>
          <w:b/>
          <w:bCs/>
          <w:sz w:val="40"/>
          <w:szCs w:val="40"/>
        </w:rPr>
        <w:t>Contents</w:t>
      </w:r>
    </w:p>
    <w:p w14:paraId="7156A199" w14:textId="23825C7A" w:rsidR="00714C08" w:rsidRDefault="00714C08" w:rsidP="003A7E53">
      <w:pPr>
        <w:jc w:val="both"/>
      </w:pPr>
    </w:p>
    <w:p w14:paraId="5B226B64" w14:textId="14FB9D50" w:rsidR="00714C08" w:rsidRPr="006C4F38" w:rsidRDefault="00714C08" w:rsidP="00664689">
      <w:pPr>
        <w:pStyle w:val="Heading3"/>
        <w:tabs>
          <w:tab w:val="left" w:pos="8789"/>
        </w:tabs>
        <w:ind w:left="567"/>
        <w:jc w:val="both"/>
        <w:rPr>
          <w:b/>
          <w:bCs/>
          <w:sz w:val="22"/>
          <w:szCs w:val="22"/>
        </w:rPr>
      </w:pPr>
      <w:r w:rsidRPr="006C4F38">
        <w:rPr>
          <w:b/>
          <w:bCs/>
          <w:sz w:val="22"/>
          <w:szCs w:val="22"/>
        </w:rPr>
        <w:t>Executive Summary</w:t>
      </w:r>
      <w:r w:rsidR="00697828" w:rsidRPr="006C4F38">
        <w:rPr>
          <w:b/>
          <w:bCs/>
          <w:sz w:val="22"/>
          <w:szCs w:val="22"/>
        </w:rPr>
        <w:tab/>
      </w:r>
      <w:proofErr w:type="spellStart"/>
      <w:r w:rsidR="003A7E53" w:rsidRPr="006C4F38">
        <w:rPr>
          <w:b/>
          <w:bCs/>
          <w:sz w:val="22"/>
          <w:szCs w:val="22"/>
        </w:rPr>
        <w:t>i</w:t>
      </w:r>
      <w:proofErr w:type="spellEnd"/>
    </w:p>
    <w:p w14:paraId="373D76E0" w14:textId="4C063D3A" w:rsidR="00697828" w:rsidRPr="006C4F38" w:rsidRDefault="00697828" w:rsidP="003A7E53">
      <w:pPr>
        <w:jc w:val="both"/>
        <w:rPr>
          <w:sz w:val="22"/>
          <w:szCs w:val="22"/>
        </w:rPr>
      </w:pPr>
    </w:p>
    <w:p w14:paraId="2667A959" w14:textId="54634D0D" w:rsidR="00697828" w:rsidRPr="006C4F38" w:rsidRDefault="00697828" w:rsidP="00664689">
      <w:pPr>
        <w:tabs>
          <w:tab w:val="left" w:pos="8789"/>
        </w:tabs>
        <w:ind w:left="720"/>
        <w:jc w:val="both"/>
        <w:rPr>
          <w:sz w:val="22"/>
          <w:szCs w:val="22"/>
        </w:rPr>
      </w:pPr>
      <w:r w:rsidRPr="006C4F38">
        <w:rPr>
          <w:sz w:val="22"/>
          <w:szCs w:val="22"/>
        </w:rPr>
        <w:t>Main findings</w:t>
      </w:r>
      <w:r w:rsidR="003A7E53" w:rsidRPr="006C4F38">
        <w:rPr>
          <w:sz w:val="22"/>
          <w:szCs w:val="22"/>
        </w:rPr>
        <w:tab/>
      </w:r>
      <w:proofErr w:type="spellStart"/>
      <w:r w:rsidR="003A7E53" w:rsidRPr="006C4F38">
        <w:rPr>
          <w:sz w:val="22"/>
          <w:szCs w:val="22"/>
        </w:rPr>
        <w:t>i</w:t>
      </w:r>
      <w:proofErr w:type="spellEnd"/>
    </w:p>
    <w:p w14:paraId="28886D5C" w14:textId="14D81992" w:rsidR="00697828" w:rsidRPr="006C4F38" w:rsidRDefault="00697828" w:rsidP="00664689">
      <w:pPr>
        <w:tabs>
          <w:tab w:val="left" w:pos="8789"/>
        </w:tabs>
        <w:ind w:left="720"/>
        <w:jc w:val="both"/>
        <w:rPr>
          <w:sz w:val="22"/>
          <w:szCs w:val="22"/>
        </w:rPr>
      </w:pPr>
    </w:p>
    <w:p w14:paraId="4159C3E4" w14:textId="49D72817" w:rsidR="00697828" w:rsidRPr="006C4F38" w:rsidRDefault="00697828" w:rsidP="00664689">
      <w:pPr>
        <w:tabs>
          <w:tab w:val="left" w:pos="8789"/>
        </w:tabs>
        <w:ind w:left="720"/>
        <w:jc w:val="both"/>
        <w:rPr>
          <w:sz w:val="22"/>
          <w:szCs w:val="22"/>
        </w:rPr>
      </w:pPr>
      <w:r w:rsidRPr="006C4F38">
        <w:rPr>
          <w:sz w:val="22"/>
          <w:szCs w:val="22"/>
        </w:rPr>
        <w:t>Key recommendations</w:t>
      </w:r>
      <w:r w:rsidR="003A7E53" w:rsidRPr="006C4F38">
        <w:rPr>
          <w:sz w:val="22"/>
          <w:szCs w:val="22"/>
        </w:rPr>
        <w:tab/>
        <w:t>ii</w:t>
      </w:r>
    </w:p>
    <w:p w14:paraId="2E2B9A63" w14:textId="77777777" w:rsidR="00697828" w:rsidRPr="006C4F38" w:rsidRDefault="00697828" w:rsidP="00664689">
      <w:pPr>
        <w:tabs>
          <w:tab w:val="left" w:pos="8789"/>
        </w:tabs>
        <w:jc w:val="both"/>
        <w:rPr>
          <w:sz w:val="22"/>
          <w:szCs w:val="22"/>
        </w:rPr>
      </w:pPr>
    </w:p>
    <w:p w14:paraId="04C80282" w14:textId="5E29D072" w:rsidR="00714C08" w:rsidRPr="006C4F38" w:rsidRDefault="00714C08" w:rsidP="00664689">
      <w:pPr>
        <w:tabs>
          <w:tab w:val="left" w:pos="8789"/>
        </w:tabs>
        <w:ind w:firstLine="720"/>
        <w:jc w:val="both"/>
        <w:rPr>
          <w:sz w:val="22"/>
          <w:szCs w:val="22"/>
        </w:rPr>
      </w:pPr>
      <w:r w:rsidRPr="006C4F38">
        <w:rPr>
          <w:sz w:val="22"/>
          <w:szCs w:val="22"/>
        </w:rPr>
        <w:t xml:space="preserve">Program </w:t>
      </w:r>
      <w:r w:rsidR="000E4824">
        <w:rPr>
          <w:sz w:val="22"/>
          <w:szCs w:val="22"/>
        </w:rPr>
        <w:t>P</w:t>
      </w:r>
      <w:r w:rsidRPr="006C4F38">
        <w:rPr>
          <w:sz w:val="22"/>
          <w:szCs w:val="22"/>
        </w:rPr>
        <w:t xml:space="preserve">erformance </w:t>
      </w:r>
      <w:r w:rsidR="000E4824">
        <w:rPr>
          <w:sz w:val="22"/>
          <w:szCs w:val="22"/>
        </w:rPr>
        <w:t>S</w:t>
      </w:r>
      <w:r w:rsidR="00697828" w:rsidRPr="006C4F38">
        <w:rPr>
          <w:sz w:val="22"/>
          <w:szCs w:val="22"/>
        </w:rPr>
        <w:t>ummary</w:t>
      </w:r>
      <w:r w:rsidR="003A7E53" w:rsidRPr="006C4F38">
        <w:rPr>
          <w:sz w:val="22"/>
          <w:szCs w:val="22"/>
        </w:rPr>
        <w:tab/>
        <w:t>iii</w:t>
      </w:r>
    </w:p>
    <w:p w14:paraId="11670D7F" w14:textId="77777777" w:rsidR="00697828" w:rsidRPr="006C4F38" w:rsidRDefault="00697828" w:rsidP="00664689">
      <w:pPr>
        <w:tabs>
          <w:tab w:val="left" w:pos="8789"/>
        </w:tabs>
        <w:rPr>
          <w:sz w:val="22"/>
          <w:szCs w:val="22"/>
        </w:rPr>
      </w:pPr>
    </w:p>
    <w:p w14:paraId="3FA752EF" w14:textId="0D264D10" w:rsidR="00697828" w:rsidRPr="006C4F38" w:rsidRDefault="00697828" w:rsidP="00664689">
      <w:pPr>
        <w:pStyle w:val="Heading3"/>
        <w:tabs>
          <w:tab w:val="left" w:pos="8789"/>
        </w:tabs>
        <w:ind w:left="567"/>
        <w:rPr>
          <w:b/>
          <w:bCs/>
          <w:sz w:val="22"/>
          <w:szCs w:val="22"/>
        </w:rPr>
      </w:pPr>
      <w:r w:rsidRPr="006C4F38">
        <w:rPr>
          <w:b/>
          <w:bCs/>
          <w:sz w:val="22"/>
          <w:szCs w:val="22"/>
        </w:rPr>
        <w:t>Main Report</w:t>
      </w:r>
    </w:p>
    <w:p w14:paraId="641379C6" w14:textId="77777777" w:rsidR="00697828" w:rsidRPr="006C4F38" w:rsidRDefault="00697828" w:rsidP="00664689">
      <w:pPr>
        <w:tabs>
          <w:tab w:val="left" w:pos="8789"/>
        </w:tabs>
        <w:ind w:left="567"/>
        <w:rPr>
          <w:sz w:val="22"/>
          <w:szCs w:val="22"/>
        </w:rPr>
      </w:pPr>
    </w:p>
    <w:p w14:paraId="1705DA68" w14:textId="7313C670" w:rsidR="00714C08" w:rsidRPr="006C4F38" w:rsidRDefault="00714C08" w:rsidP="00664689">
      <w:pPr>
        <w:tabs>
          <w:tab w:val="left" w:pos="8789"/>
        </w:tabs>
        <w:ind w:left="720"/>
        <w:rPr>
          <w:sz w:val="22"/>
          <w:szCs w:val="22"/>
        </w:rPr>
      </w:pPr>
      <w:r w:rsidRPr="006C4F38">
        <w:rPr>
          <w:sz w:val="22"/>
          <w:szCs w:val="22"/>
        </w:rPr>
        <w:t>Introduction</w:t>
      </w:r>
      <w:r w:rsidR="00664689">
        <w:rPr>
          <w:sz w:val="22"/>
          <w:szCs w:val="22"/>
        </w:rPr>
        <w:tab/>
      </w:r>
      <w:r w:rsidRPr="006C4F38">
        <w:rPr>
          <w:sz w:val="22"/>
          <w:szCs w:val="22"/>
        </w:rPr>
        <w:t>1</w:t>
      </w:r>
    </w:p>
    <w:p w14:paraId="4F0CD442" w14:textId="3A37BF1E" w:rsidR="00714C08" w:rsidRPr="006C4F38" w:rsidRDefault="00714C08" w:rsidP="00664689">
      <w:pPr>
        <w:tabs>
          <w:tab w:val="left" w:pos="8789"/>
        </w:tabs>
        <w:ind w:left="720"/>
        <w:rPr>
          <w:sz w:val="22"/>
          <w:szCs w:val="22"/>
        </w:rPr>
      </w:pPr>
    </w:p>
    <w:p w14:paraId="07ABC542" w14:textId="58B09911" w:rsidR="00714C08" w:rsidRPr="006C4F38" w:rsidRDefault="00714C08" w:rsidP="00664689">
      <w:pPr>
        <w:tabs>
          <w:tab w:val="left" w:pos="8789"/>
        </w:tabs>
        <w:ind w:left="720"/>
        <w:rPr>
          <w:sz w:val="22"/>
          <w:szCs w:val="22"/>
        </w:rPr>
      </w:pPr>
      <w:r w:rsidRPr="006C4F38">
        <w:rPr>
          <w:sz w:val="22"/>
          <w:szCs w:val="22"/>
        </w:rPr>
        <w:t>Background and context</w:t>
      </w:r>
      <w:r w:rsidR="003A7E53" w:rsidRPr="006C4F38">
        <w:rPr>
          <w:sz w:val="22"/>
          <w:szCs w:val="22"/>
        </w:rPr>
        <w:tab/>
        <w:t>1</w:t>
      </w:r>
    </w:p>
    <w:p w14:paraId="737C231D" w14:textId="7C5C0CF6" w:rsidR="00714C08" w:rsidRPr="006C4F38" w:rsidRDefault="00714C08" w:rsidP="00664689">
      <w:pPr>
        <w:tabs>
          <w:tab w:val="left" w:pos="8789"/>
        </w:tabs>
        <w:ind w:left="720"/>
        <w:rPr>
          <w:sz w:val="22"/>
          <w:szCs w:val="22"/>
        </w:rPr>
      </w:pPr>
    </w:p>
    <w:p w14:paraId="726A3C44" w14:textId="6640B946" w:rsidR="00714C08" w:rsidRPr="006C4F38" w:rsidRDefault="00714C08" w:rsidP="00664689">
      <w:pPr>
        <w:tabs>
          <w:tab w:val="left" w:pos="8789"/>
        </w:tabs>
        <w:ind w:left="720"/>
        <w:rPr>
          <w:sz w:val="22"/>
          <w:szCs w:val="22"/>
        </w:rPr>
      </w:pPr>
      <w:r w:rsidRPr="006C4F38">
        <w:rPr>
          <w:sz w:val="22"/>
          <w:szCs w:val="22"/>
        </w:rPr>
        <w:t>Evaluation methodology and limitations</w:t>
      </w:r>
      <w:r w:rsidR="003A7E53" w:rsidRPr="006C4F38">
        <w:rPr>
          <w:sz w:val="22"/>
          <w:szCs w:val="22"/>
        </w:rPr>
        <w:tab/>
      </w:r>
      <w:r w:rsidR="00CB305F" w:rsidRPr="006C4F38">
        <w:rPr>
          <w:sz w:val="22"/>
          <w:szCs w:val="22"/>
        </w:rPr>
        <w:t>1</w:t>
      </w:r>
    </w:p>
    <w:p w14:paraId="0555A9A7" w14:textId="425A21EB" w:rsidR="00697828" w:rsidRPr="006C4F38" w:rsidRDefault="00697828" w:rsidP="00664689">
      <w:pPr>
        <w:tabs>
          <w:tab w:val="left" w:pos="8789"/>
        </w:tabs>
        <w:ind w:left="720"/>
        <w:rPr>
          <w:sz w:val="22"/>
          <w:szCs w:val="22"/>
        </w:rPr>
      </w:pPr>
    </w:p>
    <w:p w14:paraId="0C04535A" w14:textId="05ECD62F" w:rsidR="000E4824" w:rsidRDefault="000E4824" w:rsidP="00664689">
      <w:pPr>
        <w:tabs>
          <w:tab w:val="left" w:pos="8789"/>
        </w:tabs>
        <w:ind w:left="720"/>
        <w:rPr>
          <w:sz w:val="22"/>
          <w:szCs w:val="22"/>
        </w:rPr>
      </w:pPr>
      <w:r>
        <w:rPr>
          <w:sz w:val="22"/>
          <w:szCs w:val="22"/>
        </w:rPr>
        <w:t>MTRP unique features - and risks: The challenge of shifting goal posts</w:t>
      </w:r>
      <w:r>
        <w:rPr>
          <w:sz w:val="22"/>
          <w:szCs w:val="22"/>
        </w:rPr>
        <w:tab/>
      </w:r>
      <w:r w:rsidRPr="006C4F38">
        <w:rPr>
          <w:sz w:val="22"/>
          <w:szCs w:val="22"/>
        </w:rPr>
        <w:t>2</w:t>
      </w:r>
    </w:p>
    <w:p w14:paraId="647FC35C" w14:textId="77777777" w:rsidR="000E4824" w:rsidRDefault="000E4824" w:rsidP="00664689">
      <w:pPr>
        <w:tabs>
          <w:tab w:val="left" w:pos="8789"/>
        </w:tabs>
        <w:ind w:left="720"/>
        <w:rPr>
          <w:sz w:val="22"/>
          <w:szCs w:val="22"/>
        </w:rPr>
      </w:pPr>
    </w:p>
    <w:p w14:paraId="24D1F047" w14:textId="30085114" w:rsidR="00270ACB" w:rsidRPr="006C4F38" w:rsidRDefault="00B82AC4" w:rsidP="00664689">
      <w:pPr>
        <w:tabs>
          <w:tab w:val="left" w:pos="8789"/>
        </w:tabs>
        <w:ind w:left="720"/>
        <w:rPr>
          <w:sz w:val="22"/>
          <w:szCs w:val="22"/>
        </w:rPr>
      </w:pPr>
      <w:r>
        <w:rPr>
          <w:sz w:val="22"/>
          <w:szCs w:val="22"/>
        </w:rPr>
        <w:t>Evaluation Question 1:</w:t>
      </w:r>
      <w:r w:rsidR="00664689">
        <w:rPr>
          <w:sz w:val="22"/>
          <w:szCs w:val="22"/>
        </w:rPr>
        <w:br/>
      </w:r>
      <w:r w:rsidR="00AC00A6">
        <w:rPr>
          <w:sz w:val="22"/>
          <w:szCs w:val="22"/>
        </w:rPr>
        <w:t>To what extent i</w:t>
      </w:r>
      <w:r w:rsidR="00CD0222">
        <w:rPr>
          <w:sz w:val="22"/>
          <w:szCs w:val="22"/>
        </w:rPr>
        <w:t>s</w:t>
      </w:r>
      <w:r w:rsidR="00AC00A6">
        <w:rPr>
          <w:sz w:val="22"/>
          <w:szCs w:val="22"/>
        </w:rPr>
        <w:t xml:space="preserve"> the program achieving its </w:t>
      </w:r>
      <w:r w:rsidR="00270ACB" w:rsidRPr="006C4F38">
        <w:rPr>
          <w:sz w:val="22"/>
          <w:szCs w:val="22"/>
        </w:rPr>
        <w:t>objectives</w:t>
      </w:r>
      <w:r w:rsidR="00AC00A6">
        <w:rPr>
          <w:sz w:val="22"/>
          <w:szCs w:val="22"/>
        </w:rPr>
        <w:t>?</w:t>
      </w:r>
      <w:r w:rsidR="00664689">
        <w:rPr>
          <w:sz w:val="22"/>
          <w:szCs w:val="22"/>
        </w:rPr>
        <w:tab/>
      </w:r>
      <w:r w:rsidR="00AC00A6">
        <w:rPr>
          <w:sz w:val="22"/>
          <w:szCs w:val="22"/>
        </w:rPr>
        <w:t>2</w:t>
      </w:r>
    </w:p>
    <w:p w14:paraId="3F50B663" w14:textId="77777777" w:rsidR="002615EA" w:rsidRPr="006C4F38" w:rsidRDefault="002615EA" w:rsidP="00664689">
      <w:pPr>
        <w:tabs>
          <w:tab w:val="left" w:pos="8789"/>
        </w:tabs>
        <w:rPr>
          <w:sz w:val="22"/>
          <w:szCs w:val="22"/>
        </w:rPr>
      </w:pPr>
    </w:p>
    <w:p w14:paraId="4E2D666F" w14:textId="0FFE6AFE" w:rsidR="003A31E1" w:rsidRPr="006C4F38" w:rsidRDefault="00697828" w:rsidP="00664689">
      <w:pPr>
        <w:tabs>
          <w:tab w:val="left" w:pos="8789"/>
        </w:tabs>
        <w:ind w:left="1440"/>
        <w:rPr>
          <w:sz w:val="22"/>
          <w:szCs w:val="22"/>
        </w:rPr>
      </w:pPr>
      <w:r w:rsidRPr="006C4F38">
        <w:rPr>
          <w:sz w:val="22"/>
          <w:szCs w:val="22"/>
        </w:rPr>
        <w:t xml:space="preserve">Objective </w:t>
      </w:r>
      <w:r w:rsidR="00270ACB" w:rsidRPr="006C4F38">
        <w:rPr>
          <w:sz w:val="22"/>
          <w:szCs w:val="22"/>
        </w:rPr>
        <w:t>1</w:t>
      </w:r>
      <w:r w:rsidRPr="006C4F38">
        <w:rPr>
          <w:sz w:val="22"/>
          <w:szCs w:val="22"/>
        </w:rPr>
        <w:t>: Meaningful progress on reforms</w:t>
      </w:r>
      <w:r w:rsidR="00CB305F" w:rsidRPr="006C4F38">
        <w:rPr>
          <w:sz w:val="22"/>
          <w:szCs w:val="22"/>
        </w:rPr>
        <w:tab/>
        <w:t>2</w:t>
      </w:r>
    </w:p>
    <w:p w14:paraId="47EFCA0A" w14:textId="0D8357D9" w:rsidR="003A31E1" w:rsidRPr="00B82AC4" w:rsidRDefault="003A31E1" w:rsidP="00664689">
      <w:pPr>
        <w:pStyle w:val="ListParagraph"/>
        <w:numPr>
          <w:ilvl w:val="0"/>
          <w:numId w:val="37"/>
        </w:numPr>
        <w:tabs>
          <w:tab w:val="left" w:pos="8789"/>
        </w:tabs>
        <w:rPr>
          <w:sz w:val="22"/>
          <w:szCs w:val="22"/>
        </w:rPr>
      </w:pPr>
      <w:r w:rsidRPr="00B82AC4">
        <w:rPr>
          <w:sz w:val="22"/>
          <w:szCs w:val="22"/>
        </w:rPr>
        <w:t>Thailand</w:t>
      </w:r>
      <w:r w:rsidRPr="00B82AC4">
        <w:rPr>
          <w:sz w:val="22"/>
          <w:szCs w:val="22"/>
        </w:rPr>
        <w:tab/>
      </w:r>
      <w:r w:rsidR="002615EA" w:rsidRPr="00B82AC4">
        <w:rPr>
          <w:sz w:val="22"/>
          <w:szCs w:val="22"/>
        </w:rPr>
        <w:t>2</w:t>
      </w:r>
    </w:p>
    <w:p w14:paraId="4CFDDF95" w14:textId="47685D05" w:rsidR="003A31E1" w:rsidRPr="00B82AC4" w:rsidRDefault="003A31E1" w:rsidP="00664689">
      <w:pPr>
        <w:pStyle w:val="ListParagraph"/>
        <w:numPr>
          <w:ilvl w:val="0"/>
          <w:numId w:val="37"/>
        </w:numPr>
        <w:tabs>
          <w:tab w:val="left" w:pos="8789"/>
        </w:tabs>
        <w:rPr>
          <w:sz w:val="22"/>
          <w:szCs w:val="22"/>
        </w:rPr>
      </w:pPr>
      <w:r w:rsidRPr="00B82AC4">
        <w:rPr>
          <w:sz w:val="22"/>
          <w:szCs w:val="22"/>
        </w:rPr>
        <w:t>Malaysia</w:t>
      </w:r>
      <w:r w:rsidRPr="00B82AC4">
        <w:rPr>
          <w:sz w:val="22"/>
          <w:szCs w:val="22"/>
        </w:rPr>
        <w:tab/>
      </w:r>
      <w:r w:rsidR="002615EA" w:rsidRPr="00B82AC4">
        <w:rPr>
          <w:sz w:val="22"/>
          <w:szCs w:val="22"/>
        </w:rPr>
        <w:t>4</w:t>
      </w:r>
    </w:p>
    <w:p w14:paraId="22CFF746" w14:textId="1F4DEE91" w:rsidR="00697828" w:rsidRPr="006C4F38" w:rsidRDefault="00697828" w:rsidP="00664689">
      <w:pPr>
        <w:tabs>
          <w:tab w:val="left" w:pos="8789"/>
        </w:tabs>
        <w:ind w:left="1440"/>
        <w:rPr>
          <w:sz w:val="22"/>
          <w:szCs w:val="22"/>
        </w:rPr>
      </w:pPr>
    </w:p>
    <w:p w14:paraId="6CE263F7" w14:textId="5BBF9205" w:rsidR="00697828" w:rsidRPr="006C4F38" w:rsidRDefault="00697828" w:rsidP="00664689">
      <w:pPr>
        <w:tabs>
          <w:tab w:val="left" w:pos="8789"/>
        </w:tabs>
        <w:ind w:left="1440"/>
        <w:rPr>
          <w:sz w:val="22"/>
          <w:szCs w:val="22"/>
        </w:rPr>
      </w:pPr>
      <w:r w:rsidRPr="006C4F38">
        <w:rPr>
          <w:sz w:val="22"/>
          <w:szCs w:val="22"/>
        </w:rPr>
        <w:t>Objective 2:</w:t>
      </w:r>
      <w:r w:rsidR="00664689">
        <w:rPr>
          <w:sz w:val="22"/>
          <w:szCs w:val="22"/>
        </w:rPr>
        <w:br/>
      </w:r>
      <w:r w:rsidRPr="006C4F38">
        <w:rPr>
          <w:sz w:val="22"/>
          <w:szCs w:val="22"/>
        </w:rPr>
        <w:t>Bilateral relations strengthened</w:t>
      </w:r>
      <w:r w:rsidR="00270ACB" w:rsidRPr="006C4F38">
        <w:rPr>
          <w:sz w:val="22"/>
          <w:szCs w:val="22"/>
        </w:rPr>
        <w:tab/>
      </w:r>
      <w:r w:rsidR="000E4824">
        <w:rPr>
          <w:sz w:val="22"/>
          <w:szCs w:val="22"/>
        </w:rPr>
        <w:t>7</w:t>
      </w:r>
    </w:p>
    <w:p w14:paraId="5ED347BF" w14:textId="6A7453A9" w:rsidR="00697828" w:rsidRPr="006C4F38" w:rsidRDefault="00697828" w:rsidP="00664689">
      <w:pPr>
        <w:tabs>
          <w:tab w:val="left" w:pos="8789"/>
        </w:tabs>
        <w:ind w:left="1440"/>
        <w:rPr>
          <w:sz w:val="22"/>
          <w:szCs w:val="22"/>
        </w:rPr>
      </w:pPr>
    </w:p>
    <w:p w14:paraId="0BBA5C1B" w14:textId="05FB998E" w:rsidR="00697828" w:rsidRPr="006C4F38" w:rsidRDefault="00697828" w:rsidP="00664689">
      <w:pPr>
        <w:tabs>
          <w:tab w:val="left" w:pos="8789"/>
        </w:tabs>
        <w:ind w:left="1440"/>
        <w:rPr>
          <w:sz w:val="22"/>
          <w:szCs w:val="22"/>
        </w:rPr>
      </w:pPr>
      <w:r w:rsidRPr="006C4F38">
        <w:rPr>
          <w:sz w:val="22"/>
          <w:szCs w:val="22"/>
        </w:rPr>
        <w:t>Objective 3:</w:t>
      </w:r>
      <w:r w:rsidR="00664689">
        <w:rPr>
          <w:sz w:val="22"/>
          <w:szCs w:val="22"/>
        </w:rPr>
        <w:br/>
      </w:r>
      <w:r w:rsidRPr="006C4F38">
        <w:rPr>
          <w:sz w:val="22"/>
          <w:szCs w:val="22"/>
        </w:rPr>
        <w:t xml:space="preserve">Foundational </w:t>
      </w:r>
      <w:r w:rsidR="00270ACB" w:rsidRPr="006C4F38">
        <w:rPr>
          <w:sz w:val="22"/>
          <w:szCs w:val="22"/>
        </w:rPr>
        <w:t>s</w:t>
      </w:r>
      <w:r w:rsidRPr="006C4F38">
        <w:rPr>
          <w:sz w:val="22"/>
          <w:szCs w:val="22"/>
        </w:rPr>
        <w:t>trategic analysis</w:t>
      </w:r>
      <w:r w:rsidR="00270ACB" w:rsidRPr="006C4F38">
        <w:rPr>
          <w:sz w:val="22"/>
          <w:szCs w:val="22"/>
        </w:rPr>
        <w:t xml:space="preserve"> produced</w:t>
      </w:r>
      <w:r w:rsidR="00065FEB">
        <w:rPr>
          <w:sz w:val="22"/>
          <w:szCs w:val="22"/>
        </w:rPr>
        <w:t xml:space="preserve"> &amp; used</w:t>
      </w:r>
      <w:r w:rsidR="00270ACB" w:rsidRPr="006C4F38">
        <w:rPr>
          <w:sz w:val="22"/>
          <w:szCs w:val="22"/>
        </w:rPr>
        <w:tab/>
      </w:r>
      <w:r w:rsidR="002615EA" w:rsidRPr="006C4F38">
        <w:rPr>
          <w:sz w:val="22"/>
          <w:szCs w:val="22"/>
        </w:rPr>
        <w:t>7</w:t>
      </w:r>
    </w:p>
    <w:p w14:paraId="4B697336" w14:textId="2775AB1F" w:rsidR="00697828" w:rsidRPr="006C4F38" w:rsidRDefault="00697828" w:rsidP="00664689">
      <w:pPr>
        <w:tabs>
          <w:tab w:val="left" w:pos="8789"/>
        </w:tabs>
        <w:ind w:left="720"/>
        <w:rPr>
          <w:sz w:val="22"/>
          <w:szCs w:val="22"/>
        </w:rPr>
      </w:pPr>
    </w:p>
    <w:p w14:paraId="493B97A7" w14:textId="280B603A" w:rsidR="00697828" w:rsidRPr="006C4F38" w:rsidRDefault="00B82AC4" w:rsidP="00664689">
      <w:pPr>
        <w:tabs>
          <w:tab w:val="left" w:pos="8789"/>
        </w:tabs>
        <w:ind w:left="720"/>
        <w:rPr>
          <w:sz w:val="22"/>
          <w:szCs w:val="22"/>
        </w:rPr>
      </w:pPr>
      <w:r>
        <w:rPr>
          <w:sz w:val="22"/>
          <w:szCs w:val="22"/>
        </w:rPr>
        <w:t xml:space="preserve">Evaluation question 2: </w:t>
      </w:r>
      <w:r w:rsidR="00664689">
        <w:rPr>
          <w:sz w:val="22"/>
          <w:szCs w:val="22"/>
        </w:rPr>
        <w:br/>
      </w:r>
      <w:r w:rsidR="00AC00A6">
        <w:rPr>
          <w:sz w:val="22"/>
          <w:szCs w:val="22"/>
        </w:rPr>
        <w:t xml:space="preserve">How </w:t>
      </w:r>
      <w:r>
        <w:rPr>
          <w:sz w:val="22"/>
          <w:szCs w:val="22"/>
        </w:rPr>
        <w:t>effective</w:t>
      </w:r>
      <w:r w:rsidR="00AC00A6">
        <w:rPr>
          <w:sz w:val="22"/>
          <w:szCs w:val="22"/>
        </w:rPr>
        <w:t xml:space="preserve"> are</w:t>
      </w:r>
      <w:r>
        <w:rPr>
          <w:sz w:val="22"/>
          <w:szCs w:val="22"/>
        </w:rPr>
        <w:t xml:space="preserve"> m</w:t>
      </w:r>
      <w:r w:rsidR="00697828" w:rsidRPr="006C4F38">
        <w:rPr>
          <w:sz w:val="22"/>
          <w:szCs w:val="22"/>
        </w:rPr>
        <w:t>anagement arrangements</w:t>
      </w:r>
      <w:r w:rsidR="00AC00A6">
        <w:rPr>
          <w:sz w:val="22"/>
          <w:szCs w:val="22"/>
        </w:rPr>
        <w:t>?</w:t>
      </w:r>
      <w:r>
        <w:rPr>
          <w:sz w:val="22"/>
          <w:szCs w:val="22"/>
        </w:rPr>
        <w:tab/>
      </w:r>
      <w:r w:rsidR="00065FEB">
        <w:rPr>
          <w:sz w:val="22"/>
          <w:szCs w:val="22"/>
        </w:rPr>
        <w:t>8</w:t>
      </w:r>
    </w:p>
    <w:p w14:paraId="3FA8F6CB" w14:textId="77777777" w:rsidR="00697828" w:rsidRPr="006C4F38" w:rsidRDefault="00697828" w:rsidP="00664689">
      <w:pPr>
        <w:tabs>
          <w:tab w:val="left" w:pos="8789"/>
        </w:tabs>
        <w:ind w:left="720"/>
        <w:rPr>
          <w:sz w:val="22"/>
          <w:szCs w:val="22"/>
        </w:rPr>
      </w:pPr>
    </w:p>
    <w:p w14:paraId="7CB41CED" w14:textId="1B0281AE" w:rsidR="003577F1" w:rsidRPr="006C4F38" w:rsidRDefault="00AC00A6" w:rsidP="00664689">
      <w:pPr>
        <w:tabs>
          <w:tab w:val="left" w:pos="8789"/>
        </w:tabs>
        <w:ind w:left="2160" w:firstLine="720"/>
        <w:rPr>
          <w:sz w:val="22"/>
          <w:szCs w:val="22"/>
        </w:rPr>
      </w:pPr>
      <w:r>
        <w:rPr>
          <w:sz w:val="22"/>
          <w:szCs w:val="22"/>
        </w:rPr>
        <w:t xml:space="preserve">How well are </w:t>
      </w:r>
      <w:r w:rsidR="002615EA" w:rsidRPr="006C4F38">
        <w:rPr>
          <w:sz w:val="22"/>
          <w:szCs w:val="22"/>
        </w:rPr>
        <w:t>c</w:t>
      </w:r>
      <w:r w:rsidR="003577F1" w:rsidRPr="006C4F38">
        <w:rPr>
          <w:sz w:val="22"/>
          <w:szCs w:val="22"/>
        </w:rPr>
        <w:t>ross cutting issues</w:t>
      </w:r>
      <w:r>
        <w:rPr>
          <w:sz w:val="22"/>
          <w:szCs w:val="22"/>
        </w:rPr>
        <w:t xml:space="preserve"> being handled</w:t>
      </w:r>
      <w:r w:rsidR="003A31E1" w:rsidRPr="006C4F38">
        <w:rPr>
          <w:sz w:val="22"/>
          <w:szCs w:val="22"/>
        </w:rPr>
        <w:tab/>
      </w:r>
      <w:r w:rsidR="00B20B3B">
        <w:rPr>
          <w:sz w:val="22"/>
          <w:szCs w:val="22"/>
        </w:rPr>
        <w:t>9</w:t>
      </w:r>
    </w:p>
    <w:p w14:paraId="749D14C5" w14:textId="77777777" w:rsidR="003577F1" w:rsidRPr="006C4F38" w:rsidRDefault="003577F1" w:rsidP="00664689">
      <w:pPr>
        <w:tabs>
          <w:tab w:val="left" w:pos="8789"/>
        </w:tabs>
        <w:ind w:left="720"/>
        <w:rPr>
          <w:sz w:val="22"/>
          <w:szCs w:val="22"/>
        </w:rPr>
      </w:pPr>
    </w:p>
    <w:p w14:paraId="2F5CC92D" w14:textId="66BF40E8" w:rsidR="00697828" w:rsidRPr="006C4F38" w:rsidRDefault="00B82AC4" w:rsidP="00664689">
      <w:pPr>
        <w:tabs>
          <w:tab w:val="left" w:pos="8789"/>
        </w:tabs>
        <w:ind w:left="720"/>
        <w:rPr>
          <w:sz w:val="22"/>
          <w:szCs w:val="22"/>
        </w:rPr>
      </w:pPr>
      <w:r>
        <w:rPr>
          <w:sz w:val="22"/>
          <w:szCs w:val="22"/>
        </w:rPr>
        <w:t>Evaluation question 4:</w:t>
      </w:r>
      <w:r w:rsidR="00664689">
        <w:rPr>
          <w:sz w:val="22"/>
          <w:szCs w:val="22"/>
        </w:rPr>
        <w:br/>
      </w:r>
      <w:r w:rsidR="00AC00A6">
        <w:rPr>
          <w:sz w:val="22"/>
          <w:szCs w:val="22"/>
        </w:rPr>
        <w:t xml:space="preserve">What would </w:t>
      </w:r>
      <w:r w:rsidR="00697828" w:rsidRPr="006C4F38">
        <w:rPr>
          <w:sz w:val="22"/>
          <w:szCs w:val="22"/>
        </w:rPr>
        <w:t>accelerat</w:t>
      </w:r>
      <w:r w:rsidR="00AC00A6">
        <w:rPr>
          <w:sz w:val="22"/>
          <w:szCs w:val="22"/>
        </w:rPr>
        <w:t>e achievement of program goals?</w:t>
      </w:r>
      <w:r w:rsidR="00270ACB" w:rsidRPr="006C4F38">
        <w:rPr>
          <w:sz w:val="22"/>
          <w:szCs w:val="22"/>
        </w:rPr>
        <w:tab/>
      </w:r>
      <w:r w:rsidR="00761430">
        <w:rPr>
          <w:sz w:val="22"/>
          <w:szCs w:val="22"/>
        </w:rPr>
        <w:t>9</w:t>
      </w:r>
    </w:p>
    <w:p w14:paraId="01A7C49D" w14:textId="77777777" w:rsidR="00697828" w:rsidRPr="006C4F38" w:rsidRDefault="00697828" w:rsidP="00664689">
      <w:pPr>
        <w:tabs>
          <w:tab w:val="left" w:pos="8789"/>
        </w:tabs>
        <w:ind w:left="720"/>
        <w:rPr>
          <w:sz w:val="22"/>
          <w:szCs w:val="22"/>
        </w:rPr>
      </w:pPr>
    </w:p>
    <w:p w14:paraId="64D3C853" w14:textId="414E2C2E" w:rsidR="00697828" w:rsidRPr="006C4F38" w:rsidRDefault="00B82AC4" w:rsidP="00664689">
      <w:pPr>
        <w:tabs>
          <w:tab w:val="left" w:pos="8789"/>
        </w:tabs>
        <w:ind w:left="720"/>
        <w:rPr>
          <w:sz w:val="22"/>
          <w:szCs w:val="22"/>
        </w:rPr>
      </w:pPr>
      <w:r>
        <w:rPr>
          <w:sz w:val="22"/>
          <w:szCs w:val="22"/>
        </w:rPr>
        <w:t>Evaluation question 5:</w:t>
      </w:r>
      <w:r w:rsidR="00664689">
        <w:rPr>
          <w:sz w:val="22"/>
          <w:szCs w:val="22"/>
        </w:rPr>
        <w:br/>
      </w:r>
      <w:r w:rsidR="00AC00A6">
        <w:rPr>
          <w:sz w:val="22"/>
          <w:szCs w:val="22"/>
        </w:rPr>
        <w:t>What are the b</w:t>
      </w:r>
      <w:r w:rsidR="00697828" w:rsidRPr="006C4F38">
        <w:rPr>
          <w:sz w:val="22"/>
          <w:szCs w:val="22"/>
        </w:rPr>
        <w:t>roader lessons</w:t>
      </w:r>
      <w:r w:rsidR="00AC00A6">
        <w:rPr>
          <w:sz w:val="22"/>
          <w:szCs w:val="22"/>
        </w:rPr>
        <w:t xml:space="preserve"> for Australia?</w:t>
      </w:r>
      <w:r w:rsidR="006C4F38">
        <w:rPr>
          <w:sz w:val="22"/>
          <w:szCs w:val="22"/>
        </w:rPr>
        <w:tab/>
      </w:r>
      <w:r w:rsidR="00270ACB" w:rsidRPr="006C4F38">
        <w:rPr>
          <w:sz w:val="22"/>
          <w:szCs w:val="22"/>
        </w:rPr>
        <w:t>1</w:t>
      </w:r>
      <w:r>
        <w:rPr>
          <w:sz w:val="22"/>
          <w:szCs w:val="22"/>
        </w:rPr>
        <w:t>0</w:t>
      </w:r>
    </w:p>
    <w:p w14:paraId="75B1BAB2" w14:textId="77777777" w:rsidR="00697828" w:rsidRPr="006C4F38" w:rsidRDefault="00697828" w:rsidP="00664689">
      <w:pPr>
        <w:tabs>
          <w:tab w:val="left" w:pos="8789"/>
        </w:tabs>
        <w:ind w:left="720"/>
        <w:rPr>
          <w:sz w:val="22"/>
          <w:szCs w:val="22"/>
        </w:rPr>
      </w:pPr>
    </w:p>
    <w:p w14:paraId="68328932" w14:textId="19B3D5BF" w:rsidR="00697828" w:rsidRPr="006C4F38" w:rsidRDefault="00697828" w:rsidP="00664689">
      <w:pPr>
        <w:tabs>
          <w:tab w:val="left" w:pos="8789"/>
        </w:tabs>
        <w:ind w:left="720"/>
        <w:rPr>
          <w:sz w:val="22"/>
          <w:szCs w:val="22"/>
        </w:rPr>
      </w:pPr>
      <w:r w:rsidRPr="006C4F38">
        <w:rPr>
          <w:sz w:val="22"/>
          <w:szCs w:val="22"/>
        </w:rPr>
        <w:t xml:space="preserve">Conclusion </w:t>
      </w:r>
      <w:r w:rsidR="00664689">
        <w:rPr>
          <w:sz w:val="22"/>
          <w:szCs w:val="22"/>
        </w:rPr>
        <w:tab/>
      </w:r>
      <w:r w:rsidR="00270ACB" w:rsidRPr="006C4F38">
        <w:rPr>
          <w:sz w:val="22"/>
          <w:szCs w:val="22"/>
        </w:rPr>
        <w:t>1</w:t>
      </w:r>
      <w:r w:rsidR="00212E3C">
        <w:rPr>
          <w:sz w:val="22"/>
          <w:szCs w:val="22"/>
        </w:rPr>
        <w:t>2</w:t>
      </w:r>
    </w:p>
    <w:p w14:paraId="2B30DD8A" w14:textId="77777777" w:rsidR="003A31E1" w:rsidRPr="006C4F38" w:rsidRDefault="003A31E1" w:rsidP="00664689">
      <w:pPr>
        <w:tabs>
          <w:tab w:val="left" w:pos="8789"/>
        </w:tabs>
        <w:rPr>
          <w:sz w:val="22"/>
          <w:szCs w:val="22"/>
        </w:rPr>
      </w:pPr>
    </w:p>
    <w:p w14:paraId="349149FE" w14:textId="33719FF0" w:rsidR="00270ACB" w:rsidRPr="006C4F38" w:rsidRDefault="00270ACB" w:rsidP="00270ACB">
      <w:pPr>
        <w:ind w:left="720"/>
        <w:rPr>
          <w:sz w:val="22"/>
          <w:szCs w:val="22"/>
        </w:rPr>
      </w:pPr>
      <w:r w:rsidRPr="006C4F38">
        <w:rPr>
          <w:sz w:val="22"/>
          <w:szCs w:val="22"/>
        </w:rPr>
        <w:t>Attachments</w:t>
      </w:r>
    </w:p>
    <w:p w14:paraId="0EAA7078" w14:textId="09D73D87" w:rsidR="00270ACB" w:rsidRPr="006C4F38" w:rsidRDefault="003A31E1" w:rsidP="00B20B3B">
      <w:pPr>
        <w:ind w:left="1440" w:right="316" w:hanging="720"/>
        <w:rPr>
          <w:sz w:val="22"/>
          <w:szCs w:val="22"/>
        </w:rPr>
      </w:pPr>
      <w:r w:rsidRPr="006C4F38">
        <w:rPr>
          <w:sz w:val="22"/>
          <w:szCs w:val="22"/>
        </w:rPr>
        <w:t>A</w:t>
      </w:r>
      <w:r w:rsidR="003577F1" w:rsidRPr="006C4F38">
        <w:rPr>
          <w:sz w:val="22"/>
          <w:szCs w:val="22"/>
        </w:rPr>
        <w:t>:</w:t>
      </w:r>
      <w:r w:rsidR="003577F1" w:rsidRPr="006C4F38">
        <w:rPr>
          <w:sz w:val="22"/>
          <w:szCs w:val="22"/>
        </w:rPr>
        <w:tab/>
        <w:t>Evaluation Terms of Reference</w:t>
      </w:r>
      <w:r w:rsidRPr="006C4F38">
        <w:rPr>
          <w:sz w:val="22"/>
          <w:szCs w:val="22"/>
        </w:rPr>
        <w:t>, including detailed program description</w:t>
      </w:r>
      <w:r w:rsidR="00212E3C">
        <w:rPr>
          <w:sz w:val="22"/>
          <w:szCs w:val="22"/>
        </w:rPr>
        <w:t xml:space="preserve"> and key reference materials</w:t>
      </w:r>
    </w:p>
    <w:p w14:paraId="013041CC" w14:textId="3F3F0B30" w:rsidR="00270ACB" w:rsidRPr="006C4F38" w:rsidRDefault="003A31E1" w:rsidP="0025705A">
      <w:pPr>
        <w:ind w:left="720" w:right="284"/>
        <w:rPr>
          <w:sz w:val="22"/>
          <w:szCs w:val="22"/>
        </w:rPr>
      </w:pPr>
      <w:r w:rsidRPr="006C4F38">
        <w:rPr>
          <w:sz w:val="22"/>
          <w:szCs w:val="22"/>
        </w:rPr>
        <w:t>B</w:t>
      </w:r>
      <w:r w:rsidR="003577F1" w:rsidRPr="006C4F38">
        <w:rPr>
          <w:sz w:val="22"/>
          <w:szCs w:val="22"/>
        </w:rPr>
        <w:t>:</w:t>
      </w:r>
      <w:r w:rsidR="003577F1" w:rsidRPr="006C4F38">
        <w:rPr>
          <w:sz w:val="22"/>
          <w:szCs w:val="22"/>
        </w:rPr>
        <w:tab/>
      </w:r>
      <w:r w:rsidR="006C4F38" w:rsidRPr="006C4F38">
        <w:rPr>
          <w:sz w:val="22"/>
          <w:szCs w:val="22"/>
        </w:rPr>
        <w:t>Evaluation Plan</w:t>
      </w:r>
      <w:r w:rsidR="0025705A">
        <w:rPr>
          <w:sz w:val="22"/>
          <w:szCs w:val="22"/>
        </w:rPr>
        <w:t xml:space="preserve"> (includes evaluator information and past associations with TAF)</w:t>
      </w:r>
      <w:r w:rsidR="006C4F38" w:rsidRPr="006C4F38">
        <w:rPr>
          <w:sz w:val="22"/>
          <w:szCs w:val="22"/>
        </w:rPr>
        <w:t xml:space="preserve"> </w:t>
      </w:r>
    </w:p>
    <w:p w14:paraId="5BCAA29B" w14:textId="231BBA3C" w:rsidR="008B31C8" w:rsidRDefault="003A31E1" w:rsidP="008B31C8">
      <w:pPr>
        <w:ind w:left="720"/>
        <w:rPr>
          <w:rFonts w:asciiTheme="majorHAnsi" w:eastAsiaTheme="majorEastAsia" w:hAnsiTheme="majorHAnsi" w:cstheme="majorBidi"/>
          <w:b/>
          <w:bCs/>
          <w:color w:val="2F5496" w:themeColor="accent1" w:themeShade="BF"/>
          <w:sz w:val="48"/>
          <w:szCs w:val="48"/>
        </w:rPr>
      </w:pPr>
      <w:r w:rsidRPr="006C4F38">
        <w:rPr>
          <w:sz w:val="22"/>
          <w:szCs w:val="22"/>
        </w:rPr>
        <w:t>C</w:t>
      </w:r>
      <w:r w:rsidR="003577F1" w:rsidRPr="006C4F38">
        <w:rPr>
          <w:sz w:val="22"/>
          <w:szCs w:val="22"/>
        </w:rPr>
        <w:t>:</w:t>
      </w:r>
      <w:r w:rsidR="003577F1" w:rsidRPr="006C4F38">
        <w:rPr>
          <w:sz w:val="22"/>
          <w:szCs w:val="22"/>
        </w:rPr>
        <w:tab/>
      </w:r>
      <w:r w:rsidR="006C4F38" w:rsidRPr="006C4F38">
        <w:rPr>
          <w:sz w:val="22"/>
          <w:szCs w:val="22"/>
        </w:rPr>
        <w:t xml:space="preserve">List of people </w:t>
      </w:r>
      <w:r w:rsidR="008C2056">
        <w:rPr>
          <w:sz w:val="22"/>
          <w:szCs w:val="22"/>
        </w:rPr>
        <w:t xml:space="preserve">and organisations </w:t>
      </w:r>
      <w:r w:rsidR="006C4F38" w:rsidRPr="006C4F38">
        <w:rPr>
          <w:sz w:val="22"/>
          <w:szCs w:val="22"/>
        </w:rPr>
        <w:t>consulted</w:t>
      </w:r>
    </w:p>
    <w:p w14:paraId="029E8CAC" w14:textId="77777777" w:rsidR="008B31C8" w:rsidRDefault="008B31C8" w:rsidP="008B31C8">
      <w:pPr>
        <w:pStyle w:val="Heading2"/>
        <w:spacing w:before="0"/>
        <w:jc w:val="center"/>
        <w:rPr>
          <w:b/>
          <w:bCs/>
          <w:sz w:val="48"/>
          <w:szCs w:val="48"/>
        </w:rPr>
        <w:sectPr w:rsidR="008B31C8" w:rsidSect="00163DB2">
          <w:footerReference w:type="even" r:id="rId8"/>
          <w:footerReference w:type="default" r:id="rId9"/>
          <w:endnotePr>
            <w:numFmt w:val="decimal"/>
          </w:endnotePr>
          <w:pgSz w:w="11906" w:h="16838"/>
          <w:pgMar w:top="1344" w:right="794" w:bottom="1043" w:left="1440" w:header="709" w:footer="709" w:gutter="0"/>
          <w:pgBorders w:offsetFrom="page">
            <w:top w:val="single" w:sz="12" w:space="24" w:color="auto"/>
            <w:left w:val="single" w:sz="12" w:space="24" w:color="auto"/>
            <w:bottom w:val="single" w:sz="12" w:space="24" w:color="auto"/>
            <w:right w:val="single" w:sz="12" w:space="24" w:color="auto"/>
          </w:pgBorders>
          <w:pgNumType w:fmt="lowerRoman" w:start="1"/>
          <w:cols w:space="708"/>
          <w:docGrid w:linePitch="360"/>
        </w:sectPr>
      </w:pPr>
    </w:p>
    <w:p w14:paraId="5E321544" w14:textId="178741E2" w:rsidR="008B31C8" w:rsidRDefault="00573A54" w:rsidP="008B31C8">
      <w:pPr>
        <w:pStyle w:val="Heading2"/>
        <w:spacing w:before="0"/>
        <w:jc w:val="center"/>
        <w:rPr>
          <w:rFonts w:ascii="Cambria" w:hAnsi="Cambria"/>
          <w:sz w:val="22"/>
          <w:szCs w:val="22"/>
        </w:rPr>
      </w:pPr>
      <w:r w:rsidRPr="00CE3996">
        <w:rPr>
          <w:b/>
          <w:bCs/>
          <w:sz w:val="48"/>
          <w:szCs w:val="48"/>
        </w:rPr>
        <w:lastRenderedPageBreak/>
        <w:t>Executive Summa</w:t>
      </w:r>
      <w:r w:rsidR="008B31C8">
        <w:rPr>
          <w:b/>
          <w:bCs/>
          <w:sz w:val="48"/>
          <w:szCs w:val="48"/>
        </w:rPr>
        <w:t>ry</w:t>
      </w:r>
    </w:p>
    <w:p w14:paraId="600C091B" w14:textId="77777777" w:rsidR="008B31C8" w:rsidRDefault="008B31C8" w:rsidP="00573A54">
      <w:pPr>
        <w:ind w:right="-188"/>
        <w:jc w:val="both"/>
        <w:rPr>
          <w:rFonts w:ascii="Cambria" w:hAnsi="Cambria"/>
          <w:sz w:val="22"/>
          <w:szCs w:val="22"/>
        </w:rPr>
      </w:pPr>
    </w:p>
    <w:p w14:paraId="5D1FC2C1" w14:textId="1229A6E1" w:rsidR="00573A54" w:rsidRPr="00F222B9" w:rsidRDefault="000E4824" w:rsidP="00F222B9">
      <w:pPr>
        <w:pStyle w:val="Heading3"/>
        <w:rPr>
          <w:b/>
          <w:bCs/>
          <w:sz w:val="28"/>
          <w:szCs w:val="28"/>
        </w:rPr>
      </w:pPr>
      <w:r>
        <w:rPr>
          <w:b/>
          <w:bCs/>
          <w:sz w:val="28"/>
          <w:szCs w:val="28"/>
        </w:rPr>
        <w:t>Main</w:t>
      </w:r>
      <w:r w:rsidR="00573A54" w:rsidRPr="00F222B9">
        <w:rPr>
          <w:b/>
          <w:bCs/>
          <w:sz w:val="28"/>
          <w:szCs w:val="28"/>
        </w:rPr>
        <w:t xml:space="preserve"> findings </w:t>
      </w:r>
    </w:p>
    <w:p w14:paraId="267F4B58" w14:textId="4749A22C" w:rsidR="00573A54" w:rsidRDefault="00573A54" w:rsidP="00573A54">
      <w:pPr>
        <w:pStyle w:val="ListParagraph"/>
        <w:numPr>
          <w:ilvl w:val="0"/>
          <w:numId w:val="2"/>
        </w:numPr>
        <w:spacing w:before="240"/>
        <w:ind w:right="142"/>
        <w:contextualSpacing w:val="0"/>
        <w:jc w:val="both"/>
        <w:rPr>
          <w:rFonts w:ascii="Cambria" w:hAnsi="Cambria"/>
          <w:sz w:val="22"/>
          <w:szCs w:val="22"/>
        </w:rPr>
      </w:pPr>
      <w:r w:rsidRPr="00AF2BB2">
        <w:rPr>
          <w:rFonts w:ascii="Cambria" w:hAnsi="Cambria"/>
          <w:b/>
          <w:bCs/>
          <w:sz w:val="22"/>
          <w:szCs w:val="22"/>
        </w:rPr>
        <w:t xml:space="preserve">The </w:t>
      </w:r>
      <w:r w:rsidR="00B20B3B">
        <w:rPr>
          <w:rFonts w:ascii="Cambria" w:hAnsi="Cambria"/>
          <w:b/>
          <w:bCs/>
          <w:sz w:val="22"/>
          <w:szCs w:val="22"/>
        </w:rPr>
        <w:t xml:space="preserve">MTRP </w:t>
      </w:r>
      <w:r w:rsidRPr="00AF2BB2">
        <w:rPr>
          <w:rFonts w:ascii="Cambria" w:hAnsi="Cambria"/>
          <w:b/>
          <w:bCs/>
          <w:sz w:val="22"/>
          <w:szCs w:val="22"/>
        </w:rPr>
        <w:t>Program has already proved its worth as a unique</w:t>
      </w:r>
      <w:r>
        <w:rPr>
          <w:rFonts w:ascii="Cambria" w:hAnsi="Cambria"/>
          <w:sz w:val="22"/>
          <w:szCs w:val="22"/>
        </w:rPr>
        <w:t xml:space="preserve"> </w:t>
      </w:r>
      <w:r w:rsidRPr="00AF2BB2">
        <w:rPr>
          <w:rFonts w:ascii="Cambria" w:hAnsi="Cambria"/>
          <w:b/>
          <w:bCs/>
          <w:sz w:val="22"/>
          <w:szCs w:val="22"/>
        </w:rPr>
        <w:t xml:space="preserve">platform </w:t>
      </w:r>
      <w:r>
        <w:rPr>
          <w:rFonts w:ascii="Cambria" w:hAnsi="Cambria"/>
          <w:sz w:val="22"/>
          <w:szCs w:val="22"/>
        </w:rPr>
        <w:t xml:space="preserve">for cooperation on priority development issues for Australia’s Malaysia and Thailand missions </w:t>
      </w:r>
    </w:p>
    <w:p w14:paraId="7C7A31A7" w14:textId="5E03AFBC" w:rsidR="00573A54" w:rsidRPr="00AF2BB2" w:rsidRDefault="00573A54" w:rsidP="00573A54">
      <w:pPr>
        <w:pStyle w:val="ListParagraph"/>
        <w:numPr>
          <w:ilvl w:val="1"/>
          <w:numId w:val="2"/>
        </w:numPr>
        <w:spacing w:before="240"/>
        <w:ind w:left="709" w:right="142" w:hanging="283"/>
        <w:contextualSpacing w:val="0"/>
        <w:jc w:val="both"/>
        <w:rPr>
          <w:rFonts w:ascii="Cambria" w:hAnsi="Cambria"/>
          <w:b/>
          <w:bCs/>
          <w:sz w:val="22"/>
          <w:szCs w:val="22"/>
        </w:rPr>
      </w:pPr>
      <w:r>
        <w:rPr>
          <w:rFonts w:ascii="Cambria" w:hAnsi="Cambria"/>
          <w:sz w:val="22"/>
          <w:szCs w:val="22"/>
        </w:rPr>
        <w:t xml:space="preserve">As a result, </w:t>
      </w:r>
      <w:r w:rsidRPr="00AF2BB2">
        <w:rPr>
          <w:rFonts w:ascii="Cambria" w:hAnsi="Cambria"/>
          <w:b/>
          <w:bCs/>
          <w:sz w:val="22"/>
          <w:szCs w:val="22"/>
        </w:rPr>
        <w:t xml:space="preserve">MTRP enjoys very strong support </w:t>
      </w:r>
      <w:r w:rsidRPr="00F222B9">
        <w:rPr>
          <w:rFonts w:ascii="Cambria" w:hAnsi="Cambria"/>
          <w:sz w:val="22"/>
          <w:szCs w:val="22"/>
        </w:rPr>
        <w:t>across all locations and levels in DFAT</w:t>
      </w:r>
      <w:r w:rsidR="009B3A84">
        <w:rPr>
          <w:rFonts w:ascii="Cambria" w:hAnsi="Cambria"/>
          <w:sz w:val="22"/>
          <w:szCs w:val="22"/>
        </w:rPr>
        <w:t>.</w:t>
      </w:r>
    </w:p>
    <w:p w14:paraId="76CFC6D4" w14:textId="3C0E8662" w:rsidR="00573A54" w:rsidRPr="00A660F1" w:rsidRDefault="00573A54" w:rsidP="00573A54">
      <w:pPr>
        <w:pStyle w:val="ListParagraph"/>
        <w:numPr>
          <w:ilvl w:val="0"/>
          <w:numId w:val="2"/>
        </w:numPr>
        <w:spacing w:before="240"/>
        <w:ind w:right="142"/>
        <w:contextualSpacing w:val="0"/>
        <w:jc w:val="both"/>
        <w:rPr>
          <w:rFonts w:ascii="Cambria" w:hAnsi="Cambria"/>
          <w:sz w:val="22"/>
          <w:szCs w:val="22"/>
        </w:rPr>
      </w:pPr>
      <w:r>
        <w:rPr>
          <w:rFonts w:ascii="Cambria" w:hAnsi="Cambria"/>
          <w:sz w:val="22"/>
          <w:szCs w:val="22"/>
        </w:rPr>
        <w:t xml:space="preserve">There are </w:t>
      </w:r>
      <w:r w:rsidRPr="00AF2BB2">
        <w:rPr>
          <w:rFonts w:ascii="Cambria" w:hAnsi="Cambria"/>
          <w:b/>
          <w:bCs/>
          <w:sz w:val="22"/>
          <w:szCs w:val="22"/>
        </w:rPr>
        <w:t xml:space="preserve">tangible, credible and impressive reform results </w:t>
      </w:r>
      <w:r w:rsidRPr="00F222B9">
        <w:rPr>
          <w:rFonts w:ascii="Cambria" w:hAnsi="Cambria"/>
          <w:sz w:val="22"/>
          <w:szCs w:val="22"/>
        </w:rPr>
        <w:t>already being generated</w:t>
      </w:r>
      <w:r w:rsidRPr="00573A54">
        <w:rPr>
          <w:rFonts w:ascii="Cambria" w:hAnsi="Cambria"/>
          <w:b/>
          <w:bCs/>
          <w:sz w:val="22"/>
          <w:szCs w:val="22"/>
        </w:rPr>
        <w:t xml:space="preserve"> </w:t>
      </w:r>
      <w:r w:rsidRPr="00573A54">
        <w:rPr>
          <w:rFonts w:ascii="Cambria" w:hAnsi="Cambria"/>
          <w:sz w:val="22"/>
          <w:szCs w:val="22"/>
        </w:rPr>
        <w:t>in Thailand</w:t>
      </w:r>
      <w:r w:rsidR="009B3A84">
        <w:rPr>
          <w:rFonts w:ascii="Cambria" w:hAnsi="Cambria"/>
          <w:sz w:val="22"/>
          <w:szCs w:val="22"/>
        </w:rPr>
        <w:t>,</w:t>
      </w:r>
      <w:r w:rsidRPr="00573A54">
        <w:rPr>
          <w:rFonts w:ascii="Cambria" w:hAnsi="Cambria"/>
          <w:sz w:val="22"/>
          <w:szCs w:val="22"/>
        </w:rPr>
        <w:t xml:space="preserve"> </w:t>
      </w:r>
      <w:r w:rsidRPr="00A660F1">
        <w:rPr>
          <w:rFonts w:ascii="Cambria" w:hAnsi="Cambria"/>
          <w:sz w:val="22"/>
          <w:szCs w:val="22"/>
        </w:rPr>
        <w:t xml:space="preserve">both in education </w:t>
      </w:r>
      <w:r w:rsidR="009B3A84">
        <w:rPr>
          <w:rFonts w:ascii="Cambria" w:hAnsi="Cambria"/>
          <w:sz w:val="22"/>
          <w:szCs w:val="22"/>
        </w:rPr>
        <w:t xml:space="preserve">policy </w:t>
      </w:r>
      <w:r w:rsidRPr="00A660F1">
        <w:rPr>
          <w:rFonts w:ascii="Cambria" w:hAnsi="Cambria"/>
          <w:sz w:val="22"/>
          <w:szCs w:val="22"/>
        </w:rPr>
        <w:t xml:space="preserve">and support for </w:t>
      </w:r>
      <w:r w:rsidR="009B3A84">
        <w:rPr>
          <w:rFonts w:ascii="Cambria" w:hAnsi="Cambria"/>
          <w:sz w:val="22"/>
          <w:szCs w:val="22"/>
        </w:rPr>
        <w:t>the Office of Trade C</w:t>
      </w:r>
      <w:r w:rsidRPr="00A660F1">
        <w:rPr>
          <w:rFonts w:ascii="Cambria" w:hAnsi="Cambria"/>
          <w:sz w:val="22"/>
          <w:szCs w:val="22"/>
        </w:rPr>
        <w:t xml:space="preserve">ompetition </w:t>
      </w:r>
      <w:r w:rsidR="009B3A84">
        <w:rPr>
          <w:rFonts w:ascii="Cambria" w:hAnsi="Cambria"/>
          <w:sz w:val="22"/>
          <w:szCs w:val="22"/>
        </w:rPr>
        <w:t>Commission</w:t>
      </w:r>
    </w:p>
    <w:p w14:paraId="1C0BBA44" w14:textId="1BF7AA1A" w:rsidR="00573A54" w:rsidRPr="00AF2BB2" w:rsidRDefault="00D70AC6" w:rsidP="00573A54">
      <w:pPr>
        <w:pStyle w:val="ListParagraph"/>
        <w:numPr>
          <w:ilvl w:val="1"/>
          <w:numId w:val="2"/>
        </w:numPr>
        <w:spacing w:before="240"/>
        <w:ind w:left="709" w:right="142" w:hanging="283"/>
        <w:contextualSpacing w:val="0"/>
        <w:jc w:val="both"/>
        <w:rPr>
          <w:rFonts w:ascii="Cambria" w:hAnsi="Cambria"/>
          <w:b/>
          <w:bCs/>
          <w:sz w:val="22"/>
          <w:szCs w:val="22"/>
        </w:rPr>
      </w:pPr>
      <w:r>
        <w:rPr>
          <w:rFonts w:ascii="Cambria" w:hAnsi="Cambria"/>
          <w:b/>
          <w:bCs/>
          <w:sz w:val="22"/>
          <w:szCs w:val="22"/>
        </w:rPr>
        <w:t xml:space="preserve">TAF and DFAT expect </w:t>
      </w:r>
      <w:r w:rsidR="00573A54" w:rsidRPr="00573A54">
        <w:rPr>
          <w:rFonts w:ascii="Cambria" w:hAnsi="Cambria"/>
          <w:sz w:val="22"/>
          <w:szCs w:val="22"/>
        </w:rPr>
        <w:t>that there will also be</w:t>
      </w:r>
      <w:r w:rsidR="00573A54" w:rsidRPr="00AF2BB2">
        <w:rPr>
          <w:rFonts w:ascii="Cambria" w:hAnsi="Cambria"/>
          <w:b/>
          <w:bCs/>
          <w:sz w:val="22"/>
          <w:szCs w:val="22"/>
        </w:rPr>
        <w:t xml:space="preserve"> </w:t>
      </w:r>
      <w:r w:rsidR="009B3A84">
        <w:rPr>
          <w:rFonts w:ascii="Cambria" w:hAnsi="Cambria"/>
          <w:b/>
          <w:bCs/>
          <w:sz w:val="22"/>
          <w:szCs w:val="22"/>
        </w:rPr>
        <w:t>good</w:t>
      </w:r>
      <w:r w:rsidR="00573A54" w:rsidRPr="00AF2BB2">
        <w:rPr>
          <w:rFonts w:ascii="Cambria" w:hAnsi="Cambria"/>
          <w:b/>
          <w:bCs/>
          <w:sz w:val="22"/>
          <w:szCs w:val="22"/>
        </w:rPr>
        <w:t xml:space="preserve"> reform results in Malaysia, </w:t>
      </w:r>
      <w:r w:rsidR="00573A54" w:rsidRPr="00573A54">
        <w:rPr>
          <w:rFonts w:ascii="Cambria" w:hAnsi="Cambria"/>
          <w:sz w:val="22"/>
          <w:szCs w:val="22"/>
        </w:rPr>
        <w:t>but the</w:t>
      </w:r>
      <w:r w:rsidR="00573A54" w:rsidRPr="00AF2BB2">
        <w:rPr>
          <w:rFonts w:ascii="Cambria" w:hAnsi="Cambria"/>
          <w:b/>
          <w:bCs/>
          <w:sz w:val="22"/>
          <w:szCs w:val="22"/>
        </w:rPr>
        <w:t xml:space="preserve"> evidence-base </w:t>
      </w:r>
      <w:r w:rsidR="00573A54" w:rsidRPr="00573A54">
        <w:rPr>
          <w:rFonts w:ascii="Cambria" w:hAnsi="Cambria"/>
          <w:sz w:val="22"/>
          <w:szCs w:val="22"/>
        </w:rPr>
        <w:t xml:space="preserve">to </w:t>
      </w:r>
      <w:r w:rsidR="00212E3C">
        <w:rPr>
          <w:rFonts w:ascii="Cambria" w:hAnsi="Cambria"/>
          <w:sz w:val="22"/>
          <w:szCs w:val="22"/>
        </w:rPr>
        <w:t xml:space="preserve">confirm </w:t>
      </w:r>
      <w:r w:rsidR="00573A54" w:rsidRPr="00573A54">
        <w:rPr>
          <w:rFonts w:ascii="Cambria" w:hAnsi="Cambria"/>
          <w:sz w:val="22"/>
          <w:szCs w:val="22"/>
        </w:rPr>
        <w:t>this judgement is</w:t>
      </w:r>
      <w:r w:rsidR="00573A54" w:rsidRPr="00AF2BB2">
        <w:rPr>
          <w:rFonts w:ascii="Cambria" w:hAnsi="Cambria"/>
          <w:b/>
          <w:bCs/>
          <w:sz w:val="22"/>
          <w:szCs w:val="22"/>
        </w:rPr>
        <w:t xml:space="preserve"> not yet strong</w:t>
      </w:r>
      <w:r w:rsidR="009B3A84">
        <w:rPr>
          <w:rFonts w:ascii="Cambria" w:hAnsi="Cambria"/>
          <w:b/>
          <w:bCs/>
          <w:sz w:val="22"/>
          <w:szCs w:val="22"/>
        </w:rPr>
        <w:t>.</w:t>
      </w:r>
    </w:p>
    <w:p w14:paraId="3513D18F" w14:textId="48347CA8" w:rsidR="00573A54" w:rsidRPr="00573A54" w:rsidRDefault="00573A54" w:rsidP="00573A54">
      <w:pPr>
        <w:pStyle w:val="ListParagraph"/>
        <w:numPr>
          <w:ilvl w:val="0"/>
          <w:numId w:val="2"/>
        </w:numPr>
        <w:spacing w:before="240"/>
        <w:ind w:right="142"/>
        <w:contextualSpacing w:val="0"/>
        <w:jc w:val="both"/>
        <w:rPr>
          <w:rFonts w:ascii="Cambria" w:hAnsi="Cambria"/>
          <w:sz w:val="22"/>
          <w:szCs w:val="22"/>
        </w:rPr>
      </w:pPr>
      <w:r w:rsidRPr="00C60E50">
        <w:rPr>
          <w:rFonts w:ascii="Cambria" w:hAnsi="Cambria"/>
          <w:sz w:val="22"/>
          <w:szCs w:val="22"/>
        </w:rPr>
        <w:t xml:space="preserve">Consideration of different experiences and rates of progress in Thailand and Malaysia can help </w:t>
      </w:r>
      <w:r w:rsidRPr="00AF2BB2">
        <w:rPr>
          <w:rFonts w:ascii="Cambria" w:hAnsi="Cambria"/>
          <w:b/>
          <w:bCs/>
          <w:sz w:val="22"/>
          <w:szCs w:val="22"/>
        </w:rPr>
        <w:t>identify success factors that</w:t>
      </w:r>
      <w:r w:rsidR="002E1A2A">
        <w:rPr>
          <w:rFonts w:ascii="Cambria" w:hAnsi="Cambria"/>
          <w:b/>
          <w:bCs/>
          <w:sz w:val="22"/>
          <w:szCs w:val="22"/>
        </w:rPr>
        <w:t xml:space="preserve"> DFAT</w:t>
      </w:r>
      <w:r w:rsidRPr="00AF2BB2">
        <w:rPr>
          <w:rFonts w:ascii="Cambria" w:hAnsi="Cambria"/>
          <w:b/>
          <w:bCs/>
          <w:sz w:val="22"/>
          <w:szCs w:val="22"/>
        </w:rPr>
        <w:t xml:space="preserve"> should </w:t>
      </w:r>
      <w:r w:rsidR="002E1A2A">
        <w:rPr>
          <w:rFonts w:ascii="Cambria" w:hAnsi="Cambria"/>
          <w:b/>
          <w:bCs/>
          <w:sz w:val="22"/>
          <w:szCs w:val="22"/>
        </w:rPr>
        <w:t xml:space="preserve">build </w:t>
      </w:r>
      <w:r w:rsidRPr="00AF2BB2">
        <w:rPr>
          <w:rFonts w:ascii="Cambria" w:hAnsi="Cambria"/>
          <w:b/>
          <w:bCs/>
          <w:sz w:val="22"/>
          <w:szCs w:val="22"/>
        </w:rPr>
        <w:t xml:space="preserve">into </w:t>
      </w:r>
      <w:r w:rsidR="00D70AC6">
        <w:rPr>
          <w:rFonts w:ascii="Cambria" w:hAnsi="Cambria"/>
          <w:b/>
          <w:bCs/>
          <w:sz w:val="22"/>
          <w:szCs w:val="22"/>
        </w:rPr>
        <w:t xml:space="preserve">the design of </w:t>
      </w:r>
      <w:r w:rsidRPr="00AF2BB2">
        <w:rPr>
          <w:rFonts w:ascii="Cambria" w:hAnsi="Cambria"/>
          <w:b/>
          <w:bCs/>
          <w:sz w:val="22"/>
          <w:szCs w:val="22"/>
        </w:rPr>
        <w:t xml:space="preserve">future </w:t>
      </w:r>
      <w:r w:rsidR="00D70AC6">
        <w:rPr>
          <w:rFonts w:ascii="Cambria" w:hAnsi="Cambria"/>
          <w:b/>
          <w:bCs/>
          <w:sz w:val="22"/>
          <w:szCs w:val="22"/>
        </w:rPr>
        <w:t xml:space="preserve">programs </w:t>
      </w:r>
    </w:p>
    <w:p w14:paraId="08F570F0" w14:textId="225A4C36" w:rsidR="00573A54" w:rsidRPr="00573A54" w:rsidRDefault="00573A54" w:rsidP="00573A54">
      <w:pPr>
        <w:pStyle w:val="ListParagraph"/>
        <w:numPr>
          <w:ilvl w:val="1"/>
          <w:numId w:val="2"/>
        </w:numPr>
        <w:spacing w:before="240"/>
        <w:ind w:left="709" w:right="142" w:hanging="283"/>
        <w:contextualSpacing w:val="0"/>
        <w:jc w:val="both"/>
        <w:rPr>
          <w:rFonts w:ascii="Cambria" w:hAnsi="Cambria"/>
          <w:sz w:val="22"/>
          <w:szCs w:val="22"/>
        </w:rPr>
      </w:pPr>
      <w:r w:rsidRPr="00573A54">
        <w:rPr>
          <w:rFonts w:ascii="Cambria" w:hAnsi="Cambria"/>
          <w:sz w:val="22"/>
          <w:szCs w:val="22"/>
        </w:rPr>
        <w:t xml:space="preserve">These include </w:t>
      </w:r>
      <w:r w:rsidR="004F3B68">
        <w:rPr>
          <w:rFonts w:ascii="Cambria" w:hAnsi="Cambria"/>
          <w:sz w:val="22"/>
          <w:szCs w:val="22"/>
        </w:rPr>
        <w:t xml:space="preserve">the </w:t>
      </w:r>
      <w:r w:rsidR="00FA7ED6">
        <w:rPr>
          <w:rFonts w:ascii="Cambria" w:hAnsi="Cambria"/>
          <w:sz w:val="22"/>
          <w:szCs w:val="22"/>
        </w:rPr>
        <w:t xml:space="preserve">ability to incorporate </w:t>
      </w:r>
      <w:r w:rsidRPr="00573A54">
        <w:rPr>
          <w:rFonts w:ascii="Cambria" w:hAnsi="Cambria"/>
          <w:sz w:val="22"/>
          <w:szCs w:val="22"/>
        </w:rPr>
        <w:t>each other’s policies, procedures and priorities</w:t>
      </w:r>
      <w:r w:rsidR="00840607">
        <w:rPr>
          <w:rFonts w:ascii="Cambria" w:hAnsi="Cambria"/>
          <w:sz w:val="22"/>
          <w:szCs w:val="22"/>
        </w:rPr>
        <w:t>;</w:t>
      </w:r>
      <w:r w:rsidRPr="00573A54">
        <w:rPr>
          <w:rFonts w:ascii="Cambria" w:hAnsi="Cambria"/>
          <w:sz w:val="22"/>
          <w:szCs w:val="22"/>
        </w:rPr>
        <w:t xml:space="preserve"> </w:t>
      </w:r>
      <w:r w:rsidR="009B3A84">
        <w:rPr>
          <w:rFonts w:ascii="Cambria" w:hAnsi="Cambria"/>
          <w:sz w:val="22"/>
          <w:szCs w:val="22"/>
        </w:rPr>
        <w:t xml:space="preserve">an extended inception phase to build knowledge, trust and confidence; demonstrated organisational </w:t>
      </w:r>
      <w:r w:rsidRPr="00573A54">
        <w:rPr>
          <w:rFonts w:ascii="Cambria" w:hAnsi="Cambria"/>
          <w:sz w:val="22"/>
          <w:szCs w:val="22"/>
        </w:rPr>
        <w:t>capability to</w:t>
      </w:r>
      <w:r>
        <w:rPr>
          <w:rFonts w:ascii="Cambria" w:hAnsi="Cambria"/>
          <w:sz w:val="22"/>
          <w:szCs w:val="22"/>
        </w:rPr>
        <w:t xml:space="preserve"> generate results</w:t>
      </w:r>
      <w:r w:rsidR="00840607">
        <w:rPr>
          <w:rFonts w:ascii="Cambria" w:hAnsi="Cambria"/>
          <w:sz w:val="22"/>
          <w:szCs w:val="22"/>
        </w:rPr>
        <w:t>;</w:t>
      </w:r>
      <w:r>
        <w:rPr>
          <w:rFonts w:ascii="Cambria" w:hAnsi="Cambria"/>
          <w:sz w:val="22"/>
          <w:szCs w:val="22"/>
        </w:rPr>
        <w:t xml:space="preserve"> and</w:t>
      </w:r>
      <w:r w:rsidRPr="00573A54">
        <w:rPr>
          <w:rFonts w:ascii="Cambria" w:hAnsi="Cambria"/>
          <w:sz w:val="22"/>
          <w:szCs w:val="22"/>
        </w:rPr>
        <w:t xml:space="preserve"> continuous communication</w:t>
      </w:r>
      <w:r w:rsidR="009B3A84">
        <w:rPr>
          <w:rFonts w:ascii="Cambria" w:hAnsi="Cambria"/>
          <w:sz w:val="22"/>
          <w:szCs w:val="22"/>
        </w:rPr>
        <w:t>.</w:t>
      </w:r>
    </w:p>
    <w:p w14:paraId="4AFA5D6F" w14:textId="73B8E013" w:rsidR="00573A54" w:rsidRDefault="00573A54" w:rsidP="00573A54">
      <w:pPr>
        <w:pStyle w:val="ListParagraph"/>
        <w:numPr>
          <w:ilvl w:val="0"/>
          <w:numId w:val="2"/>
        </w:numPr>
        <w:spacing w:before="240"/>
        <w:ind w:right="142"/>
        <w:contextualSpacing w:val="0"/>
        <w:jc w:val="both"/>
        <w:rPr>
          <w:rFonts w:ascii="Cambria" w:hAnsi="Cambria"/>
          <w:sz w:val="22"/>
          <w:szCs w:val="22"/>
        </w:rPr>
      </w:pPr>
      <w:r>
        <w:rPr>
          <w:rFonts w:ascii="Cambria" w:hAnsi="Cambria"/>
          <w:sz w:val="22"/>
          <w:szCs w:val="22"/>
        </w:rPr>
        <w:t xml:space="preserve">The </w:t>
      </w:r>
      <w:r w:rsidRPr="00A660F1">
        <w:rPr>
          <w:rFonts w:ascii="Cambria" w:hAnsi="Cambria"/>
          <w:b/>
          <w:bCs/>
          <w:sz w:val="22"/>
          <w:szCs w:val="22"/>
        </w:rPr>
        <w:t xml:space="preserve">3-year time frame for the project was always </w:t>
      </w:r>
      <w:r w:rsidR="00833BD6">
        <w:rPr>
          <w:rFonts w:ascii="Cambria" w:hAnsi="Cambria"/>
          <w:b/>
          <w:bCs/>
          <w:sz w:val="22"/>
          <w:szCs w:val="22"/>
        </w:rPr>
        <w:t>too short</w:t>
      </w:r>
      <w:r w:rsidRPr="00A660F1">
        <w:rPr>
          <w:rFonts w:ascii="Cambria" w:hAnsi="Cambria"/>
          <w:b/>
          <w:bCs/>
          <w:sz w:val="22"/>
          <w:szCs w:val="22"/>
        </w:rPr>
        <w:t xml:space="preserve">, </w:t>
      </w:r>
      <w:r>
        <w:rPr>
          <w:rFonts w:ascii="Cambria" w:hAnsi="Cambria"/>
          <w:sz w:val="22"/>
          <w:szCs w:val="22"/>
        </w:rPr>
        <w:t>given the need to develop relationships, build partnerships, develop diagnostic products and assemble reform coalitions</w:t>
      </w:r>
    </w:p>
    <w:p w14:paraId="01DF58A6" w14:textId="77777777" w:rsidR="00573A54" w:rsidRPr="0062002F" w:rsidRDefault="00573A54" w:rsidP="00573A54">
      <w:pPr>
        <w:pStyle w:val="ListParagraph"/>
        <w:numPr>
          <w:ilvl w:val="0"/>
          <w:numId w:val="19"/>
        </w:numPr>
        <w:spacing w:before="240"/>
        <w:ind w:left="709" w:right="142" w:hanging="283"/>
        <w:contextualSpacing w:val="0"/>
        <w:jc w:val="both"/>
        <w:rPr>
          <w:rFonts w:ascii="Cambria" w:hAnsi="Cambria"/>
          <w:sz w:val="22"/>
          <w:szCs w:val="22"/>
        </w:rPr>
      </w:pPr>
      <w:r>
        <w:rPr>
          <w:rFonts w:ascii="Cambria" w:hAnsi="Cambria"/>
          <w:sz w:val="22"/>
          <w:szCs w:val="22"/>
        </w:rPr>
        <w:t>And the</w:t>
      </w:r>
      <w:r w:rsidRPr="0062002F">
        <w:rPr>
          <w:rFonts w:ascii="Cambria" w:hAnsi="Cambria"/>
          <w:sz w:val="22"/>
          <w:szCs w:val="22"/>
        </w:rPr>
        <w:t xml:space="preserve"> </w:t>
      </w:r>
      <w:r w:rsidRPr="00A660F1">
        <w:rPr>
          <w:rFonts w:ascii="Cambria" w:hAnsi="Cambria"/>
          <w:b/>
          <w:bCs/>
          <w:sz w:val="22"/>
          <w:szCs w:val="22"/>
        </w:rPr>
        <w:t xml:space="preserve">question of how to successfully exit from reform programs </w:t>
      </w:r>
      <w:r w:rsidRPr="00A660F1">
        <w:rPr>
          <w:rFonts w:ascii="Cambria" w:hAnsi="Cambria"/>
          <w:sz w:val="22"/>
          <w:szCs w:val="22"/>
        </w:rPr>
        <w:t xml:space="preserve">likely to run for many years </w:t>
      </w:r>
      <w:r w:rsidRPr="00212E3C">
        <w:rPr>
          <w:rFonts w:ascii="Cambria" w:hAnsi="Cambria"/>
          <w:sz w:val="22"/>
          <w:szCs w:val="22"/>
        </w:rPr>
        <w:t>needs more explicit attention.</w:t>
      </w:r>
      <w:r w:rsidRPr="00A660F1">
        <w:rPr>
          <w:rFonts w:ascii="Cambria" w:hAnsi="Cambria"/>
          <w:b/>
          <w:bCs/>
          <w:sz w:val="22"/>
          <w:szCs w:val="22"/>
        </w:rPr>
        <w:t xml:space="preserve">  </w:t>
      </w:r>
      <w:r w:rsidRPr="0062002F">
        <w:rPr>
          <w:rFonts w:ascii="Cambria" w:hAnsi="Cambria"/>
          <w:sz w:val="22"/>
          <w:szCs w:val="22"/>
        </w:rPr>
        <w:t xml:space="preserve"> </w:t>
      </w:r>
    </w:p>
    <w:p w14:paraId="70588C4D" w14:textId="61D41A38" w:rsidR="00573A54" w:rsidRDefault="00573A54" w:rsidP="00573A54">
      <w:pPr>
        <w:pStyle w:val="ListParagraph"/>
        <w:numPr>
          <w:ilvl w:val="0"/>
          <w:numId w:val="2"/>
        </w:numPr>
        <w:spacing w:before="240"/>
        <w:ind w:right="142"/>
        <w:contextualSpacing w:val="0"/>
        <w:jc w:val="both"/>
        <w:rPr>
          <w:rFonts w:ascii="Cambria" w:hAnsi="Cambria"/>
          <w:sz w:val="22"/>
          <w:szCs w:val="22"/>
        </w:rPr>
      </w:pPr>
      <w:r>
        <w:rPr>
          <w:rFonts w:ascii="Cambria" w:hAnsi="Cambria"/>
          <w:sz w:val="22"/>
          <w:szCs w:val="22"/>
        </w:rPr>
        <w:t xml:space="preserve">There are examples of the program providing a </w:t>
      </w:r>
      <w:r w:rsidRPr="00A660F1">
        <w:rPr>
          <w:rFonts w:ascii="Cambria" w:hAnsi="Cambria"/>
          <w:b/>
          <w:bCs/>
          <w:sz w:val="22"/>
          <w:szCs w:val="22"/>
        </w:rPr>
        <w:t>platform for Australia to engage directly on reform issues at key points</w:t>
      </w:r>
      <w:r>
        <w:rPr>
          <w:rFonts w:ascii="Cambria" w:hAnsi="Cambria"/>
          <w:sz w:val="22"/>
          <w:szCs w:val="22"/>
        </w:rPr>
        <w:t xml:space="preserve">, including at HOM level  </w:t>
      </w:r>
    </w:p>
    <w:p w14:paraId="100B686E" w14:textId="48BBA9E7" w:rsidR="00573A54" w:rsidRDefault="00573A54" w:rsidP="00573A54">
      <w:pPr>
        <w:pStyle w:val="ListParagraph"/>
        <w:numPr>
          <w:ilvl w:val="0"/>
          <w:numId w:val="16"/>
        </w:numPr>
        <w:spacing w:before="240"/>
        <w:ind w:left="709" w:right="142" w:hanging="283"/>
        <w:contextualSpacing w:val="0"/>
        <w:jc w:val="both"/>
        <w:rPr>
          <w:rFonts w:ascii="Cambria" w:hAnsi="Cambria"/>
          <w:sz w:val="22"/>
          <w:szCs w:val="22"/>
        </w:rPr>
      </w:pPr>
      <w:r>
        <w:rPr>
          <w:rFonts w:ascii="Cambria" w:hAnsi="Cambria"/>
          <w:sz w:val="22"/>
          <w:szCs w:val="22"/>
        </w:rPr>
        <w:t>However,</w:t>
      </w:r>
      <w:r w:rsidR="004A4ACA">
        <w:rPr>
          <w:rFonts w:ascii="Cambria" w:hAnsi="Cambria"/>
          <w:sz w:val="22"/>
          <w:szCs w:val="22"/>
        </w:rPr>
        <w:t xml:space="preserve"> to accommodate different Post perspectives, </w:t>
      </w:r>
      <w:r>
        <w:rPr>
          <w:rFonts w:ascii="Cambria" w:hAnsi="Cambria"/>
          <w:sz w:val="22"/>
          <w:szCs w:val="22"/>
        </w:rPr>
        <w:t xml:space="preserve">this was </w:t>
      </w:r>
      <w:r w:rsidRPr="00A660F1">
        <w:rPr>
          <w:rFonts w:ascii="Cambria" w:hAnsi="Cambria"/>
          <w:b/>
          <w:bCs/>
          <w:sz w:val="22"/>
          <w:szCs w:val="22"/>
        </w:rPr>
        <w:t xml:space="preserve">not </w:t>
      </w:r>
      <w:r w:rsidR="004A4ACA">
        <w:rPr>
          <w:rFonts w:ascii="Cambria" w:hAnsi="Cambria"/>
          <w:b/>
          <w:bCs/>
          <w:sz w:val="22"/>
          <w:szCs w:val="22"/>
        </w:rPr>
        <w:t xml:space="preserve">highlighted in </w:t>
      </w:r>
      <w:r w:rsidRPr="00A660F1">
        <w:rPr>
          <w:rFonts w:ascii="Cambria" w:hAnsi="Cambria"/>
          <w:b/>
          <w:bCs/>
          <w:sz w:val="22"/>
          <w:szCs w:val="22"/>
        </w:rPr>
        <w:t>the design</w:t>
      </w:r>
      <w:r w:rsidR="00D86AA9">
        <w:rPr>
          <w:rFonts w:ascii="Cambria" w:hAnsi="Cambria"/>
          <w:sz w:val="22"/>
          <w:szCs w:val="22"/>
        </w:rPr>
        <w:t xml:space="preserve"> </w:t>
      </w:r>
      <w:r w:rsidR="004A4ACA">
        <w:rPr>
          <w:rFonts w:ascii="Cambria" w:hAnsi="Cambria"/>
          <w:sz w:val="22"/>
          <w:szCs w:val="22"/>
        </w:rPr>
        <w:t>contribut</w:t>
      </w:r>
      <w:r w:rsidR="00D86AA9">
        <w:rPr>
          <w:rFonts w:ascii="Cambria" w:hAnsi="Cambria"/>
          <w:sz w:val="22"/>
          <w:szCs w:val="22"/>
        </w:rPr>
        <w:t>ing</w:t>
      </w:r>
      <w:r w:rsidR="004A4ACA">
        <w:rPr>
          <w:rFonts w:ascii="Cambria" w:hAnsi="Cambria"/>
          <w:sz w:val="22"/>
          <w:szCs w:val="22"/>
        </w:rPr>
        <w:t xml:space="preserve"> to uncertainty about what was wanted and how it should be pursued</w:t>
      </w:r>
      <w:r w:rsidR="00212E3C">
        <w:rPr>
          <w:rFonts w:ascii="Cambria" w:hAnsi="Cambria"/>
          <w:sz w:val="22"/>
          <w:szCs w:val="22"/>
        </w:rPr>
        <w:t>.</w:t>
      </w:r>
    </w:p>
    <w:p w14:paraId="20B1F125" w14:textId="440C7D36" w:rsidR="00573A54" w:rsidRDefault="004A4ACA" w:rsidP="00573A54">
      <w:pPr>
        <w:pStyle w:val="ListParagraph"/>
        <w:numPr>
          <w:ilvl w:val="0"/>
          <w:numId w:val="16"/>
        </w:numPr>
        <w:spacing w:before="240"/>
        <w:ind w:left="709" w:right="142" w:hanging="283"/>
        <w:contextualSpacing w:val="0"/>
        <w:jc w:val="both"/>
        <w:rPr>
          <w:rFonts w:ascii="Cambria" w:hAnsi="Cambria"/>
          <w:sz w:val="22"/>
          <w:szCs w:val="22"/>
        </w:rPr>
      </w:pPr>
      <w:r w:rsidRPr="00212E3C">
        <w:rPr>
          <w:rFonts w:ascii="Cambria" w:hAnsi="Cambria"/>
          <w:sz w:val="22"/>
          <w:szCs w:val="22"/>
        </w:rPr>
        <w:t>Until recently,</w:t>
      </w:r>
      <w:r>
        <w:rPr>
          <w:rFonts w:ascii="Cambria" w:hAnsi="Cambria"/>
          <w:b/>
          <w:bCs/>
          <w:sz w:val="22"/>
          <w:szCs w:val="22"/>
        </w:rPr>
        <w:t xml:space="preserve"> neither Objective</w:t>
      </w:r>
      <w:r w:rsidR="00D86AA9">
        <w:rPr>
          <w:rFonts w:ascii="Cambria" w:hAnsi="Cambria"/>
          <w:b/>
          <w:bCs/>
          <w:sz w:val="22"/>
          <w:szCs w:val="22"/>
        </w:rPr>
        <w:t>s</w:t>
      </w:r>
      <w:r>
        <w:rPr>
          <w:rFonts w:ascii="Cambria" w:hAnsi="Cambria"/>
          <w:b/>
          <w:bCs/>
          <w:sz w:val="22"/>
          <w:szCs w:val="22"/>
        </w:rPr>
        <w:t xml:space="preserve"> 2 or 3 were </w:t>
      </w:r>
      <w:r w:rsidR="009B3A84">
        <w:rPr>
          <w:rFonts w:ascii="Cambria" w:hAnsi="Cambria"/>
          <w:b/>
          <w:bCs/>
          <w:sz w:val="22"/>
          <w:szCs w:val="22"/>
        </w:rPr>
        <w:t>systematically</w:t>
      </w:r>
      <w:r w:rsidR="00573A54">
        <w:rPr>
          <w:rFonts w:ascii="Cambria" w:hAnsi="Cambria"/>
          <w:sz w:val="22"/>
          <w:szCs w:val="22"/>
        </w:rPr>
        <w:t xml:space="preserve"> </w:t>
      </w:r>
      <w:r w:rsidR="00573A54" w:rsidRPr="00FA7ED6">
        <w:rPr>
          <w:rFonts w:ascii="Cambria" w:hAnsi="Cambria"/>
          <w:b/>
          <w:bCs/>
          <w:sz w:val="22"/>
          <w:szCs w:val="22"/>
        </w:rPr>
        <w:t xml:space="preserve">monitored </w:t>
      </w:r>
    </w:p>
    <w:p w14:paraId="657CE039" w14:textId="639827A5" w:rsidR="00573A54" w:rsidRDefault="00840607" w:rsidP="00573A54">
      <w:pPr>
        <w:pStyle w:val="ListParagraph"/>
        <w:numPr>
          <w:ilvl w:val="0"/>
          <w:numId w:val="16"/>
        </w:numPr>
        <w:spacing w:before="240"/>
        <w:ind w:left="709" w:right="142" w:hanging="283"/>
        <w:contextualSpacing w:val="0"/>
        <w:jc w:val="both"/>
        <w:rPr>
          <w:rFonts w:ascii="Cambria" w:hAnsi="Cambria"/>
          <w:sz w:val="22"/>
          <w:szCs w:val="22"/>
        </w:rPr>
      </w:pPr>
      <w:r>
        <w:rPr>
          <w:rFonts w:ascii="Cambria" w:hAnsi="Cambria"/>
          <w:b/>
          <w:bCs/>
          <w:sz w:val="22"/>
          <w:szCs w:val="22"/>
        </w:rPr>
        <w:t>Program p</w:t>
      </w:r>
      <w:r w:rsidR="00573A54" w:rsidRPr="00A660F1">
        <w:rPr>
          <w:rFonts w:ascii="Cambria" w:hAnsi="Cambria"/>
          <w:b/>
          <w:bCs/>
          <w:sz w:val="22"/>
          <w:szCs w:val="22"/>
        </w:rPr>
        <w:t xml:space="preserve">erformance </w:t>
      </w:r>
      <w:r w:rsidR="00573A54">
        <w:rPr>
          <w:rFonts w:ascii="Cambria" w:hAnsi="Cambria"/>
          <w:b/>
          <w:bCs/>
          <w:sz w:val="22"/>
          <w:szCs w:val="22"/>
        </w:rPr>
        <w:t xml:space="preserve">against </w:t>
      </w:r>
      <w:r w:rsidR="00573A54" w:rsidRPr="00A660F1">
        <w:rPr>
          <w:rFonts w:ascii="Cambria" w:hAnsi="Cambria"/>
          <w:b/>
          <w:bCs/>
          <w:sz w:val="22"/>
          <w:szCs w:val="22"/>
        </w:rPr>
        <w:t>Objective 3</w:t>
      </w:r>
      <w:r w:rsidR="00573A54">
        <w:rPr>
          <w:rFonts w:ascii="Cambria" w:hAnsi="Cambria"/>
          <w:b/>
          <w:bCs/>
          <w:sz w:val="22"/>
          <w:szCs w:val="22"/>
        </w:rPr>
        <w:t xml:space="preserve"> </w:t>
      </w:r>
      <w:r w:rsidRPr="00A660F1">
        <w:rPr>
          <w:rFonts w:ascii="Cambria" w:hAnsi="Cambria"/>
          <w:b/>
          <w:bCs/>
          <w:sz w:val="22"/>
          <w:szCs w:val="22"/>
        </w:rPr>
        <w:t xml:space="preserve">in both countries </w:t>
      </w:r>
      <w:r w:rsidR="00573A54">
        <w:rPr>
          <w:rFonts w:ascii="Cambria" w:hAnsi="Cambria"/>
          <w:b/>
          <w:bCs/>
          <w:sz w:val="22"/>
          <w:szCs w:val="22"/>
        </w:rPr>
        <w:t>has been less than desired</w:t>
      </w:r>
      <w:r w:rsidR="00573A54">
        <w:rPr>
          <w:rFonts w:ascii="Cambria" w:hAnsi="Cambria"/>
          <w:sz w:val="22"/>
          <w:szCs w:val="22"/>
        </w:rPr>
        <w:t>, in part</w:t>
      </w:r>
      <w:r>
        <w:rPr>
          <w:rFonts w:ascii="Cambria" w:hAnsi="Cambria"/>
          <w:sz w:val="22"/>
          <w:szCs w:val="22"/>
        </w:rPr>
        <w:t>,</w:t>
      </w:r>
      <w:r w:rsidR="00573A54">
        <w:rPr>
          <w:rFonts w:ascii="Cambria" w:hAnsi="Cambria"/>
          <w:sz w:val="22"/>
          <w:szCs w:val="22"/>
        </w:rPr>
        <w:t xml:space="preserve"> due to overly ambitious</w:t>
      </w:r>
      <w:r w:rsidR="000C397F">
        <w:rPr>
          <w:rFonts w:ascii="Cambria" w:hAnsi="Cambria"/>
          <w:sz w:val="22"/>
          <w:szCs w:val="22"/>
        </w:rPr>
        <w:t>,</w:t>
      </w:r>
      <w:r w:rsidR="00F222B9">
        <w:rPr>
          <w:rFonts w:ascii="Cambria" w:hAnsi="Cambria"/>
          <w:sz w:val="22"/>
          <w:szCs w:val="22"/>
        </w:rPr>
        <w:t xml:space="preserve"> but somewhat vague</w:t>
      </w:r>
      <w:r w:rsidR="00833BD6">
        <w:rPr>
          <w:rFonts w:ascii="Cambria" w:hAnsi="Cambria"/>
          <w:sz w:val="22"/>
          <w:szCs w:val="22"/>
        </w:rPr>
        <w:t xml:space="preserve"> and</w:t>
      </w:r>
      <w:r w:rsidR="00573A54">
        <w:rPr>
          <w:rFonts w:ascii="Cambria" w:hAnsi="Cambria"/>
          <w:sz w:val="22"/>
          <w:szCs w:val="22"/>
        </w:rPr>
        <w:t xml:space="preserve"> under-funded expectations.</w:t>
      </w:r>
    </w:p>
    <w:p w14:paraId="02B2C500" w14:textId="66F39D31" w:rsidR="00573A54" w:rsidRPr="00A660F1" w:rsidRDefault="00573A54" w:rsidP="00573A54">
      <w:pPr>
        <w:pStyle w:val="ListParagraph"/>
        <w:numPr>
          <w:ilvl w:val="0"/>
          <w:numId w:val="2"/>
        </w:numPr>
        <w:spacing w:before="240"/>
        <w:ind w:right="142"/>
        <w:contextualSpacing w:val="0"/>
        <w:jc w:val="both"/>
        <w:rPr>
          <w:rFonts w:ascii="Cambria" w:hAnsi="Cambria"/>
          <w:b/>
          <w:bCs/>
          <w:sz w:val="22"/>
          <w:szCs w:val="22"/>
        </w:rPr>
      </w:pPr>
      <w:r>
        <w:rPr>
          <w:rFonts w:ascii="Cambria" w:hAnsi="Cambria"/>
          <w:sz w:val="22"/>
          <w:szCs w:val="22"/>
        </w:rPr>
        <w:t xml:space="preserve">Given its very small budget and prospective reform results, the </w:t>
      </w:r>
      <w:r w:rsidRPr="00A660F1">
        <w:rPr>
          <w:rFonts w:ascii="Cambria" w:hAnsi="Cambria"/>
          <w:b/>
          <w:bCs/>
          <w:sz w:val="22"/>
          <w:szCs w:val="22"/>
        </w:rPr>
        <w:t>program is likely to deliver a high benefit to cost ratio</w:t>
      </w:r>
    </w:p>
    <w:p w14:paraId="1F3C3FC2" w14:textId="77777777" w:rsidR="00573A54" w:rsidRDefault="00573A54" w:rsidP="00573A54">
      <w:pPr>
        <w:pStyle w:val="ListParagraph"/>
        <w:numPr>
          <w:ilvl w:val="1"/>
          <w:numId w:val="2"/>
        </w:numPr>
        <w:spacing w:before="240"/>
        <w:ind w:left="709" w:right="142" w:hanging="283"/>
        <w:contextualSpacing w:val="0"/>
        <w:jc w:val="both"/>
        <w:rPr>
          <w:rFonts w:ascii="Cambria" w:hAnsi="Cambria"/>
          <w:sz w:val="22"/>
          <w:szCs w:val="22"/>
        </w:rPr>
      </w:pPr>
      <w:r w:rsidRPr="007A3FE0">
        <w:rPr>
          <w:rFonts w:ascii="Cambria" w:hAnsi="Cambria"/>
          <w:b/>
          <w:bCs/>
          <w:sz w:val="22"/>
          <w:szCs w:val="22"/>
        </w:rPr>
        <w:t>As long as reform progress is sustained</w:t>
      </w:r>
      <w:r>
        <w:rPr>
          <w:rFonts w:ascii="Cambria" w:hAnsi="Cambria"/>
          <w:sz w:val="22"/>
          <w:szCs w:val="22"/>
        </w:rPr>
        <w:t xml:space="preserve"> and sensitive issues continue to </w:t>
      </w:r>
      <w:r w:rsidRPr="00CB0F49">
        <w:rPr>
          <w:rFonts w:ascii="Cambria" w:hAnsi="Cambria"/>
          <w:sz w:val="22"/>
          <w:szCs w:val="22"/>
        </w:rPr>
        <w:t>be well managed</w:t>
      </w:r>
    </w:p>
    <w:p w14:paraId="6566B624" w14:textId="27440586" w:rsidR="00573A54" w:rsidRPr="0025705A" w:rsidRDefault="00573A54" w:rsidP="00573A54">
      <w:pPr>
        <w:pStyle w:val="ListParagraph"/>
        <w:numPr>
          <w:ilvl w:val="1"/>
          <w:numId w:val="2"/>
        </w:numPr>
        <w:spacing w:before="240"/>
        <w:ind w:left="709" w:right="142" w:hanging="283"/>
        <w:contextualSpacing w:val="0"/>
        <w:jc w:val="both"/>
        <w:rPr>
          <w:rFonts w:ascii="Cambria" w:hAnsi="Cambria"/>
          <w:sz w:val="22"/>
          <w:szCs w:val="22"/>
        </w:rPr>
      </w:pPr>
      <w:r w:rsidRPr="00CB0F49">
        <w:rPr>
          <w:rFonts w:ascii="Cambria" w:hAnsi="Cambria"/>
          <w:sz w:val="22"/>
          <w:szCs w:val="22"/>
        </w:rPr>
        <w:t xml:space="preserve">Hence, it is </w:t>
      </w:r>
      <w:r w:rsidRPr="003467A0">
        <w:rPr>
          <w:rFonts w:ascii="Cambria" w:hAnsi="Cambria"/>
          <w:b/>
          <w:bCs/>
          <w:sz w:val="22"/>
          <w:szCs w:val="22"/>
        </w:rPr>
        <w:t>likely to be</w:t>
      </w:r>
      <w:r w:rsidRPr="00CB0F49">
        <w:rPr>
          <w:rFonts w:ascii="Cambria" w:hAnsi="Cambria"/>
          <w:sz w:val="22"/>
          <w:szCs w:val="22"/>
        </w:rPr>
        <w:t xml:space="preserve"> </w:t>
      </w:r>
      <w:r w:rsidRPr="00A660F1">
        <w:rPr>
          <w:rFonts w:ascii="Cambria" w:hAnsi="Cambria"/>
          <w:b/>
          <w:bCs/>
          <w:sz w:val="22"/>
          <w:szCs w:val="22"/>
        </w:rPr>
        <w:t>very good value for money</w:t>
      </w:r>
      <w:r w:rsidR="0025705A">
        <w:rPr>
          <w:rFonts w:ascii="Cambria" w:hAnsi="Cambria"/>
          <w:b/>
          <w:bCs/>
          <w:sz w:val="22"/>
          <w:szCs w:val="22"/>
        </w:rPr>
        <w:t xml:space="preserve"> </w:t>
      </w:r>
      <w:r w:rsidR="0025705A" w:rsidRPr="0025705A">
        <w:rPr>
          <w:rFonts w:ascii="Cambria" w:hAnsi="Cambria"/>
          <w:sz w:val="22"/>
          <w:szCs w:val="22"/>
        </w:rPr>
        <w:t>and exceed targets for efficiency and cost</w:t>
      </w:r>
      <w:r w:rsidR="009B3A84">
        <w:rPr>
          <w:rFonts w:ascii="Cambria" w:hAnsi="Cambria"/>
          <w:sz w:val="22"/>
          <w:szCs w:val="22"/>
        </w:rPr>
        <w:t>-</w:t>
      </w:r>
      <w:r w:rsidR="0025705A" w:rsidRPr="0025705A">
        <w:rPr>
          <w:rFonts w:ascii="Cambria" w:hAnsi="Cambria"/>
          <w:sz w:val="22"/>
          <w:szCs w:val="22"/>
        </w:rPr>
        <w:t>effectiveness</w:t>
      </w:r>
      <w:r w:rsidR="009B3A84">
        <w:rPr>
          <w:rFonts w:ascii="Cambria" w:hAnsi="Cambria"/>
          <w:sz w:val="22"/>
          <w:szCs w:val="22"/>
        </w:rPr>
        <w:t>.</w:t>
      </w:r>
    </w:p>
    <w:p w14:paraId="30666A8E" w14:textId="0EB86624" w:rsidR="00573A54" w:rsidRDefault="00573A54" w:rsidP="00573A54">
      <w:pPr>
        <w:pStyle w:val="ListParagraph"/>
        <w:numPr>
          <w:ilvl w:val="0"/>
          <w:numId w:val="2"/>
        </w:numPr>
        <w:spacing w:before="240"/>
        <w:ind w:right="142"/>
        <w:contextualSpacing w:val="0"/>
        <w:jc w:val="both"/>
        <w:rPr>
          <w:rFonts w:ascii="Cambria" w:hAnsi="Cambria"/>
          <w:sz w:val="22"/>
          <w:szCs w:val="22"/>
        </w:rPr>
      </w:pPr>
      <w:r w:rsidRPr="00A660F1">
        <w:rPr>
          <w:rFonts w:ascii="Cambria" w:hAnsi="Cambria"/>
          <w:b/>
          <w:bCs/>
          <w:sz w:val="22"/>
          <w:szCs w:val="22"/>
        </w:rPr>
        <w:t xml:space="preserve">Management arrangements </w:t>
      </w:r>
      <w:r w:rsidR="00833BD6">
        <w:rPr>
          <w:rFonts w:ascii="Cambria" w:hAnsi="Cambria"/>
          <w:b/>
          <w:bCs/>
          <w:sz w:val="22"/>
          <w:szCs w:val="22"/>
        </w:rPr>
        <w:t xml:space="preserve">generally </w:t>
      </w:r>
      <w:r w:rsidRPr="00A660F1">
        <w:rPr>
          <w:rFonts w:ascii="Cambria" w:hAnsi="Cambria"/>
          <w:b/>
          <w:bCs/>
          <w:sz w:val="22"/>
          <w:szCs w:val="22"/>
        </w:rPr>
        <w:t>work well</w:t>
      </w:r>
      <w:r w:rsidRPr="00CB0F49">
        <w:rPr>
          <w:rFonts w:ascii="Cambria" w:hAnsi="Cambria"/>
          <w:sz w:val="22"/>
          <w:szCs w:val="22"/>
        </w:rPr>
        <w:t xml:space="preserve">, </w:t>
      </w:r>
      <w:r w:rsidR="00FA7ED6">
        <w:rPr>
          <w:rFonts w:ascii="Cambria" w:hAnsi="Cambria"/>
          <w:sz w:val="22"/>
          <w:szCs w:val="22"/>
        </w:rPr>
        <w:t xml:space="preserve">but there </w:t>
      </w:r>
      <w:r w:rsidR="00FA7ED6">
        <w:rPr>
          <w:rFonts w:ascii="Cambria" w:hAnsi="Cambria"/>
          <w:b/>
          <w:bCs/>
          <w:sz w:val="22"/>
          <w:szCs w:val="22"/>
        </w:rPr>
        <w:t>is</w:t>
      </w:r>
      <w:r w:rsidRPr="00A660F1">
        <w:rPr>
          <w:rFonts w:ascii="Cambria" w:hAnsi="Cambria"/>
          <w:b/>
          <w:bCs/>
          <w:sz w:val="22"/>
          <w:szCs w:val="22"/>
        </w:rPr>
        <w:t xml:space="preserve"> scope to tighten performance management</w:t>
      </w:r>
      <w:r w:rsidRPr="00CB0F49">
        <w:rPr>
          <w:rFonts w:ascii="Cambria" w:hAnsi="Cambria"/>
          <w:sz w:val="22"/>
          <w:szCs w:val="22"/>
        </w:rPr>
        <w:t xml:space="preserve"> </w:t>
      </w:r>
      <w:r w:rsidR="00CD0222">
        <w:rPr>
          <w:rFonts w:ascii="Cambria" w:hAnsi="Cambria"/>
          <w:sz w:val="22"/>
          <w:szCs w:val="22"/>
        </w:rPr>
        <w:t>and strategy testing s</w:t>
      </w:r>
      <w:r w:rsidRPr="00CB0F49">
        <w:rPr>
          <w:rFonts w:ascii="Cambria" w:hAnsi="Cambria"/>
          <w:sz w:val="22"/>
          <w:szCs w:val="22"/>
        </w:rPr>
        <w:t>o that judgements are sharp, clear and agreed</w:t>
      </w:r>
      <w:r w:rsidR="00212E3C">
        <w:rPr>
          <w:rFonts w:ascii="Cambria" w:hAnsi="Cambria"/>
          <w:sz w:val="22"/>
          <w:szCs w:val="22"/>
        </w:rPr>
        <w:t>.</w:t>
      </w:r>
      <w:r w:rsidRPr="00CB0F49">
        <w:rPr>
          <w:rFonts w:ascii="Cambria" w:hAnsi="Cambria"/>
          <w:sz w:val="22"/>
          <w:szCs w:val="22"/>
        </w:rPr>
        <w:t xml:space="preserve">  </w:t>
      </w:r>
    </w:p>
    <w:p w14:paraId="7F79B9BF" w14:textId="0F32117F" w:rsidR="00212E3C" w:rsidRPr="00212E3C" w:rsidRDefault="00573A54" w:rsidP="00212E3C">
      <w:pPr>
        <w:pStyle w:val="ListParagraph"/>
        <w:numPr>
          <w:ilvl w:val="0"/>
          <w:numId w:val="2"/>
        </w:numPr>
        <w:spacing w:before="240"/>
        <w:ind w:right="142"/>
        <w:contextualSpacing w:val="0"/>
        <w:jc w:val="both"/>
        <w:rPr>
          <w:rFonts w:ascii="Cambria" w:hAnsi="Cambria"/>
          <w:sz w:val="22"/>
          <w:szCs w:val="22"/>
        </w:rPr>
      </w:pPr>
      <w:r w:rsidRPr="00C45E31">
        <w:rPr>
          <w:rFonts w:ascii="Cambria" w:hAnsi="Cambria"/>
          <w:sz w:val="22"/>
          <w:szCs w:val="22"/>
        </w:rPr>
        <w:t xml:space="preserve">There is currently </w:t>
      </w:r>
      <w:r w:rsidRPr="00A660F1">
        <w:rPr>
          <w:rFonts w:ascii="Cambria" w:hAnsi="Cambria"/>
          <w:b/>
          <w:bCs/>
          <w:sz w:val="22"/>
          <w:szCs w:val="22"/>
        </w:rPr>
        <w:t xml:space="preserve">insufficient information and experience to assess the range and utility of other options </w:t>
      </w:r>
      <w:r w:rsidRPr="00D86AA9">
        <w:rPr>
          <w:rFonts w:ascii="Cambria" w:hAnsi="Cambria"/>
          <w:sz w:val="22"/>
          <w:szCs w:val="22"/>
        </w:rPr>
        <w:t>for development cooperation with Advanced Middle-Income Countries</w:t>
      </w:r>
      <w:r w:rsidR="009B3A84">
        <w:rPr>
          <w:rFonts w:ascii="Cambria" w:hAnsi="Cambria"/>
          <w:b/>
          <w:bCs/>
          <w:sz w:val="22"/>
          <w:szCs w:val="22"/>
        </w:rPr>
        <w:t>.</w:t>
      </w:r>
    </w:p>
    <w:p w14:paraId="407D49DF" w14:textId="77777777" w:rsidR="00212E3C" w:rsidRDefault="00212E3C">
      <w:pPr>
        <w:rPr>
          <w:rFonts w:asciiTheme="majorHAnsi" w:eastAsiaTheme="majorEastAsia" w:hAnsiTheme="majorHAnsi" w:cstheme="majorBidi"/>
          <w:b/>
          <w:bCs/>
          <w:color w:val="1F3763" w:themeColor="accent1" w:themeShade="7F"/>
          <w:sz w:val="28"/>
          <w:szCs w:val="28"/>
        </w:rPr>
      </w:pPr>
      <w:r>
        <w:rPr>
          <w:b/>
          <w:bCs/>
          <w:sz w:val="28"/>
          <w:szCs w:val="28"/>
        </w:rPr>
        <w:br w:type="page"/>
      </w:r>
    </w:p>
    <w:p w14:paraId="0D55E37E" w14:textId="006FCBF9" w:rsidR="000E7210" w:rsidRPr="00B20B3B" w:rsidRDefault="00573A54" w:rsidP="00B20B3B">
      <w:pPr>
        <w:pStyle w:val="Heading3"/>
        <w:spacing w:before="0"/>
        <w:jc w:val="both"/>
        <w:rPr>
          <w:b/>
          <w:bCs/>
          <w:sz w:val="28"/>
          <w:szCs w:val="28"/>
        </w:rPr>
      </w:pPr>
      <w:r w:rsidRPr="00F222B9">
        <w:rPr>
          <w:b/>
          <w:bCs/>
          <w:sz w:val="28"/>
          <w:szCs w:val="28"/>
        </w:rPr>
        <w:lastRenderedPageBreak/>
        <w:t>Key recommendations</w:t>
      </w:r>
    </w:p>
    <w:p w14:paraId="2481D4B6" w14:textId="5F2617A0" w:rsidR="00573A54" w:rsidRDefault="00573A54" w:rsidP="00B20B3B">
      <w:pPr>
        <w:pStyle w:val="ListParagraph"/>
        <w:numPr>
          <w:ilvl w:val="0"/>
          <w:numId w:val="3"/>
        </w:numPr>
        <w:spacing w:before="240"/>
        <w:ind w:left="357" w:right="174" w:hanging="357"/>
        <w:contextualSpacing w:val="0"/>
        <w:jc w:val="both"/>
        <w:rPr>
          <w:rFonts w:ascii="Cambria" w:hAnsi="Cambria"/>
          <w:sz w:val="22"/>
          <w:szCs w:val="22"/>
        </w:rPr>
      </w:pPr>
      <w:r w:rsidRPr="00AF2BB2">
        <w:rPr>
          <w:rFonts w:ascii="Cambria" w:hAnsi="Cambria"/>
          <w:b/>
          <w:bCs/>
          <w:sz w:val="22"/>
          <w:szCs w:val="22"/>
        </w:rPr>
        <w:t xml:space="preserve">DFAT </w:t>
      </w:r>
      <w:r w:rsidR="004A4ACA">
        <w:rPr>
          <w:rFonts w:ascii="Cambria" w:hAnsi="Cambria"/>
          <w:b/>
          <w:bCs/>
          <w:sz w:val="22"/>
          <w:szCs w:val="22"/>
        </w:rPr>
        <w:t xml:space="preserve">and TAF </w:t>
      </w:r>
      <w:r w:rsidRPr="00AF2BB2">
        <w:rPr>
          <w:rFonts w:ascii="Cambria" w:hAnsi="Cambria"/>
          <w:b/>
          <w:bCs/>
          <w:sz w:val="22"/>
          <w:szCs w:val="22"/>
        </w:rPr>
        <w:t xml:space="preserve">should </w:t>
      </w:r>
      <w:r w:rsidR="004A4ACA">
        <w:rPr>
          <w:rFonts w:ascii="Cambria" w:hAnsi="Cambria"/>
          <w:b/>
          <w:bCs/>
          <w:sz w:val="22"/>
          <w:szCs w:val="22"/>
        </w:rPr>
        <w:t xml:space="preserve">collaborate to </w:t>
      </w:r>
      <w:r w:rsidRPr="00AF2BB2">
        <w:rPr>
          <w:rFonts w:ascii="Cambria" w:hAnsi="Cambria"/>
          <w:b/>
          <w:bCs/>
          <w:sz w:val="22"/>
          <w:szCs w:val="22"/>
        </w:rPr>
        <w:t xml:space="preserve">distil existing good practice </w:t>
      </w:r>
      <w:r w:rsidR="008C2056">
        <w:rPr>
          <w:rFonts w:ascii="Cambria" w:hAnsi="Cambria"/>
          <w:b/>
          <w:bCs/>
          <w:sz w:val="22"/>
          <w:szCs w:val="22"/>
        </w:rPr>
        <w:t xml:space="preserve">across programs and partners </w:t>
      </w:r>
      <w:r w:rsidRPr="00AF2BB2">
        <w:rPr>
          <w:rFonts w:ascii="Cambria" w:hAnsi="Cambria"/>
          <w:b/>
          <w:bCs/>
          <w:sz w:val="22"/>
          <w:szCs w:val="22"/>
        </w:rPr>
        <w:t>into a short guidance note</w:t>
      </w:r>
      <w:r w:rsidRPr="00AF2BB2">
        <w:rPr>
          <w:rFonts w:ascii="Cambria" w:hAnsi="Cambria"/>
          <w:sz w:val="22"/>
          <w:szCs w:val="22"/>
        </w:rPr>
        <w:t xml:space="preserve"> on ‘strategic approaches</w:t>
      </w:r>
      <w:r>
        <w:rPr>
          <w:rFonts w:ascii="Cambria" w:hAnsi="Cambria"/>
          <w:sz w:val="22"/>
          <w:szCs w:val="22"/>
        </w:rPr>
        <w:t xml:space="preserve"> to working in </w:t>
      </w:r>
      <w:r w:rsidR="00FA7ED6">
        <w:rPr>
          <w:rFonts w:ascii="Cambria" w:hAnsi="Cambria"/>
          <w:sz w:val="22"/>
          <w:szCs w:val="22"/>
        </w:rPr>
        <w:t>A</w:t>
      </w:r>
      <w:r>
        <w:rPr>
          <w:rFonts w:ascii="Cambria" w:hAnsi="Cambria"/>
          <w:sz w:val="22"/>
          <w:szCs w:val="22"/>
        </w:rPr>
        <w:t xml:space="preserve">dvanced </w:t>
      </w:r>
      <w:r w:rsidR="00FA7ED6">
        <w:rPr>
          <w:rFonts w:ascii="Cambria" w:hAnsi="Cambria"/>
          <w:sz w:val="22"/>
          <w:szCs w:val="22"/>
        </w:rPr>
        <w:t>M</w:t>
      </w:r>
      <w:r>
        <w:rPr>
          <w:rFonts w:ascii="Cambria" w:hAnsi="Cambria"/>
          <w:sz w:val="22"/>
          <w:szCs w:val="22"/>
        </w:rPr>
        <w:t>iddle-</w:t>
      </w:r>
      <w:r w:rsidR="00FA7ED6">
        <w:rPr>
          <w:rFonts w:ascii="Cambria" w:hAnsi="Cambria"/>
          <w:sz w:val="22"/>
          <w:szCs w:val="22"/>
        </w:rPr>
        <w:t>I</w:t>
      </w:r>
      <w:r>
        <w:rPr>
          <w:rFonts w:ascii="Cambria" w:hAnsi="Cambria"/>
          <w:sz w:val="22"/>
          <w:szCs w:val="22"/>
        </w:rPr>
        <w:t xml:space="preserve">ncome </w:t>
      </w:r>
      <w:r w:rsidR="00FA7ED6">
        <w:rPr>
          <w:rFonts w:ascii="Cambria" w:hAnsi="Cambria"/>
          <w:sz w:val="22"/>
          <w:szCs w:val="22"/>
        </w:rPr>
        <w:t>C</w:t>
      </w:r>
      <w:r>
        <w:rPr>
          <w:rFonts w:ascii="Cambria" w:hAnsi="Cambria"/>
          <w:sz w:val="22"/>
          <w:szCs w:val="22"/>
        </w:rPr>
        <w:t>ountries’</w:t>
      </w:r>
      <w:r w:rsidR="00293E75">
        <w:rPr>
          <w:rFonts w:ascii="Cambria" w:hAnsi="Cambria"/>
          <w:sz w:val="22"/>
          <w:szCs w:val="22"/>
        </w:rPr>
        <w:t>,</w:t>
      </w:r>
      <w:r w:rsidR="004A4ACA">
        <w:rPr>
          <w:rFonts w:ascii="Cambria" w:hAnsi="Cambria"/>
          <w:sz w:val="22"/>
          <w:szCs w:val="22"/>
        </w:rPr>
        <w:t xml:space="preserve"> to be completed as part of the MTRP project</w:t>
      </w:r>
    </w:p>
    <w:p w14:paraId="2B90331F" w14:textId="68C48208" w:rsidR="008C2056" w:rsidRDefault="00573A54" w:rsidP="00B20B3B">
      <w:pPr>
        <w:pStyle w:val="ListParagraph"/>
        <w:numPr>
          <w:ilvl w:val="0"/>
          <w:numId w:val="13"/>
        </w:numPr>
        <w:spacing w:before="80"/>
        <w:ind w:right="174"/>
        <w:contextualSpacing w:val="0"/>
        <w:jc w:val="both"/>
        <w:rPr>
          <w:rFonts w:ascii="Cambria" w:hAnsi="Cambria"/>
          <w:sz w:val="22"/>
          <w:szCs w:val="22"/>
        </w:rPr>
      </w:pPr>
      <w:r>
        <w:rPr>
          <w:rFonts w:ascii="Cambria" w:hAnsi="Cambria"/>
          <w:sz w:val="22"/>
          <w:szCs w:val="22"/>
        </w:rPr>
        <w:t xml:space="preserve">This would serve as </w:t>
      </w:r>
      <w:r w:rsidRPr="007A3FE0">
        <w:rPr>
          <w:rFonts w:ascii="Cambria" w:hAnsi="Cambria"/>
          <w:sz w:val="22"/>
          <w:szCs w:val="22"/>
        </w:rPr>
        <w:t>a guide</w:t>
      </w:r>
      <w:r w:rsidRPr="00A660F1">
        <w:rPr>
          <w:rFonts w:ascii="Cambria" w:hAnsi="Cambria"/>
          <w:b/>
          <w:bCs/>
          <w:sz w:val="22"/>
          <w:szCs w:val="22"/>
        </w:rPr>
        <w:t xml:space="preserve"> for officers arriving at Post</w:t>
      </w:r>
      <w:r w:rsidRPr="00C60E50">
        <w:rPr>
          <w:rFonts w:ascii="Cambria" w:hAnsi="Cambria"/>
          <w:sz w:val="22"/>
          <w:szCs w:val="22"/>
        </w:rPr>
        <w:t xml:space="preserve"> and those assuming management responsibilities in Canberra</w:t>
      </w:r>
      <w:r w:rsidR="008C2056">
        <w:rPr>
          <w:rFonts w:ascii="Cambria" w:hAnsi="Cambria"/>
          <w:sz w:val="22"/>
          <w:szCs w:val="22"/>
        </w:rPr>
        <w:t xml:space="preserve">; </w:t>
      </w:r>
      <w:r w:rsidR="00265449">
        <w:rPr>
          <w:rFonts w:ascii="Cambria" w:hAnsi="Cambria"/>
          <w:sz w:val="22"/>
          <w:szCs w:val="22"/>
        </w:rPr>
        <w:t>and</w:t>
      </w:r>
    </w:p>
    <w:p w14:paraId="5EA741B0" w14:textId="631F962A" w:rsidR="00573A54" w:rsidRPr="000E7210" w:rsidRDefault="00293E75" w:rsidP="00B20B3B">
      <w:pPr>
        <w:pStyle w:val="ListParagraph"/>
        <w:numPr>
          <w:ilvl w:val="0"/>
          <w:numId w:val="13"/>
        </w:numPr>
        <w:spacing w:before="80"/>
        <w:ind w:right="174"/>
        <w:contextualSpacing w:val="0"/>
        <w:jc w:val="both"/>
        <w:rPr>
          <w:rFonts w:ascii="Cambria" w:hAnsi="Cambria"/>
          <w:sz w:val="22"/>
          <w:szCs w:val="22"/>
        </w:rPr>
      </w:pPr>
      <w:r>
        <w:rPr>
          <w:rFonts w:ascii="Cambria" w:hAnsi="Cambria"/>
          <w:sz w:val="22"/>
          <w:szCs w:val="22"/>
        </w:rPr>
        <w:t xml:space="preserve">Could also </w:t>
      </w:r>
      <w:r w:rsidR="00265449">
        <w:rPr>
          <w:rFonts w:ascii="Cambria" w:hAnsi="Cambria"/>
          <w:sz w:val="22"/>
          <w:szCs w:val="22"/>
        </w:rPr>
        <w:t xml:space="preserve">be used to </w:t>
      </w:r>
      <w:r w:rsidRPr="00293E75">
        <w:rPr>
          <w:rFonts w:ascii="Cambria" w:hAnsi="Cambria"/>
          <w:b/>
          <w:bCs/>
          <w:sz w:val="22"/>
          <w:szCs w:val="22"/>
        </w:rPr>
        <w:t>e</w:t>
      </w:r>
      <w:r w:rsidR="00573A54" w:rsidRPr="000E7210">
        <w:rPr>
          <w:rFonts w:ascii="Cambria" w:hAnsi="Cambria"/>
          <w:b/>
          <w:bCs/>
          <w:sz w:val="22"/>
          <w:szCs w:val="22"/>
        </w:rPr>
        <w:t>xtend thinking about what other complementary measures</w:t>
      </w:r>
      <w:r w:rsidR="00573A54" w:rsidRPr="000E7210">
        <w:rPr>
          <w:rFonts w:ascii="Cambria" w:hAnsi="Cambria"/>
          <w:sz w:val="22"/>
          <w:szCs w:val="22"/>
        </w:rPr>
        <w:t xml:space="preserve"> would support Australia’s national interest objectives</w:t>
      </w:r>
      <w:r w:rsidR="00FA7ED6" w:rsidRPr="000E7210">
        <w:rPr>
          <w:rFonts w:ascii="Cambria" w:hAnsi="Cambria"/>
          <w:sz w:val="22"/>
          <w:szCs w:val="22"/>
        </w:rPr>
        <w:t xml:space="preserve"> in AMICs</w:t>
      </w:r>
      <w:r w:rsidR="00573A54" w:rsidRPr="000E7210">
        <w:rPr>
          <w:rFonts w:ascii="Cambria" w:hAnsi="Cambria"/>
          <w:sz w:val="22"/>
          <w:szCs w:val="22"/>
        </w:rPr>
        <w:t>.</w:t>
      </w:r>
    </w:p>
    <w:p w14:paraId="518FDB6C" w14:textId="4DD0AE09" w:rsidR="00573A54" w:rsidRDefault="00573A54" w:rsidP="00B20B3B">
      <w:pPr>
        <w:pStyle w:val="ListParagraph"/>
        <w:numPr>
          <w:ilvl w:val="0"/>
          <w:numId w:val="3"/>
        </w:numPr>
        <w:spacing w:before="240"/>
        <w:ind w:left="357" w:right="174" w:hanging="357"/>
        <w:contextualSpacing w:val="0"/>
        <w:jc w:val="both"/>
        <w:rPr>
          <w:rFonts w:ascii="Cambria" w:hAnsi="Cambria"/>
          <w:sz w:val="22"/>
          <w:szCs w:val="22"/>
        </w:rPr>
      </w:pPr>
      <w:r w:rsidRPr="00AF2BB2">
        <w:rPr>
          <w:rFonts w:ascii="Cambria" w:hAnsi="Cambria"/>
          <w:b/>
          <w:bCs/>
          <w:sz w:val="22"/>
          <w:szCs w:val="22"/>
        </w:rPr>
        <w:t>There should be an early, in-principle decision to extend the program by two years</w:t>
      </w:r>
      <w:r w:rsidRPr="00AB5AC7">
        <w:rPr>
          <w:rFonts w:ascii="Cambria" w:hAnsi="Cambria"/>
          <w:sz w:val="22"/>
          <w:szCs w:val="22"/>
        </w:rPr>
        <w:t>, to make the most of what has been started and to avoid pre-mature winding down of activity</w:t>
      </w:r>
      <w:r>
        <w:rPr>
          <w:rFonts w:ascii="Cambria" w:hAnsi="Cambria"/>
          <w:sz w:val="22"/>
          <w:szCs w:val="22"/>
        </w:rPr>
        <w:t xml:space="preserve"> </w:t>
      </w:r>
    </w:p>
    <w:p w14:paraId="67DBBF57" w14:textId="56A9D869" w:rsidR="00573A54" w:rsidRPr="000E7210" w:rsidRDefault="00573A54" w:rsidP="00B20B3B">
      <w:pPr>
        <w:pStyle w:val="ListParagraph"/>
        <w:numPr>
          <w:ilvl w:val="0"/>
          <w:numId w:val="14"/>
        </w:numPr>
        <w:spacing w:before="80"/>
        <w:ind w:left="714" w:right="174" w:hanging="357"/>
        <w:contextualSpacing w:val="0"/>
        <w:jc w:val="both"/>
        <w:rPr>
          <w:rFonts w:ascii="Cambria" w:hAnsi="Cambria"/>
          <w:sz w:val="22"/>
          <w:szCs w:val="22"/>
        </w:rPr>
      </w:pPr>
      <w:r w:rsidRPr="0050369D">
        <w:rPr>
          <w:rFonts w:ascii="Cambria" w:hAnsi="Cambria"/>
          <w:sz w:val="22"/>
          <w:szCs w:val="22"/>
        </w:rPr>
        <w:t xml:space="preserve">This might involve different </w:t>
      </w:r>
      <w:r w:rsidR="009B3A84">
        <w:rPr>
          <w:rFonts w:ascii="Cambria" w:hAnsi="Cambria"/>
          <w:sz w:val="22"/>
          <w:szCs w:val="22"/>
        </w:rPr>
        <w:t xml:space="preserve">programmatic and funding </w:t>
      </w:r>
      <w:r w:rsidRPr="0050369D">
        <w:rPr>
          <w:rFonts w:ascii="Cambria" w:hAnsi="Cambria"/>
          <w:sz w:val="22"/>
          <w:szCs w:val="22"/>
        </w:rPr>
        <w:t>solutions in Thailand and Malaysia.</w:t>
      </w:r>
    </w:p>
    <w:p w14:paraId="7448520E" w14:textId="726A6ACD" w:rsidR="00573A54" w:rsidRDefault="00573A54" w:rsidP="00B20B3B">
      <w:pPr>
        <w:pStyle w:val="ListParagraph"/>
        <w:numPr>
          <w:ilvl w:val="0"/>
          <w:numId w:val="3"/>
        </w:numPr>
        <w:spacing w:before="240"/>
        <w:ind w:left="357" w:right="174" w:hanging="357"/>
        <w:contextualSpacing w:val="0"/>
        <w:jc w:val="both"/>
        <w:rPr>
          <w:rFonts w:ascii="Cambria" w:hAnsi="Cambria"/>
          <w:sz w:val="22"/>
          <w:szCs w:val="22"/>
        </w:rPr>
      </w:pPr>
      <w:r w:rsidRPr="00AF2BB2">
        <w:rPr>
          <w:rFonts w:ascii="Cambria" w:hAnsi="Cambria"/>
          <w:b/>
          <w:bCs/>
          <w:sz w:val="22"/>
          <w:szCs w:val="22"/>
        </w:rPr>
        <w:t xml:space="preserve">A revised budget </w:t>
      </w:r>
      <w:r w:rsidR="00293E75">
        <w:rPr>
          <w:rFonts w:ascii="Cambria" w:hAnsi="Cambria"/>
          <w:b/>
          <w:bCs/>
          <w:sz w:val="22"/>
          <w:szCs w:val="22"/>
        </w:rPr>
        <w:t xml:space="preserve">– including departmental resources - </w:t>
      </w:r>
      <w:r w:rsidRPr="00AF2BB2">
        <w:rPr>
          <w:rFonts w:ascii="Cambria" w:hAnsi="Cambria"/>
          <w:b/>
          <w:bCs/>
          <w:sz w:val="22"/>
          <w:szCs w:val="22"/>
        </w:rPr>
        <w:t>should be prepared</w:t>
      </w:r>
      <w:r>
        <w:rPr>
          <w:rFonts w:ascii="Cambria" w:hAnsi="Cambria"/>
          <w:sz w:val="22"/>
          <w:szCs w:val="22"/>
        </w:rPr>
        <w:t xml:space="preserve"> for the extended activity that takes account of and supplements spending to date</w:t>
      </w:r>
    </w:p>
    <w:p w14:paraId="0C462383" w14:textId="298A481E" w:rsidR="00573A54" w:rsidRPr="000E7210" w:rsidRDefault="00840607" w:rsidP="00B20B3B">
      <w:pPr>
        <w:pStyle w:val="ListParagraph"/>
        <w:numPr>
          <w:ilvl w:val="1"/>
          <w:numId w:val="3"/>
        </w:numPr>
        <w:spacing w:before="80"/>
        <w:ind w:right="174"/>
        <w:contextualSpacing w:val="0"/>
        <w:jc w:val="both"/>
        <w:rPr>
          <w:rFonts w:ascii="Cambria" w:hAnsi="Cambria"/>
          <w:sz w:val="22"/>
          <w:szCs w:val="22"/>
        </w:rPr>
      </w:pPr>
      <w:r>
        <w:rPr>
          <w:rFonts w:ascii="Cambria" w:hAnsi="Cambria"/>
          <w:b/>
          <w:bCs/>
          <w:sz w:val="22"/>
          <w:szCs w:val="22"/>
        </w:rPr>
        <w:t xml:space="preserve">DFAT should also consider </w:t>
      </w:r>
      <w:r w:rsidR="000E7210">
        <w:rPr>
          <w:rFonts w:ascii="Cambria" w:hAnsi="Cambria"/>
          <w:b/>
          <w:bCs/>
          <w:sz w:val="22"/>
          <w:szCs w:val="22"/>
        </w:rPr>
        <w:t xml:space="preserve">the pros and cons of </w:t>
      </w:r>
      <w:r w:rsidR="00573A54" w:rsidRPr="00AF2BB2">
        <w:rPr>
          <w:rFonts w:ascii="Cambria" w:hAnsi="Cambria"/>
          <w:b/>
          <w:bCs/>
          <w:sz w:val="22"/>
          <w:szCs w:val="22"/>
        </w:rPr>
        <w:t>build</w:t>
      </w:r>
      <w:r>
        <w:rPr>
          <w:rFonts w:ascii="Cambria" w:hAnsi="Cambria"/>
          <w:b/>
          <w:bCs/>
          <w:sz w:val="22"/>
          <w:szCs w:val="22"/>
        </w:rPr>
        <w:t>ing</w:t>
      </w:r>
      <w:r w:rsidR="00573A54" w:rsidRPr="00AF2BB2">
        <w:rPr>
          <w:rFonts w:ascii="Cambria" w:hAnsi="Cambria"/>
          <w:b/>
          <w:bCs/>
          <w:sz w:val="22"/>
          <w:szCs w:val="22"/>
        </w:rPr>
        <w:t xml:space="preserve"> in a </w:t>
      </w:r>
      <w:r>
        <w:rPr>
          <w:rFonts w:ascii="Cambria" w:hAnsi="Cambria"/>
          <w:b/>
          <w:bCs/>
          <w:sz w:val="22"/>
          <w:szCs w:val="22"/>
        </w:rPr>
        <w:t xml:space="preserve">modest </w:t>
      </w:r>
      <w:r w:rsidR="00573A54" w:rsidRPr="00AF2BB2">
        <w:rPr>
          <w:rFonts w:ascii="Cambria" w:hAnsi="Cambria"/>
          <w:b/>
          <w:bCs/>
          <w:sz w:val="22"/>
          <w:szCs w:val="22"/>
        </w:rPr>
        <w:t>central contingency fund</w:t>
      </w:r>
      <w:r w:rsidR="00573A54">
        <w:rPr>
          <w:rFonts w:ascii="Cambria" w:hAnsi="Cambria"/>
          <w:sz w:val="22"/>
          <w:szCs w:val="22"/>
        </w:rPr>
        <w:t xml:space="preserve"> that can be accessed </w:t>
      </w:r>
      <w:r w:rsidR="00F222B9">
        <w:rPr>
          <w:rFonts w:ascii="Cambria" w:hAnsi="Cambria"/>
          <w:sz w:val="22"/>
          <w:szCs w:val="22"/>
        </w:rPr>
        <w:t>under stringent conditions,</w:t>
      </w:r>
      <w:r w:rsidR="00573A54">
        <w:rPr>
          <w:rFonts w:ascii="Cambria" w:hAnsi="Cambria"/>
          <w:sz w:val="22"/>
          <w:szCs w:val="22"/>
        </w:rPr>
        <w:t xml:space="preserve"> where reforms are tracking well and there is the opportunity for substantial additional gains by extending what is being done.</w:t>
      </w:r>
    </w:p>
    <w:p w14:paraId="79CD1B1F" w14:textId="63607C82" w:rsidR="00573A54" w:rsidRPr="00AF2BB2" w:rsidRDefault="00573A54" w:rsidP="00B20B3B">
      <w:pPr>
        <w:pStyle w:val="ListParagraph"/>
        <w:numPr>
          <w:ilvl w:val="0"/>
          <w:numId w:val="3"/>
        </w:numPr>
        <w:spacing w:before="240"/>
        <w:ind w:left="357" w:right="174" w:hanging="357"/>
        <w:contextualSpacing w:val="0"/>
        <w:jc w:val="both"/>
        <w:rPr>
          <w:rFonts w:ascii="Cambria" w:hAnsi="Cambria"/>
          <w:b/>
          <w:bCs/>
          <w:sz w:val="22"/>
          <w:szCs w:val="22"/>
        </w:rPr>
      </w:pPr>
      <w:r>
        <w:rPr>
          <w:rFonts w:ascii="Cambria" w:hAnsi="Cambria"/>
          <w:sz w:val="22"/>
          <w:szCs w:val="22"/>
        </w:rPr>
        <w:t xml:space="preserve">When considering reform priorities, </w:t>
      </w:r>
      <w:r w:rsidRPr="00AF2BB2">
        <w:rPr>
          <w:rFonts w:ascii="Cambria" w:hAnsi="Cambria"/>
          <w:b/>
          <w:bCs/>
          <w:sz w:val="22"/>
          <w:szCs w:val="22"/>
        </w:rPr>
        <w:t xml:space="preserve">explicit attention should be given to </w:t>
      </w:r>
      <w:r w:rsidR="009B3A84">
        <w:rPr>
          <w:rFonts w:ascii="Cambria" w:hAnsi="Cambria"/>
          <w:b/>
          <w:bCs/>
          <w:sz w:val="22"/>
          <w:szCs w:val="22"/>
        </w:rPr>
        <w:t>how TAF will</w:t>
      </w:r>
      <w:r w:rsidR="009967FF">
        <w:rPr>
          <w:rFonts w:ascii="Cambria" w:hAnsi="Cambria"/>
          <w:b/>
          <w:bCs/>
          <w:sz w:val="22"/>
          <w:szCs w:val="22"/>
        </w:rPr>
        <w:t xml:space="preserve"> </w:t>
      </w:r>
      <w:r w:rsidR="009B3A84">
        <w:rPr>
          <w:rFonts w:ascii="Cambria" w:hAnsi="Cambria"/>
          <w:b/>
          <w:bCs/>
          <w:sz w:val="22"/>
          <w:szCs w:val="22"/>
        </w:rPr>
        <w:t>accomplish</w:t>
      </w:r>
      <w:r w:rsidR="009967FF">
        <w:rPr>
          <w:rFonts w:ascii="Cambria" w:hAnsi="Cambria"/>
          <w:b/>
          <w:bCs/>
          <w:sz w:val="22"/>
          <w:szCs w:val="22"/>
        </w:rPr>
        <w:t xml:space="preserve"> initiative-specific, </w:t>
      </w:r>
      <w:r w:rsidR="009B3A84">
        <w:rPr>
          <w:rFonts w:ascii="Cambria" w:hAnsi="Cambria"/>
          <w:b/>
          <w:bCs/>
          <w:sz w:val="22"/>
          <w:szCs w:val="22"/>
        </w:rPr>
        <w:t>‘techni</w:t>
      </w:r>
      <w:r w:rsidR="009967FF">
        <w:rPr>
          <w:rFonts w:ascii="Cambria" w:hAnsi="Cambria"/>
          <w:b/>
          <w:bCs/>
          <w:sz w:val="22"/>
          <w:szCs w:val="22"/>
        </w:rPr>
        <w:t>c</w:t>
      </w:r>
      <w:r w:rsidR="009B3A84">
        <w:rPr>
          <w:rFonts w:ascii="Cambria" w:hAnsi="Cambria"/>
          <w:b/>
          <w:bCs/>
          <w:sz w:val="22"/>
          <w:szCs w:val="22"/>
        </w:rPr>
        <w:t>ally sound, politically possible solutions</w:t>
      </w:r>
      <w:r w:rsidR="009967FF">
        <w:rPr>
          <w:rFonts w:ascii="Cambria" w:hAnsi="Cambria"/>
          <w:b/>
          <w:bCs/>
          <w:sz w:val="22"/>
          <w:szCs w:val="22"/>
        </w:rPr>
        <w:t xml:space="preserve">’ </w:t>
      </w:r>
    </w:p>
    <w:p w14:paraId="4C967FDA" w14:textId="7D2A801E" w:rsidR="00573A54" w:rsidRPr="00AF2BB2" w:rsidRDefault="00573A54" w:rsidP="00B20B3B">
      <w:pPr>
        <w:pStyle w:val="ListParagraph"/>
        <w:numPr>
          <w:ilvl w:val="1"/>
          <w:numId w:val="3"/>
        </w:numPr>
        <w:spacing w:before="80"/>
        <w:ind w:left="714" w:right="174" w:hanging="357"/>
        <w:contextualSpacing w:val="0"/>
        <w:jc w:val="both"/>
        <w:rPr>
          <w:rFonts w:ascii="Cambria" w:hAnsi="Cambria"/>
          <w:b/>
          <w:bCs/>
          <w:sz w:val="22"/>
          <w:szCs w:val="22"/>
        </w:rPr>
      </w:pPr>
      <w:r>
        <w:rPr>
          <w:rFonts w:ascii="Cambria" w:hAnsi="Cambria"/>
          <w:sz w:val="22"/>
          <w:szCs w:val="22"/>
        </w:rPr>
        <w:t xml:space="preserve">TAF does not need to be expert in all fields, but </w:t>
      </w:r>
      <w:r w:rsidR="009967FF">
        <w:rPr>
          <w:rFonts w:ascii="Cambria" w:hAnsi="Cambria"/>
          <w:sz w:val="22"/>
          <w:szCs w:val="22"/>
        </w:rPr>
        <w:t xml:space="preserve">particularly </w:t>
      </w:r>
      <w:r>
        <w:rPr>
          <w:rFonts w:ascii="Cambria" w:hAnsi="Cambria"/>
          <w:sz w:val="22"/>
          <w:szCs w:val="22"/>
        </w:rPr>
        <w:t>where it is not</w:t>
      </w:r>
      <w:r w:rsidRPr="00840607">
        <w:rPr>
          <w:rFonts w:ascii="Cambria" w:hAnsi="Cambria"/>
          <w:sz w:val="22"/>
          <w:szCs w:val="22"/>
        </w:rPr>
        <w:t xml:space="preserve">, </w:t>
      </w:r>
      <w:r w:rsidR="00840607" w:rsidRPr="00840607">
        <w:rPr>
          <w:rFonts w:ascii="Cambria" w:hAnsi="Cambria"/>
          <w:sz w:val="22"/>
          <w:szCs w:val="22"/>
        </w:rPr>
        <w:t>it</w:t>
      </w:r>
      <w:r w:rsidRPr="00840607">
        <w:rPr>
          <w:rFonts w:ascii="Cambria" w:hAnsi="Cambria"/>
          <w:sz w:val="22"/>
          <w:szCs w:val="22"/>
        </w:rPr>
        <w:t xml:space="preserve"> </w:t>
      </w:r>
      <w:r w:rsidR="00D16540">
        <w:rPr>
          <w:rFonts w:ascii="Cambria" w:hAnsi="Cambria"/>
          <w:sz w:val="22"/>
          <w:szCs w:val="22"/>
        </w:rPr>
        <w:t>must</w:t>
      </w:r>
      <w:r w:rsidRPr="00840607">
        <w:rPr>
          <w:rFonts w:ascii="Cambria" w:hAnsi="Cambria"/>
          <w:sz w:val="22"/>
          <w:szCs w:val="22"/>
        </w:rPr>
        <w:t xml:space="preserve"> </w:t>
      </w:r>
      <w:r w:rsidRPr="00AF2BB2">
        <w:rPr>
          <w:rFonts w:ascii="Cambria" w:hAnsi="Cambria"/>
          <w:b/>
          <w:bCs/>
          <w:sz w:val="22"/>
          <w:szCs w:val="22"/>
        </w:rPr>
        <w:t xml:space="preserve">demonstrate that it can </w:t>
      </w:r>
      <w:r w:rsidR="009967FF">
        <w:rPr>
          <w:rFonts w:ascii="Cambria" w:hAnsi="Cambria"/>
          <w:b/>
          <w:bCs/>
          <w:sz w:val="22"/>
          <w:szCs w:val="22"/>
        </w:rPr>
        <w:t>harness the skills of</w:t>
      </w:r>
      <w:r w:rsidRPr="009967FF">
        <w:rPr>
          <w:rFonts w:ascii="Cambria" w:hAnsi="Cambria"/>
          <w:sz w:val="22"/>
          <w:szCs w:val="22"/>
        </w:rPr>
        <w:t xml:space="preserve"> </w:t>
      </w:r>
      <w:r w:rsidRPr="00AF2BB2">
        <w:rPr>
          <w:rFonts w:ascii="Cambria" w:hAnsi="Cambria"/>
          <w:b/>
          <w:bCs/>
          <w:sz w:val="22"/>
          <w:szCs w:val="22"/>
        </w:rPr>
        <w:t>leading organisations and individuals</w:t>
      </w:r>
      <w:r w:rsidR="004A4ACA">
        <w:rPr>
          <w:rFonts w:ascii="Cambria" w:hAnsi="Cambria"/>
          <w:b/>
          <w:bCs/>
          <w:sz w:val="22"/>
          <w:szCs w:val="22"/>
        </w:rPr>
        <w:t xml:space="preserve">  </w:t>
      </w:r>
    </w:p>
    <w:p w14:paraId="44B3B752" w14:textId="5E951F5D" w:rsidR="00573A54" w:rsidRDefault="00573A54" w:rsidP="00B20B3B">
      <w:pPr>
        <w:pStyle w:val="ListParagraph"/>
        <w:numPr>
          <w:ilvl w:val="1"/>
          <w:numId w:val="3"/>
        </w:numPr>
        <w:spacing w:before="80"/>
        <w:ind w:right="174"/>
        <w:contextualSpacing w:val="0"/>
        <w:jc w:val="both"/>
        <w:rPr>
          <w:rFonts w:ascii="Cambria" w:hAnsi="Cambria"/>
          <w:sz w:val="22"/>
          <w:szCs w:val="22"/>
        </w:rPr>
      </w:pPr>
      <w:r>
        <w:rPr>
          <w:rFonts w:ascii="Cambria" w:hAnsi="Cambria"/>
          <w:sz w:val="22"/>
          <w:szCs w:val="22"/>
        </w:rPr>
        <w:t xml:space="preserve">Likewise, the </w:t>
      </w:r>
      <w:r w:rsidRPr="00AF2BB2">
        <w:rPr>
          <w:rFonts w:ascii="Cambria" w:hAnsi="Cambria"/>
          <w:b/>
          <w:bCs/>
          <w:sz w:val="22"/>
          <w:szCs w:val="22"/>
        </w:rPr>
        <w:t xml:space="preserve">extent of other </w:t>
      </w:r>
      <w:r w:rsidR="009967FF">
        <w:rPr>
          <w:rFonts w:ascii="Cambria" w:hAnsi="Cambria"/>
          <w:b/>
          <w:bCs/>
          <w:sz w:val="22"/>
          <w:szCs w:val="22"/>
        </w:rPr>
        <w:t>international</w:t>
      </w:r>
      <w:r w:rsidRPr="00AF2BB2">
        <w:rPr>
          <w:rFonts w:ascii="Cambria" w:hAnsi="Cambria"/>
          <w:b/>
          <w:bCs/>
          <w:sz w:val="22"/>
          <w:szCs w:val="22"/>
        </w:rPr>
        <w:t xml:space="preserve"> </w:t>
      </w:r>
      <w:r w:rsidR="00293E75">
        <w:rPr>
          <w:rFonts w:ascii="Cambria" w:hAnsi="Cambria"/>
          <w:b/>
          <w:bCs/>
          <w:sz w:val="22"/>
          <w:szCs w:val="22"/>
        </w:rPr>
        <w:t>assistance</w:t>
      </w:r>
      <w:r w:rsidRPr="00AF2BB2">
        <w:rPr>
          <w:rFonts w:ascii="Cambria" w:hAnsi="Cambria"/>
          <w:b/>
          <w:bCs/>
          <w:sz w:val="22"/>
          <w:szCs w:val="22"/>
        </w:rPr>
        <w:t xml:space="preserve"> should be formally canvassed</w:t>
      </w:r>
      <w:r>
        <w:rPr>
          <w:rFonts w:ascii="Cambria" w:hAnsi="Cambria"/>
          <w:sz w:val="22"/>
          <w:szCs w:val="22"/>
        </w:rPr>
        <w:t xml:space="preserve"> and made visible at the outset to allow Australia to establish how to position vis-a-vis others</w:t>
      </w:r>
    </w:p>
    <w:p w14:paraId="3D8C988F" w14:textId="5AE69ED0" w:rsidR="00573A54" w:rsidRPr="000E7210" w:rsidRDefault="000E7210" w:rsidP="00B20B3B">
      <w:pPr>
        <w:pStyle w:val="ListParagraph"/>
        <w:numPr>
          <w:ilvl w:val="1"/>
          <w:numId w:val="3"/>
        </w:numPr>
        <w:spacing w:before="80"/>
        <w:ind w:left="714" w:right="174" w:hanging="357"/>
        <w:contextualSpacing w:val="0"/>
        <w:jc w:val="both"/>
        <w:rPr>
          <w:rFonts w:ascii="Cambria" w:hAnsi="Cambria"/>
          <w:sz w:val="22"/>
          <w:szCs w:val="22"/>
        </w:rPr>
      </w:pPr>
      <w:r w:rsidRPr="000E7210">
        <w:rPr>
          <w:rFonts w:ascii="Cambria" w:hAnsi="Cambria"/>
          <w:sz w:val="22"/>
          <w:szCs w:val="22"/>
        </w:rPr>
        <w:t>This is not intended as a reversion to traditional design</w:t>
      </w:r>
      <w:r>
        <w:rPr>
          <w:rFonts w:ascii="Cambria" w:hAnsi="Cambria"/>
          <w:sz w:val="22"/>
          <w:szCs w:val="22"/>
        </w:rPr>
        <w:t>,</w:t>
      </w:r>
      <w:r w:rsidRPr="000E7210">
        <w:rPr>
          <w:rFonts w:ascii="Cambria" w:hAnsi="Cambria"/>
          <w:sz w:val="22"/>
          <w:szCs w:val="22"/>
        </w:rPr>
        <w:t xml:space="preserve"> but rather to </w:t>
      </w:r>
      <w:r w:rsidRPr="000E7210">
        <w:rPr>
          <w:rFonts w:ascii="Cambria" w:hAnsi="Cambria"/>
          <w:b/>
          <w:bCs/>
          <w:sz w:val="22"/>
          <w:szCs w:val="22"/>
        </w:rPr>
        <w:t xml:space="preserve">test very thoroughly the logic of the theory </w:t>
      </w:r>
      <w:r w:rsidR="00D86AA9">
        <w:rPr>
          <w:rFonts w:ascii="Cambria" w:hAnsi="Cambria"/>
          <w:b/>
          <w:bCs/>
          <w:sz w:val="22"/>
          <w:szCs w:val="22"/>
        </w:rPr>
        <w:t xml:space="preserve">of </w:t>
      </w:r>
      <w:r w:rsidRPr="000E7210">
        <w:rPr>
          <w:rFonts w:ascii="Cambria" w:hAnsi="Cambria"/>
          <w:b/>
          <w:bCs/>
          <w:sz w:val="22"/>
          <w:szCs w:val="22"/>
        </w:rPr>
        <w:t>change</w:t>
      </w:r>
      <w:r w:rsidRPr="000E7210">
        <w:rPr>
          <w:rFonts w:ascii="Cambria" w:hAnsi="Cambria"/>
          <w:sz w:val="22"/>
          <w:szCs w:val="22"/>
        </w:rPr>
        <w:t>, both at the outset and as the program  evolves</w:t>
      </w:r>
      <w:r w:rsidR="00212E3C">
        <w:rPr>
          <w:rFonts w:ascii="Cambria" w:hAnsi="Cambria"/>
          <w:sz w:val="22"/>
          <w:szCs w:val="22"/>
        </w:rPr>
        <w:t>.</w:t>
      </w:r>
    </w:p>
    <w:p w14:paraId="5F1BCC57" w14:textId="322E03BE" w:rsidR="00291AE6" w:rsidRPr="000E7210" w:rsidRDefault="00573A54" w:rsidP="00B20B3B">
      <w:pPr>
        <w:pStyle w:val="ListParagraph"/>
        <w:numPr>
          <w:ilvl w:val="0"/>
          <w:numId w:val="3"/>
        </w:numPr>
        <w:spacing w:before="240"/>
        <w:ind w:left="357" w:right="174" w:hanging="357"/>
        <w:contextualSpacing w:val="0"/>
        <w:jc w:val="both"/>
        <w:rPr>
          <w:rFonts w:ascii="Cambria" w:hAnsi="Cambria"/>
          <w:sz w:val="22"/>
          <w:szCs w:val="22"/>
        </w:rPr>
      </w:pPr>
      <w:r w:rsidRPr="00AF2BB2">
        <w:rPr>
          <w:rFonts w:ascii="Cambria" w:hAnsi="Cambria"/>
          <w:b/>
          <w:bCs/>
          <w:sz w:val="22"/>
          <w:szCs w:val="22"/>
        </w:rPr>
        <w:t>Partners need to explicitly think through exit options</w:t>
      </w:r>
      <w:r w:rsidRPr="00CB0F49">
        <w:rPr>
          <w:rFonts w:ascii="Cambria" w:hAnsi="Cambria"/>
          <w:sz w:val="22"/>
          <w:szCs w:val="22"/>
        </w:rPr>
        <w:t>, as most of the reform programs will continue over many years, in some cases decades</w:t>
      </w:r>
      <w:r>
        <w:rPr>
          <w:rFonts w:ascii="Cambria" w:hAnsi="Cambria"/>
          <w:sz w:val="22"/>
          <w:szCs w:val="22"/>
        </w:rPr>
        <w:t xml:space="preserve"> and there is the risk of loose ends and fractured relations</w:t>
      </w:r>
      <w:r w:rsidR="00840607">
        <w:rPr>
          <w:rFonts w:ascii="Cambria" w:hAnsi="Cambria"/>
          <w:sz w:val="22"/>
          <w:szCs w:val="22"/>
        </w:rPr>
        <w:t xml:space="preserve"> if initiatives end abruptly.</w:t>
      </w:r>
    </w:p>
    <w:p w14:paraId="19160104" w14:textId="235B879B" w:rsidR="00212E3C" w:rsidRPr="00212E3C" w:rsidRDefault="00212E3C" w:rsidP="00B20B3B">
      <w:pPr>
        <w:pStyle w:val="ListParagraph"/>
        <w:numPr>
          <w:ilvl w:val="0"/>
          <w:numId w:val="3"/>
        </w:numPr>
        <w:spacing w:before="240"/>
        <w:ind w:left="357" w:right="174" w:hanging="357"/>
        <w:contextualSpacing w:val="0"/>
        <w:jc w:val="both"/>
        <w:rPr>
          <w:rFonts w:ascii="Cambria" w:hAnsi="Cambria"/>
          <w:sz w:val="22"/>
          <w:szCs w:val="22"/>
        </w:rPr>
      </w:pPr>
      <w:r w:rsidRPr="003E6C49">
        <w:rPr>
          <w:rFonts w:ascii="Cambria" w:hAnsi="Cambria"/>
          <w:sz w:val="22"/>
          <w:szCs w:val="22"/>
        </w:rPr>
        <w:t>The</w:t>
      </w:r>
      <w:r>
        <w:rPr>
          <w:rFonts w:ascii="Cambria" w:hAnsi="Cambria"/>
          <w:b/>
          <w:bCs/>
          <w:sz w:val="22"/>
          <w:szCs w:val="22"/>
        </w:rPr>
        <w:t xml:space="preserve"> strategy testing process should be enhanced </w:t>
      </w:r>
      <w:r w:rsidRPr="004F3B68">
        <w:rPr>
          <w:rFonts w:ascii="Cambria" w:hAnsi="Cambria"/>
          <w:sz w:val="22"/>
          <w:szCs w:val="22"/>
        </w:rPr>
        <w:t>to maximise interrogation of performance data, tighten outcomes, clarify strategies and expand management responses.</w:t>
      </w:r>
    </w:p>
    <w:p w14:paraId="1A717FDD" w14:textId="6EFD9B6D" w:rsidR="009967FF" w:rsidRPr="009967FF" w:rsidRDefault="00573A54" w:rsidP="00B20B3B">
      <w:pPr>
        <w:pStyle w:val="ListParagraph"/>
        <w:numPr>
          <w:ilvl w:val="0"/>
          <w:numId w:val="3"/>
        </w:numPr>
        <w:spacing w:before="240"/>
        <w:ind w:left="357" w:right="174" w:hanging="357"/>
        <w:contextualSpacing w:val="0"/>
        <w:jc w:val="both"/>
        <w:rPr>
          <w:rFonts w:ascii="Cambria" w:hAnsi="Cambria"/>
          <w:sz w:val="22"/>
          <w:szCs w:val="22"/>
        </w:rPr>
      </w:pPr>
      <w:r w:rsidRPr="00F222B9">
        <w:rPr>
          <w:rFonts w:ascii="Cambria" w:hAnsi="Cambria"/>
          <w:b/>
          <w:bCs/>
          <w:sz w:val="22"/>
          <w:szCs w:val="22"/>
        </w:rPr>
        <w:t xml:space="preserve">The performance management system should be </w:t>
      </w:r>
      <w:r w:rsidR="00293E75">
        <w:rPr>
          <w:rFonts w:ascii="Cambria" w:hAnsi="Cambria"/>
          <w:b/>
          <w:bCs/>
          <w:sz w:val="22"/>
          <w:szCs w:val="22"/>
        </w:rPr>
        <w:t>sharpened</w:t>
      </w:r>
      <w:r w:rsidRPr="00F222B9">
        <w:rPr>
          <w:rFonts w:ascii="Cambria" w:hAnsi="Cambria"/>
          <w:b/>
          <w:bCs/>
          <w:sz w:val="22"/>
          <w:szCs w:val="22"/>
        </w:rPr>
        <w:t xml:space="preserve"> </w:t>
      </w:r>
      <w:r w:rsidR="009967FF" w:rsidRPr="004F3B68">
        <w:rPr>
          <w:rFonts w:ascii="Cambria" w:hAnsi="Cambria"/>
          <w:sz w:val="22"/>
          <w:szCs w:val="22"/>
        </w:rPr>
        <w:t>in the following ways:</w:t>
      </w:r>
    </w:p>
    <w:p w14:paraId="787EE130" w14:textId="480344CC" w:rsidR="009967FF" w:rsidRPr="009967FF" w:rsidRDefault="009967FF" w:rsidP="00B20B3B">
      <w:pPr>
        <w:pStyle w:val="ListParagraph"/>
        <w:numPr>
          <w:ilvl w:val="0"/>
          <w:numId w:val="39"/>
        </w:numPr>
        <w:spacing w:before="80"/>
        <w:ind w:left="714" w:right="174" w:hanging="357"/>
        <w:contextualSpacing w:val="0"/>
        <w:jc w:val="both"/>
        <w:rPr>
          <w:rFonts w:ascii="Cambria" w:hAnsi="Cambria"/>
          <w:sz w:val="22"/>
          <w:szCs w:val="22"/>
        </w:rPr>
      </w:pPr>
      <w:r w:rsidRPr="009967FF">
        <w:rPr>
          <w:rFonts w:ascii="Cambria" w:hAnsi="Cambria"/>
          <w:b/>
          <w:bCs/>
          <w:sz w:val="22"/>
          <w:szCs w:val="22"/>
        </w:rPr>
        <w:t>The Monitoring and Evaluation Plan should be updated and integrated into</w:t>
      </w:r>
      <w:r w:rsidRPr="004F3B68">
        <w:rPr>
          <w:rFonts w:ascii="Cambria" w:hAnsi="Cambria"/>
          <w:b/>
          <w:bCs/>
          <w:sz w:val="22"/>
          <w:szCs w:val="22"/>
        </w:rPr>
        <w:t xml:space="preserve"> </w:t>
      </w:r>
      <w:r w:rsidRPr="004F3B68">
        <w:rPr>
          <w:rFonts w:ascii="Cambria" w:hAnsi="Cambria"/>
          <w:b/>
          <w:bCs/>
          <w:sz w:val="21"/>
          <w:szCs w:val="21"/>
        </w:rPr>
        <w:t xml:space="preserve">management </w:t>
      </w:r>
      <w:r w:rsidRPr="004F3B68">
        <w:rPr>
          <w:rFonts w:ascii="Cambria" w:hAnsi="Cambria"/>
          <w:b/>
          <w:bCs/>
          <w:sz w:val="22"/>
          <w:szCs w:val="22"/>
        </w:rPr>
        <w:t>processes</w:t>
      </w:r>
      <w:r w:rsidRPr="009967FF">
        <w:rPr>
          <w:rFonts w:ascii="Cambria" w:hAnsi="Cambria"/>
          <w:sz w:val="22"/>
          <w:szCs w:val="22"/>
        </w:rPr>
        <w:t xml:space="preserve"> to deliver progressively</w:t>
      </w:r>
      <w:r w:rsidRPr="004F3B68">
        <w:rPr>
          <w:rFonts w:ascii="Cambria" w:hAnsi="Cambria"/>
          <w:sz w:val="22"/>
          <w:szCs w:val="22"/>
        </w:rPr>
        <w:t xml:space="preserve"> more specific objectives </w:t>
      </w:r>
      <w:r w:rsidR="004F3B68">
        <w:rPr>
          <w:rFonts w:ascii="Cambria" w:hAnsi="Cambria"/>
          <w:sz w:val="22"/>
          <w:szCs w:val="22"/>
        </w:rPr>
        <w:t>and</w:t>
      </w:r>
      <w:r w:rsidRPr="004F3B68">
        <w:rPr>
          <w:rFonts w:ascii="Cambria" w:hAnsi="Cambria"/>
          <w:sz w:val="22"/>
          <w:szCs w:val="22"/>
        </w:rPr>
        <w:t xml:space="preserve"> strategies</w:t>
      </w:r>
    </w:p>
    <w:p w14:paraId="118BD84B" w14:textId="1F0F1869" w:rsidR="009967FF" w:rsidRPr="009967FF" w:rsidRDefault="009967FF" w:rsidP="00B20B3B">
      <w:pPr>
        <w:pStyle w:val="ListParagraph"/>
        <w:numPr>
          <w:ilvl w:val="0"/>
          <w:numId w:val="39"/>
        </w:numPr>
        <w:spacing w:before="80"/>
        <w:ind w:left="714" w:right="174" w:hanging="357"/>
        <w:contextualSpacing w:val="0"/>
        <w:jc w:val="both"/>
        <w:rPr>
          <w:rFonts w:ascii="Cambria" w:hAnsi="Cambria"/>
          <w:sz w:val="22"/>
          <w:szCs w:val="22"/>
        </w:rPr>
      </w:pPr>
      <w:r w:rsidRPr="009967FF">
        <w:rPr>
          <w:rFonts w:ascii="Cambria" w:hAnsi="Cambria"/>
          <w:sz w:val="22"/>
          <w:szCs w:val="22"/>
        </w:rPr>
        <w:t xml:space="preserve">Management processes should formally </w:t>
      </w:r>
      <w:r w:rsidRPr="009967FF">
        <w:rPr>
          <w:rFonts w:ascii="Cambria" w:hAnsi="Cambria"/>
          <w:b/>
          <w:bCs/>
          <w:sz w:val="22"/>
          <w:szCs w:val="22"/>
        </w:rPr>
        <w:t>extend monitoring, reporting and management responses to all three objectives,</w:t>
      </w:r>
      <w:r w:rsidRPr="009967FF">
        <w:rPr>
          <w:rFonts w:ascii="Cambria" w:hAnsi="Cambria"/>
          <w:sz w:val="22"/>
          <w:szCs w:val="22"/>
        </w:rPr>
        <w:t xml:space="preserve"> not just reform progress</w:t>
      </w:r>
      <w:r w:rsidR="00D86AA9">
        <w:rPr>
          <w:rFonts w:ascii="Cambria" w:hAnsi="Cambria"/>
          <w:sz w:val="22"/>
          <w:szCs w:val="22"/>
        </w:rPr>
        <w:t>, central as it is</w:t>
      </w:r>
    </w:p>
    <w:p w14:paraId="79828B8C" w14:textId="2F6A6802" w:rsidR="009967FF" w:rsidRDefault="009967FF" w:rsidP="00B20B3B">
      <w:pPr>
        <w:pStyle w:val="ListParagraph"/>
        <w:numPr>
          <w:ilvl w:val="0"/>
          <w:numId w:val="39"/>
        </w:numPr>
        <w:spacing w:before="80"/>
        <w:ind w:left="714" w:right="174" w:hanging="357"/>
        <w:contextualSpacing w:val="0"/>
        <w:jc w:val="both"/>
        <w:rPr>
          <w:rFonts w:ascii="Cambria" w:hAnsi="Cambria"/>
          <w:sz w:val="22"/>
          <w:szCs w:val="22"/>
        </w:rPr>
      </w:pPr>
      <w:r>
        <w:rPr>
          <w:rFonts w:ascii="Cambria" w:hAnsi="Cambria"/>
          <w:b/>
          <w:bCs/>
          <w:sz w:val="22"/>
          <w:szCs w:val="22"/>
        </w:rPr>
        <w:t>T</w:t>
      </w:r>
      <w:r w:rsidR="00573A54" w:rsidRPr="009967FF">
        <w:rPr>
          <w:rFonts w:ascii="Cambria" w:hAnsi="Cambria"/>
          <w:b/>
          <w:bCs/>
          <w:sz w:val="22"/>
          <w:szCs w:val="22"/>
        </w:rPr>
        <w:t xml:space="preserve">raffic lights </w:t>
      </w:r>
      <w:r>
        <w:rPr>
          <w:rFonts w:ascii="Cambria" w:hAnsi="Cambria"/>
          <w:b/>
          <w:bCs/>
          <w:sz w:val="22"/>
          <w:szCs w:val="22"/>
        </w:rPr>
        <w:t xml:space="preserve">should be used to indicate progress </w:t>
      </w:r>
      <w:r w:rsidR="00573A54" w:rsidRPr="009967FF">
        <w:rPr>
          <w:rFonts w:ascii="Cambria" w:hAnsi="Cambria"/>
          <w:b/>
          <w:bCs/>
          <w:sz w:val="22"/>
          <w:szCs w:val="22"/>
        </w:rPr>
        <w:t xml:space="preserve">against </w:t>
      </w:r>
      <w:r w:rsidR="00573A54" w:rsidRPr="009967FF">
        <w:rPr>
          <w:rFonts w:ascii="Cambria" w:hAnsi="Cambria"/>
          <w:sz w:val="22"/>
          <w:szCs w:val="22"/>
        </w:rPr>
        <w:t xml:space="preserve">each reform initiative </w:t>
      </w:r>
      <w:r>
        <w:rPr>
          <w:rFonts w:ascii="Cambria" w:hAnsi="Cambria"/>
          <w:sz w:val="22"/>
          <w:szCs w:val="22"/>
        </w:rPr>
        <w:t>&amp;</w:t>
      </w:r>
      <w:r w:rsidR="00573A54" w:rsidRPr="009967FF">
        <w:rPr>
          <w:rFonts w:ascii="Cambria" w:hAnsi="Cambria"/>
          <w:sz w:val="22"/>
          <w:szCs w:val="22"/>
        </w:rPr>
        <w:t xml:space="preserve"> objective</w:t>
      </w:r>
    </w:p>
    <w:p w14:paraId="671BE0A2" w14:textId="29F36B21" w:rsidR="00573A54" w:rsidRPr="000E7210" w:rsidRDefault="009967FF" w:rsidP="00B20B3B">
      <w:pPr>
        <w:pStyle w:val="ListParagraph"/>
        <w:numPr>
          <w:ilvl w:val="0"/>
          <w:numId w:val="39"/>
        </w:numPr>
        <w:spacing w:before="80"/>
        <w:ind w:left="714" w:right="174" w:hanging="357"/>
        <w:contextualSpacing w:val="0"/>
        <w:jc w:val="both"/>
        <w:rPr>
          <w:rFonts w:ascii="Cambria" w:hAnsi="Cambria"/>
          <w:sz w:val="22"/>
          <w:szCs w:val="22"/>
        </w:rPr>
      </w:pPr>
      <w:r>
        <w:rPr>
          <w:rFonts w:ascii="Cambria" w:hAnsi="Cambria"/>
          <w:sz w:val="22"/>
          <w:szCs w:val="22"/>
        </w:rPr>
        <w:t>Performance</w:t>
      </w:r>
      <w:r w:rsidR="00840607" w:rsidRPr="009967FF">
        <w:rPr>
          <w:rFonts w:ascii="Cambria" w:hAnsi="Cambria"/>
          <w:sz w:val="22"/>
          <w:szCs w:val="22"/>
        </w:rPr>
        <w:t xml:space="preserve"> data should be </w:t>
      </w:r>
      <w:r w:rsidR="00573A54" w:rsidRPr="009967FF">
        <w:rPr>
          <w:rFonts w:ascii="Cambria" w:hAnsi="Cambria"/>
          <w:sz w:val="22"/>
          <w:szCs w:val="22"/>
        </w:rPr>
        <w:t xml:space="preserve">summarised in a table showing </w:t>
      </w:r>
      <w:r w:rsidR="00573A54" w:rsidRPr="009967FF">
        <w:rPr>
          <w:rFonts w:ascii="Cambria" w:hAnsi="Cambria"/>
          <w:b/>
          <w:bCs/>
          <w:sz w:val="22"/>
          <w:szCs w:val="22"/>
        </w:rPr>
        <w:t>program performance on a page</w:t>
      </w:r>
      <w:r w:rsidR="00212E3C">
        <w:rPr>
          <w:rFonts w:ascii="Cambria" w:hAnsi="Cambria"/>
          <w:b/>
          <w:bCs/>
          <w:sz w:val="22"/>
          <w:szCs w:val="22"/>
        </w:rPr>
        <w:t>.</w:t>
      </w:r>
    </w:p>
    <w:p w14:paraId="33858975" w14:textId="74C4E25A" w:rsidR="00573A54" w:rsidRPr="00AF2BB2" w:rsidRDefault="00573A54" w:rsidP="00B20B3B">
      <w:pPr>
        <w:pStyle w:val="ListParagraph"/>
        <w:numPr>
          <w:ilvl w:val="0"/>
          <w:numId w:val="3"/>
        </w:numPr>
        <w:spacing w:before="240"/>
        <w:ind w:left="357" w:right="174" w:hanging="357"/>
        <w:contextualSpacing w:val="0"/>
        <w:jc w:val="both"/>
        <w:rPr>
          <w:rFonts w:ascii="Cambria" w:hAnsi="Cambria"/>
          <w:b/>
          <w:bCs/>
          <w:sz w:val="22"/>
          <w:szCs w:val="22"/>
        </w:rPr>
      </w:pPr>
      <w:r w:rsidRPr="00AF2BB2">
        <w:rPr>
          <w:rFonts w:ascii="Cambria" w:hAnsi="Cambria"/>
          <w:b/>
          <w:bCs/>
          <w:sz w:val="22"/>
          <w:szCs w:val="22"/>
        </w:rPr>
        <w:t xml:space="preserve">DFAT should determine how it wants to position in </w:t>
      </w:r>
      <w:r w:rsidR="00394001">
        <w:rPr>
          <w:rFonts w:ascii="Cambria" w:hAnsi="Cambria"/>
          <w:b/>
          <w:bCs/>
          <w:sz w:val="22"/>
          <w:szCs w:val="22"/>
        </w:rPr>
        <w:t xml:space="preserve">AMICs </w:t>
      </w:r>
      <w:r w:rsidRPr="00AF2BB2">
        <w:rPr>
          <w:rFonts w:ascii="Cambria" w:hAnsi="Cambria"/>
          <w:b/>
          <w:bCs/>
          <w:sz w:val="22"/>
          <w:szCs w:val="22"/>
        </w:rPr>
        <w:t>in the medium-longer term</w:t>
      </w:r>
    </w:p>
    <w:p w14:paraId="24F728D8" w14:textId="59B174DF" w:rsidR="00573A54" w:rsidRDefault="00840607" w:rsidP="00B20B3B">
      <w:pPr>
        <w:pStyle w:val="ListParagraph"/>
        <w:numPr>
          <w:ilvl w:val="1"/>
          <w:numId w:val="3"/>
        </w:numPr>
        <w:spacing w:before="80"/>
        <w:ind w:right="174"/>
        <w:contextualSpacing w:val="0"/>
        <w:jc w:val="both"/>
        <w:rPr>
          <w:rFonts w:ascii="Cambria" w:hAnsi="Cambria"/>
          <w:sz w:val="22"/>
          <w:szCs w:val="22"/>
        </w:rPr>
      </w:pPr>
      <w:r>
        <w:rPr>
          <w:rFonts w:ascii="Cambria" w:hAnsi="Cambria"/>
          <w:sz w:val="22"/>
          <w:szCs w:val="22"/>
        </w:rPr>
        <w:t>An</w:t>
      </w:r>
      <w:r w:rsidR="00573A54">
        <w:rPr>
          <w:rFonts w:ascii="Cambria" w:hAnsi="Cambria"/>
          <w:sz w:val="22"/>
          <w:szCs w:val="22"/>
        </w:rPr>
        <w:t xml:space="preserve"> </w:t>
      </w:r>
      <w:r w:rsidR="00573A54" w:rsidRPr="00AF2BB2">
        <w:rPr>
          <w:rFonts w:ascii="Cambria" w:hAnsi="Cambria"/>
          <w:b/>
          <w:bCs/>
          <w:sz w:val="22"/>
          <w:szCs w:val="22"/>
        </w:rPr>
        <w:t>expanded, more proactive approach</w:t>
      </w:r>
      <w:r w:rsidR="00573A54">
        <w:rPr>
          <w:rFonts w:ascii="Cambria" w:hAnsi="Cambria"/>
          <w:sz w:val="22"/>
          <w:szCs w:val="22"/>
        </w:rPr>
        <w:t xml:space="preserve"> </w:t>
      </w:r>
      <w:r>
        <w:rPr>
          <w:rFonts w:ascii="Cambria" w:hAnsi="Cambria"/>
          <w:sz w:val="22"/>
          <w:szCs w:val="22"/>
        </w:rPr>
        <w:t xml:space="preserve">is recommended, </w:t>
      </w:r>
      <w:r w:rsidR="00573A54">
        <w:rPr>
          <w:rFonts w:ascii="Cambria" w:hAnsi="Cambria"/>
          <w:sz w:val="22"/>
          <w:szCs w:val="22"/>
        </w:rPr>
        <w:t>based on Australian national interests</w:t>
      </w:r>
      <w:r>
        <w:rPr>
          <w:rFonts w:ascii="Cambria" w:hAnsi="Cambria"/>
          <w:sz w:val="22"/>
          <w:szCs w:val="22"/>
        </w:rPr>
        <w:t xml:space="preserve">. </w:t>
      </w:r>
      <w:r w:rsidR="00F222B9">
        <w:rPr>
          <w:rFonts w:ascii="Cambria" w:hAnsi="Cambria"/>
          <w:sz w:val="22"/>
          <w:szCs w:val="22"/>
        </w:rPr>
        <w:t xml:space="preserve"> </w:t>
      </w:r>
      <w:r>
        <w:rPr>
          <w:rFonts w:ascii="Cambria" w:hAnsi="Cambria"/>
          <w:sz w:val="22"/>
          <w:szCs w:val="22"/>
        </w:rPr>
        <w:t>This would require a policy decision and a commensurate resource commitment</w:t>
      </w:r>
    </w:p>
    <w:p w14:paraId="38E6AA0E" w14:textId="50B3C852" w:rsidR="00573A54" w:rsidRDefault="00F222B9" w:rsidP="00B20B3B">
      <w:pPr>
        <w:pStyle w:val="ListParagraph"/>
        <w:numPr>
          <w:ilvl w:val="1"/>
          <w:numId w:val="3"/>
        </w:numPr>
        <w:spacing w:before="80"/>
        <w:ind w:right="174"/>
        <w:contextualSpacing w:val="0"/>
        <w:jc w:val="both"/>
        <w:rPr>
          <w:rFonts w:ascii="Cambria" w:hAnsi="Cambria"/>
          <w:sz w:val="22"/>
          <w:szCs w:val="22"/>
        </w:rPr>
      </w:pPr>
      <w:r>
        <w:rPr>
          <w:rFonts w:ascii="Cambria" w:hAnsi="Cambria"/>
          <w:sz w:val="22"/>
          <w:szCs w:val="22"/>
        </w:rPr>
        <w:t>A</w:t>
      </w:r>
      <w:r w:rsidR="00573A54">
        <w:rPr>
          <w:rFonts w:ascii="Cambria" w:hAnsi="Cambria"/>
          <w:sz w:val="22"/>
          <w:szCs w:val="22"/>
        </w:rPr>
        <w:t xml:space="preserve"> </w:t>
      </w:r>
      <w:r w:rsidR="00573A54" w:rsidRPr="00AF2BB2">
        <w:rPr>
          <w:rFonts w:ascii="Cambria" w:hAnsi="Cambria"/>
          <w:b/>
          <w:bCs/>
          <w:sz w:val="22"/>
          <w:szCs w:val="22"/>
        </w:rPr>
        <w:t>detailed survey of ‘who is doing what’</w:t>
      </w:r>
      <w:r w:rsidR="00573A54">
        <w:rPr>
          <w:rFonts w:ascii="Cambria" w:hAnsi="Cambria"/>
          <w:sz w:val="22"/>
          <w:szCs w:val="22"/>
        </w:rPr>
        <w:t xml:space="preserve"> </w:t>
      </w:r>
      <w:r w:rsidR="00293E75">
        <w:rPr>
          <w:rFonts w:ascii="Cambria" w:hAnsi="Cambria"/>
          <w:sz w:val="22"/>
          <w:szCs w:val="22"/>
        </w:rPr>
        <w:t>is</w:t>
      </w:r>
      <w:r w:rsidR="00573A54">
        <w:rPr>
          <w:rFonts w:ascii="Cambria" w:hAnsi="Cambria"/>
          <w:sz w:val="22"/>
          <w:szCs w:val="22"/>
        </w:rPr>
        <w:t xml:space="preserve"> needed to help illuminate options</w:t>
      </w:r>
    </w:p>
    <w:p w14:paraId="7246B311" w14:textId="77777777" w:rsidR="00573A54" w:rsidRDefault="00573A54" w:rsidP="00B20B3B">
      <w:pPr>
        <w:pStyle w:val="ListParagraph"/>
        <w:numPr>
          <w:ilvl w:val="1"/>
          <w:numId w:val="3"/>
        </w:numPr>
        <w:spacing w:before="80"/>
        <w:ind w:right="174"/>
        <w:contextualSpacing w:val="0"/>
        <w:jc w:val="both"/>
        <w:rPr>
          <w:rFonts w:ascii="Cambria" w:hAnsi="Cambria"/>
          <w:sz w:val="22"/>
          <w:szCs w:val="22"/>
        </w:rPr>
      </w:pPr>
      <w:r>
        <w:rPr>
          <w:rFonts w:ascii="Cambria" w:hAnsi="Cambria"/>
          <w:sz w:val="22"/>
          <w:szCs w:val="22"/>
        </w:rPr>
        <w:t xml:space="preserve">The </w:t>
      </w:r>
      <w:r w:rsidRPr="00AF2BB2">
        <w:rPr>
          <w:rFonts w:ascii="Cambria" w:hAnsi="Cambria"/>
          <w:b/>
          <w:bCs/>
          <w:sz w:val="22"/>
          <w:szCs w:val="22"/>
        </w:rPr>
        <w:t>capability of</w:t>
      </w:r>
      <w:r w:rsidR="00D70AC6">
        <w:rPr>
          <w:rFonts w:ascii="Cambria" w:hAnsi="Cambria"/>
          <w:b/>
          <w:bCs/>
          <w:sz w:val="22"/>
          <w:szCs w:val="22"/>
        </w:rPr>
        <w:t xml:space="preserve"> alternative commercial, civil society and government organisations</w:t>
      </w:r>
      <w:r w:rsidR="00701858">
        <w:rPr>
          <w:rFonts w:ascii="Cambria" w:hAnsi="Cambria"/>
          <w:b/>
          <w:bCs/>
          <w:sz w:val="22"/>
          <w:szCs w:val="22"/>
        </w:rPr>
        <w:t xml:space="preserve"> </w:t>
      </w:r>
      <w:r w:rsidR="00701858" w:rsidRPr="00D86AA9">
        <w:rPr>
          <w:rFonts w:ascii="Cambria" w:hAnsi="Cambria"/>
          <w:sz w:val="22"/>
          <w:szCs w:val="22"/>
        </w:rPr>
        <w:t>t</w:t>
      </w:r>
      <w:r w:rsidRPr="00D86AA9">
        <w:rPr>
          <w:rFonts w:ascii="Cambria" w:hAnsi="Cambria"/>
          <w:sz w:val="22"/>
          <w:szCs w:val="22"/>
        </w:rPr>
        <w:t xml:space="preserve">o ‘think and work politically’ </w:t>
      </w:r>
      <w:r w:rsidRPr="00AF2BB2">
        <w:rPr>
          <w:rFonts w:ascii="Cambria" w:hAnsi="Cambria"/>
          <w:b/>
          <w:bCs/>
          <w:sz w:val="22"/>
          <w:szCs w:val="22"/>
        </w:rPr>
        <w:t>needs to be tested</w:t>
      </w:r>
      <w:r>
        <w:rPr>
          <w:rFonts w:ascii="Cambria" w:hAnsi="Cambria"/>
          <w:sz w:val="22"/>
          <w:szCs w:val="22"/>
        </w:rPr>
        <w:t xml:space="preserve"> and should not be a</w:t>
      </w:r>
      <w:r w:rsidR="0080221E">
        <w:rPr>
          <w:rFonts w:ascii="Cambria" w:hAnsi="Cambria"/>
          <w:sz w:val="22"/>
          <w:szCs w:val="22"/>
        </w:rPr>
        <w:t xml:space="preserve">ssumed.       </w:t>
      </w:r>
    </w:p>
    <w:p w14:paraId="023A442A" w14:textId="264E30E0" w:rsidR="0080221E" w:rsidRPr="0080221E" w:rsidRDefault="0080221E" w:rsidP="0080221E">
      <w:pPr>
        <w:spacing w:before="80"/>
        <w:jc w:val="both"/>
        <w:rPr>
          <w:rFonts w:ascii="Cambria" w:hAnsi="Cambria"/>
          <w:sz w:val="22"/>
          <w:szCs w:val="22"/>
        </w:rPr>
        <w:sectPr w:rsidR="0080221E" w:rsidRPr="0080221E" w:rsidSect="00163DB2">
          <w:footerReference w:type="default" r:id="rId10"/>
          <w:endnotePr>
            <w:numFmt w:val="decimal"/>
          </w:endnotePr>
          <w:pgSz w:w="11906" w:h="16838"/>
          <w:pgMar w:top="1344" w:right="794" w:bottom="1043" w:left="1440" w:header="709" w:footer="709" w:gutter="0"/>
          <w:pgBorders w:offsetFrom="page">
            <w:top w:val="single" w:sz="12" w:space="24" w:color="auto"/>
            <w:left w:val="single" w:sz="12" w:space="24" w:color="auto"/>
            <w:bottom w:val="single" w:sz="12" w:space="24" w:color="auto"/>
            <w:right w:val="single" w:sz="12" w:space="24" w:color="auto"/>
          </w:pgBorders>
          <w:pgNumType w:fmt="lowerRoman" w:start="1"/>
          <w:cols w:space="708"/>
          <w:docGrid w:linePitch="360"/>
        </w:sectPr>
      </w:pPr>
    </w:p>
    <w:tbl>
      <w:tblPr>
        <w:tblStyle w:val="TableGrid"/>
        <w:tblpPr w:leftFromText="180" w:rightFromText="180" w:vertAnchor="text" w:horzAnchor="margin" w:tblpXSpec="center" w:tblpY="151"/>
        <w:tblW w:w="15588" w:type="dxa"/>
        <w:tblLook w:val="04A0" w:firstRow="1" w:lastRow="0" w:firstColumn="1" w:lastColumn="0" w:noHBand="0" w:noVBand="1"/>
      </w:tblPr>
      <w:tblGrid>
        <w:gridCol w:w="4678"/>
        <w:gridCol w:w="1418"/>
        <w:gridCol w:w="6809"/>
        <w:gridCol w:w="2683"/>
      </w:tblGrid>
      <w:tr w:rsidR="0080221E" w14:paraId="0E2ACB57" w14:textId="77777777" w:rsidTr="00664689">
        <w:trPr>
          <w:tblHeader/>
        </w:trPr>
        <w:tc>
          <w:tcPr>
            <w:tcW w:w="4678" w:type="dxa"/>
          </w:tcPr>
          <w:p w14:paraId="28F43E9A" w14:textId="4062A2BB" w:rsidR="0080221E" w:rsidRDefault="00664689" w:rsidP="004F3B68">
            <w:pPr>
              <w:rPr>
                <w:rFonts w:ascii="Cambria" w:hAnsi="Cambria"/>
                <w:b/>
                <w:bCs/>
              </w:rPr>
            </w:pPr>
            <w:r w:rsidRPr="00E90039">
              <w:rPr>
                <w:rFonts w:ascii="Cambria" w:hAnsi="Cambria"/>
                <w:b/>
                <w:bCs/>
                <w:sz w:val="22"/>
                <w:szCs w:val="22"/>
              </w:rPr>
              <w:lastRenderedPageBreak/>
              <w:t>Objective</w:t>
            </w:r>
            <w:r>
              <w:rPr>
                <w:rFonts w:ascii="Cambria" w:hAnsi="Cambria"/>
                <w:b/>
                <w:bCs/>
                <w:sz w:val="22"/>
                <w:szCs w:val="22"/>
              </w:rPr>
              <w:t>s</w:t>
            </w:r>
          </w:p>
        </w:tc>
        <w:tc>
          <w:tcPr>
            <w:tcW w:w="1418" w:type="dxa"/>
          </w:tcPr>
          <w:p w14:paraId="3D1263D3" w14:textId="77777777" w:rsidR="0080221E" w:rsidRPr="006819ED" w:rsidRDefault="0080221E" w:rsidP="004F3B68">
            <w:pPr>
              <w:jc w:val="center"/>
              <w:rPr>
                <w:rFonts w:ascii="Cambria" w:hAnsi="Cambria"/>
                <w:b/>
                <w:bCs/>
                <w:sz w:val="20"/>
                <w:szCs w:val="20"/>
              </w:rPr>
            </w:pPr>
            <w:r w:rsidRPr="006819ED">
              <w:rPr>
                <w:rFonts w:ascii="Cambria" w:hAnsi="Cambria"/>
                <w:b/>
                <w:bCs/>
                <w:sz w:val="20"/>
                <w:szCs w:val="20"/>
              </w:rPr>
              <w:t>Traffic light indicator</w:t>
            </w:r>
          </w:p>
        </w:tc>
        <w:tc>
          <w:tcPr>
            <w:tcW w:w="6809" w:type="dxa"/>
          </w:tcPr>
          <w:p w14:paraId="058C733E" w14:textId="77777777" w:rsidR="0080221E" w:rsidRPr="006819ED" w:rsidRDefault="0080221E" w:rsidP="004F3B68">
            <w:pPr>
              <w:spacing w:before="80"/>
              <w:jc w:val="center"/>
              <w:rPr>
                <w:rFonts w:ascii="Cambria" w:hAnsi="Cambria"/>
                <w:b/>
                <w:bCs/>
                <w:sz w:val="20"/>
                <w:szCs w:val="20"/>
              </w:rPr>
            </w:pPr>
            <w:r w:rsidRPr="006819ED">
              <w:rPr>
                <w:rFonts w:ascii="Cambria" w:hAnsi="Cambria"/>
                <w:b/>
                <w:bCs/>
                <w:sz w:val="20"/>
                <w:szCs w:val="20"/>
              </w:rPr>
              <w:t>Key evidence</w:t>
            </w:r>
            <w:r>
              <w:rPr>
                <w:rFonts w:ascii="Cambria" w:hAnsi="Cambria"/>
                <w:b/>
                <w:bCs/>
                <w:sz w:val="20"/>
                <w:szCs w:val="20"/>
              </w:rPr>
              <w:t xml:space="preserve">/analysis </w:t>
            </w:r>
            <w:r w:rsidRPr="006819ED">
              <w:rPr>
                <w:rFonts w:ascii="Cambria" w:hAnsi="Cambria"/>
                <w:b/>
                <w:bCs/>
                <w:sz w:val="20"/>
                <w:szCs w:val="20"/>
              </w:rPr>
              <w:t>supporting performance judgement</w:t>
            </w:r>
          </w:p>
        </w:tc>
        <w:tc>
          <w:tcPr>
            <w:tcW w:w="2683" w:type="dxa"/>
          </w:tcPr>
          <w:p w14:paraId="782DBFFA" w14:textId="77777777" w:rsidR="0080221E" w:rsidRPr="006819ED" w:rsidRDefault="0080221E" w:rsidP="004F3B68">
            <w:pPr>
              <w:spacing w:before="80"/>
              <w:rPr>
                <w:rFonts w:ascii="Cambria" w:hAnsi="Cambria"/>
                <w:b/>
                <w:bCs/>
                <w:sz w:val="20"/>
                <w:szCs w:val="20"/>
              </w:rPr>
            </w:pPr>
            <w:r>
              <w:rPr>
                <w:rFonts w:ascii="Cambria" w:hAnsi="Cambria"/>
                <w:b/>
                <w:bCs/>
                <w:sz w:val="20"/>
                <w:szCs w:val="20"/>
              </w:rPr>
              <w:t>Additional Comments</w:t>
            </w:r>
          </w:p>
        </w:tc>
      </w:tr>
      <w:tr w:rsidR="0080221E" w14:paraId="4190B236" w14:textId="77777777" w:rsidTr="004F3B68">
        <w:tc>
          <w:tcPr>
            <w:tcW w:w="4678" w:type="dxa"/>
          </w:tcPr>
          <w:p w14:paraId="1AC78347" w14:textId="77777777" w:rsidR="0080221E" w:rsidRPr="00E90039" w:rsidRDefault="0080221E" w:rsidP="004F3B68">
            <w:pPr>
              <w:spacing w:before="80"/>
              <w:rPr>
                <w:rFonts w:ascii="Cambria" w:hAnsi="Cambria"/>
                <w:b/>
                <w:bCs/>
                <w:sz w:val="22"/>
                <w:szCs w:val="22"/>
              </w:rPr>
            </w:pPr>
            <w:r w:rsidRPr="00E90039">
              <w:rPr>
                <w:rFonts w:ascii="Cambria" w:hAnsi="Cambria"/>
                <w:b/>
                <w:bCs/>
                <w:sz w:val="22"/>
                <w:szCs w:val="22"/>
              </w:rPr>
              <w:t>Objective 1:</w:t>
            </w:r>
            <w:r>
              <w:rPr>
                <w:rFonts w:ascii="Cambria" w:hAnsi="Cambria"/>
                <w:b/>
                <w:bCs/>
                <w:sz w:val="22"/>
                <w:szCs w:val="22"/>
              </w:rPr>
              <w:t xml:space="preserve">  </w:t>
            </w:r>
            <w:r w:rsidRPr="00E90039">
              <w:rPr>
                <w:rFonts w:ascii="Cambria" w:hAnsi="Cambria"/>
                <w:b/>
                <w:bCs/>
                <w:sz w:val="22"/>
                <w:szCs w:val="22"/>
              </w:rPr>
              <w:t>Reform progress</w:t>
            </w:r>
            <w:r>
              <w:rPr>
                <w:rFonts w:ascii="Cambria" w:hAnsi="Cambria"/>
                <w:b/>
                <w:bCs/>
              </w:rPr>
              <w:t xml:space="preserve"> </w:t>
            </w:r>
          </w:p>
        </w:tc>
        <w:tc>
          <w:tcPr>
            <w:tcW w:w="1418" w:type="dxa"/>
          </w:tcPr>
          <w:p w14:paraId="7303F6E2" w14:textId="77777777" w:rsidR="0080221E" w:rsidRDefault="0080221E" w:rsidP="004F3B68">
            <w:pPr>
              <w:spacing w:before="120" w:after="80"/>
              <w:jc w:val="center"/>
              <w:rPr>
                <w:rFonts w:ascii="Cambria" w:hAnsi="Cambria"/>
                <w:b/>
                <w:bCs/>
              </w:rPr>
            </w:pPr>
            <w:r>
              <w:rPr>
                <w:rFonts w:ascii="Cambria" w:hAnsi="Cambria"/>
                <w:b/>
                <w:bCs/>
                <w:noProof/>
              </w:rPr>
              <w:drawing>
                <wp:inline distT="0" distB="0" distL="0" distR="0" wp14:anchorId="5075B9B3" wp14:editId="3EFAB688">
                  <wp:extent cx="185843" cy="194184"/>
                  <wp:effectExtent l="0" t="0" r="5080" b="0"/>
                  <wp:docPr id="5" name="Picture 5" descr="Rating amber: Satisfactory at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ating amber: Satisfactory at this time"/>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97628" cy="206498"/>
                          </a:xfrm>
                          <a:prstGeom prst="rect">
                            <a:avLst/>
                          </a:prstGeom>
                        </pic:spPr>
                      </pic:pic>
                    </a:graphicData>
                  </a:graphic>
                </wp:inline>
              </w:drawing>
            </w:r>
          </w:p>
        </w:tc>
        <w:tc>
          <w:tcPr>
            <w:tcW w:w="6809" w:type="dxa"/>
          </w:tcPr>
          <w:p w14:paraId="7A232FDD" w14:textId="77777777" w:rsidR="0080221E" w:rsidRPr="0050044B" w:rsidRDefault="0080221E" w:rsidP="00265449">
            <w:pPr>
              <w:pStyle w:val="ListParagraph"/>
              <w:numPr>
                <w:ilvl w:val="0"/>
                <w:numId w:val="22"/>
              </w:numPr>
              <w:spacing w:before="80" w:after="80"/>
              <w:ind w:left="357" w:hanging="325"/>
              <w:rPr>
                <w:rFonts w:ascii="Cambria" w:hAnsi="Cambria"/>
                <w:b/>
                <w:bCs/>
                <w:sz w:val="16"/>
                <w:szCs w:val="16"/>
              </w:rPr>
            </w:pPr>
            <w:r>
              <w:rPr>
                <w:rFonts w:ascii="Cambria" w:hAnsi="Cambria"/>
                <w:b/>
                <w:bCs/>
                <w:sz w:val="16"/>
                <w:szCs w:val="16"/>
              </w:rPr>
              <w:t>Overall p</w:t>
            </w:r>
            <w:r w:rsidRPr="0050044B">
              <w:rPr>
                <w:rFonts w:ascii="Cambria" w:hAnsi="Cambria"/>
                <w:b/>
                <w:bCs/>
                <w:sz w:val="16"/>
                <w:szCs w:val="16"/>
              </w:rPr>
              <w:t>rogress is strong in Thailand and somewhat delayed and less certain in Malaysia</w:t>
            </w:r>
          </w:p>
        </w:tc>
        <w:tc>
          <w:tcPr>
            <w:tcW w:w="2683" w:type="dxa"/>
          </w:tcPr>
          <w:p w14:paraId="32F0238D" w14:textId="77777777" w:rsidR="0080221E" w:rsidRPr="0050044B" w:rsidRDefault="0080221E" w:rsidP="004F3B68">
            <w:pPr>
              <w:rPr>
                <w:rFonts w:ascii="Cambria" w:hAnsi="Cambria"/>
                <w:b/>
                <w:bCs/>
                <w:sz w:val="16"/>
                <w:szCs w:val="16"/>
              </w:rPr>
            </w:pPr>
            <w:r w:rsidRPr="0050044B">
              <w:rPr>
                <w:rFonts w:ascii="Cambria" w:hAnsi="Cambria"/>
                <w:b/>
                <w:bCs/>
                <w:sz w:val="16"/>
                <w:szCs w:val="16"/>
              </w:rPr>
              <w:t>COVID made program init</w:t>
            </w:r>
            <w:r>
              <w:rPr>
                <w:rFonts w:ascii="Cambria" w:hAnsi="Cambria"/>
                <w:b/>
                <w:bCs/>
                <w:sz w:val="16"/>
                <w:szCs w:val="16"/>
              </w:rPr>
              <w:t>ia</w:t>
            </w:r>
            <w:r w:rsidRPr="0050044B">
              <w:rPr>
                <w:rFonts w:ascii="Cambria" w:hAnsi="Cambria"/>
                <w:b/>
                <w:bCs/>
                <w:sz w:val="16"/>
                <w:szCs w:val="16"/>
              </w:rPr>
              <w:t xml:space="preserve">tion </w:t>
            </w:r>
            <w:r>
              <w:rPr>
                <w:rFonts w:ascii="Cambria" w:hAnsi="Cambria"/>
                <w:b/>
                <w:bCs/>
                <w:sz w:val="16"/>
                <w:szCs w:val="16"/>
              </w:rPr>
              <w:t xml:space="preserve">much </w:t>
            </w:r>
            <w:r w:rsidRPr="0050044B">
              <w:rPr>
                <w:rFonts w:ascii="Cambria" w:hAnsi="Cambria"/>
                <w:b/>
                <w:bCs/>
                <w:sz w:val="16"/>
                <w:szCs w:val="16"/>
              </w:rPr>
              <w:t>more diff</w:t>
            </w:r>
            <w:r>
              <w:rPr>
                <w:rFonts w:ascii="Cambria" w:hAnsi="Cambria"/>
                <w:b/>
                <w:bCs/>
                <w:sz w:val="16"/>
                <w:szCs w:val="16"/>
              </w:rPr>
              <w:t>i</w:t>
            </w:r>
            <w:r w:rsidRPr="0050044B">
              <w:rPr>
                <w:rFonts w:ascii="Cambria" w:hAnsi="Cambria"/>
                <w:b/>
                <w:bCs/>
                <w:sz w:val="16"/>
                <w:szCs w:val="16"/>
              </w:rPr>
              <w:t>c</w:t>
            </w:r>
            <w:r>
              <w:rPr>
                <w:rFonts w:ascii="Cambria" w:hAnsi="Cambria"/>
                <w:b/>
                <w:bCs/>
                <w:sz w:val="16"/>
                <w:szCs w:val="16"/>
              </w:rPr>
              <w:t>u</w:t>
            </w:r>
            <w:r w:rsidRPr="0050044B">
              <w:rPr>
                <w:rFonts w:ascii="Cambria" w:hAnsi="Cambria"/>
                <w:b/>
                <w:bCs/>
                <w:sz w:val="16"/>
                <w:szCs w:val="16"/>
              </w:rPr>
              <w:t>lt everywhere</w:t>
            </w:r>
            <w:r>
              <w:rPr>
                <w:rFonts w:ascii="Cambria" w:hAnsi="Cambria"/>
                <w:b/>
                <w:bCs/>
                <w:sz w:val="16"/>
                <w:szCs w:val="16"/>
              </w:rPr>
              <w:t xml:space="preserve"> in 2020, especially in Malaysia.</w:t>
            </w:r>
          </w:p>
        </w:tc>
      </w:tr>
      <w:tr w:rsidR="0080221E" w14:paraId="5C1AEC1E" w14:textId="77777777" w:rsidTr="004F3B68">
        <w:tc>
          <w:tcPr>
            <w:tcW w:w="4678" w:type="dxa"/>
          </w:tcPr>
          <w:p w14:paraId="6711A139" w14:textId="77777777" w:rsidR="0080221E" w:rsidRPr="00E90039" w:rsidRDefault="0080221E" w:rsidP="004F3B68">
            <w:pPr>
              <w:spacing w:before="80"/>
              <w:rPr>
                <w:rFonts w:ascii="Cambria" w:hAnsi="Cambria"/>
                <w:b/>
                <w:bCs/>
                <w:sz w:val="20"/>
                <w:szCs w:val="20"/>
              </w:rPr>
            </w:pPr>
            <w:r w:rsidRPr="00E90039">
              <w:rPr>
                <w:rFonts w:ascii="Cambria" w:hAnsi="Cambria"/>
                <w:b/>
                <w:bCs/>
                <w:sz w:val="20"/>
                <w:szCs w:val="20"/>
              </w:rPr>
              <w:t>Thai reform initiatives</w:t>
            </w:r>
          </w:p>
        </w:tc>
        <w:tc>
          <w:tcPr>
            <w:tcW w:w="1418" w:type="dxa"/>
          </w:tcPr>
          <w:p w14:paraId="2A62FF38" w14:textId="77777777" w:rsidR="0080221E" w:rsidRDefault="0080221E" w:rsidP="004F3B68">
            <w:pPr>
              <w:spacing w:before="120" w:after="80"/>
              <w:jc w:val="center"/>
              <w:rPr>
                <w:rFonts w:ascii="Cambria" w:hAnsi="Cambria"/>
                <w:b/>
                <w:bCs/>
              </w:rPr>
            </w:pPr>
            <w:r>
              <w:rPr>
                <w:rFonts w:ascii="Cambria" w:hAnsi="Cambria"/>
                <w:b/>
                <w:bCs/>
                <w:noProof/>
              </w:rPr>
              <w:drawing>
                <wp:inline distT="0" distB="0" distL="0" distR="0" wp14:anchorId="7828BE92" wp14:editId="739E672E">
                  <wp:extent cx="194733" cy="194733"/>
                  <wp:effectExtent l="0" t="0" r="0" b="0"/>
                  <wp:docPr id="6" name="Picture 6" descr="Rating Green: Fully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ating Green: Fully on Trac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004" cy="203004"/>
                          </a:xfrm>
                          <a:prstGeom prst="rect">
                            <a:avLst/>
                          </a:prstGeom>
                        </pic:spPr>
                      </pic:pic>
                    </a:graphicData>
                  </a:graphic>
                </wp:inline>
              </w:drawing>
            </w:r>
          </w:p>
        </w:tc>
        <w:tc>
          <w:tcPr>
            <w:tcW w:w="6809" w:type="dxa"/>
          </w:tcPr>
          <w:p w14:paraId="32E5D652" w14:textId="77777777" w:rsidR="0080221E" w:rsidRDefault="0080221E" w:rsidP="004F3B68">
            <w:pPr>
              <w:pStyle w:val="ListParagraph"/>
              <w:numPr>
                <w:ilvl w:val="0"/>
                <w:numId w:val="22"/>
              </w:numPr>
              <w:spacing w:before="80" w:after="80"/>
              <w:ind w:left="357" w:hanging="320"/>
              <w:rPr>
                <w:rFonts w:ascii="Cambria" w:hAnsi="Cambria"/>
                <w:b/>
                <w:bCs/>
                <w:sz w:val="16"/>
                <w:szCs w:val="16"/>
              </w:rPr>
            </w:pPr>
            <w:r w:rsidRPr="00E43ACA">
              <w:rPr>
                <w:rFonts w:ascii="Cambria" w:hAnsi="Cambria"/>
                <w:b/>
                <w:bCs/>
                <w:sz w:val="16"/>
                <w:szCs w:val="16"/>
              </w:rPr>
              <w:t xml:space="preserve">The key </w:t>
            </w:r>
            <w:r>
              <w:rPr>
                <w:rFonts w:ascii="Cambria" w:hAnsi="Cambria"/>
                <w:b/>
                <w:bCs/>
                <w:sz w:val="16"/>
                <w:szCs w:val="16"/>
              </w:rPr>
              <w:t xml:space="preserve">Thai </w:t>
            </w:r>
            <w:r w:rsidRPr="00E43ACA">
              <w:rPr>
                <w:rFonts w:ascii="Cambria" w:hAnsi="Cambria"/>
                <w:b/>
                <w:bCs/>
                <w:sz w:val="16"/>
                <w:szCs w:val="16"/>
              </w:rPr>
              <w:t xml:space="preserve">initiatives are </w:t>
            </w:r>
            <w:r>
              <w:rPr>
                <w:rFonts w:ascii="Cambria" w:hAnsi="Cambria"/>
                <w:b/>
                <w:bCs/>
                <w:sz w:val="16"/>
                <w:szCs w:val="16"/>
              </w:rPr>
              <w:t xml:space="preserve">well advanced and </w:t>
            </w:r>
            <w:r w:rsidRPr="00E43ACA">
              <w:rPr>
                <w:rFonts w:ascii="Cambria" w:hAnsi="Cambria"/>
                <w:b/>
                <w:bCs/>
                <w:sz w:val="16"/>
                <w:szCs w:val="16"/>
              </w:rPr>
              <w:t>performing strongly</w:t>
            </w:r>
            <w:r>
              <w:rPr>
                <w:rFonts w:ascii="Cambria" w:hAnsi="Cambria"/>
                <w:b/>
                <w:bCs/>
                <w:sz w:val="16"/>
                <w:szCs w:val="16"/>
              </w:rPr>
              <w:t xml:space="preserve">  </w:t>
            </w:r>
          </w:p>
          <w:p w14:paraId="365BCC80" w14:textId="77777777" w:rsidR="0080221E" w:rsidRPr="00E43ACA" w:rsidRDefault="0080221E" w:rsidP="004F3B68">
            <w:pPr>
              <w:pStyle w:val="ListParagraph"/>
              <w:numPr>
                <w:ilvl w:val="0"/>
                <w:numId w:val="22"/>
              </w:numPr>
              <w:spacing w:before="80" w:after="80"/>
              <w:ind w:left="357" w:hanging="320"/>
              <w:rPr>
                <w:rFonts w:ascii="Cambria" w:hAnsi="Cambria"/>
                <w:b/>
                <w:bCs/>
                <w:sz w:val="16"/>
                <w:szCs w:val="16"/>
              </w:rPr>
            </w:pPr>
            <w:r>
              <w:rPr>
                <w:rFonts w:ascii="Cambria" w:hAnsi="Cambria"/>
                <w:b/>
                <w:bCs/>
                <w:sz w:val="16"/>
                <w:szCs w:val="16"/>
              </w:rPr>
              <w:t xml:space="preserve">Counterpart feedback confirms DFAT assessment that the program has selected really critical areas and is adding considerable value  </w:t>
            </w:r>
          </w:p>
        </w:tc>
        <w:tc>
          <w:tcPr>
            <w:tcW w:w="2683" w:type="dxa"/>
          </w:tcPr>
          <w:p w14:paraId="7AC113A0" w14:textId="472DD948" w:rsidR="0080221E" w:rsidRPr="00CF7615" w:rsidRDefault="0080221E" w:rsidP="004F3B68">
            <w:pPr>
              <w:rPr>
                <w:rFonts w:ascii="Cambria" w:hAnsi="Cambria"/>
                <w:b/>
                <w:bCs/>
                <w:sz w:val="16"/>
                <w:szCs w:val="16"/>
              </w:rPr>
            </w:pPr>
            <w:r w:rsidRPr="00CF7615">
              <w:rPr>
                <w:rFonts w:ascii="Cambria" w:hAnsi="Cambria"/>
                <w:b/>
                <w:bCs/>
                <w:sz w:val="16"/>
                <w:szCs w:val="16"/>
              </w:rPr>
              <w:t>TAF has very strong internal cap</w:t>
            </w:r>
            <w:r>
              <w:rPr>
                <w:rFonts w:ascii="Cambria" w:hAnsi="Cambria"/>
                <w:b/>
                <w:bCs/>
                <w:sz w:val="16"/>
                <w:szCs w:val="16"/>
              </w:rPr>
              <w:t>a</w:t>
            </w:r>
            <w:r w:rsidRPr="00CF7615">
              <w:rPr>
                <w:rFonts w:ascii="Cambria" w:hAnsi="Cambria"/>
                <w:b/>
                <w:bCs/>
                <w:sz w:val="16"/>
                <w:szCs w:val="16"/>
              </w:rPr>
              <w:t>bility</w:t>
            </w:r>
            <w:r>
              <w:rPr>
                <w:rFonts w:ascii="Cambria" w:hAnsi="Cambria"/>
                <w:b/>
                <w:bCs/>
                <w:sz w:val="16"/>
                <w:szCs w:val="16"/>
              </w:rPr>
              <w:t xml:space="preserve"> in both reform areas. This is not essential, but is very helpful</w:t>
            </w:r>
            <w:r w:rsidR="007F19C1">
              <w:rPr>
                <w:rFonts w:ascii="Cambria" w:hAnsi="Cambria"/>
                <w:b/>
                <w:bCs/>
                <w:sz w:val="16"/>
                <w:szCs w:val="16"/>
              </w:rPr>
              <w:t>.</w:t>
            </w:r>
          </w:p>
        </w:tc>
      </w:tr>
      <w:tr w:rsidR="0080221E" w14:paraId="2E2A4FA7" w14:textId="77777777" w:rsidTr="004F3B68">
        <w:tc>
          <w:tcPr>
            <w:tcW w:w="4678" w:type="dxa"/>
          </w:tcPr>
          <w:p w14:paraId="0FE112A5" w14:textId="77777777" w:rsidR="0080221E" w:rsidRPr="00432601" w:rsidRDefault="0080221E" w:rsidP="004F3B68">
            <w:pPr>
              <w:pStyle w:val="ListParagraph"/>
              <w:numPr>
                <w:ilvl w:val="0"/>
                <w:numId w:val="20"/>
              </w:numPr>
              <w:tabs>
                <w:tab w:val="left" w:pos="319"/>
              </w:tabs>
              <w:spacing w:before="80"/>
              <w:ind w:left="602"/>
              <w:rPr>
                <w:rFonts w:ascii="Cambria" w:hAnsi="Cambria"/>
                <w:sz w:val="20"/>
                <w:szCs w:val="20"/>
              </w:rPr>
            </w:pPr>
            <w:r w:rsidRPr="00432601">
              <w:rPr>
                <w:rFonts w:ascii="Cambria" w:hAnsi="Cambria"/>
                <w:sz w:val="20"/>
                <w:szCs w:val="20"/>
              </w:rPr>
              <w:t>Education</w:t>
            </w:r>
            <w:r>
              <w:rPr>
                <w:rFonts w:ascii="Cambria" w:hAnsi="Cambria"/>
                <w:sz w:val="20"/>
                <w:szCs w:val="20"/>
              </w:rPr>
              <w:t xml:space="preserve"> reform to improve Thailand’s long-term competitiveness</w:t>
            </w:r>
          </w:p>
        </w:tc>
        <w:tc>
          <w:tcPr>
            <w:tcW w:w="1418" w:type="dxa"/>
          </w:tcPr>
          <w:p w14:paraId="4894EBF4" w14:textId="77777777" w:rsidR="0080221E" w:rsidRDefault="0080221E" w:rsidP="004F3B68">
            <w:pPr>
              <w:spacing w:before="120" w:after="80"/>
              <w:jc w:val="center"/>
              <w:rPr>
                <w:rFonts w:ascii="Cambria" w:hAnsi="Cambria"/>
                <w:b/>
                <w:bCs/>
              </w:rPr>
            </w:pPr>
            <w:r w:rsidRPr="00990B7D">
              <w:rPr>
                <w:rFonts w:ascii="Cambria" w:hAnsi="Cambria"/>
                <w:b/>
                <w:bCs/>
                <w:noProof/>
              </w:rPr>
              <w:drawing>
                <wp:inline distT="0" distB="0" distL="0" distR="0" wp14:anchorId="4E96D372" wp14:editId="24E71556">
                  <wp:extent cx="194733" cy="194733"/>
                  <wp:effectExtent l="0" t="0" r="0" b="0"/>
                  <wp:docPr id="7" name="Picture 7" descr="Rating Green: fully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ating Green: fully on trac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004" cy="203004"/>
                          </a:xfrm>
                          <a:prstGeom prst="rect">
                            <a:avLst/>
                          </a:prstGeom>
                        </pic:spPr>
                      </pic:pic>
                    </a:graphicData>
                  </a:graphic>
                </wp:inline>
              </w:drawing>
            </w:r>
          </w:p>
        </w:tc>
        <w:tc>
          <w:tcPr>
            <w:tcW w:w="6809" w:type="dxa"/>
          </w:tcPr>
          <w:p w14:paraId="142CC955" w14:textId="77777777" w:rsidR="0080221E" w:rsidRPr="00E43ACA" w:rsidRDefault="0080221E" w:rsidP="004F3B68">
            <w:pPr>
              <w:pStyle w:val="ListParagraph"/>
              <w:numPr>
                <w:ilvl w:val="0"/>
                <w:numId w:val="23"/>
              </w:numPr>
              <w:spacing w:before="80" w:after="80"/>
              <w:ind w:left="320" w:hanging="320"/>
              <w:rPr>
                <w:rFonts w:ascii="Cambria" w:hAnsi="Cambria"/>
                <w:b/>
                <w:bCs/>
                <w:sz w:val="16"/>
                <w:szCs w:val="16"/>
              </w:rPr>
            </w:pPr>
            <w:r w:rsidRPr="00E43ACA">
              <w:rPr>
                <w:rFonts w:ascii="Cambria" w:hAnsi="Cambria"/>
                <w:b/>
                <w:bCs/>
                <w:sz w:val="16"/>
                <w:szCs w:val="16"/>
              </w:rPr>
              <w:t xml:space="preserve">Major </w:t>
            </w:r>
            <w:r>
              <w:rPr>
                <w:rFonts w:ascii="Cambria" w:hAnsi="Cambria"/>
                <w:b/>
                <w:bCs/>
                <w:sz w:val="16"/>
                <w:szCs w:val="16"/>
              </w:rPr>
              <w:t xml:space="preserve">‘instructional leadership’ </w:t>
            </w:r>
            <w:r w:rsidRPr="00E43ACA">
              <w:rPr>
                <w:rFonts w:ascii="Cambria" w:hAnsi="Cambria"/>
                <w:b/>
                <w:bCs/>
                <w:sz w:val="16"/>
                <w:szCs w:val="16"/>
              </w:rPr>
              <w:t>report produced, launched and well</w:t>
            </w:r>
            <w:r>
              <w:rPr>
                <w:rFonts w:ascii="Cambria" w:hAnsi="Cambria"/>
                <w:b/>
                <w:bCs/>
                <w:sz w:val="16"/>
                <w:szCs w:val="16"/>
              </w:rPr>
              <w:t>-</w:t>
            </w:r>
            <w:r w:rsidRPr="00E43ACA">
              <w:rPr>
                <w:rFonts w:ascii="Cambria" w:hAnsi="Cambria"/>
                <w:b/>
                <w:bCs/>
                <w:sz w:val="16"/>
                <w:szCs w:val="16"/>
              </w:rPr>
              <w:t>received</w:t>
            </w:r>
          </w:p>
          <w:p w14:paraId="1534859E" w14:textId="77777777" w:rsidR="0080221E" w:rsidRPr="00E43ACA" w:rsidRDefault="0080221E" w:rsidP="004F3B68">
            <w:pPr>
              <w:pStyle w:val="ListParagraph"/>
              <w:numPr>
                <w:ilvl w:val="0"/>
                <w:numId w:val="23"/>
              </w:numPr>
              <w:spacing w:before="80" w:after="80"/>
              <w:ind w:left="320" w:hanging="320"/>
              <w:rPr>
                <w:rFonts w:ascii="Cambria" w:hAnsi="Cambria"/>
                <w:b/>
                <w:bCs/>
                <w:sz w:val="16"/>
                <w:szCs w:val="16"/>
              </w:rPr>
            </w:pPr>
            <w:r w:rsidRPr="00E43ACA">
              <w:rPr>
                <w:rFonts w:ascii="Cambria" w:hAnsi="Cambria"/>
                <w:b/>
                <w:bCs/>
                <w:sz w:val="16"/>
                <w:szCs w:val="16"/>
              </w:rPr>
              <w:t xml:space="preserve">Key actors coming to TAF and DFAT with ideas, including </w:t>
            </w:r>
            <w:r>
              <w:rPr>
                <w:rFonts w:ascii="Cambria" w:hAnsi="Cambria"/>
                <w:b/>
                <w:bCs/>
                <w:sz w:val="16"/>
                <w:szCs w:val="16"/>
              </w:rPr>
              <w:t xml:space="preserve">a </w:t>
            </w:r>
            <w:r w:rsidRPr="00E43ACA">
              <w:rPr>
                <w:rFonts w:ascii="Cambria" w:hAnsi="Cambria"/>
                <w:b/>
                <w:bCs/>
                <w:sz w:val="16"/>
                <w:szCs w:val="16"/>
              </w:rPr>
              <w:t>new initiative to improve digital education</w:t>
            </w:r>
            <w:r>
              <w:rPr>
                <w:rFonts w:ascii="Cambria" w:hAnsi="Cambria"/>
                <w:b/>
                <w:bCs/>
                <w:sz w:val="16"/>
                <w:szCs w:val="16"/>
              </w:rPr>
              <w:t xml:space="preserve">, confirming enhanced partner profile </w:t>
            </w:r>
          </w:p>
          <w:p w14:paraId="1AF6B9AB" w14:textId="77777777" w:rsidR="0080221E" w:rsidRDefault="0080221E" w:rsidP="004F3B68">
            <w:pPr>
              <w:pStyle w:val="ListParagraph"/>
              <w:numPr>
                <w:ilvl w:val="0"/>
                <w:numId w:val="23"/>
              </w:numPr>
              <w:spacing w:before="80" w:after="80"/>
              <w:ind w:left="320" w:hanging="320"/>
              <w:rPr>
                <w:rFonts w:ascii="Cambria" w:hAnsi="Cambria"/>
                <w:b/>
                <w:bCs/>
                <w:sz w:val="16"/>
                <w:szCs w:val="16"/>
              </w:rPr>
            </w:pPr>
            <w:r w:rsidRPr="00E43ACA">
              <w:rPr>
                <w:rFonts w:ascii="Cambria" w:hAnsi="Cambria"/>
                <w:b/>
                <w:bCs/>
                <w:sz w:val="16"/>
                <w:szCs w:val="16"/>
              </w:rPr>
              <w:t xml:space="preserve">Prime time TV </w:t>
            </w:r>
            <w:r>
              <w:rPr>
                <w:rFonts w:ascii="Cambria" w:hAnsi="Cambria"/>
                <w:b/>
                <w:bCs/>
                <w:sz w:val="16"/>
                <w:szCs w:val="16"/>
              </w:rPr>
              <w:t>spots</w:t>
            </w:r>
            <w:r w:rsidRPr="00E43ACA">
              <w:rPr>
                <w:rFonts w:ascii="Cambria" w:hAnsi="Cambria"/>
                <w:b/>
                <w:bCs/>
                <w:sz w:val="16"/>
                <w:szCs w:val="16"/>
              </w:rPr>
              <w:t xml:space="preserve"> </w:t>
            </w:r>
            <w:r>
              <w:rPr>
                <w:rFonts w:ascii="Cambria" w:hAnsi="Cambria"/>
                <w:b/>
                <w:bCs/>
                <w:sz w:val="16"/>
                <w:szCs w:val="16"/>
              </w:rPr>
              <w:t xml:space="preserve">catalysed and supported, </w:t>
            </w:r>
            <w:r w:rsidRPr="00E43ACA">
              <w:rPr>
                <w:rFonts w:ascii="Cambria" w:hAnsi="Cambria"/>
                <w:b/>
                <w:bCs/>
                <w:sz w:val="16"/>
                <w:szCs w:val="16"/>
              </w:rPr>
              <w:t xml:space="preserve">encouraging </w:t>
            </w:r>
            <w:r>
              <w:rPr>
                <w:rFonts w:ascii="Cambria" w:hAnsi="Cambria"/>
                <w:b/>
                <w:bCs/>
                <w:sz w:val="16"/>
                <w:szCs w:val="16"/>
              </w:rPr>
              <w:t xml:space="preserve">national </w:t>
            </w:r>
            <w:r w:rsidRPr="00E43ACA">
              <w:rPr>
                <w:rFonts w:ascii="Cambria" w:hAnsi="Cambria"/>
                <w:b/>
                <w:bCs/>
                <w:sz w:val="16"/>
                <w:szCs w:val="16"/>
              </w:rPr>
              <w:t>debate</w:t>
            </w:r>
          </w:p>
          <w:p w14:paraId="063DA29A" w14:textId="77777777" w:rsidR="0080221E" w:rsidRPr="00E43ACA" w:rsidRDefault="0080221E" w:rsidP="004F3B68">
            <w:pPr>
              <w:pStyle w:val="ListParagraph"/>
              <w:numPr>
                <w:ilvl w:val="0"/>
                <w:numId w:val="23"/>
              </w:numPr>
              <w:spacing w:before="80" w:after="80"/>
              <w:ind w:left="320" w:hanging="320"/>
              <w:rPr>
                <w:rFonts w:ascii="Cambria" w:hAnsi="Cambria"/>
                <w:b/>
                <w:bCs/>
                <w:sz w:val="16"/>
                <w:szCs w:val="16"/>
              </w:rPr>
            </w:pPr>
            <w:r>
              <w:rPr>
                <w:rFonts w:ascii="Cambria" w:hAnsi="Cambria"/>
                <w:b/>
                <w:bCs/>
                <w:sz w:val="16"/>
                <w:szCs w:val="16"/>
              </w:rPr>
              <w:t>HOM and Embassy have carefully chosen diplomatic intervention points</w:t>
            </w:r>
          </w:p>
        </w:tc>
        <w:tc>
          <w:tcPr>
            <w:tcW w:w="2683" w:type="dxa"/>
          </w:tcPr>
          <w:p w14:paraId="42A424F3" w14:textId="78442F10" w:rsidR="0080221E" w:rsidRPr="007203F7" w:rsidRDefault="0080221E" w:rsidP="004F3B68">
            <w:pPr>
              <w:rPr>
                <w:rFonts w:ascii="Cambria" w:hAnsi="Cambria"/>
                <w:b/>
                <w:bCs/>
                <w:sz w:val="16"/>
                <w:szCs w:val="16"/>
              </w:rPr>
            </w:pPr>
            <w:r w:rsidRPr="007203F7">
              <w:rPr>
                <w:rFonts w:ascii="Cambria" w:hAnsi="Cambria"/>
                <w:b/>
                <w:bCs/>
                <w:sz w:val="16"/>
                <w:szCs w:val="16"/>
              </w:rPr>
              <w:t>Program work appears genuinely ground breaking</w:t>
            </w:r>
            <w:r w:rsidR="007F19C1">
              <w:rPr>
                <w:rFonts w:ascii="Cambria" w:hAnsi="Cambria"/>
                <w:b/>
                <w:bCs/>
                <w:sz w:val="16"/>
                <w:szCs w:val="16"/>
              </w:rPr>
              <w:t>.</w:t>
            </w:r>
            <w:r w:rsidR="004F3B68">
              <w:rPr>
                <w:rFonts w:ascii="Cambria" w:hAnsi="Cambria"/>
                <w:b/>
                <w:bCs/>
                <w:sz w:val="16"/>
                <w:szCs w:val="16"/>
              </w:rPr>
              <w:t xml:space="preserve">  </w:t>
            </w:r>
            <w:r>
              <w:rPr>
                <w:rFonts w:ascii="Cambria" w:hAnsi="Cambria"/>
                <w:b/>
                <w:bCs/>
                <w:sz w:val="16"/>
                <w:szCs w:val="16"/>
              </w:rPr>
              <w:t>If momentum continues it will open up a very big reform agenda</w:t>
            </w:r>
            <w:r w:rsidR="007F19C1">
              <w:rPr>
                <w:rFonts w:ascii="Cambria" w:hAnsi="Cambria"/>
                <w:b/>
                <w:bCs/>
                <w:sz w:val="16"/>
                <w:szCs w:val="16"/>
              </w:rPr>
              <w:t>.</w:t>
            </w:r>
            <w:r w:rsidR="004F3B68">
              <w:rPr>
                <w:rFonts w:ascii="Cambria" w:hAnsi="Cambria"/>
                <w:b/>
                <w:bCs/>
                <w:sz w:val="16"/>
                <w:szCs w:val="16"/>
              </w:rPr>
              <w:t xml:space="preserve"> </w:t>
            </w:r>
            <w:r>
              <w:rPr>
                <w:rFonts w:ascii="Cambria" w:hAnsi="Cambria"/>
                <w:b/>
                <w:bCs/>
                <w:sz w:val="16"/>
                <w:szCs w:val="16"/>
              </w:rPr>
              <w:t>Challenge is how the agenda may be pushed forward, long-term</w:t>
            </w:r>
            <w:r w:rsidR="007F19C1">
              <w:rPr>
                <w:rFonts w:ascii="Cambria" w:hAnsi="Cambria"/>
                <w:b/>
                <w:bCs/>
                <w:sz w:val="16"/>
                <w:szCs w:val="16"/>
              </w:rPr>
              <w:t>.</w:t>
            </w:r>
          </w:p>
        </w:tc>
      </w:tr>
      <w:tr w:rsidR="0080221E" w14:paraId="5F482C95" w14:textId="77777777" w:rsidTr="004F3B68">
        <w:tc>
          <w:tcPr>
            <w:tcW w:w="4678" w:type="dxa"/>
          </w:tcPr>
          <w:p w14:paraId="283E7730" w14:textId="77777777" w:rsidR="0080221E" w:rsidRPr="00432601" w:rsidRDefault="0080221E" w:rsidP="004F3B68">
            <w:pPr>
              <w:pStyle w:val="ListParagraph"/>
              <w:numPr>
                <w:ilvl w:val="0"/>
                <w:numId w:val="20"/>
              </w:numPr>
              <w:tabs>
                <w:tab w:val="left" w:pos="319"/>
              </w:tabs>
              <w:spacing w:before="80"/>
              <w:ind w:left="602"/>
              <w:rPr>
                <w:rFonts w:ascii="Cambria" w:hAnsi="Cambria"/>
                <w:sz w:val="20"/>
                <w:szCs w:val="20"/>
              </w:rPr>
            </w:pPr>
            <w:r>
              <w:rPr>
                <w:rFonts w:ascii="Cambria" w:hAnsi="Cambria"/>
                <w:sz w:val="20"/>
                <w:szCs w:val="20"/>
              </w:rPr>
              <w:t>Increasing market</w:t>
            </w:r>
            <w:r w:rsidRPr="00432601">
              <w:rPr>
                <w:rFonts w:ascii="Cambria" w:hAnsi="Cambria"/>
                <w:sz w:val="20"/>
                <w:szCs w:val="20"/>
              </w:rPr>
              <w:t xml:space="preserve"> competition </w:t>
            </w:r>
            <w:r>
              <w:rPr>
                <w:rFonts w:ascii="Cambria" w:hAnsi="Cambria"/>
                <w:sz w:val="20"/>
                <w:szCs w:val="20"/>
              </w:rPr>
              <w:t>through support for the Office of Trade Competition Commission</w:t>
            </w:r>
          </w:p>
        </w:tc>
        <w:tc>
          <w:tcPr>
            <w:tcW w:w="1418" w:type="dxa"/>
          </w:tcPr>
          <w:p w14:paraId="7F6F24C8" w14:textId="77777777" w:rsidR="0080221E" w:rsidRDefault="0080221E" w:rsidP="004F3B68">
            <w:pPr>
              <w:spacing w:before="120" w:after="80"/>
              <w:jc w:val="center"/>
              <w:rPr>
                <w:rFonts w:ascii="Cambria" w:hAnsi="Cambria"/>
                <w:b/>
                <w:bCs/>
              </w:rPr>
            </w:pPr>
            <w:r w:rsidRPr="00990B7D">
              <w:rPr>
                <w:rFonts w:ascii="Cambria" w:hAnsi="Cambria"/>
                <w:b/>
                <w:bCs/>
                <w:noProof/>
              </w:rPr>
              <w:drawing>
                <wp:inline distT="0" distB="0" distL="0" distR="0" wp14:anchorId="61892E73" wp14:editId="517AD033">
                  <wp:extent cx="194733" cy="194733"/>
                  <wp:effectExtent l="0" t="0" r="0" b="0"/>
                  <wp:docPr id="8" name="Picture 8" descr="Rating Green: fully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ating Green: fully on trac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004" cy="203004"/>
                          </a:xfrm>
                          <a:prstGeom prst="rect">
                            <a:avLst/>
                          </a:prstGeom>
                        </pic:spPr>
                      </pic:pic>
                    </a:graphicData>
                  </a:graphic>
                </wp:inline>
              </w:drawing>
            </w:r>
          </w:p>
        </w:tc>
        <w:tc>
          <w:tcPr>
            <w:tcW w:w="6809" w:type="dxa"/>
          </w:tcPr>
          <w:p w14:paraId="65E2FD46" w14:textId="32B84249" w:rsidR="0080221E" w:rsidRPr="00E43ACA" w:rsidRDefault="0080221E" w:rsidP="004F3B68">
            <w:pPr>
              <w:pStyle w:val="ListParagraph"/>
              <w:numPr>
                <w:ilvl w:val="0"/>
                <w:numId w:val="24"/>
              </w:numPr>
              <w:spacing w:before="80" w:after="80"/>
              <w:ind w:left="357" w:hanging="357"/>
              <w:rPr>
                <w:rFonts w:ascii="Cambria" w:hAnsi="Cambria"/>
                <w:b/>
                <w:bCs/>
                <w:sz w:val="16"/>
                <w:szCs w:val="16"/>
              </w:rPr>
            </w:pPr>
            <w:r w:rsidRPr="00E43ACA">
              <w:rPr>
                <w:rFonts w:ascii="Cambria" w:hAnsi="Cambria"/>
                <w:b/>
                <w:bCs/>
                <w:sz w:val="16"/>
                <w:szCs w:val="16"/>
              </w:rPr>
              <w:t xml:space="preserve">Very close tripartite working relationship with OTCC </w:t>
            </w:r>
            <w:r w:rsidR="00265449">
              <w:rPr>
                <w:rFonts w:ascii="Cambria" w:hAnsi="Cambria"/>
                <w:b/>
                <w:bCs/>
                <w:sz w:val="16"/>
                <w:szCs w:val="16"/>
              </w:rPr>
              <w:t>Vice Chair/</w:t>
            </w:r>
            <w:r w:rsidRPr="00E43ACA">
              <w:rPr>
                <w:rFonts w:ascii="Cambria" w:hAnsi="Cambria"/>
                <w:b/>
                <w:bCs/>
                <w:sz w:val="16"/>
                <w:szCs w:val="16"/>
              </w:rPr>
              <w:t>Commissioner</w:t>
            </w:r>
          </w:p>
          <w:p w14:paraId="501B4091" w14:textId="77777777" w:rsidR="0080221E" w:rsidRPr="00E43ACA" w:rsidRDefault="0080221E" w:rsidP="004F3B68">
            <w:pPr>
              <w:pStyle w:val="ListParagraph"/>
              <w:numPr>
                <w:ilvl w:val="0"/>
                <w:numId w:val="24"/>
              </w:numPr>
              <w:spacing w:before="80" w:after="80"/>
              <w:ind w:left="357" w:hanging="357"/>
              <w:rPr>
                <w:rFonts w:ascii="Cambria" w:hAnsi="Cambria"/>
                <w:b/>
                <w:bCs/>
                <w:sz w:val="16"/>
                <w:szCs w:val="16"/>
              </w:rPr>
            </w:pPr>
            <w:r w:rsidRPr="00E43ACA">
              <w:rPr>
                <w:rFonts w:ascii="Cambria" w:hAnsi="Cambria"/>
                <w:b/>
                <w:bCs/>
                <w:sz w:val="16"/>
                <w:szCs w:val="16"/>
              </w:rPr>
              <w:t>Highly valued ACCC, peer</w:t>
            </w:r>
            <w:r>
              <w:rPr>
                <w:rFonts w:ascii="Cambria" w:hAnsi="Cambria"/>
                <w:b/>
                <w:bCs/>
                <w:sz w:val="16"/>
                <w:szCs w:val="16"/>
              </w:rPr>
              <w:t>-</w:t>
            </w:r>
            <w:r w:rsidRPr="00E43ACA">
              <w:rPr>
                <w:rFonts w:ascii="Cambria" w:hAnsi="Cambria"/>
                <w:b/>
                <w:bCs/>
                <w:sz w:val="16"/>
                <w:szCs w:val="16"/>
              </w:rPr>
              <w:t>to</w:t>
            </w:r>
            <w:r>
              <w:rPr>
                <w:rFonts w:ascii="Cambria" w:hAnsi="Cambria"/>
                <w:b/>
                <w:bCs/>
                <w:sz w:val="16"/>
                <w:szCs w:val="16"/>
              </w:rPr>
              <w:t>-</w:t>
            </w:r>
            <w:r w:rsidRPr="00E43ACA">
              <w:rPr>
                <w:rFonts w:ascii="Cambria" w:hAnsi="Cambria"/>
                <w:b/>
                <w:bCs/>
                <w:sz w:val="16"/>
                <w:szCs w:val="16"/>
              </w:rPr>
              <w:t>peer relationship</w:t>
            </w:r>
          </w:p>
          <w:p w14:paraId="4088E839" w14:textId="77777777" w:rsidR="0080221E" w:rsidRPr="00E43ACA" w:rsidRDefault="0080221E" w:rsidP="004F3B68">
            <w:pPr>
              <w:pStyle w:val="ListParagraph"/>
              <w:numPr>
                <w:ilvl w:val="0"/>
                <w:numId w:val="24"/>
              </w:numPr>
              <w:spacing w:before="80" w:after="80"/>
              <w:ind w:left="357" w:hanging="357"/>
              <w:rPr>
                <w:rFonts w:ascii="Cambria" w:hAnsi="Cambria"/>
                <w:b/>
                <w:bCs/>
                <w:sz w:val="16"/>
                <w:szCs w:val="16"/>
              </w:rPr>
            </w:pPr>
            <w:r w:rsidRPr="00E43ACA">
              <w:rPr>
                <w:rFonts w:ascii="Cambria" w:hAnsi="Cambria"/>
                <w:b/>
                <w:bCs/>
                <w:sz w:val="16"/>
                <w:szCs w:val="16"/>
              </w:rPr>
              <w:t>Hands on, issue</w:t>
            </w:r>
            <w:r>
              <w:rPr>
                <w:rFonts w:ascii="Cambria" w:hAnsi="Cambria"/>
                <w:b/>
                <w:bCs/>
                <w:sz w:val="16"/>
                <w:szCs w:val="16"/>
              </w:rPr>
              <w:t>-</w:t>
            </w:r>
            <w:r w:rsidRPr="00E43ACA">
              <w:rPr>
                <w:rFonts w:ascii="Cambria" w:hAnsi="Cambria"/>
                <w:b/>
                <w:bCs/>
                <w:sz w:val="16"/>
                <w:szCs w:val="16"/>
              </w:rPr>
              <w:t>specific coaching and case studies</w:t>
            </w:r>
            <w:r>
              <w:rPr>
                <w:rFonts w:ascii="Cambria" w:hAnsi="Cambria"/>
                <w:b/>
                <w:bCs/>
                <w:sz w:val="16"/>
                <w:szCs w:val="16"/>
              </w:rPr>
              <w:t xml:space="preserve"> applauded by counterparts</w:t>
            </w:r>
          </w:p>
          <w:p w14:paraId="5F419B9C" w14:textId="77777777" w:rsidR="0080221E" w:rsidRPr="00E43ACA" w:rsidRDefault="0080221E" w:rsidP="004F3B68">
            <w:pPr>
              <w:pStyle w:val="ListParagraph"/>
              <w:numPr>
                <w:ilvl w:val="0"/>
                <w:numId w:val="24"/>
              </w:numPr>
              <w:spacing w:before="80" w:after="80"/>
              <w:ind w:left="357" w:hanging="357"/>
              <w:rPr>
                <w:rFonts w:ascii="Cambria" w:hAnsi="Cambria"/>
                <w:b/>
                <w:bCs/>
                <w:sz w:val="16"/>
                <w:szCs w:val="16"/>
              </w:rPr>
            </w:pPr>
            <w:r w:rsidRPr="00E43ACA">
              <w:rPr>
                <w:rFonts w:ascii="Cambria" w:hAnsi="Cambria"/>
                <w:b/>
                <w:bCs/>
                <w:sz w:val="16"/>
                <w:szCs w:val="16"/>
              </w:rPr>
              <w:t xml:space="preserve">Critical technical assistance </w:t>
            </w:r>
            <w:r>
              <w:rPr>
                <w:rFonts w:ascii="Cambria" w:hAnsi="Cambria"/>
                <w:b/>
                <w:bCs/>
                <w:sz w:val="16"/>
                <w:szCs w:val="16"/>
              </w:rPr>
              <w:t>provided for</w:t>
            </w:r>
            <w:r w:rsidRPr="00E43ACA">
              <w:rPr>
                <w:rFonts w:ascii="Cambria" w:hAnsi="Cambria"/>
                <w:b/>
                <w:bCs/>
                <w:sz w:val="16"/>
                <w:szCs w:val="16"/>
              </w:rPr>
              <w:t xml:space="preserve"> preparing competition index</w:t>
            </w:r>
          </w:p>
        </w:tc>
        <w:tc>
          <w:tcPr>
            <w:tcW w:w="2683" w:type="dxa"/>
          </w:tcPr>
          <w:p w14:paraId="3B12E782" w14:textId="51D7D340" w:rsidR="0080221E" w:rsidRPr="007203F7" w:rsidRDefault="0080221E" w:rsidP="004F3B68">
            <w:pPr>
              <w:rPr>
                <w:rFonts w:ascii="Cambria" w:hAnsi="Cambria"/>
                <w:b/>
                <w:bCs/>
                <w:sz w:val="16"/>
                <w:szCs w:val="16"/>
              </w:rPr>
            </w:pPr>
            <w:r w:rsidRPr="007203F7">
              <w:rPr>
                <w:rFonts w:ascii="Cambria" w:hAnsi="Cambria"/>
                <w:b/>
                <w:bCs/>
                <w:sz w:val="16"/>
                <w:szCs w:val="16"/>
              </w:rPr>
              <w:t>Considerable number of other actors also assisting OTCC</w:t>
            </w:r>
            <w:r>
              <w:rPr>
                <w:rFonts w:ascii="Cambria" w:hAnsi="Cambria"/>
                <w:b/>
                <w:bCs/>
                <w:sz w:val="16"/>
                <w:szCs w:val="16"/>
              </w:rPr>
              <w:t xml:space="preserve"> requires more explicit program positioning</w:t>
            </w:r>
            <w:r w:rsidR="004F3B68">
              <w:rPr>
                <w:rFonts w:ascii="Cambria" w:hAnsi="Cambria"/>
                <w:b/>
                <w:bCs/>
                <w:sz w:val="16"/>
                <w:szCs w:val="16"/>
              </w:rPr>
              <w:t xml:space="preserve">. </w:t>
            </w:r>
            <w:r>
              <w:rPr>
                <w:rFonts w:ascii="Cambria" w:hAnsi="Cambria"/>
                <w:b/>
                <w:bCs/>
                <w:sz w:val="16"/>
                <w:szCs w:val="16"/>
              </w:rPr>
              <w:t xml:space="preserve">Australia </w:t>
            </w:r>
            <w:r w:rsidR="004F3B68">
              <w:rPr>
                <w:rFonts w:ascii="Cambria" w:hAnsi="Cambria"/>
                <w:b/>
                <w:bCs/>
                <w:sz w:val="16"/>
                <w:szCs w:val="16"/>
              </w:rPr>
              <w:t xml:space="preserve">is </w:t>
            </w:r>
            <w:r>
              <w:rPr>
                <w:rFonts w:ascii="Cambria" w:hAnsi="Cambria"/>
                <w:b/>
                <w:bCs/>
                <w:sz w:val="16"/>
                <w:szCs w:val="16"/>
              </w:rPr>
              <w:t>well placed, partly for historical reasons, but what next?</w:t>
            </w:r>
          </w:p>
        </w:tc>
      </w:tr>
      <w:tr w:rsidR="0080221E" w14:paraId="04FD41F4" w14:textId="77777777" w:rsidTr="004F3B68">
        <w:tc>
          <w:tcPr>
            <w:tcW w:w="4678" w:type="dxa"/>
          </w:tcPr>
          <w:p w14:paraId="6EE33F78" w14:textId="77777777" w:rsidR="0080221E" w:rsidRPr="00432601" w:rsidRDefault="0080221E" w:rsidP="004F3B68">
            <w:pPr>
              <w:pStyle w:val="ListParagraph"/>
              <w:numPr>
                <w:ilvl w:val="0"/>
                <w:numId w:val="20"/>
              </w:numPr>
              <w:tabs>
                <w:tab w:val="left" w:pos="319"/>
              </w:tabs>
              <w:spacing w:before="80"/>
              <w:ind w:left="602"/>
              <w:rPr>
                <w:rFonts w:ascii="Cambria" w:hAnsi="Cambria"/>
                <w:sz w:val="20"/>
                <w:szCs w:val="20"/>
              </w:rPr>
            </w:pPr>
            <w:r>
              <w:rPr>
                <w:rFonts w:ascii="Cambria" w:hAnsi="Cambria"/>
                <w:sz w:val="20"/>
                <w:szCs w:val="20"/>
              </w:rPr>
              <w:t>Expand a</w:t>
            </w:r>
            <w:r w:rsidRPr="00432601">
              <w:rPr>
                <w:rFonts w:ascii="Cambria" w:hAnsi="Cambria"/>
                <w:sz w:val="20"/>
                <w:szCs w:val="20"/>
              </w:rPr>
              <w:t>ccess</w:t>
            </w:r>
            <w:r>
              <w:rPr>
                <w:rFonts w:ascii="Cambria" w:hAnsi="Cambria"/>
                <w:sz w:val="20"/>
                <w:szCs w:val="20"/>
              </w:rPr>
              <w:t xml:space="preserve"> to</w:t>
            </w:r>
            <w:r w:rsidRPr="00432601">
              <w:rPr>
                <w:rFonts w:ascii="Cambria" w:hAnsi="Cambria"/>
                <w:sz w:val="20"/>
                <w:szCs w:val="20"/>
              </w:rPr>
              <w:t xml:space="preserve"> high</w:t>
            </w:r>
            <w:r>
              <w:rPr>
                <w:rFonts w:ascii="Cambria" w:hAnsi="Cambria"/>
                <w:sz w:val="20"/>
                <w:szCs w:val="20"/>
              </w:rPr>
              <w:t>-</w:t>
            </w:r>
            <w:r w:rsidRPr="00432601">
              <w:rPr>
                <w:rFonts w:ascii="Cambria" w:hAnsi="Cambria"/>
                <w:sz w:val="20"/>
                <w:szCs w:val="20"/>
              </w:rPr>
              <w:t>skilled labour</w:t>
            </w:r>
          </w:p>
        </w:tc>
        <w:tc>
          <w:tcPr>
            <w:tcW w:w="1418" w:type="dxa"/>
          </w:tcPr>
          <w:p w14:paraId="1F06DBA7" w14:textId="77777777" w:rsidR="0080221E" w:rsidRDefault="0080221E" w:rsidP="004F3B68">
            <w:pPr>
              <w:spacing w:before="120" w:after="80"/>
              <w:jc w:val="center"/>
              <w:rPr>
                <w:rFonts w:ascii="Cambria" w:hAnsi="Cambria"/>
                <w:b/>
                <w:bCs/>
              </w:rPr>
            </w:pPr>
            <w:r>
              <w:rPr>
                <w:rFonts w:ascii="Cambria" w:hAnsi="Cambria"/>
                <w:b/>
                <w:bCs/>
                <w:noProof/>
              </w:rPr>
              <w:drawing>
                <wp:inline distT="0" distB="0" distL="0" distR="0" wp14:anchorId="1999210C" wp14:editId="64515A68">
                  <wp:extent cx="185843" cy="194184"/>
                  <wp:effectExtent l="0" t="0" r="5080" b="0"/>
                  <wp:docPr id="12" name="Picture 12" descr="Rating Amber: satisfactory at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ating Amber: satisfactory at this time"/>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97628" cy="206498"/>
                          </a:xfrm>
                          <a:prstGeom prst="rect">
                            <a:avLst/>
                          </a:prstGeom>
                        </pic:spPr>
                      </pic:pic>
                    </a:graphicData>
                  </a:graphic>
                </wp:inline>
              </w:drawing>
            </w:r>
          </w:p>
        </w:tc>
        <w:tc>
          <w:tcPr>
            <w:tcW w:w="6809" w:type="dxa"/>
          </w:tcPr>
          <w:p w14:paraId="65254F49" w14:textId="77777777" w:rsidR="0080221E" w:rsidRPr="00E43ACA" w:rsidRDefault="0080221E" w:rsidP="004F3B68">
            <w:pPr>
              <w:pStyle w:val="ListParagraph"/>
              <w:numPr>
                <w:ilvl w:val="0"/>
                <w:numId w:val="25"/>
              </w:numPr>
              <w:spacing w:before="80" w:after="80"/>
              <w:ind w:left="357" w:hanging="357"/>
              <w:rPr>
                <w:rFonts w:ascii="Cambria" w:hAnsi="Cambria"/>
                <w:b/>
                <w:bCs/>
                <w:sz w:val="16"/>
                <w:szCs w:val="16"/>
              </w:rPr>
            </w:pPr>
            <w:r w:rsidRPr="00E43ACA">
              <w:rPr>
                <w:rFonts w:ascii="Cambria" w:hAnsi="Cambria"/>
                <w:b/>
                <w:bCs/>
                <w:sz w:val="16"/>
                <w:szCs w:val="16"/>
              </w:rPr>
              <w:t xml:space="preserve">Niche proposal that could facilitate access to skilled </w:t>
            </w:r>
            <w:r>
              <w:rPr>
                <w:rFonts w:ascii="Cambria" w:hAnsi="Cambria"/>
                <w:b/>
                <w:bCs/>
                <w:sz w:val="16"/>
                <w:szCs w:val="16"/>
              </w:rPr>
              <w:t xml:space="preserve">international </w:t>
            </w:r>
            <w:r w:rsidRPr="00E43ACA">
              <w:rPr>
                <w:rFonts w:ascii="Cambria" w:hAnsi="Cambria"/>
                <w:b/>
                <w:bCs/>
                <w:sz w:val="16"/>
                <w:szCs w:val="16"/>
              </w:rPr>
              <w:t xml:space="preserve">labour </w:t>
            </w:r>
          </w:p>
          <w:p w14:paraId="635F9782" w14:textId="77777777" w:rsidR="0080221E" w:rsidRPr="007203F7" w:rsidRDefault="0080221E" w:rsidP="004F3B68">
            <w:pPr>
              <w:pStyle w:val="ListParagraph"/>
              <w:numPr>
                <w:ilvl w:val="0"/>
                <w:numId w:val="25"/>
              </w:numPr>
              <w:spacing w:before="80" w:after="80"/>
              <w:ind w:left="357" w:hanging="357"/>
              <w:rPr>
                <w:rFonts w:ascii="Cambria" w:hAnsi="Cambria"/>
                <w:b/>
                <w:bCs/>
                <w:sz w:val="16"/>
                <w:szCs w:val="16"/>
              </w:rPr>
            </w:pPr>
            <w:r w:rsidRPr="00E43ACA">
              <w:rPr>
                <w:rFonts w:ascii="Cambria" w:hAnsi="Cambria"/>
                <w:b/>
                <w:bCs/>
                <w:sz w:val="16"/>
                <w:szCs w:val="16"/>
              </w:rPr>
              <w:t xml:space="preserve">COVID has strengthened the economic </w:t>
            </w:r>
            <w:r>
              <w:rPr>
                <w:rFonts w:ascii="Cambria" w:hAnsi="Cambria"/>
                <w:b/>
                <w:bCs/>
                <w:sz w:val="16"/>
                <w:szCs w:val="16"/>
              </w:rPr>
              <w:t>case,</w:t>
            </w:r>
            <w:r w:rsidRPr="00E43ACA">
              <w:rPr>
                <w:rFonts w:ascii="Cambria" w:hAnsi="Cambria"/>
                <w:b/>
                <w:bCs/>
                <w:sz w:val="16"/>
                <w:szCs w:val="16"/>
              </w:rPr>
              <w:t xml:space="preserve"> </w:t>
            </w:r>
            <w:r>
              <w:rPr>
                <w:rFonts w:ascii="Cambria" w:hAnsi="Cambria"/>
                <w:b/>
                <w:bCs/>
                <w:sz w:val="16"/>
                <w:szCs w:val="16"/>
              </w:rPr>
              <w:t xml:space="preserve">but </w:t>
            </w:r>
            <w:r w:rsidRPr="00E43ACA">
              <w:rPr>
                <w:rFonts w:ascii="Cambria" w:hAnsi="Cambria"/>
                <w:b/>
                <w:bCs/>
                <w:sz w:val="16"/>
                <w:szCs w:val="16"/>
              </w:rPr>
              <w:t>undermined the political case</w:t>
            </w:r>
          </w:p>
        </w:tc>
        <w:tc>
          <w:tcPr>
            <w:tcW w:w="2683" w:type="dxa"/>
          </w:tcPr>
          <w:p w14:paraId="654436F5" w14:textId="1B7F9C02" w:rsidR="0080221E" w:rsidRDefault="0080221E" w:rsidP="004F3B68">
            <w:pPr>
              <w:rPr>
                <w:rFonts w:ascii="Cambria" w:hAnsi="Cambria"/>
                <w:b/>
                <w:bCs/>
              </w:rPr>
            </w:pPr>
            <w:r w:rsidRPr="00E43ACA">
              <w:rPr>
                <w:rFonts w:ascii="Cambria" w:hAnsi="Cambria"/>
                <w:b/>
                <w:bCs/>
                <w:sz w:val="16"/>
                <w:szCs w:val="16"/>
              </w:rPr>
              <w:t>Sensible decision to put on back burner</w:t>
            </w:r>
            <w:r>
              <w:rPr>
                <w:rFonts w:ascii="Cambria" w:hAnsi="Cambria"/>
                <w:b/>
                <w:bCs/>
                <w:sz w:val="16"/>
                <w:szCs w:val="16"/>
              </w:rPr>
              <w:t xml:space="preserve"> for now</w:t>
            </w:r>
            <w:r w:rsidR="007F19C1">
              <w:rPr>
                <w:rFonts w:ascii="Cambria" w:hAnsi="Cambria"/>
                <w:b/>
                <w:bCs/>
                <w:sz w:val="16"/>
                <w:szCs w:val="16"/>
              </w:rPr>
              <w:t>.</w:t>
            </w:r>
          </w:p>
        </w:tc>
      </w:tr>
      <w:tr w:rsidR="0080221E" w14:paraId="39695DA7" w14:textId="77777777" w:rsidTr="004F3B68">
        <w:tc>
          <w:tcPr>
            <w:tcW w:w="4678" w:type="dxa"/>
          </w:tcPr>
          <w:p w14:paraId="02D7E52B" w14:textId="77777777" w:rsidR="0080221E" w:rsidRPr="00E90039" w:rsidRDefault="0080221E" w:rsidP="004F3B68">
            <w:pPr>
              <w:spacing w:before="80"/>
              <w:rPr>
                <w:rFonts w:ascii="Cambria" w:hAnsi="Cambria"/>
                <w:b/>
                <w:bCs/>
                <w:sz w:val="20"/>
                <w:szCs w:val="20"/>
              </w:rPr>
            </w:pPr>
            <w:r w:rsidRPr="00E90039">
              <w:rPr>
                <w:rFonts w:ascii="Cambria" w:hAnsi="Cambria"/>
                <w:b/>
                <w:bCs/>
                <w:sz w:val="20"/>
                <w:szCs w:val="20"/>
              </w:rPr>
              <w:t>Malaysian reform initiatives</w:t>
            </w:r>
          </w:p>
        </w:tc>
        <w:tc>
          <w:tcPr>
            <w:tcW w:w="1418" w:type="dxa"/>
          </w:tcPr>
          <w:p w14:paraId="2F7F4697" w14:textId="77777777" w:rsidR="0080221E" w:rsidRDefault="0080221E" w:rsidP="004F3B68">
            <w:pPr>
              <w:spacing w:before="120" w:after="80"/>
              <w:jc w:val="center"/>
              <w:rPr>
                <w:rFonts w:ascii="Cambria" w:hAnsi="Cambria"/>
                <w:b/>
                <w:bCs/>
              </w:rPr>
            </w:pPr>
            <w:r>
              <w:rPr>
                <w:rFonts w:ascii="Cambria" w:hAnsi="Cambria"/>
                <w:b/>
                <w:bCs/>
                <w:noProof/>
              </w:rPr>
              <w:drawing>
                <wp:inline distT="0" distB="0" distL="0" distR="0" wp14:anchorId="5E867105" wp14:editId="10D7964B">
                  <wp:extent cx="202353" cy="211203"/>
                  <wp:effectExtent l="0" t="0" r="1270" b="5080"/>
                  <wp:docPr id="13" name="Picture 13" descr="Rating Red Circle with white centre: Inadequate evidence, looking off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ating Red Circle with white centre: Inadequate evidence, looking off track"/>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234" cy="235085"/>
                          </a:xfrm>
                          <a:prstGeom prst="rect">
                            <a:avLst/>
                          </a:prstGeom>
                        </pic:spPr>
                      </pic:pic>
                    </a:graphicData>
                  </a:graphic>
                </wp:inline>
              </w:drawing>
            </w:r>
            <w:r w:rsidRPr="0050044B">
              <w:rPr>
                <w:rFonts w:ascii="Cambria" w:hAnsi="Cambria"/>
                <w:b/>
                <w:bCs/>
                <w:sz w:val="16"/>
                <w:szCs w:val="16"/>
              </w:rPr>
              <w:t xml:space="preserve"> </w:t>
            </w:r>
          </w:p>
        </w:tc>
        <w:tc>
          <w:tcPr>
            <w:tcW w:w="6809" w:type="dxa"/>
          </w:tcPr>
          <w:p w14:paraId="40C3C987" w14:textId="77777777" w:rsidR="0080221E" w:rsidRDefault="0080221E" w:rsidP="00265449">
            <w:pPr>
              <w:pStyle w:val="ListParagraph"/>
              <w:numPr>
                <w:ilvl w:val="0"/>
                <w:numId w:val="27"/>
              </w:numPr>
              <w:rPr>
                <w:rFonts w:ascii="Cambria" w:hAnsi="Cambria"/>
                <w:b/>
                <w:bCs/>
                <w:sz w:val="16"/>
                <w:szCs w:val="16"/>
              </w:rPr>
            </w:pPr>
            <w:r>
              <w:rPr>
                <w:rFonts w:ascii="Cambria" w:hAnsi="Cambria"/>
                <w:b/>
                <w:bCs/>
                <w:sz w:val="16"/>
                <w:szCs w:val="16"/>
              </w:rPr>
              <w:t>Only one initiative is relatively well advanced</w:t>
            </w:r>
          </w:p>
          <w:p w14:paraId="32171324" w14:textId="77777777" w:rsidR="0080221E" w:rsidRPr="0050044B" w:rsidRDefault="0080221E" w:rsidP="004F3B68">
            <w:pPr>
              <w:pStyle w:val="ListParagraph"/>
              <w:numPr>
                <w:ilvl w:val="0"/>
                <w:numId w:val="33"/>
              </w:numPr>
              <w:rPr>
                <w:rFonts w:ascii="Cambria" w:hAnsi="Cambria"/>
                <w:b/>
                <w:bCs/>
                <w:sz w:val="16"/>
                <w:szCs w:val="16"/>
              </w:rPr>
            </w:pPr>
            <w:r w:rsidRPr="0050044B">
              <w:rPr>
                <w:rFonts w:ascii="Cambria" w:hAnsi="Cambria"/>
                <w:b/>
                <w:bCs/>
                <w:sz w:val="16"/>
                <w:szCs w:val="16"/>
              </w:rPr>
              <w:t>Limited prior experience working together helps explain slower start</w:t>
            </w:r>
          </w:p>
          <w:p w14:paraId="3A46106A" w14:textId="77777777" w:rsidR="0080221E" w:rsidRPr="0050044B" w:rsidRDefault="0080221E" w:rsidP="004F3B68">
            <w:pPr>
              <w:pStyle w:val="ListParagraph"/>
              <w:numPr>
                <w:ilvl w:val="0"/>
                <w:numId w:val="33"/>
              </w:numPr>
              <w:rPr>
                <w:rFonts w:ascii="Cambria" w:hAnsi="Cambria"/>
                <w:b/>
                <w:bCs/>
                <w:sz w:val="16"/>
                <w:szCs w:val="16"/>
              </w:rPr>
            </w:pPr>
            <w:r>
              <w:rPr>
                <w:rFonts w:ascii="Cambria" w:hAnsi="Cambria"/>
                <w:b/>
                <w:bCs/>
                <w:sz w:val="16"/>
                <w:szCs w:val="16"/>
              </w:rPr>
              <w:t>I</w:t>
            </w:r>
            <w:r w:rsidRPr="0050044B">
              <w:rPr>
                <w:rFonts w:ascii="Cambria" w:hAnsi="Cambria"/>
                <w:b/>
                <w:bCs/>
                <w:sz w:val="16"/>
                <w:szCs w:val="16"/>
              </w:rPr>
              <w:t>nitial difference</w:t>
            </w:r>
            <w:r>
              <w:rPr>
                <w:rFonts w:ascii="Cambria" w:hAnsi="Cambria"/>
                <w:b/>
                <w:bCs/>
                <w:sz w:val="16"/>
                <w:szCs w:val="16"/>
              </w:rPr>
              <w:t>s</w:t>
            </w:r>
            <w:r w:rsidRPr="0050044B">
              <w:rPr>
                <w:rFonts w:ascii="Cambria" w:hAnsi="Cambria"/>
                <w:b/>
                <w:bCs/>
                <w:sz w:val="16"/>
                <w:szCs w:val="16"/>
              </w:rPr>
              <w:t xml:space="preserve"> in views between desk and Post</w:t>
            </w:r>
            <w:r>
              <w:rPr>
                <w:rFonts w:ascii="Cambria" w:hAnsi="Cambria"/>
                <w:b/>
                <w:bCs/>
                <w:sz w:val="16"/>
                <w:szCs w:val="16"/>
              </w:rPr>
              <w:t xml:space="preserve"> also had</w:t>
            </w:r>
            <w:r w:rsidRPr="0050044B">
              <w:rPr>
                <w:rFonts w:ascii="Cambria" w:hAnsi="Cambria"/>
                <w:b/>
                <w:bCs/>
                <w:sz w:val="16"/>
                <w:szCs w:val="16"/>
              </w:rPr>
              <w:t xml:space="preserve"> to be reconciled</w:t>
            </w:r>
          </w:p>
          <w:p w14:paraId="2CF07F29" w14:textId="77777777" w:rsidR="0080221E" w:rsidRPr="0050044B" w:rsidRDefault="0080221E" w:rsidP="004F3B68">
            <w:pPr>
              <w:pStyle w:val="ListParagraph"/>
              <w:numPr>
                <w:ilvl w:val="0"/>
                <w:numId w:val="33"/>
              </w:numPr>
              <w:rPr>
                <w:rFonts w:ascii="Cambria" w:hAnsi="Cambria"/>
                <w:b/>
                <w:bCs/>
                <w:sz w:val="16"/>
                <w:szCs w:val="16"/>
              </w:rPr>
            </w:pPr>
            <w:r>
              <w:rPr>
                <w:rFonts w:ascii="Cambria" w:hAnsi="Cambria"/>
                <w:b/>
                <w:bCs/>
                <w:sz w:val="16"/>
                <w:szCs w:val="16"/>
              </w:rPr>
              <w:t>Communication between all parties on key deliverables was problematic</w:t>
            </w:r>
          </w:p>
        </w:tc>
        <w:tc>
          <w:tcPr>
            <w:tcW w:w="2683" w:type="dxa"/>
          </w:tcPr>
          <w:p w14:paraId="214B1AC4" w14:textId="5325732E" w:rsidR="0080221E" w:rsidRDefault="0080221E" w:rsidP="004F3B68">
            <w:pPr>
              <w:rPr>
                <w:rFonts w:ascii="Cambria" w:hAnsi="Cambria"/>
                <w:b/>
                <w:bCs/>
                <w:sz w:val="16"/>
                <w:szCs w:val="16"/>
              </w:rPr>
            </w:pPr>
            <w:r w:rsidRPr="0050044B">
              <w:rPr>
                <w:rFonts w:ascii="Cambria" w:hAnsi="Cambria"/>
                <w:b/>
                <w:bCs/>
                <w:sz w:val="16"/>
                <w:szCs w:val="16"/>
              </w:rPr>
              <w:t>Change of government required considerable agility</w:t>
            </w:r>
            <w:r>
              <w:rPr>
                <w:rFonts w:ascii="Cambria" w:hAnsi="Cambria"/>
                <w:b/>
                <w:bCs/>
                <w:sz w:val="16"/>
                <w:szCs w:val="16"/>
              </w:rPr>
              <w:t>/</w:t>
            </w:r>
            <w:r w:rsidRPr="0050044B">
              <w:rPr>
                <w:rFonts w:ascii="Cambria" w:hAnsi="Cambria"/>
                <w:b/>
                <w:bCs/>
                <w:sz w:val="16"/>
                <w:szCs w:val="16"/>
              </w:rPr>
              <w:t>adaptability</w:t>
            </w:r>
            <w:r w:rsidR="007F19C1">
              <w:rPr>
                <w:rFonts w:ascii="Cambria" w:hAnsi="Cambria"/>
                <w:b/>
                <w:bCs/>
                <w:sz w:val="16"/>
                <w:szCs w:val="16"/>
              </w:rPr>
              <w:t>.</w:t>
            </w:r>
          </w:p>
          <w:p w14:paraId="594EA6FF" w14:textId="5EC08A1E" w:rsidR="0080221E" w:rsidRPr="0050044B" w:rsidRDefault="0080221E" w:rsidP="004F3B68">
            <w:pPr>
              <w:rPr>
                <w:rFonts w:ascii="Cambria" w:hAnsi="Cambria"/>
                <w:b/>
                <w:bCs/>
                <w:sz w:val="16"/>
                <w:szCs w:val="16"/>
              </w:rPr>
            </w:pPr>
            <w:r>
              <w:rPr>
                <w:rFonts w:ascii="Cambria" w:hAnsi="Cambria"/>
                <w:b/>
                <w:bCs/>
                <w:sz w:val="16"/>
                <w:szCs w:val="16"/>
              </w:rPr>
              <w:t>DFAT/TAF extra oversight and support needed while no TAF CR</w:t>
            </w:r>
            <w:r w:rsidR="007F19C1">
              <w:rPr>
                <w:rFonts w:ascii="Cambria" w:hAnsi="Cambria"/>
                <w:b/>
                <w:bCs/>
                <w:sz w:val="16"/>
                <w:szCs w:val="16"/>
              </w:rPr>
              <w:t>.</w:t>
            </w:r>
          </w:p>
        </w:tc>
      </w:tr>
      <w:tr w:rsidR="0080221E" w14:paraId="0377FF1F" w14:textId="77777777" w:rsidTr="004F3B68">
        <w:tc>
          <w:tcPr>
            <w:tcW w:w="4678" w:type="dxa"/>
          </w:tcPr>
          <w:p w14:paraId="1A3AA16B" w14:textId="77777777" w:rsidR="0080221E" w:rsidRPr="00432601" w:rsidRDefault="0080221E" w:rsidP="004F3B68">
            <w:pPr>
              <w:pStyle w:val="ListParagraph"/>
              <w:numPr>
                <w:ilvl w:val="0"/>
                <w:numId w:val="21"/>
              </w:numPr>
              <w:spacing w:before="80"/>
              <w:ind w:left="602"/>
              <w:rPr>
                <w:rFonts w:ascii="Cambria" w:hAnsi="Cambria"/>
                <w:sz w:val="20"/>
                <w:szCs w:val="20"/>
              </w:rPr>
            </w:pPr>
            <w:r w:rsidRPr="00432601">
              <w:rPr>
                <w:rFonts w:ascii="Cambria" w:hAnsi="Cambria"/>
                <w:sz w:val="20"/>
                <w:szCs w:val="20"/>
              </w:rPr>
              <w:t>Reta</w:t>
            </w:r>
            <w:r>
              <w:rPr>
                <w:rFonts w:ascii="Cambria" w:hAnsi="Cambria"/>
                <w:sz w:val="20"/>
                <w:szCs w:val="20"/>
              </w:rPr>
              <w:t>i</w:t>
            </w:r>
            <w:r w:rsidRPr="00432601">
              <w:rPr>
                <w:rFonts w:ascii="Cambria" w:hAnsi="Cambria"/>
                <w:sz w:val="20"/>
                <w:szCs w:val="20"/>
              </w:rPr>
              <w:t>ning high skilled women in the workforce</w:t>
            </w:r>
          </w:p>
        </w:tc>
        <w:tc>
          <w:tcPr>
            <w:tcW w:w="1418" w:type="dxa"/>
          </w:tcPr>
          <w:p w14:paraId="564F3FDD" w14:textId="77777777" w:rsidR="0080221E" w:rsidRPr="00C20ED7" w:rsidRDefault="0080221E" w:rsidP="004F3B68">
            <w:pPr>
              <w:spacing w:before="120" w:after="80"/>
              <w:jc w:val="center"/>
              <w:rPr>
                <w:rFonts w:ascii="Cambria" w:hAnsi="Cambria"/>
                <w:b/>
                <w:bCs/>
              </w:rPr>
            </w:pPr>
            <w:r>
              <w:rPr>
                <w:rFonts w:ascii="Cambria" w:hAnsi="Cambria"/>
                <w:b/>
                <w:bCs/>
                <w:noProof/>
              </w:rPr>
              <w:drawing>
                <wp:inline distT="0" distB="0" distL="0" distR="0" wp14:anchorId="400F7B6E" wp14:editId="5DF0BDA2">
                  <wp:extent cx="185420" cy="185420"/>
                  <wp:effectExtent l="0" t="0" r="5080" b="5080"/>
                  <wp:docPr id="20" name="Picture 20" descr="Rating Green Circle with white centre: inadequate evidence, looking hope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Rating Green Circle with white centre: inadequate evidence, looking hopeful"/>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189089" cy="189089"/>
                          </a:xfrm>
                          <a:prstGeom prst="rect">
                            <a:avLst/>
                          </a:prstGeom>
                        </pic:spPr>
                      </pic:pic>
                    </a:graphicData>
                  </a:graphic>
                </wp:inline>
              </w:drawing>
            </w:r>
          </w:p>
        </w:tc>
        <w:tc>
          <w:tcPr>
            <w:tcW w:w="6809" w:type="dxa"/>
          </w:tcPr>
          <w:p w14:paraId="3951F1C1" w14:textId="6CEDE989" w:rsidR="0080221E" w:rsidRDefault="0080221E" w:rsidP="004F3B68">
            <w:pPr>
              <w:pStyle w:val="ListParagraph"/>
              <w:numPr>
                <w:ilvl w:val="0"/>
                <w:numId w:val="30"/>
              </w:numPr>
              <w:rPr>
                <w:rFonts w:ascii="Cambria" w:hAnsi="Cambria"/>
                <w:b/>
                <w:bCs/>
                <w:sz w:val="16"/>
                <w:szCs w:val="16"/>
              </w:rPr>
            </w:pPr>
            <w:r>
              <w:rPr>
                <w:rFonts w:ascii="Cambria" w:hAnsi="Cambria"/>
                <w:b/>
                <w:bCs/>
                <w:sz w:val="16"/>
                <w:szCs w:val="16"/>
              </w:rPr>
              <w:t xml:space="preserve">Solid early country case study work positioned MTRP well despite no AMIC </w:t>
            </w:r>
            <w:r w:rsidR="00265449">
              <w:rPr>
                <w:rFonts w:ascii="Cambria" w:hAnsi="Cambria"/>
                <w:b/>
                <w:bCs/>
                <w:sz w:val="16"/>
                <w:szCs w:val="16"/>
              </w:rPr>
              <w:t>examples</w:t>
            </w:r>
            <w:r>
              <w:rPr>
                <w:rFonts w:ascii="Cambria" w:hAnsi="Cambria"/>
                <w:b/>
                <w:bCs/>
                <w:sz w:val="16"/>
                <w:szCs w:val="16"/>
              </w:rPr>
              <w:t xml:space="preserve"> </w:t>
            </w:r>
          </w:p>
          <w:p w14:paraId="17B4453E" w14:textId="77777777" w:rsidR="0080221E" w:rsidRPr="009B3F57" w:rsidRDefault="0080221E" w:rsidP="004F3B68">
            <w:pPr>
              <w:pStyle w:val="ListParagraph"/>
              <w:numPr>
                <w:ilvl w:val="0"/>
                <w:numId w:val="30"/>
              </w:numPr>
              <w:rPr>
                <w:rFonts w:ascii="Cambria" w:hAnsi="Cambria"/>
                <w:b/>
                <w:bCs/>
                <w:sz w:val="16"/>
                <w:szCs w:val="16"/>
              </w:rPr>
            </w:pPr>
            <w:r w:rsidRPr="009B3F57">
              <w:rPr>
                <w:rFonts w:ascii="Cambria" w:hAnsi="Cambria"/>
                <w:b/>
                <w:bCs/>
                <w:sz w:val="16"/>
                <w:szCs w:val="16"/>
              </w:rPr>
              <w:t>Local partner appears well credentialled and</w:t>
            </w:r>
            <w:r>
              <w:rPr>
                <w:rFonts w:ascii="Cambria" w:hAnsi="Cambria"/>
                <w:b/>
                <w:bCs/>
                <w:sz w:val="16"/>
                <w:szCs w:val="16"/>
              </w:rPr>
              <w:t xml:space="preserve"> capable</w:t>
            </w:r>
            <w:r w:rsidRPr="009B3F57">
              <w:rPr>
                <w:rFonts w:ascii="Cambria" w:hAnsi="Cambria"/>
                <w:b/>
                <w:bCs/>
                <w:sz w:val="16"/>
                <w:szCs w:val="16"/>
              </w:rPr>
              <w:t xml:space="preserve"> </w:t>
            </w:r>
          </w:p>
          <w:p w14:paraId="79D123FA" w14:textId="77777777" w:rsidR="0080221E" w:rsidRPr="009B3F57" w:rsidRDefault="0080221E" w:rsidP="004F3B68">
            <w:pPr>
              <w:pStyle w:val="ListParagraph"/>
              <w:numPr>
                <w:ilvl w:val="0"/>
                <w:numId w:val="30"/>
              </w:numPr>
              <w:rPr>
                <w:rFonts w:ascii="Cambria" w:hAnsi="Cambria"/>
                <w:b/>
                <w:bCs/>
                <w:sz w:val="16"/>
                <w:szCs w:val="16"/>
              </w:rPr>
            </w:pPr>
            <w:r w:rsidRPr="009B3F57">
              <w:rPr>
                <w:rFonts w:ascii="Cambria" w:hAnsi="Cambria"/>
                <w:b/>
                <w:bCs/>
                <w:sz w:val="16"/>
                <w:szCs w:val="16"/>
              </w:rPr>
              <w:t xml:space="preserve">Smart pivot to state governments </w:t>
            </w:r>
            <w:r>
              <w:rPr>
                <w:rFonts w:ascii="Cambria" w:hAnsi="Cambria"/>
                <w:b/>
                <w:bCs/>
                <w:sz w:val="16"/>
                <w:szCs w:val="16"/>
              </w:rPr>
              <w:t>after national change but ongoing links with both</w:t>
            </w:r>
          </w:p>
          <w:p w14:paraId="675E2075" w14:textId="6F0B11B8" w:rsidR="0080221E" w:rsidRPr="009B3F57" w:rsidRDefault="0080221E" w:rsidP="004F3B68">
            <w:pPr>
              <w:pStyle w:val="ListParagraph"/>
              <w:numPr>
                <w:ilvl w:val="0"/>
                <w:numId w:val="30"/>
              </w:numPr>
              <w:rPr>
                <w:rFonts w:ascii="Cambria" w:hAnsi="Cambria"/>
                <w:b/>
                <w:bCs/>
                <w:sz w:val="16"/>
                <w:szCs w:val="16"/>
              </w:rPr>
            </w:pPr>
            <w:r w:rsidRPr="009B3F57">
              <w:rPr>
                <w:rFonts w:ascii="Cambria" w:hAnsi="Cambria"/>
                <w:b/>
                <w:bCs/>
                <w:sz w:val="16"/>
                <w:szCs w:val="16"/>
              </w:rPr>
              <w:t xml:space="preserve">Major </w:t>
            </w:r>
            <w:r>
              <w:rPr>
                <w:rFonts w:ascii="Cambria" w:hAnsi="Cambria"/>
                <w:b/>
                <w:bCs/>
                <w:sz w:val="16"/>
                <w:szCs w:val="16"/>
              </w:rPr>
              <w:t xml:space="preserve">policy document </w:t>
            </w:r>
            <w:r w:rsidRPr="009B3F57">
              <w:rPr>
                <w:rFonts w:ascii="Cambria" w:hAnsi="Cambria"/>
                <w:b/>
                <w:bCs/>
                <w:sz w:val="16"/>
                <w:szCs w:val="16"/>
              </w:rPr>
              <w:t>due for release in April 2021</w:t>
            </w:r>
            <w:r>
              <w:rPr>
                <w:rFonts w:ascii="Cambria" w:hAnsi="Cambria"/>
                <w:b/>
                <w:bCs/>
                <w:sz w:val="16"/>
                <w:szCs w:val="16"/>
              </w:rPr>
              <w:t xml:space="preserve">.  Reception will be </w:t>
            </w:r>
            <w:r w:rsidR="007F19C1">
              <w:rPr>
                <w:rFonts w:ascii="Cambria" w:hAnsi="Cambria"/>
                <w:b/>
                <w:bCs/>
                <w:sz w:val="16"/>
                <w:szCs w:val="16"/>
              </w:rPr>
              <w:t>critical</w:t>
            </w:r>
          </w:p>
        </w:tc>
        <w:tc>
          <w:tcPr>
            <w:tcW w:w="2683" w:type="dxa"/>
          </w:tcPr>
          <w:p w14:paraId="21102569" w14:textId="6F568D9E" w:rsidR="0080221E" w:rsidRPr="009B3F57" w:rsidRDefault="0080221E" w:rsidP="004F3B68">
            <w:pPr>
              <w:rPr>
                <w:rFonts w:ascii="Cambria" w:hAnsi="Cambria"/>
                <w:b/>
                <w:bCs/>
                <w:sz w:val="16"/>
                <w:szCs w:val="16"/>
              </w:rPr>
            </w:pPr>
            <w:r w:rsidRPr="009B3F57">
              <w:rPr>
                <w:rFonts w:ascii="Cambria" w:hAnsi="Cambria"/>
                <w:b/>
                <w:bCs/>
                <w:sz w:val="16"/>
                <w:szCs w:val="16"/>
              </w:rPr>
              <w:t xml:space="preserve">The </w:t>
            </w:r>
            <w:r>
              <w:rPr>
                <w:rFonts w:ascii="Cambria" w:hAnsi="Cambria"/>
                <w:b/>
                <w:bCs/>
                <w:sz w:val="16"/>
                <w:szCs w:val="16"/>
              </w:rPr>
              <w:t>imminent draft policy statement h</w:t>
            </w:r>
            <w:r w:rsidRPr="009B3F57">
              <w:rPr>
                <w:rFonts w:ascii="Cambria" w:hAnsi="Cambria"/>
                <w:b/>
                <w:bCs/>
                <w:sz w:val="16"/>
                <w:szCs w:val="16"/>
              </w:rPr>
              <w:t>as the po</w:t>
            </w:r>
            <w:r>
              <w:rPr>
                <w:rFonts w:ascii="Cambria" w:hAnsi="Cambria"/>
                <w:b/>
                <w:bCs/>
                <w:sz w:val="16"/>
                <w:szCs w:val="16"/>
              </w:rPr>
              <w:t>t</w:t>
            </w:r>
            <w:r w:rsidRPr="009B3F57">
              <w:rPr>
                <w:rFonts w:ascii="Cambria" w:hAnsi="Cambria"/>
                <w:b/>
                <w:bCs/>
                <w:sz w:val="16"/>
                <w:szCs w:val="16"/>
              </w:rPr>
              <w:t>e</w:t>
            </w:r>
            <w:r>
              <w:rPr>
                <w:rFonts w:ascii="Cambria" w:hAnsi="Cambria"/>
                <w:b/>
                <w:bCs/>
                <w:sz w:val="16"/>
                <w:szCs w:val="16"/>
              </w:rPr>
              <w:t>n</w:t>
            </w:r>
            <w:r w:rsidRPr="009B3F57">
              <w:rPr>
                <w:rFonts w:ascii="Cambria" w:hAnsi="Cambria"/>
                <w:b/>
                <w:bCs/>
                <w:sz w:val="16"/>
                <w:szCs w:val="16"/>
              </w:rPr>
              <w:t xml:space="preserve">tial to turn this indicator </w:t>
            </w:r>
            <w:r>
              <w:rPr>
                <w:rFonts w:ascii="Cambria" w:hAnsi="Cambria"/>
                <w:b/>
                <w:bCs/>
                <w:sz w:val="16"/>
                <w:szCs w:val="16"/>
              </w:rPr>
              <w:t>solid</w:t>
            </w:r>
            <w:r w:rsidRPr="009B3F57">
              <w:rPr>
                <w:rFonts w:ascii="Cambria" w:hAnsi="Cambria"/>
                <w:b/>
                <w:bCs/>
                <w:sz w:val="16"/>
                <w:szCs w:val="16"/>
              </w:rPr>
              <w:t xml:space="preserve"> green</w:t>
            </w:r>
            <w:r>
              <w:rPr>
                <w:rFonts w:ascii="Cambria" w:hAnsi="Cambria"/>
                <w:b/>
                <w:bCs/>
                <w:sz w:val="16"/>
                <w:szCs w:val="16"/>
              </w:rPr>
              <w:t xml:space="preserve"> if strongly endorsed</w:t>
            </w:r>
            <w:r w:rsidR="007F19C1">
              <w:rPr>
                <w:rFonts w:ascii="Cambria" w:hAnsi="Cambria"/>
                <w:b/>
                <w:bCs/>
                <w:sz w:val="16"/>
                <w:szCs w:val="16"/>
              </w:rPr>
              <w:t>.</w:t>
            </w:r>
          </w:p>
        </w:tc>
      </w:tr>
      <w:tr w:rsidR="0080221E" w14:paraId="5B564471" w14:textId="77777777" w:rsidTr="004F3B68">
        <w:tc>
          <w:tcPr>
            <w:tcW w:w="4678" w:type="dxa"/>
          </w:tcPr>
          <w:p w14:paraId="2D82F0CD" w14:textId="77777777" w:rsidR="0080221E" w:rsidRPr="00432601" w:rsidRDefault="0080221E" w:rsidP="004F3B68">
            <w:pPr>
              <w:pStyle w:val="ListParagraph"/>
              <w:numPr>
                <w:ilvl w:val="0"/>
                <w:numId w:val="21"/>
              </w:numPr>
              <w:spacing w:before="80"/>
              <w:ind w:left="602"/>
              <w:rPr>
                <w:rFonts w:ascii="Cambria" w:hAnsi="Cambria"/>
                <w:sz w:val="20"/>
                <w:szCs w:val="20"/>
              </w:rPr>
            </w:pPr>
            <w:r>
              <w:rPr>
                <w:rFonts w:ascii="Cambria" w:hAnsi="Cambria"/>
                <w:sz w:val="20"/>
                <w:szCs w:val="20"/>
              </w:rPr>
              <w:t>Supporting the growth and improvement of Malaysia’s Technical Vocational Education and Training system</w:t>
            </w:r>
          </w:p>
        </w:tc>
        <w:tc>
          <w:tcPr>
            <w:tcW w:w="1418" w:type="dxa"/>
          </w:tcPr>
          <w:p w14:paraId="135CA637" w14:textId="77777777" w:rsidR="0080221E" w:rsidRDefault="0080221E" w:rsidP="004F3B68">
            <w:pPr>
              <w:spacing w:before="120" w:after="80"/>
              <w:jc w:val="center"/>
              <w:rPr>
                <w:rFonts w:ascii="Cambria" w:hAnsi="Cambria"/>
                <w:b/>
                <w:bCs/>
              </w:rPr>
            </w:pPr>
            <w:r w:rsidRPr="00453C85">
              <w:rPr>
                <w:rFonts w:ascii="Cambria" w:hAnsi="Cambria"/>
                <w:b/>
                <w:bCs/>
                <w:noProof/>
              </w:rPr>
              <w:drawing>
                <wp:inline distT="0" distB="0" distL="0" distR="0" wp14:anchorId="4EC11A23" wp14:editId="7B35338F">
                  <wp:extent cx="202353" cy="211203"/>
                  <wp:effectExtent l="0" t="0" r="1270" b="5080"/>
                  <wp:docPr id="15" name="Picture 15" descr="Rating Red Circle with white centre: inadequate evidence, looking off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Rating Red Circle with white centre: inadequate evidence, looking off track"/>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234" cy="235085"/>
                          </a:xfrm>
                          <a:prstGeom prst="rect">
                            <a:avLst/>
                          </a:prstGeom>
                        </pic:spPr>
                      </pic:pic>
                    </a:graphicData>
                  </a:graphic>
                </wp:inline>
              </w:drawing>
            </w:r>
          </w:p>
        </w:tc>
        <w:tc>
          <w:tcPr>
            <w:tcW w:w="6809" w:type="dxa"/>
          </w:tcPr>
          <w:p w14:paraId="6461593B" w14:textId="77777777" w:rsidR="0080221E" w:rsidRDefault="0080221E" w:rsidP="004F3B68">
            <w:pPr>
              <w:pStyle w:val="ListParagraph"/>
              <w:numPr>
                <w:ilvl w:val="0"/>
                <w:numId w:val="28"/>
              </w:numPr>
              <w:rPr>
                <w:rFonts w:ascii="Cambria" w:hAnsi="Cambria"/>
                <w:b/>
                <w:bCs/>
                <w:sz w:val="16"/>
                <w:szCs w:val="16"/>
              </w:rPr>
            </w:pPr>
            <w:r w:rsidRPr="00C87EDC">
              <w:rPr>
                <w:rFonts w:ascii="Cambria" w:hAnsi="Cambria"/>
                <w:b/>
                <w:bCs/>
                <w:sz w:val="16"/>
                <w:szCs w:val="16"/>
              </w:rPr>
              <w:t xml:space="preserve">Relatively new initiative trying to make up </w:t>
            </w:r>
            <w:r>
              <w:rPr>
                <w:rFonts w:ascii="Cambria" w:hAnsi="Cambria"/>
                <w:b/>
                <w:bCs/>
                <w:sz w:val="16"/>
                <w:szCs w:val="16"/>
              </w:rPr>
              <w:t xml:space="preserve">lost </w:t>
            </w:r>
            <w:r w:rsidRPr="00C87EDC">
              <w:rPr>
                <w:rFonts w:ascii="Cambria" w:hAnsi="Cambria"/>
                <w:b/>
                <w:bCs/>
                <w:sz w:val="16"/>
                <w:szCs w:val="16"/>
              </w:rPr>
              <w:t xml:space="preserve">ground  </w:t>
            </w:r>
          </w:p>
          <w:p w14:paraId="05A910B1" w14:textId="77777777" w:rsidR="0080221E" w:rsidRDefault="0080221E" w:rsidP="004F3B68">
            <w:pPr>
              <w:pStyle w:val="ListParagraph"/>
              <w:numPr>
                <w:ilvl w:val="0"/>
                <w:numId w:val="28"/>
              </w:numPr>
              <w:rPr>
                <w:rFonts w:ascii="Cambria" w:hAnsi="Cambria"/>
                <w:b/>
                <w:bCs/>
                <w:sz w:val="16"/>
                <w:szCs w:val="16"/>
              </w:rPr>
            </w:pPr>
            <w:r>
              <w:rPr>
                <w:rFonts w:ascii="Cambria" w:hAnsi="Cambria"/>
                <w:b/>
                <w:bCs/>
                <w:sz w:val="16"/>
                <w:szCs w:val="16"/>
              </w:rPr>
              <w:t xml:space="preserve">Initial theory of change was disproved, illustrating there was much to learn, but also that program can be quick to do so </w:t>
            </w:r>
          </w:p>
          <w:p w14:paraId="41F20B20" w14:textId="77777777" w:rsidR="0080221E" w:rsidRDefault="0080221E" w:rsidP="004F3B68">
            <w:pPr>
              <w:pStyle w:val="ListParagraph"/>
              <w:numPr>
                <w:ilvl w:val="0"/>
                <w:numId w:val="28"/>
              </w:numPr>
              <w:rPr>
                <w:rFonts w:ascii="Cambria" w:hAnsi="Cambria"/>
                <w:b/>
                <w:bCs/>
                <w:sz w:val="16"/>
                <w:szCs w:val="16"/>
              </w:rPr>
            </w:pPr>
            <w:r>
              <w:rPr>
                <w:rFonts w:ascii="Cambria" w:hAnsi="Cambria"/>
                <w:b/>
                <w:bCs/>
                <w:sz w:val="16"/>
                <w:szCs w:val="16"/>
              </w:rPr>
              <w:t>Still hard to see exactly what TAF can achieve in complex, crowded, demanding field</w:t>
            </w:r>
          </w:p>
          <w:p w14:paraId="7DA1A6A2" w14:textId="77777777" w:rsidR="0080221E" w:rsidRDefault="0080221E" w:rsidP="004F3B68">
            <w:pPr>
              <w:pStyle w:val="ListParagraph"/>
              <w:numPr>
                <w:ilvl w:val="0"/>
                <w:numId w:val="28"/>
              </w:numPr>
              <w:rPr>
                <w:rFonts w:ascii="Cambria" w:hAnsi="Cambria"/>
                <w:b/>
                <w:bCs/>
                <w:sz w:val="16"/>
                <w:szCs w:val="16"/>
              </w:rPr>
            </w:pPr>
            <w:r>
              <w:rPr>
                <w:rFonts w:ascii="Cambria" w:hAnsi="Cambria"/>
                <w:b/>
                <w:bCs/>
                <w:sz w:val="16"/>
                <w:szCs w:val="16"/>
              </w:rPr>
              <w:t xml:space="preserve">Pros &amp; cons of strategy working with 2-3 institutions yet to be fully tested </w:t>
            </w:r>
          </w:p>
          <w:p w14:paraId="3D829727" w14:textId="77777777" w:rsidR="0080221E" w:rsidRPr="00C87EDC" w:rsidRDefault="0080221E" w:rsidP="004F3B68">
            <w:pPr>
              <w:pStyle w:val="ListParagraph"/>
              <w:numPr>
                <w:ilvl w:val="0"/>
                <w:numId w:val="28"/>
              </w:numPr>
              <w:rPr>
                <w:rFonts w:ascii="Cambria" w:hAnsi="Cambria"/>
                <w:b/>
                <w:bCs/>
                <w:sz w:val="16"/>
                <w:szCs w:val="16"/>
              </w:rPr>
            </w:pPr>
            <w:r>
              <w:rPr>
                <w:rFonts w:ascii="Cambria" w:hAnsi="Cambria"/>
                <w:b/>
                <w:bCs/>
                <w:sz w:val="16"/>
                <w:szCs w:val="16"/>
              </w:rPr>
              <w:t>Major diagnostic report scheduled for delivery in April 2021</w:t>
            </w:r>
          </w:p>
        </w:tc>
        <w:tc>
          <w:tcPr>
            <w:tcW w:w="2683" w:type="dxa"/>
          </w:tcPr>
          <w:p w14:paraId="55ED8836" w14:textId="16B39F88" w:rsidR="0080221E" w:rsidRDefault="0080221E" w:rsidP="004F3B68">
            <w:pPr>
              <w:rPr>
                <w:rFonts w:ascii="Cambria" w:hAnsi="Cambria"/>
                <w:b/>
                <w:bCs/>
                <w:sz w:val="16"/>
                <w:szCs w:val="16"/>
              </w:rPr>
            </w:pPr>
            <w:r w:rsidRPr="009B3F57">
              <w:rPr>
                <w:rFonts w:ascii="Cambria" w:hAnsi="Cambria"/>
                <w:b/>
                <w:bCs/>
                <w:sz w:val="16"/>
                <w:szCs w:val="16"/>
              </w:rPr>
              <w:t>The major diagnostic report about to be produced might see the indicator turn amber</w:t>
            </w:r>
            <w:r w:rsidR="007F19C1">
              <w:rPr>
                <w:rFonts w:ascii="Cambria" w:hAnsi="Cambria"/>
                <w:b/>
                <w:bCs/>
                <w:sz w:val="16"/>
                <w:szCs w:val="16"/>
              </w:rPr>
              <w:t>.</w:t>
            </w:r>
          </w:p>
          <w:p w14:paraId="148F5FAE" w14:textId="03FBD63D" w:rsidR="0080221E" w:rsidRPr="009B3F57" w:rsidRDefault="0080221E" w:rsidP="004F3B68">
            <w:pPr>
              <w:rPr>
                <w:rFonts w:ascii="Cambria" w:hAnsi="Cambria"/>
                <w:b/>
                <w:bCs/>
                <w:sz w:val="16"/>
                <w:szCs w:val="16"/>
              </w:rPr>
            </w:pPr>
            <w:r>
              <w:rPr>
                <w:rFonts w:ascii="Cambria" w:hAnsi="Cambria"/>
                <w:b/>
                <w:bCs/>
                <w:sz w:val="16"/>
                <w:szCs w:val="16"/>
              </w:rPr>
              <w:t>Plans to harness Australian TVET expertise may provide a strategic missing link in next period</w:t>
            </w:r>
            <w:r w:rsidR="007F19C1">
              <w:rPr>
                <w:rFonts w:ascii="Cambria" w:hAnsi="Cambria"/>
                <w:b/>
                <w:bCs/>
                <w:sz w:val="16"/>
                <w:szCs w:val="16"/>
              </w:rPr>
              <w:t>.</w:t>
            </w:r>
          </w:p>
        </w:tc>
      </w:tr>
      <w:tr w:rsidR="0080221E" w14:paraId="7A784039" w14:textId="77777777" w:rsidTr="004F3B68">
        <w:tc>
          <w:tcPr>
            <w:tcW w:w="4678" w:type="dxa"/>
          </w:tcPr>
          <w:p w14:paraId="178C7FAA" w14:textId="55CCB0B1" w:rsidR="0080221E" w:rsidRPr="00E90039" w:rsidRDefault="0080221E" w:rsidP="004F3B68">
            <w:pPr>
              <w:spacing w:before="80"/>
              <w:rPr>
                <w:rFonts w:ascii="Cambria" w:hAnsi="Cambria"/>
                <w:b/>
                <w:bCs/>
                <w:sz w:val="22"/>
                <w:szCs w:val="22"/>
              </w:rPr>
            </w:pPr>
            <w:r w:rsidRPr="00E90039">
              <w:rPr>
                <w:rFonts w:ascii="Cambria" w:hAnsi="Cambria"/>
                <w:b/>
                <w:bCs/>
                <w:sz w:val="22"/>
                <w:szCs w:val="22"/>
              </w:rPr>
              <w:t xml:space="preserve">Objective 2:  Strengthened </w:t>
            </w:r>
            <w:r w:rsidR="00265449">
              <w:rPr>
                <w:rFonts w:ascii="Cambria" w:hAnsi="Cambria"/>
                <w:b/>
                <w:bCs/>
                <w:sz w:val="22"/>
                <w:szCs w:val="22"/>
              </w:rPr>
              <w:t>b</w:t>
            </w:r>
            <w:r w:rsidRPr="00E90039">
              <w:rPr>
                <w:rFonts w:ascii="Cambria" w:hAnsi="Cambria"/>
                <w:b/>
                <w:bCs/>
                <w:sz w:val="22"/>
                <w:szCs w:val="22"/>
              </w:rPr>
              <w:t>ilateral relations</w:t>
            </w:r>
            <w:r>
              <w:rPr>
                <w:rFonts w:ascii="Cambria" w:hAnsi="Cambria"/>
                <w:b/>
                <w:bCs/>
              </w:rPr>
              <w:t xml:space="preserve"> </w:t>
            </w:r>
          </w:p>
        </w:tc>
        <w:tc>
          <w:tcPr>
            <w:tcW w:w="1418" w:type="dxa"/>
          </w:tcPr>
          <w:p w14:paraId="040A63B8" w14:textId="77777777" w:rsidR="0080221E" w:rsidRDefault="0080221E" w:rsidP="004F3B68">
            <w:pPr>
              <w:spacing w:before="120" w:after="80"/>
              <w:jc w:val="center"/>
              <w:rPr>
                <w:rFonts w:ascii="Cambria" w:hAnsi="Cambria"/>
                <w:b/>
                <w:bCs/>
              </w:rPr>
            </w:pPr>
            <w:r>
              <w:rPr>
                <w:rFonts w:ascii="Cambria" w:hAnsi="Cambria"/>
                <w:b/>
                <w:bCs/>
                <w:noProof/>
              </w:rPr>
              <w:drawing>
                <wp:inline distT="0" distB="0" distL="0" distR="0" wp14:anchorId="6A1D31E3" wp14:editId="7B30A07E">
                  <wp:extent cx="185843" cy="194184"/>
                  <wp:effectExtent l="0" t="0" r="5080" b="0"/>
                  <wp:docPr id="16" name="Picture 16" descr="Rating Amber: satisfactory at this point i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Rating Amber: satisfactory at this point in time"/>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97628" cy="206498"/>
                          </a:xfrm>
                          <a:prstGeom prst="rect">
                            <a:avLst/>
                          </a:prstGeom>
                        </pic:spPr>
                      </pic:pic>
                    </a:graphicData>
                  </a:graphic>
                </wp:inline>
              </w:drawing>
            </w:r>
          </w:p>
        </w:tc>
        <w:tc>
          <w:tcPr>
            <w:tcW w:w="6809" w:type="dxa"/>
          </w:tcPr>
          <w:p w14:paraId="1DA03DD9" w14:textId="77777777" w:rsidR="0080221E" w:rsidRDefault="0080221E" w:rsidP="004F3B68">
            <w:pPr>
              <w:pStyle w:val="ListParagraph"/>
              <w:numPr>
                <w:ilvl w:val="0"/>
                <w:numId w:val="31"/>
              </w:numPr>
              <w:rPr>
                <w:rFonts w:ascii="Cambria" w:hAnsi="Cambria"/>
                <w:b/>
                <w:bCs/>
                <w:sz w:val="16"/>
                <w:szCs w:val="16"/>
              </w:rPr>
            </w:pPr>
            <w:r w:rsidRPr="009B3F57">
              <w:rPr>
                <w:rFonts w:ascii="Cambria" w:hAnsi="Cambria"/>
                <w:b/>
                <w:bCs/>
                <w:sz w:val="16"/>
                <w:szCs w:val="16"/>
              </w:rPr>
              <w:t>Major gains</w:t>
            </w:r>
            <w:r>
              <w:rPr>
                <w:rFonts w:ascii="Cambria" w:hAnsi="Cambria"/>
                <w:b/>
                <w:bCs/>
                <w:sz w:val="16"/>
                <w:szCs w:val="16"/>
              </w:rPr>
              <w:t xml:space="preserve"> </w:t>
            </w:r>
            <w:r w:rsidRPr="009B3F57">
              <w:rPr>
                <w:rFonts w:ascii="Cambria" w:hAnsi="Cambria"/>
                <w:b/>
                <w:bCs/>
                <w:sz w:val="16"/>
                <w:szCs w:val="16"/>
              </w:rPr>
              <w:t>c</w:t>
            </w:r>
            <w:r>
              <w:rPr>
                <w:rFonts w:ascii="Cambria" w:hAnsi="Cambria"/>
                <w:b/>
                <w:bCs/>
                <w:sz w:val="16"/>
                <w:szCs w:val="16"/>
              </w:rPr>
              <w:t xml:space="preserve">an </w:t>
            </w:r>
            <w:r w:rsidRPr="009B3F57">
              <w:rPr>
                <w:rFonts w:ascii="Cambria" w:hAnsi="Cambria"/>
                <w:b/>
                <w:bCs/>
                <w:sz w:val="16"/>
                <w:szCs w:val="16"/>
              </w:rPr>
              <w:t>only be expected towards the end of the program</w:t>
            </w:r>
          </w:p>
          <w:p w14:paraId="2771638F" w14:textId="77777777" w:rsidR="0080221E" w:rsidRDefault="0080221E" w:rsidP="004F3B68">
            <w:pPr>
              <w:pStyle w:val="ListParagraph"/>
              <w:numPr>
                <w:ilvl w:val="0"/>
                <w:numId w:val="31"/>
              </w:numPr>
              <w:rPr>
                <w:rFonts w:ascii="Cambria" w:hAnsi="Cambria"/>
                <w:b/>
                <w:bCs/>
                <w:sz w:val="16"/>
                <w:szCs w:val="16"/>
              </w:rPr>
            </w:pPr>
            <w:r>
              <w:rPr>
                <w:rFonts w:ascii="Cambria" w:hAnsi="Cambria"/>
                <w:b/>
                <w:bCs/>
                <w:sz w:val="16"/>
                <w:szCs w:val="16"/>
              </w:rPr>
              <w:t>At DFAT’s urging, management of this objective has become more proactive, likewise monitoring will need to become ongoing and built-in to management processes</w:t>
            </w:r>
          </w:p>
          <w:p w14:paraId="4405217E" w14:textId="77777777" w:rsidR="0080221E" w:rsidRPr="009B3F57" w:rsidRDefault="0080221E" w:rsidP="004F3B68">
            <w:pPr>
              <w:pStyle w:val="ListParagraph"/>
              <w:numPr>
                <w:ilvl w:val="0"/>
                <w:numId w:val="31"/>
              </w:numPr>
              <w:rPr>
                <w:rFonts w:ascii="Cambria" w:hAnsi="Cambria"/>
                <w:b/>
                <w:bCs/>
                <w:sz w:val="16"/>
                <w:szCs w:val="16"/>
              </w:rPr>
            </w:pPr>
            <w:r>
              <w:rPr>
                <w:rFonts w:ascii="Cambria" w:hAnsi="Cambria"/>
                <w:b/>
                <w:bCs/>
                <w:sz w:val="16"/>
                <w:szCs w:val="16"/>
              </w:rPr>
              <w:t>Both Thai initiatives are already delivering diplomatic opportunities &amp; gains</w:t>
            </w:r>
          </w:p>
        </w:tc>
        <w:tc>
          <w:tcPr>
            <w:tcW w:w="2683" w:type="dxa"/>
          </w:tcPr>
          <w:p w14:paraId="13E2AFA0" w14:textId="6683CDB9" w:rsidR="0080221E" w:rsidRPr="007203F7" w:rsidRDefault="0080221E" w:rsidP="004F3B68">
            <w:pPr>
              <w:rPr>
                <w:rFonts w:ascii="Cambria" w:hAnsi="Cambria"/>
                <w:b/>
                <w:bCs/>
                <w:sz w:val="16"/>
                <w:szCs w:val="16"/>
              </w:rPr>
            </w:pPr>
            <w:r>
              <w:rPr>
                <w:rFonts w:ascii="Cambria" w:hAnsi="Cambria"/>
                <w:b/>
                <w:bCs/>
                <w:sz w:val="16"/>
                <w:szCs w:val="16"/>
              </w:rPr>
              <w:t>Australia’s reputation may be enhanced in reform areas, but this may not translate easily or quickly into cabinet kudos</w:t>
            </w:r>
            <w:r w:rsidR="007F19C1">
              <w:rPr>
                <w:rFonts w:ascii="Cambria" w:hAnsi="Cambria"/>
                <w:b/>
                <w:bCs/>
                <w:sz w:val="16"/>
                <w:szCs w:val="16"/>
              </w:rPr>
              <w:t>.</w:t>
            </w:r>
          </w:p>
        </w:tc>
      </w:tr>
      <w:tr w:rsidR="0080221E" w14:paraId="4095DE16" w14:textId="77777777" w:rsidTr="004F3B68">
        <w:tc>
          <w:tcPr>
            <w:tcW w:w="4678" w:type="dxa"/>
          </w:tcPr>
          <w:p w14:paraId="7244C643" w14:textId="77777777" w:rsidR="0080221E" w:rsidRPr="00E90039" w:rsidRDefault="0080221E" w:rsidP="004F3B68">
            <w:pPr>
              <w:spacing w:before="80"/>
              <w:rPr>
                <w:rFonts w:ascii="Cambria" w:hAnsi="Cambria"/>
                <w:b/>
                <w:bCs/>
                <w:sz w:val="22"/>
                <w:szCs w:val="22"/>
              </w:rPr>
            </w:pPr>
            <w:r w:rsidRPr="00E90039">
              <w:rPr>
                <w:rFonts w:ascii="Cambria" w:hAnsi="Cambria"/>
                <w:b/>
                <w:bCs/>
                <w:sz w:val="22"/>
                <w:szCs w:val="22"/>
              </w:rPr>
              <w:t>Objective 3:  Foundational research &amp; analysis</w:t>
            </w:r>
          </w:p>
        </w:tc>
        <w:tc>
          <w:tcPr>
            <w:tcW w:w="1418" w:type="dxa"/>
          </w:tcPr>
          <w:p w14:paraId="5376E669" w14:textId="77777777" w:rsidR="0080221E" w:rsidRDefault="0080221E" w:rsidP="004F3B68">
            <w:pPr>
              <w:spacing w:before="120" w:after="80"/>
              <w:jc w:val="center"/>
              <w:rPr>
                <w:rFonts w:ascii="Cambria" w:hAnsi="Cambria"/>
                <w:b/>
                <w:bCs/>
              </w:rPr>
            </w:pPr>
            <w:r>
              <w:rPr>
                <w:rFonts w:ascii="Cambria" w:hAnsi="Cambria"/>
                <w:b/>
                <w:bCs/>
                <w:noProof/>
              </w:rPr>
              <w:drawing>
                <wp:inline distT="0" distB="0" distL="0" distR="0" wp14:anchorId="61B20CE3" wp14:editId="78290B8A">
                  <wp:extent cx="202353" cy="202353"/>
                  <wp:effectExtent l="0" t="0" r="1270" b="1270"/>
                  <wp:docPr id="17" name="Picture 17" descr="Rating Red: progress less than exp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ating Red: progress less than expec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686" cy="207686"/>
                          </a:xfrm>
                          <a:prstGeom prst="rect">
                            <a:avLst/>
                          </a:prstGeom>
                        </pic:spPr>
                      </pic:pic>
                    </a:graphicData>
                  </a:graphic>
                </wp:inline>
              </w:drawing>
            </w:r>
          </w:p>
        </w:tc>
        <w:tc>
          <w:tcPr>
            <w:tcW w:w="6809" w:type="dxa"/>
          </w:tcPr>
          <w:p w14:paraId="13721D8B" w14:textId="3C6D4FF6" w:rsidR="0080221E" w:rsidRDefault="0080221E" w:rsidP="004F3B68">
            <w:pPr>
              <w:pStyle w:val="ListParagraph"/>
              <w:numPr>
                <w:ilvl w:val="0"/>
                <w:numId w:val="32"/>
              </w:numPr>
              <w:rPr>
                <w:rFonts w:ascii="Cambria" w:hAnsi="Cambria"/>
                <w:b/>
                <w:bCs/>
                <w:sz w:val="16"/>
                <w:szCs w:val="16"/>
              </w:rPr>
            </w:pPr>
            <w:r>
              <w:rPr>
                <w:rFonts w:ascii="Cambria" w:hAnsi="Cambria"/>
                <w:b/>
                <w:bCs/>
                <w:sz w:val="16"/>
                <w:szCs w:val="16"/>
              </w:rPr>
              <w:t xml:space="preserve">Malaysian sector studies were abandoned as DFAT judged they neither positioned the program within </w:t>
            </w:r>
            <w:r w:rsidR="004F3B68">
              <w:rPr>
                <w:rFonts w:ascii="Cambria" w:hAnsi="Cambria"/>
                <w:b/>
                <w:bCs/>
                <w:sz w:val="16"/>
                <w:szCs w:val="16"/>
              </w:rPr>
              <w:t xml:space="preserve">the </w:t>
            </w:r>
            <w:r>
              <w:rPr>
                <w:rFonts w:ascii="Cambria" w:hAnsi="Cambria"/>
                <w:b/>
                <w:bCs/>
                <w:sz w:val="16"/>
                <w:szCs w:val="16"/>
              </w:rPr>
              <w:t>development landscape, nor met a more limited brief</w:t>
            </w:r>
            <w:r w:rsidRPr="002E79A4">
              <w:rPr>
                <w:rFonts w:ascii="Cambria" w:hAnsi="Cambria"/>
                <w:b/>
                <w:bCs/>
                <w:sz w:val="16"/>
                <w:szCs w:val="16"/>
              </w:rPr>
              <w:t xml:space="preserve"> </w:t>
            </w:r>
            <w:r>
              <w:rPr>
                <w:rFonts w:ascii="Cambria" w:hAnsi="Cambria"/>
                <w:b/>
                <w:bCs/>
                <w:sz w:val="16"/>
                <w:szCs w:val="16"/>
              </w:rPr>
              <w:t>to inform initiative strategy</w:t>
            </w:r>
          </w:p>
          <w:p w14:paraId="1BE41758" w14:textId="77777777" w:rsidR="0080221E" w:rsidRPr="002E79A4" w:rsidRDefault="0080221E" w:rsidP="004F3B68">
            <w:pPr>
              <w:pStyle w:val="ListParagraph"/>
              <w:numPr>
                <w:ilvl w:val="0"/>
                <w:numId w:val="32"/>
              </w:numPr>
              <w:rPr>
                <w:rFonts w:ascii="Cambria" w:hAnsi="Cambria"/>
                <w:b/>
                <w:bCs/>
                <w:sz w:val="16"/>
                <w:szCs w:val="16"/>
              </w:rPr>
            </w:pPr>
            <w:r>
              <w:rPr>
                <w:rFonts w:ascii="Cambria" w:hAnsi="Cambria"/>
                <w:b/>
                <w:bCs/>
                <w:sz w:val="16"/>
                <w:szCs w:val="16"/>
              </w:rPr>
              <w:t xml:space="preserve">In Thailand too, the program has struggled to deliver what was wanted, with major pieces of work going through multiple revisions and delivery repeatedly postponed </w:t>
            </w:r>
          </w:p>
        </w:tc>
        <w:tc>
          <w:tcPr>
            <w:tcW w:w="2683" w:type="dxa"/>
          </w:tcPr>
          <w:p w14:paraId="18604724" w14:textId="69781EA0" w:rsidR="0080221E" w:rsidRPr="0047112C" w:rsidRDefault="0080221E" w:rsidP="004F3B68">
            <w:pPr>
              <w:rPr>
                <w:rFonts w:ascii="Cambria" w:hAnsi="Cambria"/>
                <w:b/>
                <w:bCs/>
                <w:sz w:val="16"/>
                <w:szCs w:val="16"/>
              </w:rPr>
            </w:pPr>
            <w:r w:rsidRPr="00CF7615">
              <w:rPr>
                <w:rFonts w:ascii="Cambria" w:hAnsi="Cambria"/>
                <w:b/>
                <w:bCs/>
                <w:sz w:val="16"/>
                <w:szCs w:val="16"/>
              </w:rPr>
              <w:t xml:space="preserve">DFAT did not articulate clearly </w:t>
            </w:r>
            <w:r>
              <w:rPr>
                <w:rFonts w:ascii="Cambria" w:hAnsi="Cambria"/>
                <w:b/>
                <w:bCs/>
                <w:sz w:val="16"/>
                <w:szCs w:val="16"/>
              </w:rPr>
              <w:t xml:space="preserve">and consistently </w:t>
            </w:r>
            <w:r w:rsidRPr="00CF7615">
              <w:rPr>
                <w:rFonts w:ascii="Cambria" w:hAnsi="Cambria"/>
                <w:b/>
                <w:bCs/>
                <w:sz w:val="16"/>
                <w:szCs w:val="16"/>
              </w:rPr>
              <w:t xml:space="preserve">what it wanted </w:t>
            </w:r>
            <w:r>
              <w:rPr>
                <w:rFonts w:ascii="Cambria" w:hAnsi="Cambria"/>
                <w:b/>
                <w:bCs/>
                <w:sz w:val="16"/>
                <w:szCs w:val="16"/>
              </w:rPr>
              <w:t xml:space="preserve">&amp; the resources were not available </w:t>
            </w:r>
            <w:r w:rsidRPr="00CF7615">
              <w:rPr>
                <w:rFonts w:ascii="Cambria" w:hAnsi="Cambria"/>
                <w:b/>
                <w:bCs/>
                <w:sz w:val="16"/>
                <w:szCs w:val="16"/>
              </w:rPr>
              <w:t>to deliver it</w:t>
            </w:r>
            <w:r>
              <w:rPr>
                <w:rFonts w:ascii="Cambria" w:hAnsi="Cambria"/>
                <w:b/>
                <w:bCs/>
                <w:sz w:val="16"/>
                <w:szCs w:val="16"/>
              </w:rPr>
              <w:t>. Opportunities to improve outcomes still remain</w:t>
            </w:r>
            <w:r w:rsidR="007F19C1">
              <w:rPr>
                <w:rFonts w:ascii="Cambria" w:hAnsi="Cambria"/>
                <w:b/>
                <w:bCs/>
                <w:sz w:val="16"/>
                <w:szCs w:val="16"/>
              </w:rPr>
              <w:t>.</w:t>
            </w:r>
          </w:p>
        </w:tc>
      </w:tr>
    </w:tbl>
    <w:p w14:paraId="0CCB3E07" w14:textId="77777777" w:rsidR="006E6413" w:rsidRDefault="006E6413" w:rsidP="00212E3C">
      <w:pPr>
        <w:spacing w:before="120"/>
        <w:ind w:right="-329" w:hanging="567"/>
        <w:rPr>
          <w:rFonts w:ascii="Cambria" w:hAnsi="Cambria"/>
          <w:b/>
          <w:bCs/>
          <w:sz w:val="16"/>
          <w:szCs w:val="16"/>
        </w:rPr>
      </w:pPr>
      <w:r w:rsidRPr="00033D49">
        <w:rPr>
          <w:rFonts w:ascii="Cambria" w:hAnsi="Cambria"/>
          <w:b/>
          <w:bCs/>
        </w:rPr>
        <w:t>Legend</w:t>
      </w:r>
      <w:r w:rsidR="00033D49" w:rsidRPr="00033D49">
        <w:rPr>
          <w:rFonts w:ascii="Cambria" w:hAnsi="Cambria"/>
          <w:b/>
          <w:bCs/>
        </w:rPr>
        <w:t xml:space="preserve"> </w:t>
      </w:r>
      <w:r w:rsidR="00033D49">
        <w:rPr>
          <w:rFonts w:ascii="Cambria" w:hAnsi="Cambria"/>
          <w:b/>
          <w:bCs/>
          <w:sz w:val="16"/>
          <w:szCs w:val="16"/>
        </w:rPr>
        <w:t xml:space="preserve">   </w:t>
      </w:r>
      <w:r w:rsidRPr="006E6413">
        <w:rPr>
          <w:rFonts w:ascii="Cambria" w:hAnsi="Cambria"/>
          <w:b/>
          <w:bCs/>
          <w:noProof/>
          <w:sz w:val="16"/>
          <w:szCs w:val="16"/>
        </w:rPr>
        <w:drawing>
          <wp:inline distT="0" distB="0" distL="0" distR="0" wp14:anchorId="0F9AA9E4" wp14:editId="0B10A27A">
            <wp:extent cx="194733" cy="194733"/>
            <wp:effectExtent l="0" t="0" r="0" b="0"/>
            <wp:docPr id="21" name="Picture 21" descr="Gree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een Circ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004" cy="203004"/>
                    </a:xfrm>
                    <a:prstGeom prst="rect">
                      <a:avLst/>
                    </a:prstGeom>
                  </pic:spPr>
                </pic:pic>
              </a:graphicData>
            </a:graphic>
          </wp:inline>
        </w:drawing>
      </w:r>
      <w:r w:rsidRPr="006E6413">
        <w:rPr>
          <w:rFonts w:ascii="Cambria" w:hAnsi="Cambria"/>
          <w:b/>
          <w:bCs/>
          <w:sz w:val="16"/>
          <w:szCs w:val="16"/>
        </w:rPr>
        <w:t xml:space="preserve">  </w:t>
      </w:r>
      <w:r>
        <w:rPr>
          <w:rFonts w:ascii="Cambria" w:hAnsi="Cambria"/>
          <w:b/>
          <w:bCs/>
          <w:sz w:val="16"/>
          <w:szCs w:val="16"/>
        </w:rPr>
        <w:t>F</w:t>
      </w:r>
      <w:r w:rsidRPr="006E6413">
        <w:rPr>
          <w:rFonts w:ascii="Cambria" w:hAnsi="Cambria"/>
          <w:b/>
          <w:bCs/>
          <w:sz w:val="16"/>
          <w:szCs w:val="16"/>
        </w:rPr>
        <w:t>ully on track</w:t>
      </w:r>
      <w:r>
        <w:rPr>
          <w:rFonts w:ascii="Cambria" w:hAnsi="Cambria"/>
          <w:b/>
          <w:bCs/>
          <w:sz w:val="16"/>
          <w:szCs w:val="16"/>
        </w:rPr>
        <w:t xml:space="preserve">   </w:t>
      </w:r>
      <w:r w:rsidR="00033D49">
        <w:rPr>
          <w:rFonts w:ascii="Cambria" w:hAnsi="Cambria"/>
          <w:b/>
          <w:bCs/>
          <w:sz w:val="16"/>
          <w:szCs w:val="16"/>
        </w:rPr>
        <w:t xml:space="preserve"> </w:t>
      </w:r>
      <w:r>
        <w:rPr>
          <w:rFonts w:ascii="Cambria" w:hAnsi="Cambria"/>
          <w:b/>
          <w:bCs/>
          <w:sz w:val="16"/>
          <w:szCs w:val="16"/>
        </w:rPr>
        <w:t xml:space="preserve"> </w:t>
      </w:r>
      <w:r w:rsidRPr="006E6413">
        <w:rPr>
          <w:rFonts w:ascii="Cambria" w:hAnsi="Cambria"/>
          <w:b/>
          <w:bCs/>
          <w:noProof/>
          <w:sz w:val="16"/>
          <w:szCs w:val="16"/>
        </w:rPr>
        <w:drawing>
          <wp:inline distT="0" distB="0" distL="0" distR="0" wp14:anchorId="23EFE635" wp14:editId="3B14BA65">
            <wp:extent cx="185843" cy="194184"/>
            <wp:effectExtent l="0" t="0" r="5080" b="0"/>
            <wp:docPr id="22" name="Picture 22" descr="Amb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mber Circle"/>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97628" cy="206498"/>
                    </a:xfrm>
                    <a:prstGeom prst="rect">
                      <a:avLst/>
                    </a:prstGeom>
                  </pic:spPr>
                </pic:pic>
              </a:graphicData>
            </a:graphic>
          </wp:inline>
        </w:drawing>
      </w:r>
      <w:r w:rsidRPr="006E6413">
        <w:rPr>
          <w:rFonts w:ascii="Cambria" w:hAnsi="Cambria"/>
          <w:b/>
          <w:bCs/>
          <w:sz w:val="16"/>
          <w:szCs w:val="16"/>
        </w:rPr>
        <w:t xml:space="preserve">     </w:t>
      </w:r>
      <w:r>
        <w:rPr>
          <w:rFonts w:ascii="Cambria" w:hAnsi="Cambria"/>
          <w:b/>
          <w:bCs/>
          <w:sz w:val="16"/>
          <w:szCs w:val="16"/>
        </w:rPr>
        <w:t>S</w:t>
      </w:r>
      <w:r w:rsidRPr="006E6413">
        <w:rPr>
          <w:rFonts w:ascii="Cambria" w:hAnsi="Cambria"/>
          <w:b/>
          <w:bCs/>
          <w:sz w:val="16"/>
          <w:szCs w:val="16"/>
        </w:rPr>
        <w:t xml:space="preserve">atisfactory at this point in time   </w:t>
      </w:r>
      <w:r w:rsidR="00033D49">
        <w:rPr>
          <w:rFonts w:ascii="Cambria" w:hAnsi="Cambria"/>
          <w:b/>
          <w:bCs/>
          <w:sz w:val="16"/>
          <w:szCs w:val="16"/>
        </w:rPr>
        <w:t xml:space="preserve"> </w:t>
      </w:r>
      <w:r w:rsidRPr="006E6413">
        <w:rPr>
          <w:rFonts w:ascii="Cambria" w:hAnsi="Cambria"/>
          <w:b/>
          <w:bCs/>
          <w:noProof/>
          <w:sz w:val="16"/>
          <w:szCs w:val="16"/>
        </w:rPr>
        <w:drawing>
          <wp:inline distT="0" distB="0" distL="0" distR="0" wp14:anchorId="3C5BFDE0" wp14:editId="72587523">
            <wp:extent cx="202353" cy="202353"/>
            <wp:effectExtent l="0" t="0" r="1270" b="1270"/>
            <wp:docPr id="23" name="Picture 23" descr="Red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Red Circl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686" cy="207686"/>
                    </a:xfrm>
                    <a:prstGeom prst="rect">
                      <a:avLst/>
                    </a:prstGeom>
                  </pic:spPr>
                </pic:pic>
              </a:graphicData>
            </a:graphic>
          </wp:inline>
        </w:drawing>
      </w:r>
      <w:r w:rsidRPr="006E6413">
        <w:rPr>
          <w:rFonts w:ascii="Cambria" w:hAnsi="Cambria"/>
          <w:b/>
          <w:bCs/>
          <w:sz w:val="16"/>
          <w:szCs w:val="16"/>
        </w:rPr>
        <w:t xml:space="preserve">  </w:t>
      </w:r>
      <w:r>
        <w:rPr>
          <w:rFonts w:ascii="Cambria" w:hAnsi="Cambria"/>
          <w:b/>
          <w:bCs/>
          <w:sz w:val="16"/>
          <w:szCs w:val="16"/>
        </w:rPr>
        <w:t>Progr</w:t>
      </w:r>
      <w:r w:rsidRPr="006E6413">
        <w:rPr>
          <w:rFonts w:ascii="Cambria" w:hAnsi="Cambria"/>
          <w:b/>
          <w:bCs/>
          <w:sz w:val="16"/>
          <w:szCs w:val="16"/>
        </w:rPr>
        <w:t xml:space="preserve">ess </w:t>
      </w:r>
      <w:r>
        <w:rPr>
          <w:rFonts w:ascii="Cambria" w:hAnsi="Cambria"/>
          <w:b/>
          <w:bCs/>
          <w:sz w:val="16"/>
          <w:szCs w:val="16"/>
        </w:rPr>
        <w:t xml:space="preserve">less </w:t>
      </w:r>
      <w:r w:rsidRPr="006E6413">
        <w:rPr>
          <w:rFonts w:ascii="Cambria" w:hAnsi="Cambria"/>
          <w:b/>
          <w:bCs/>
          <w:sz w:val="16"/>
          <w:szCs w:val="16"/>
        </w:rPr>
        <w:t>than expected</w:t>
      </w:r>
      <w:r w:rsidR="00033D49">
        <w:rPr>
          <w:rFonts w:ascii="Cambria" w:hAnsi="Cambria"/>
          <w:b/>
          <w:bCs/>
          <w:sz w:val="16"/>
          <w:szCs w:val="16"/>
        </w:rPr>
        <w:t xml:space="preserve">    </w:t>
      </w:r>
      <w:r w:rsidR="00033D49">
        <w:rPr>
          <w:rFonts w:ascii="Cambria" w:hAnsi="Cambria"/>
          <w:b/>
          <w:bCs/>
          <w:noProof/>
        </w:rPr>
        <w:drawing>
          <wp:inline distT="0" distB="0" distL="0" distR="0" wp14:anchorId="79E84F25" wp14:editId="0B6ED0B6">
            <wp:extent cx="188095" cy="196322"/>
            <wp:effectExtent l="0" t="0" r="2540" b="0"/>
            <wp:docPr id="26" name="Picture 26" descr="Red Circle with whit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Red Circle with white cent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2958" cy="232710"/>
                    </a:xfrm>
                    <a:prstGeom prst="rect">
                      <a:avLst/>
                    </a:prstGeom>
                  </pic:spPr>
                </pic:pic>
              </a:graphicData>
            </a:graphic>
          </wp:inline>
        </w:drawing>
      </w:r>
      <w:r w:rsidR="00033D49" w:rsidRPr="0050044B">
        <w:rPr>
          <w:rFonts w:ascii="Cambria" w:hAnsi="Cambria"/>
          <w:b/>
          <w:bCs/>
          <w:sz w:val="16"/>
          <w:szCs w:val="16"/>
        </w:rPr>
        <w:t xml:space="preserve"> </w:t>
      </w:r>
      <w:r w:rsidR="00033D49">
        <w:rPr>
          <w:rFonts w:ascii="Cambria" w:hAnsi="Cambria"/>
          <w:b/>
          <w:bCs/>
          <w:sz w:val="16"/>
          <w:szCs w:val="16"/>
        </w:rPr>
        <w:t>I</w:t>
      </w:r>
      <w:r w:rsidRPr="006E6413">
        <w:rPr>
          <w:rFonts w:ascii="Cambria" w:hAnsi="Cambria"/>
          <w:b/>
          <w:bCs/>
          <w:sz w:val="16"/>
          <w:szCs w:val="16"/>
        </w:rPr>
        <w:t xml:space="preserve">nadequate </w:t>
      </w:r>
      <w:r>
        <w:rPr>
          <w:rFonts w:ascii="Cambria" w:hAnsi="Cambria"/>
          <w:b/>
          <w:bCs/>
          <w:sz w:val="16"/>
          <w:szCs w:val="16"/>
        </w:rPr>
        <w:t>evidence</w:t>
      </w:r>
      <w:r w:rsidR="00033D49">
        <w:rPr>
          <w:rFonts w:ascii="Cambria" w:hAnsi="Cambria"/>
          <w:b/>
          <w:bCs/>
          <w:sz w:val="16"/>
          <w:szCs w:val="16"/>
        </w:rPr>
        <w:t xml:space="preserve">, looking off track   </w:t>
      </w:r>
      <w:r w:rsidR="00033D49">
        <w:rPr>
          <w:rFonts w:ascii="Cambria" w:hAnsi="Cambria"/>
          <w:b/>
          <w:bCs/>
          <w:noProof/>
        </w:rPr>
        <w:drawing>
          <wp:inline distT="0" distB="0" distL="0" distR="0" wp14:anchorId="4F13A9F0" wp14:editId="4E409278">
            <wp:extent cx="142407" cy="142407"/>
            <wp:effectExtent l="0" t="0" r="0" b="0"/>
            <wp:docPr id="27" name="Picture 27" descr="Green Circle with whit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een Circle with white centre"/>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44711" cy="144711"/>
                    </a:xfrm>
                    <a:prstGeom prst="rect">
                      <a:avLst/>
                    </a:prstGeom>
                  </pic:spPr>
                </pic:pic>
              </a:graphicData>
            </a:graphic>
          </wp:inline>
        </w:drawing>
      </w:r>
      <w:r w:rsidR="00033D49">
        <w:rPr>
          <w:rFonts w:ascii="Cambria" w:hAnsi="Cambria"/>
          <w:b/>
          <w:bCs/>
          <w:sz w:val="16"/>
          <w:szCs w:val="16"/>
        </w:rPr>
        <w:t xml:space="preserve">  Inadequate evidence, looking hopeful </w:t>
      </w:r>
    </w:p>
    <w:p w14:paraId="00EAF7F5" w14:textId="6A88DAD4" w:rsidR="0080221E" w:rsidRPr="003A7E53" w:rsidRDefault="0080221E" w:rsidP="0080221E">
      <w:pPr>
        <w:spacing w:before="120"/>
        <w:ind w:right="-329"/>
        <w:rPr>
          <w:rFonts w:ascii="Times New Roman" w:eastAsia="Times New Roman" w:hAnsi="Times New Roman" w:cs="Times New Roman"/>
          <w:lang w:eastAsia="en-GB"/>
        </w:rPr>
        <w:sectPr w:rsidR="0080221E" w:rsidRPr="003A7E53" w:rsidSect="00212E3C">
          <w:headerReference w:type="default" r:id="rId18"/>
          <w:footerReference w:type="default" r:id="rId19"/>
          <w:endnotePr>
            <w:numFmt w:val="decimal"/>
          </w:endnotePr>
          <w:pgSz w:w="16838" w:h="11906" w:orient="landscape"/>
          <w:pgMar w:top="1046" w:right="1043" w:bottom="658" w:left="1344" w:header="532" w:footer="709" w:gutter="0"/>
          <w:pgNumType w:fmt="lowerRoman"/>
          <w:cols w:space="708"/>
          <w:docGrid w:linePitch="360"/>
        </w:sectPr>
      </w:pPr>
    </w:p>
    <w:p w14:paraId="243F12A4" w14:textId="2779302B" w:rsidR="00445B25" w:rsidRPr="003A7E53" w:rsidRDefault="00445B25" w:rsidP="00163DB2">
      <w:pPr>
        <w:pStyle w:val="Heading1"/>
        <w:spacing w:before="0"/>
        <w:ind w:right="33"/>
        <w:jc w:val="center"/>
        <w:rPr>
          <w:b/>
          <w:bCs/>
        </w:rPr>
      </w:pPr>
      <w:r w:rsidRPr="003A7E53">
        <w:rPr>
          <w:b/>
          <w:bCs/>
        </w:rPr>
        <w:lastRenderedPageBreak/>
        <w:t>MTRP Mid Term Evaluation – Main Report</w:t>
      </w:r>
    </w:p>
    <w:p w14:paraId="6EA8981C" w14:textId="12821A7E" w:rsidR="008B768A" w:rsidRPr="003A7E53" w:rsidRDefault="007A7975" w:rsidP="00163DB2">
      <w:pPr>
        <w:pStyle w:val="Heading2"/>
        <w:ind w:right="33"/>
        <w:contextualSpacing/>
        <w:rPr>
          <w:b/>
          <w:bCs/>
          <w:sz w:val="28"/>
          <w:szCs w:val="28"/>
        </w:rPr>
      </w:pPr>
      <w:r w:rsidRPr="003A7E53">
        <w:rPr>
          <w:b/>
          <w:bCs/>
          <w:sz w:val="28"/>
          <w:szCs w:val="28"/>
        </w:rPr>
        <w:t>Introduction</w:t>
      </w:r>
    </w:p>
    <w:p w14:paraId="36E7F2CF" w14:textId="7A945124" w:rsidR="008B768A" w:rsidRPr="00CB305F" w:rsidRDefault="008B768A" w:rsidP="00163DB2">
      <w:pPr>
        <w:ind w:right="33"/>
        <w:jc w:val="both"/>
        <w:rPr>
          <w:rFonts w:ascii="Cambria" w:hAnsi="Cambria"/>
          <w:sz w:val="21"/>
          <w:szCs w:val="21"/>
        </w:rPr>
      </w:pPr>
      <w:r w:rsidRPr="00CB305F">
        <w:rPr>
          <w:rFonts w:ascii="Cambria" w:hAnsi="Cambria"/>
          <w:sz w:val="21"/>
          <w:szCs w:val="21"/>
        </w:rPr>
        <w:t xml:space="preserve">The Malaysia </w:t>
      </w:r>
      <w:r w:rsidR="009A3209">
        <w:rPr>
          <w:rFonts w:ascii="Cambria" w:hAnsi="Cambria"/>
          <w:sz w:val="21"/>
          <w:szCs w:val="21"/>
        </w:rPr>
        <w:t xml:space="preserve">and </w:t>
      </w:r>
      <w:r w:rsidRPr="00CB305F">
        <w:rPr>
          <w:rFonts w:ascii="Cambria" w:hAnsi="Cambria"/>
          <w:sz w:val="21"/>
          <w:szCs w:val="21"/>
        </w:rPr>
        <w:t xml:space="preserve">Thailand </w:t>
      </w:r>
      <w:r w:rsidR="002C0D76">
        <w:rPr>
          <w:rFonts w:ascii="Cambria" w:hAnsi="Cambria"/>
          <w:sz w:val="21"/>
          <w:szCs w:val="21"/>
        </w:rPr>
        <w:t xml:space="preserve">Reform </w:t>
      </w:r>
      <w:r w:rsidR="009A3209">
        <w:rPr>
          <w:rFonts w:ascii="Cambria" w:hAnsi="Cambria"/>
          <w:sz w:val="21"/>
          <w:szCs w:val="21"/>
        </w:rPr>
        <w:t>Partnerships program</w:t>
      </w:r>
      <w:r w:rsidRPr="00CB305F">
        <w:rPr>
          <w:rFonts w:ascii="Cambria" w:hAnsi="Cambria"/>
          <w:sz w:val="21"/>
          <w:szCs w:val="21"/>
        </w:rPr>
        <w:t xml:space="preserve"> </w:t>
      </w:r>
      <w:r w:rsidR="004F3B68">
        <w:rPr>
          <w:rFonts w:ascii="Cambria" w:hAnsi="Cambria"/>
          <w:sz w:val="21"/>
          <w:szCs w:val="21"/>
        </w:rPr>
        <w:t xml:space="preserve">(MTRP) </w:t>
      </w:r>
      <w:r w:rsidRPr="00CB305F">
        <w:rPr>
          <w:rFonts w:ascii="Cambria" w:hAnsi="Cambria"/>
          <w:sz w:val="21"/>
          <w:szCs w:val="21"/>
        </w:rPr>
        <w:t>is a $2.7m, three-year, flexible, adaptive program funded by the Australian Department of Foreign</w:t>
      </w:r>
      <w:r w:rsidR="00B3705D" w:rsidRPr="00CB305F">
        <w:rPr>
          <w:rFonts w:ascii="Cambria" w:hAnsi="Cambria"/>
          <w:sz w:val="21"/>
          <w:szCs w:val="21"/>
        </w:rPr>
        <w:t xml:space="preserve"> </w:t>
      </w:r>
      <w:r w:rsidRPr="00CB305F">
        <w:rPr>
          <w:rFonts w:ascii="Cambria" w:hAnsi="Cambria"/>
          <w:sz w:val="21"/>
          <w:szCs w:val="21"/>
        </w:rPr>
        <w:t>Affairs</w:t>
      </w:r>
      <w:r w:rsidR="00B3705D" w:rsidRPr="00CB305F">
        <w:rPr>
          <w:rFonts w:ascii="Cambria" w:hAnsi="Cambria"/>
          <w:sz w:val="21"/>
          <w:szCs w:val="21"/>
        </w:rPr>
        <w:t xml:space="preserve"> and Trade (DFAT)</w:t>
      </w:r>
      <w:r w:rsidRPr="00CB305F">
        <w:rPr>
          <w:rFonts w:ascii="Cambria" w:hAnsi="Cambria"/>
          <w:sz w:val="21"/>
          <w:szCs w:val="21"/>
        </w:rPr>
        <w:t>.  It aims to support progress on reforms that are critical to achieving growth, stability and development in Malaysia and Thailand</w:t>
      </w:r>
      <w:r w:rsidR="004C1378">
        <w:rPr>
          <w:rFonts w:ascii="Cambria" w:hAnsi="Cambria"/>
          <w:sz w:val="21"/>
          <w:szCs w:val="21"/>
        </w:rPr>
        <w:t xml:space="preserve"> and in the process, strengthen Australia’s reputation as a pragmatic and resourceful partner</w:t>
      </w:r>
      <w:r w:rsidRPr="00CB305F">
        <w:rPr>
          <w:rFonts w:ascii="Cambria" w:hAnsi="Cambria"/>
          <w:sz w:val="21"/>
          <w:szCs w:val="21"/>
        </w:rPr>
        <w:t>.</w:t>
      </w:r>
      <w:r w:rsidR="00B3705D" w:rsidRPr="00CB305F">
        <w:rPr>
          <w:rFonts w:ascii="Cambria" w:hAnsi="Cambria"/>
          <w:sz w:val="21"/>
          <w:szCs w:val="21"/>
        </w:rPr>
        <w:t xml:space="preserve"> The program is delivered in partnership with The Asia Foundation (TAF) and local counterparts.</w:t>
      </w:r>
      <w:r w:rsidR="00D35B0A" w:rsidRPr="00CB305F">
        <w:rPr>
          <w:rFonts w:ascii="Cambria" w:hAnsi="Cambria"/>
          <w:sz w:val="21"/>
          <w:szCs w:val="21"/>
        </w:rPr>
        <w:t xml:space="preserve"> (</w:t>
      </w:r>
      <w:r w:rsidR="003A31E1">
        <w:rPr>
          <w:rFonts w:ascii="Cambria" w:hAnsi="Cambria"/>
          <w:sz w:val="21"/>
          <w:szCs w:val="21"/>
        </w:rPr>
        <w:t>A d</w:t>
      </w:r>
      <w:r w:rsidR="00D35B0A" w:rsidRPr="00CB305F">
        <w:rPr>
          <w:rFonts w:ascii="Cambria" w:hAnsi="Cambria"/>
          <w:sz w:val="21"/>
          <w:szCs w:val="21"/>
        </w:rPr>
        <w:t xml:space="preserve">etailed program description </w:t>
      </w:r>
      <w:r w:rsidR="003A31E1">
        <w:rPr>
          <w:rFonts w:ascii="Cambria" w:hAnsi="Cambria"/>
          <w:sz w:val="21"/>
          <w:szCs w:val="21"/>
        </w:rPr>
        <w:t xml:space="preserve">is included in the Terms of Refence for this evaluation, </w:t>
      </w:r>
      <w:r w:rsidR="00D35B0A" w:rsidRPr="00CB305F">
        <w:rPr>
          <w:rFonts w:ascii="Cambria" w:hAnsi="Cambria"/>
          <w:sz w:val="21"/>
          <w:szCs w:val="21"/>
        </w:rPr>
        <w:t>at Attachment A).</w:t>
      </w:r>
      <w:r w:rsidR="00B3705D" w:rsidRPr="00CB305F">
        <w:rPr>
          <w:rFonts w:ascii="Cambria" w:hAnsi="Cambria"/>
          <w:sz w:val="21"/>
          <w:szCs w:val="21"/>
        </w:rPr>
        <w:t xml:space="preserve">  </w:t>
      </w:r>
    </w:p>
    <w:p w14:paraId="12E304AB" w14:textId="58CE0330" w:rsidR="008B768A" w:rsidRPr="00CB305F" w:rsidRDefault="008B768A" w:rsidP="00163DB2">
      <w:pPr>
        <w:ind w:right="33"/>
        <w:jc w:val="both"/>
        <w:rPr>
          <w:rFonts w:ascii="Cambria" w:hAnsi="Cambria"/>
          <w:sz w:val="21"/>
          <w:szCs w:val="21"/>
        </w:rPr>
      </w:pPr>
    </w:p>
    <w:p w14:paraId="40304C76" w14:textId="77D8F7B3" w:rsidR="003E559F" w:rsidRPr="00CB305F" w:rsidRDefault="007A7975" w:rsidP="00163DB2">
      <w:pPr>
        <w:ind w:right="33"/>
        <w:jc w:val="both"/>
        <w:rPr>
          <w:rFonts w:ascii="Cambria" w:hAnsi="Cambria"/>
          <w:sz w:val="21"/>
          <w:szCs w:val="21"/>
        </w:rPr>
      </w:pPr>
      <w:r w:rsidRPr="00CB305F">
        <w:rPr>
          <w:rFonts w:ascii="Cambria" w:hAnsi="Cambria"/>
          <w:sz w:val="21"/>
          <w:szCs w:val="21"/>
        </w:rPr>
        <w:t>MTRP facilitates small-scale, high</w:t>
      </w:r>
      <w:r w:rsidR="003E559F" w:rsidRPr="00CB305F">
        <w:rPr>
          <w:rFonts w:ascii="Cambria" w:hAnsi="Cambria"/>
          <w:sz w:val="21"/>
          <w:szCs w:val="21"/>
        </w:rPr>
        <w:t>-</w:t>
      </w:r>
      <w:r w:rsidRPr="00CB305F">
        <w:rPr>
          <w:rFonts w:ascii="Cambria" w:hAnsi="Cambria"/>
          <w:sz w:val="21"/>
          <w:szCs w:val="21"/>
        </w:rPr>
        <w:t xml:space="preserve">impact cooperation in </w:t>
      </w:r>
      <w:r w:rsidR="00D35B0A" w:rsidRPr="00CB305F">
        <w:rPr>
          <w:rFonts w:ascii="Cambria" w:hAnsi="Cambria"/>
          <w:sz w:val="21"/>
          <w:szCs w:val="21"/>
        </w:rPr>
        <w:t xml:space="preserve">shared </w:t>
      </w:r>
      <w:r w:rsidRPr="00CB305F">
        <w:rPr>
          <w:rFonts w:ascii="Cambria" w:hAnsi="Cambria"/>
          <w:sz w:val="21"/>
          <w:szCs w:val="21"/>
        </w:rPr>
        <w:t xml:space="preserve">priority areas.  Resource transfers play no part in the program and it is organised quite differently from conventional aid activities, that are typically based on </w:t>
      </w:r>
      <w:r w:rsidR="00BA0368" w:rsidRPr="00CB305F">
        <w:rPr>
          <w:rFonts w:ascii="Cambria" w:hAnsi="Cambria"/>
          <w:sz w:val="21"/>
          <w:szCs w:val="21"/>
        </w:rPr>
        <w:t>technical designs</w:t>
      </w:r>
      <w:r w:rsidR="00D35B0A" w:rsidRPr="00CB305F">
        <w:rPr>
          <w:rFonts w:ascii="Cambria" w:hAnsi="Cambria"/>
          <w:sz w:val="21"/>
          <w:szCs w:val="21"/>
        </w:rPr>
        <w:t>,</w:t>
      </w:r>
      <w:r w:rsidR="00BA0368" w:rsidRPr="00CB305F">
        <w:rPr>
          <w:rFonts w:ascii="Cambria" w:hAnsi="Cambria"/>
          <w:sz w:val="21"/>
          <w:szCs w:val="21"/>
        </w:rPr>
        <w:t xml:space="preserve"> with </w:t>
      </w:r>
      <w:r w:rsidRPr="00CB305F">
        <w:rPr>
          <w:rFonts w:ascii="Cambria" w:hAnsi="Cambria"/>
          <w:sz w:val="21"/>
          <w:szCs w:val="21"/>
        </w:rPr>
        <w:t xml:space="preserve">predetermined, pre-scheduled deliverables.  </w:t>
      </w:r>
      <w:r w:rsidR="00BA0368" w:rsidRPr="00CB305F">
        <w:rPr>
          <w:rFonts w:ascii="Cambria" w:hAnsi="Cambria"/>
          <w:sz w:val="21"/>
          <w:szCs w:val="21"/>
        </w:rPr>
        <w:t xml:space="preserve">Instead, the MTRP program </w:t>
      </w:r>
      <w:r w:rsidR="00CC5419" w:rsidRPr="00CB305F">
        <w:rPr>
          <w:rFonts w:ascii="Cambria" w:hAnsi="Cambria"/>
          <w:sz w:val="21"/>
          <w:szCs w:val="21"/>
        </w:rPr>
        <w:t>use</w:t>
      </w:r>
      <w:r w:rsidR="00345B0E">
        <w:rPr>
          <w:rFonts w:ascii="Cambria" w:hAnsi="Cambria"/>
          <w:sz w:val="21"/>
          <w:szCs w:val="21"/>
        </w:rPr>
        <w:t>s</w:t>
      </w:r>
      <w:r w:rsidR="00CC5419" w:rsidRPr="00CB305F">
        <w:rPr>
          <w:rFonts w:ascii="Cambria" w:hAnsi="Cambria"/>
          <w:sz w:val="21"/>
          <w:szCs w:val="21"/>
        </w:rPr>
        <w:t xml:space="preserve"> a “thinking and working politically”</w:t>
      </w:r>
      <w:r w:rsidR="00D35B0A" w:rsidRPr="00CB305F">
        <w:rPr>
          <w:rStyle w:val="EndnoteReference"/>
          <w:rFonts w:ascii="Cambria" w:hAnsi="Cambria"/>
          <w:sz w:val="21"/>
          <w:szCs w:val="21"/>
        </w:rPr>
        <w:endnoteReference w:id="1"/>
      </w:r>
      <w:r w:rsidR="00CC5419" w:rsidRPr="00CB305F">
        <w:rPr>
          <w:rFonts w:ascii="Cambria" w:hAnsi="Cambria"/>
          <w:sz w:val="21"/>
          <w:szCs w:val="21"/>
        </w:rPr>
        <w:t xml:space="preserve"> approach to </w:t>
      </w:r>
      <w:r w:rsidR="00BA0368" w:rsidRPr="00CB305F">
        <w:rPr>
          <w:rFonts w:ascii="Cambria" w:hAnsi="Cambria"/>
          <w:sz w:val="21"/>
          <w:szCs w:val="21"/>
        </w:rPr>
        <w:t xml:space="preserve">‘unpack’ the political economy of major reform challenges to find new pathways </w:t>
      </w:r>
      <w:r w:rsidR="00CC5419" w:rsidRPr="00CB305F">
        <w:rPr>
          <w:rFonts w:ascii="Cambria" w:hAnsi="Cambria"/>
          <w:sz w:val="21"/>
          <w:szCs w:val="21"/>
        </w:rPr>
        <w:t xml:space="preserve">forward </w:t>
      </w:r>
      <w:r w:rsidR="00BA0368" w:rsidRPr="00CB305F">
        <w:rPr>
          <w:rFonts w:ascii="Cambria" w:hAnsi="Cambria"/>
          <w:sz w:val="21"/>
          <w:szCs w:val="21"/>
        </w:rPr>
        <w:t>and new coalitions in support of reform.  T</w:t>
      </w:r>
      <w:r w:rsidRPr="00CB305F">
        <w:rPr>
          <w:rFonts w:ascii="Cambria" w:hAnsi="Cambria"/>
          <w:sz w:val="21"/>
          <w:szCs w:val="21"/>
        </w:rPr>
        <w:t xml:space="preserve">he program </w:t>
      </w:r>
      <w:r w:rsidR="003E559F" w:rsidRPr="00CB305F">
        <w:rPr>
          <w:rFonts w:ascii="Cambria" w:hAnsi="Cambria"/>
          <w:sz w:val="21"/>
          <w:szCs w:val="21"/>
        </w:rPr>
        <w:t xml:space="preserve">uses </w:t>
      </w:r>
      <w:r w:rsidRPr="00CB305F">
        <w:rPr>
          <w:rFonts w:ascii="Cambria" w:hAnsi="Cambria"/>
          <w:sz w:val="21"/>
          <w:szCs w:val="21"/>
        </w:rPr>
        <w:t xml:space="preserve">a series of tailor-made management arrangements </w:t>
      </w:r>
      <w:r w:rsidR="00BA0368" w:rsidRPr="00CB305F">
        <w:rPr>
          <w:rFonts w:ascii="Cambria" w:hAnsi="Cambria"/>
          <w:sz w:val="21"/>
          <w:szCs w:val="21"/>
        </w:rPr>
        <w:t xml:space="preserve">that are explored in the report </w:t>
      </w:r>
      <w:r w:rsidRPr="00CB305F">
        <w:rPr>
          <w:rFonts w:ascii="Cambria" w:hAnsi="Cambria"/>
          <w:sz w:val="21"/>
          <w:szCs w:val="21"/>
        </w:rPr>
        <w:t xml:space="preserve">to monitor progress, manage issues and problems and </w:t>
      </w:r>
      <w:r w:rsidR="00CC5419" w:rsidRPr="00CB305F">
        <w:rPr>
          <w:rFonts w:ascii="Cambria" w:hAnsi="Cambria"/>
          <w:sz w:val="21"/>
          <w:szCs w:val="21"/>
        </w:rPr>
        <w:t xml:space="preserve">attempt to </w:t>
      </w:r>
      <w:r w:rsidRPr="00CB305F">
        <w:rPr>
          <w:rFonts w:ascii="Cambria" w:hAnsi="Cambria"/>
          <w:sz w:val="21"/>
          <w:szCs w:val="21"/>
        </w:rPr>
        <w:t>deliver high</w:t>
      </w:r>
      <w:r w:rsidR="004F3B68">
        <w:rPr>
          <w:rFonts w:ascii="Cambria" w:hAnsi="Cambria"/>
          <w:sz w:val="21"/>
          <w:szCs w:val="21"/>
        </w:rPr>
        <w:t>-</w:t>
      </w:r>
      <w:r w:rsidRPr="00CB305F">
        <w:rPr>
          <w:rFonts w:ascii="Cambria" w:hAnsi="Cambria"/>
          <w:sz w:val="21"/>
          <w:szCs w:val="21"/>
        </w:rPr>
        <w:t>level outcomes</w:t>
      </w:r>
      <w:r w:rsidR="00CC5419" w:rsidRPr="00CB305F">
        <w:rPr>
          <w:rFonts w:ascii="Cambria" w:hAnsi="Cambria"/>
          <w:sz w:val="21"/>
          <w:szCs w:val="21"/>
        </w:rPr>
        <w:t xml:space="preserve"> without deciding in advance the best way of doing so.</w:t>
      </w:r>
    </w:p>
    <w:p w14:paraId="45434BE4" w14:textId="013961C8" w:rsidR="00E530D7" w:rsidRPr="003A7E53" w:rsidRDefault="007A7975" w:rsidP="00163DB2">
      <w:pPr>
        <w:pStyle w:val="Heading2"/>
        <w:spacing w:before="120"/>
        <w:ind w:right="33"/>
        <w:rPr>
          <w:b/>
          <w:bCs/>
          <w:sz w:val="28"/>
          <w:szCs w:val="28"/>
        </w:rPr>
      </w:pPr>
      <w:r w:rsidRPr="003A7E53">
        <w:rPr>
          <w:b/>
          <w:bCs/>
          <w:sz w:val="28"/>
          <w:szCs w:val="28"/>
        </w:rPr>
        <w:t>Background</w:t>
      </w:r>
      <w:r w:rsidR="003E559F" w:rsidRPr="003A7E53">
        <w:rPr>
          <w:b/>
          <w:bCs/>
          <w:sz w:val="28"/>
          <w:szCs w:val="28"/>
        </w:rPr>
        <w:t xml:space="preserve"> and context</w:t>
      </w:r>
    </w:p>
    <w:p w14:paraId="733C40FA" w14:textId="7EF602F5" w:rsidR="00CC057E" w:rsidRPr="00CB305F" w:rsidRDefault="002C6FC2" w:rsidP="00163DB2">
      <w:pPr>
        <w:ind w:right="33"/>
        <w:jc w:val="both"/>
        <w:rPr>
          <w:rFonts w:ascii="Cambria" w:hAnsi="Cambria"/>
          <w:sz w:val="21"/>
          <w:szCs w:val="21"/>
        </w:rPr>
      </w:pPr>
      <w:r w:rsidRPr="00CB305F">
        <w:rPr>
          <w:rFonts w:ascii="Cambria" w:hAnsi="Cambria"/>
          <w:sz w:val="21"/>
          <w:szCs w:val="21"/>
        </w:rPr>
        <w:t>In 2006, the World Bank coined the term ‘The Middle</w:t>
      </w:r>
      <w:r w:rsidR="00CC057E" w:rsidRPr="00CB305F">
        <w:rPr>
          <w:rFonts w:ascii="Cambria" w:hAnsi="Cambria"/>
          <w:sz w:val="21"/>
          <w:szCs w:val="21"/>
        </w:rPr>
        <w:t>-</w:t>
      </w:r>
      <w:r w:rsidRPr="00CB305F">
        <w:rPr>
          <w:rFonts w:ascii="Cambria" w:hAnsi="Cambria"/>
          <w:sz w:val="21"/>
          <w:szCs w:val="21"/>
        </w:rPr>
        <w:t>Income Trap’</w:t>
      </w:r>
      <w:r w:rsidR="00D35B0A" w:rsidRPr="00CB305F">
        <w:rPr>
          <w:rStyle w:val="EndnoteReference"/>
          <w:rFonts w:ascii="Cambria" w:hAnsi="Cambria"/>
          <w:sz w:val="21"/>
          <w:szCs w:val="21"/>
        </w:rPr>
        <w:endnoteReference w:id="2"/>
      </w:r>
      <w:r w:rsidRPr="00CB305F">
        <w:rPr>
          <w:rFonts w:ascii="Cambria" w:hAnsi="Cambria"/>
          <w:sz w:val="21"/>
          <w:szCs w:val="21"/>
        </w:rPr>
        <w:t xml:space="preserve"> to highlight the difficulty </w:t>
      </w:r>
      <w:r w:rsidR="00161DF2">
        <w:rPr>
          <w:rFonts w:ascii="Cambria" w:hAnsi="Cambria"/>
          <w:sz w:val="21"/>
          <w:szCs w:val="21"/>
        </w:rPr>
        <w:t xml:space="preserve">many </w:t>
      </w:r>
      <w:r w:rsidRPr="00CB305F">
        <w:rPr>
          <w:rFonts w:ascii="Cambria" w:hAnsi="Cambria"/>
          <w:sz w:val="21"/>
          <w:szCs w:val="21"/>
        </w:rPr>
        <w:t xml:space="preserve">developing countries have in maintaining high growth rates once early </w:t>
      </w:r>
      <w:r w:rsidR="009F65E5" w:rsidRPr="00CB305F">
        <w:rPr>
          <w:rFonts w:ascii="Cambria" w:hAnsi="Cambria"/>
          <w:sz w:val="21"/>
          <w:szCs w:val="21"/>
        </w:rPr>
        <w:t>gains have run their course</w:t>
      </w:r>
      <w:r w:rsidRPr="00CB305F">
        <w:rPr>
          <w:rFonts w:ascii="Cambria" w:hAnsi="Cambria"/>
          <w:sz w:val="21"/>
          <w:szCs w:val="21"/>
        </w:rPr>
        <w:t xml:space="preserve">.  </w:t>
      </w:r>
      <w:r w:rsidR="009A3209">
        <w:rPr>
          <w:rFonts w:ascii="Cambria" w:hAnsi="Cambria"/>
          <w:sz w:val="21"/>
          <w:szCs w:val="21"/>
        </w:rPr>
        <w:t>Sustaining t</w:t>
      </w:r>
      <w:r w:rsidR="00161DF2">
        <w:rPr>
          <w:rFonts w:ascii="Cambria" w:hAnsi="Cambria"/>
          <w:sz w:val="21"/>
          <w:szCs w:val="21"/>
        </w:rPr>
        <w:t xml:space="preserve">he transition from higher productivity agriculture and simple, labour-intensive manufacturing to </w:t>
      </w:r>
      <w:r w:rsidR="009A3209">
        <w:rPr>
          <w:rFonts w:ascii="Cambria" w:hAnsi="Cambria"/>
          <w:sz w:val="21"/>
          <w:szCs w:val="21"/>
        </w:rPr>
        <w:t xml:space="preserve">move up the value chain </w:t>
      </w:r>
      <w:r w:rsidR="00161DF2">
        <w:rPr>
          <w:rFonts w:ascii="Cambria" w:hAnsi="Cambria"/>
          <w:sz w:val="21"/>
          <w:szCs w:val="21"/>
        </w:rPr>
        <w:t xml:space="preserve">has proved very difficult. </w:t>
      </w:r>
      <w:r w:rsidRPr="00CB305F">
        <w:rPr>
          <w:rFonts w:ascii="Cambria" w:hAnsi="Cambria"/>
          <w:sz w:val="21"/>
          <w:szCs w:val="21"/>
        </w:rPr>
        <w:t xml:space="preserve"> </w:t>
      </w:r>
      <w:r w:rsidR="009F65E5" w:rsidRPr="00CB305F">
        <w:rPr>
          <w:rFonts w:ascii="Cambria" w:hAnsi="Cambria"/>
          <w:sz w:val="21"/>
          <w:szCs w:val="21"/>
        </w:rPr>
        <w:t>O</w:t>
      </w:r>
      <w:r w:rsidRPr="00CB305F">
        <w:rPr>
          <w:rFonts w:ascii="Cambria" w:hAnsi="Cambria"/>
          <w:sz w:val="21"/>
          <w:szCs w:val="21"/>
        </w:rPr>
        <w:t xml:space="preserve">nly a handful of countries </w:t>
      </w:r>
      <w:r w:rsidR="00D35B0A" w:rsidRPr="00CB305F">
        <w:rPr>
          <w:rFonts w:ascii="Cambria" w:hAnsi="Cambria"/>
          <w:sz w:val="21"/>
          <w:szCs w:val="21"/>
        </w:rPr>
        <w:t xml:space="preserve">globally </w:t>
      </w:r>
      <w:r w:rsidRPr="00CB305F">
        <w:rPr>
          <w:rFonts w:ascii="Cambria" w:hAnsi="Cambria"/>
          <w:sz w:val="21"/>
          <w:szCs w:val="21"/>
        </w:rPr>
        <w:t xml:space="preserve">have been able to continue their development to achieve advanced </w:t>
      </w:r>
      <w:r w:rsidR="00CC057E" w:rsidRPr="00CB305F">
        <w:rPr>
          <w:rFonts w:ascii="Cambria" w:hAnsi="Cambria"/>
          <w:sz w:val="21"/>
          <w:szCs w:val="21"/>
        </w:rPr>
        <w:t xml:space="preserve">country </w:t>
      </w:r>
      <w:r w:rsidRPr="00CB305F">
        <w:rPr>
          <w:rFonts w:ascii="Cambria" w:hAnsi="Cambria"/>
          <w:sz w:val="21"/>
          <w:szCs w:val="21"/>
        </w:rPr>
        <w:t xml:space="preserve">status.  </w:t>
      </w:r>
      <w:r w:rsidR="00CC057E" w:rsidRPr="00CB305F">
        <w:rPr>
          <w:rFonts w:ascii="Cambria" w:hAnsi="Cambria"/>
          <w:sz w:val="21"/>
          <w:szCs w:val="21"/>
        </w:rPr>
        <w:t>Th</w:t>
      </w:r>
      <w:r w:rsidR="009F65E5" w:rsidRPr="00CB305F">
        <w:rPr>
          <w:rFonts w:ascii="Cambria" w:hAnsi="Cambria"/>
          <w:sz w:val="21"/>
          <w:szCs w:val="21"/>
        </w:rPr>
        <w:t xml:space="preserve">ere </w:t>
      </w:r>
      <w:r w:rsidR="00161DF2">
        <w:rPr>
          <w:rFonts w:ascii="Cambria" w:hAnsi="Cambria"/>
          <w:sz w:val="21"/>
          <w:szCs w:val="21"/>
        </w:rPr>
        <w:t>are</w:t>
      </w:r>
      <w:r w:rsidR="007A7975" w:rsidRPr="00CB305F">
        <w:rPr>
          <w:rFonts w:ascii="Cambria" w:hAnsi="Cambria"/>
          <w:sz w:val="21"/>
          <w:szCs w:val="21"/>
        </w:rPr>
        <w:t xml:space="preserve"> strong </w:t>
      </w:r>
      <w:r w:rsidR="00D35B0A" w:rsidRPr="00CB305F">
        <w:rPr>
          <w:rFonts w:ascii="Cambria" w:hAnsi="Cambria"/>
          <w:sz w:val="21"/>
          <w:szCs w:val="21"/>
        </w:rPr>
        <w:t>mutual benefit</w:t>
      </w:r>
      <w:r w:rsidR="00161DF2">
        <w:rPr>
          <w:rFonts w:ascii="Cambria" w:hAnsi="Cambria"/>
          <w:sz w:val="21"/>
          <w:szCs w:val="21"/>
        </w:rPr>
        <w:t>s</w:t>
      </w:r>
      <w:r w:rsidR="00D35B0A" w:rsidRPr="00CB305F">
        <w:rPr>
          <w:rFonts w:ascii="Cambria" w:hAnsi="Cambria"/>
          <w:sz w:val="21"/>
          <w:szCs w:val="21"/>
        </w:rPr>
        <w:t xml:space="preserve"> </w:t>
      </w:r>
      <w:r w:rsidR="00161DF2">
        <w:rPr>
          <w:rFonts w:ascii="Cambria" w:hAnsi="Cambria"/>
          <w:sz w:val="21"/>
          <w:szCs w:val="21"/>
        </w:rPr>
        <w:t>especially for Australia</w:t>
      </w:r>
      <w:r w:rsidR="00242B09">
        <w:rPr>
          <w:rFonts w:ascii="Cambria" w:hAnsi="Cambria"/>
          <w:sz w:val="21"/>
          <w:szCs w:val="21"/>
        </w:rPr>
        <w:t>,</w:t>
      </w:r>
      <w:r w:rsidR="00161DF2">
        <w:rPr>
          <w:rFonts w:ascii="Cambria" w:hAnsi="Cambria"/>
          <w:sz w:val="21"/>
          <w:szCs w:val="21"/>
        </w:rPr>
        <w:t xml:space="preserve"> given its location in East Asia</w:t>
      </w:r>
      <w:r w:rsidR="00242B09">
        <w:rPr>
          <w:rFonts w:ascii="Cambria" w:hAnsi="Cambria"/>
          <w:sz w:val="21"/>
          <w:szCs w:val="21"/>
        </w:rPr>
        <w:t>,</w:t>
      </w:r>
      <w:r w:rsidR="00161DF2">
        <w:rPr>
          <w:rFonts w:ascii="Cambria" w:hAnsi="Cambria"/>
          <w:sz w:val="21"/>
          <w:szCs w:val="21"/>
        </w:rPr>
        <w:t xml:space="preserve"> in</w:t>
      </w:r>
      <w:r w:rsidR="007A7975" w:rsidRPr="00CB305F">
        <w:rPr>
          <w:rFonts w:ascii="Cambria" w:hAnsi="Cambria"/>
          <w:sz w:val="21"/>
          <w:szCs w:val="21"/>
        </w:rPr>
        <w:t xml:space="preserve"> working with countries </w:t>
      </w:r>
      <w:r w:rsidR="00D35B0A" w:rsidRPr="00CB305F">
        <w:rPr>
          <w:rFonts w:ascii="Cambria" w:hAnsi="Cambria"/>
          <w:sz w:val="21"/>
          <w:szCs w:val="21"/>
        </w:rPr>
        <w:t>experiencing slowdowns in growth</w:t>
      </w:r>
      <w:r w:rsidR="007A7975" w:rsidRPr="00CB305F">
        <w:rPr>
          <w:rFonts w:ascii="Cambria" w:hAnsi="Cambria"/>
          <w:sz w:val="21"/>
          <w:szCs w:val="21"/>
        </w:rPr>
        <w:t>, but in the absence of aid instruments</w:t>
      </w:r>
      <w:r w:rsidR="00BA0368" w:rsidRPr="00CB305F">
        <w:rPr>
          <w:rFonts w:ascii="Cambria" w:hAnsi="Cambria"/>
          <w:sz w:val="21"/>
          <w:szCs w:val="21"/>
        </w:rPr>
        <w:t>,</w:t>
      </w:r>
      <w:r w:rsidR="007A7975" w:rsidRPr="00CB305F">
        <w:rPr>
          <w:rFonts w:ascii="Cambria" w:hAnsi="Cambria"/>
          <w:sz w:val="21"/>
          <w:szCs w:val="21"/>
        </w:rPr>
        <w:t xml:space="preserve"> there are limited opportunities</w:t>
      </w:r>
      <w:r w:rsidR="00DC10BE" w:rsidRPr="00CB305F">
        <w:rPr>
          <w:rFonts w:ascii="Cambria" w:hAnsi="Cambria"/>
          <w:sz w:val="21"/>
          <w:szCs w:val="21"/>
        </w:rPr>
        <w:t xml:space="preserve"> and mechanisms.</w:t>
      </w:r>
      <w:r w:rsidR="00CC057E" w:rsidRPr="00CB305F">
        <w:rPr>
          <w:rFonts w:ascii="Cambria" w:hAnsi="Cambria"/>
          <w:sz w:val="21"/>
          <w:szCs w:val="21"/>
        </w:rPr>
        <w:t xml:space="preserve"> </w:t>
      </w:r>
    </w:p>
    <w:p w14:paraId="2C9BEA49" w14:textId="77777777" w:rsidR="00E530D7" w:rsidRPr="00CB305F" w:rsidRDefault="00E530D7" w:rsidP="00163DB2">
      <w:pPr>
        <w:ind w:right="33"/>
        <w:jc w:val="both"/>
        <w:rPr>
          <w:rFonts w:ascii="Cambria" w:hAnsi="Cambria"/>
          <w:sz w:val="21"/>
          <w:szCs w:val="21"/>
        </w:rPr>
      </w:pPr>
    </w:p>
    <w:p w14:paraId="0BBCD776" w14:textId="26F9BE6D" w:rsidR="007A7975" w:rsidRPr="00CB305F" w:rsidRDefault="00D70AC6" w:rsidP="00163DB2">
      <w:pPr>
        <w:ind w:right="33"/>
        <w:jc w:val="both"/>
        <w:rPr>
          <w:rFonts w:ascii="Cambria" w:hAnsi="Cambria"/>
          <w:sz w:val="21"/>
          <w:szCs w:val="21"/>
        </w:rPr>
      </w:pPr>
      <w:r>
        <w:rPr>
          <w:rFonts w:ascii="Cambria" w:hAnsi="Cambria"/>
          <w:sz w:val="21"/>
          <w:szCs w:val="21"/>
        </w:rPr>
        <w:t>Australian bilateral aid to Malaysia was phased out i</w:t>
      </w:r>
      <w:r w:rsidR="008B768A" w:rsidRPr="00CB305F">
        <w:rPr>
          <w:rFonts w:ascii="Cambria" w:hAnsi="Cambria"/>
          <w:sz w:val="21"/>
          <w:szCs w:val="21"/>
        </w:rPr>
        <w:t>n 199</w:t>
      </w:r>
      <w:r w:rsidR="008A372D" w:rsidRPr="00CB305F">
        <w:rPr>
          <w:rFonts w:ascii="Cambria" w:hAnsi="Cambria"/>
          <w:sz w:val="21"/>
          <w:szCs w:val="21"/>
        </w:rPr>
        <w:t>2</w:t>
      </w:r>
      <w:r w:rsidR="006121E2" w:rsidRPr="00CB305F">
        <w:rPr>
          <w:rFonts w:ascii="Cambria" w:hAnsi="Cambria"/>
          <w:sz w:val="21"/>
          <w:szCs w:val="21"/>
        </w:rPr>
        <w:t>, wh</w:t>
      </w:r>
      <w:r w:rsidR="00613482" w:rsidRPr="00CB305F">
        <w:rPr>
          <w:rFonts w:ascii="Cambria" w:hAnsi="Cambria"/>
          <w:sz w:val="21"/>
          <w:szCs w:val="21"/>
        </w:rPr>
        <w:t xml:space="preserve">ile </w:t>
      </w:r>
      <w:r w:rsidR="008B768A" w:rsidRPr="00CB305F">
        <w:rPr>
          <w:rFonts w:ascii="Cambria" w:hAnsi="Cambria"/>
          <w:sz w:val="21"/>
          <w:szCs w:val="21"/>
        </w:rPr>
        <w:t xml:space="preserve">Australia began to phase out bilateral </w:t>
      </w:r>
      <w:r w:rsidR="006121E2" w:rsidRPr="00CB305F">
        <w:rPr>
          <w:rFonts w:ascii="Cambria" w:hAnsi="Cambria"/>
          <w:sz w:val="21"/>
          <w:szCs w:val="21"/>
        </w:rPr>
        <w:t xml:space="preserve">assistance at </w:t>
      </w:r>
      <w:r w:rsidR="008B768A" w:rsidRPr="00CB305F">
        <w:rPr>
          <w:rFonts w:ascii="Cambria" w:hAnsi="Cambria"/>
          <w:sz w:val="21"/>
          <w:szCs w:val="21"/>
        </w:rPr>
        <w:t>Thailand</w:t>
      </w:r>
      <w:r w:rsidR="006121E2" w:rsidRPr="00CB305F">
        <w:rPr>
          <w:rFonts w:ascii="Cambria" w:hAnsi="Cambria"/>
          <w:sz w:val="21"/>
          <w:szCs w:val="21"/>
        </w:rPr>
        <w:t>’s request in 2004-05.</w:t>
      </w:r>
      <w:r w:rsidR="00D35B0A" w:rsidRPr="00CB305F">
        <w:rPr>
          <w:rStyle w:val="EndnoteReference"/>
          <w:rFonts w:ascii="Cambria" w:hAnsi="Cambria"/>
          <w:sz w:val="21"/>
          <w:szCs w:val="21"/>
        </w:rPr>
        <w:endnoteReference w:id="3"/>
      </w:r>
      <w:r w:rsidR="006121E2" w:rsidRPr="00CB305F">
        <w:rPr>
          <w:rFonts w:ascii="Cambria" w:hAnsi="Cambria"/>
          <w:sz w:val="21"/>
          <w:szCs w:val="21"/>
        </w:rPr>
        <w:t xml:space="preserve"> </w:t>
      </w:r>
      <w:r w:rsidR="002C6FC2" w:rsidRPr="00CB305F">
        <w:rPr>
          <w:rFonts w:ascii="Cambria" w:hAnsi="Cambria"/>
          <w:sz w:val="21"/>
          <w:szCs w:val="21"/>
        </w:rPr>
        <w:t xml:space="preserve"> </w:t>
      </w:r>
      <w:r w:rsidR="009F65E5" w:rsidRPr="00CB305F">
        <w:rPr>
          <w:rFonts w:ascii="Cambria" w:hAnsi="Cambria"/>
          <w:sz w:val="21"/>
          <w:szCs w:val="21"/>
        </w:rPr>
        <w:t>While both remain technically eligible for ODA under OECD rules (Malaysia only just) t</w:t>
      </w:r>
      <w:r w:rsidR="002C6FC2" w:rsidRPr="00CB305F">
        <w:rPr>
          <w:rFonts w:ascii="Cambria" w:hAnsi="Cambria"/>
          <w:sz w:val="21"/>
          <w:szCs w:val="21"/>
        </w:rPr>
        <w:t>raditional aid was seen by all parties as no longer providing an appropriate way to organise cooperation</w:t>
      </w:r>
      <w:r w:rsidR="00D35B0A" w:rsidRPr="00CB305F">
        <w:rPr>
          <w:rFonts w:ascii="Cambria" w:hAnsi="Cambria"/>
          <w:sz w:val="21"/>
          <w:szCs w:val="21"/>
        </w:rPr>
        <w:t xml:space="preserve"> </w:t>
      </w:r>
      <w:r w:rsidR="00242B09">
        <w:rPr>
          <w:rFonts w:ascii="Cambria" w:hAnsi="Cambria"/>
          <w:sz w:val="21"/>
          <w:szCs w:val="21"/>
        </w:rPr>
        <w:t xml:space="preserve">even </w:t>
      </w:r>
      <w:r w:rsidR="00D35B0A" w:rsidRPr="00CB305F">
        <w:rPr>
          <w:rFonts w:ascii="Cambria" w:hAnsi="Cambria"/>
          <w:sz w:val="21"/>
          <w:szCs w:val="21"/>
        </w:rPr>
        <w:t>a generation ago</w:t>
      </w:r>
      <w:r w:rsidR="002C6FC2" w:rsidRPr="00CB305F">
        <w:rPr>
          <w:rFonts w:ascii="Cambria" w:hAnsi="Cambria"/>
          <w:sz w:val="21"/>
          <w:szCs w:val="21"/>
        </w:rPr>
        <w:t xml:space="preserve">.  However, as the Overseas Development Institute </w:t>
      </w:r>
      <w:r w:rsidR="007A7975" w:rsidRPr="00CB305F">
        <w:rPr>
          <w:rFonts w:ascii="Cambria" w:hAnsi="Cambria"/>
          <w:sz w:val="21"/>
          <w:szCs w:val="21"/>
        </w:rPr>
        <w:t xml:space="preserve">(ODI) </w:t>
      </w:r>
      <w:r w:rsidR="002C6FC2" w:rsidRPr="00CB305F">
        <w:rPr>
          <w:rFonts w:ascii="Cambria" w:hAnsi="Cambria"/>
          <w:sz w:val="21"/>
          <w:szCs w:val="21"/>
        </w:rPr>
        <w:t xml:space="preserve">has noted, the graduation of successful countries from ODA programs is typically sudden and </w:t>
      </w:r>
      <w:r w:rsidR="007A7975" w:rsidRPr="00CB305F">
        <w:rPr>
          <w:rFonts w:ascii="Cambria" w:hAnsi="Cambria"/>
          <w:sz w:val="21"/>
          <w:szCs w:val="21"/>
        </w:rPr>
        <w:t>absolute</w:t>
      </w:r>
      <w:r w:rsidR="002C6FC2" w:rsidRPr="00CB305F">
        <w:rPr>
          <w:rFonts w:ascii="Cambria" w:hAnsi="Cambria"/>
          <w:sz w:val="21"/>
          <w:szCs w:val="21"/>
        </w:rPr>
        <w:t xml:space="preserve"> with very</w:t>
      </w:r>
      <w:r w:rsidR="00613482" w:rsidRPr="00CB305F">
        <w:rPr>
          <w:rFonts w:ascii="Cambria" w:hAnsi="Cambria"/>
          <w:sz w:val="21"/>
          <w:szCs w:val="21"/>
        </w:rPr>
        <w:t xml:space="preserve"> limited </w:t>
      </w:r>
      <w:r w:rsidR="007A7975" w:rsidRPr="00CB305F">
        <w:rPr>
          <w:rFonts w:ascii="Cambria" w:hAnsi="Cambria"/>
          <w:sz w:val="21"/>
          <w:szCs w:val="21"/>
        </w:rPr>
        <w:t xml:space="preserve">subsequent </w:t>
      </w:r>
      <w:r w:rsidR="00613482" w:rsidRPr="00CB305F">
        <w:rPr>
          <w:rFonts w:ascii="Cambria" w:hAnsi="Cambria"/>
          <w:sz w:val="21"/>
          <w:szCs w:val="21"/>
        </w:rPr>
        <w:t>co</w:t>
      </w:r>
      <w:r w:rsidR="007A7975" w:rsidRPr="00CB305F">
        <w:rPr>
          <w:rFonts w:ascii="Cambria" w:hAnsi="Cambria"/>
          <w:sz w:val="21"/>
          <w:szCs w:val="21"/>
        </w:rPr>
        <w:t>-</w:t>
      </w:r>
      <w:r w:rsidR="00613482" w:rsidRPr="00CB305F">
        <w:rPr>
          <w:rFonts w:ascii="Cambria" w:hAnsi="Cambria"/>
          <w:sz w:val="21"/>
          <w:szCs w:val="21"/>
        </w:rPr>
        <w:t>operation on development issues</w:t>
      </w:r>
      <w:r w:rsidR="00BA0368" w:rsidRPr="00CB305F">
        <w:rPr>
          <w:rFonts w:ascii="Cambria" w:hAnsi="Cambria"/>
          <w:sz w:val="21"/>
          <w:szCs w:val="21"/>
        </w:rPr>
        <w:t>,</w:t>
      </w:r>
      <w:r w:rsidR="002C6FC2" w:rsidRPr="00CB305F">
        <w:rPr>
          <w:rFonts w:ascii="Cambria" w:hAnsi="Cambria"/>
          <w:sz w:val="21"/>
          <w:szCs w:val="21"/>
        </w:rPr>
        <w:t xml:space="preserve"> </w:t>
      </w:r>
      <w:r w:rsidR="007A7975" w:rsidRPr="00CB305F">
        <w:rPr>
          <w:rFonts w:ascii="Cambria" w:hAnsi="Cambria"/>
          <w:sz w:val="21"/>
          <w:szCs w:val="21"/>
        </w:rPr>
        <w:t xml:space="preserve">despite </w:t>
      </w:r>
      <w:r w:rsidR="002C6FC2" w:rsidRPr="00CB305F">
        <w:rPr>
          <w:rFonts w:ascii="Cambria" w:hAnsi="Cambria"/>
          <w:sz w:val="21"/>
          <w:szCs w:val="21"/>
        </w:rPr>
        <w:t>the chall</w:t>
      </w:r>
      <w:r w:rsidR="00CC057E" w:rsidRPr="00CB305F">
        <w:rPr>
          <w:rFonts w:ascii="Cambria" w:hAnsi="Cambria"/>
          <w:sz w:val="21"/>
          <w:szCs w:val="21"/>
        </w:rPr>
        <w:t>e</w:t>
      </w:r>
      <w:r w:rsidR="002C6FC2" w:rsidRPr="00CB305F">
        <w:rPr>
          <w:rFonts w:ascii="Cambria" w:hAnsi="Cambria"/>
          <w:sz w:val="21"/>
          <w:szCs w:val="21"/>
        </w:rPr>
        <w:t xml:space="preserve">nges </w:t>
      </w:r>
      <w:r w:rsidR="00BA0368" w:rsidRPr="00CB305F">
        <w:rPr>
          <w:rFonts w:ascii="Cambria" w:hAnsi="Cambria"/>
          <w:sz w:val="21"/>
          <w:szCs w:val="21"/>
        </w:rPr>
        <w:t>such countries</w:t>
      </w:r>
      <w:r w:rsidR="002C6FC2" w:rsidRPr="00CB305F">
        <w:rPr>
          <w:rFonts w:ascii="Cambria" w:hAnsi="Cambria"/>
          <w:sz w:val="21"/>
          <w:szCs w:val="21"/>
        </w:rPr>
        <w:t xml:space="preserve"> face becom</w:t>
      </w:r>
      <w:r w:rsidR="007A7975" w:rsidRPr="00CB305F">
        <w:rPr>
          <w:rFonts w:ascii="Cambria" w:hAnsi="Cambria"/>
          <w:sz w:val="21"/>
          <w:szCs w:val="21"/>
        </w:rPr>
        <w:t>ing</w:t>
      </w:r>
      <w:r w:rsidR="002C6FC2" w:rsidRPr="00CB305F">
        <w:rPr>
          <w:rFonts w:ascii="Cambria" w:hAnsi="Cambria"/>
          <w:sz w:val="21"/>
          <w:szCs w:val="21"/>
        </w:rPr>
        <w:t xml:space="preserve"> particularly </w:t>
      </w:r>
      <w:r w:rsidR="007A7975" w:rsidRPr="00CB305F">
        <w:rPr>
          <w:rFonts w:ascii="Cambria" w:hAnsi="Cambria"/>
          <w:sz w:val="21"/>
          <w:szCs w:val="21"/>
        </w:rPr>
        <w:t>demanding</w:t>
      </w:r>
      <w:r w:rsidR="002C6FC2" w:rsidRPr="00CB305F">
        <w:rPr>
          <w:rFonts w:ascii="Cambria" w:hAnsi="Cambria"/>
          <w:sz w:val="21"/>
          <w:szCs w:val="21"/>
        </w:rPr>
        <w:t>.</w:t>
      </w:r>
      <w:r w:rsidR="00D35B0A" w:rsidRPr="00CB305F">
        <w:rPr>
          <w:rStyle w:val="EndnoteReference"/>
          <w:rFonts w:ascii="Cambria" w:hAnsi="Cambria"/>
          <w:sz w:val="21"/>
          <w:szCs w:val="21"/>
        </w:rPr>
        <w:endnoteReference w:id="4"/>
      </w:r>
      <w:r w:rsidR="00BA0368" w:rsidRPr="00CB305F">
        <w:rPr>
          <w:rFonts w:ascii="Cambria" w:hAnsi="Cambria"/>
          <w:sz w:val="21"/>
          <w:szCs w:val="21"/>
        </w:rPr>
        <w:t xml:space="preserve">  </w:t>
      </w:r>
      <w:r w:rsidR="007A7975" w:rsidRPr="00CB305F">
        <w:rPr>
          <w:rFonts w:ascii="Cambria" w:hAnsi="Cambria"/>
          <w:sz w:val="21"/>
          <w:szCs w:val="21"/>
        </w:rPr>
        <w:t>The MTRP program is one response to that conundrum.</w:t>
      </w:r>
    </w:p>
    <w:p w14:paraId="70CB7756" w14:textId="48AE1CF2" w:rsidR="00BC57EC" w:rsidRPr="00CB305F" w:rsidRDefault="00BC57EC" w:rsidP="00163DB2">
      <w:pPr>
        <w:ind w:right="33"/>
        <w:jc w:val="both"/>
        <w:rPr>
          <w:rFonts w:ascii="Cambria" w:hAnsi="Cambria"/>
          <w:sz w:val="21"/>
          <w:szCs w:val="21"/>
        </w:rPr>
      </w:pPr>
    </w:p>
    <w:p w14:paraId="4ADCA314" w14:textId="2F402BA3" w:rsidR="00445B25" w:rsidRPr="00CB305F" w:rsidRDefault="00BC57EC" w:rsidP="00163DB2">
      <w:pPr>
        <w:ind w:right="33"/>
        <w:jc w:val="both"/>
        <w:rPr>
          <w:rFonts w:ascii="Cambria" w:hAnsi="Cambria"/>
          <w:sz w:val="21"/>
          <w:szCs w:val="21"/>
        </w:rPr>
      </w:pPr>
      <w:r w:rsidRPr="00CB305F">
        <w:rPr>
          <w:rFonts w:ascii="Cambria" w:hAnsi="Cambria"/>
          <w:sz w:val="21"/>
          <w:szCs w:val="21"/>
        </w:rPr>
        <w:t>The MTRP program is anchored in substantial work done by TAF on what it has designated ‘Advanced Middle</w:t>
      </w:r>
      <w:r w:rsidR="00B33795" w:rsidRPr="00CB305F">
        <w:rPr>
          <w:rFonts w:ascii="Cambria" w:hAnsi="Cambria"/>
          <w:sz w:val="21"/>
          <w:szCs w:val="21"/>
        </w:rPr>
        <w:t>-</w:t>
      </w:r>
      <w:r w:rsidRPr="00CB305F">
        <w:rPr>
          <w:rFonts w:ascii="Cambria" w:hAnsi="Cambria"/>
          <w:sz w:val="21"/>
          <w:szCs w:val="21"/>
        </w:rPr>
        <w:t>Income Countries’</w:t>
      </w:r>
      <w:r w:rsidR="009A3209">
        <w:rPr>
          <w:rFonts w:ascii="Cambria" w:hAnsi="Cambria"/>
          <w:sz w:val="21"/>
          <w:szCs w:val="21"/>
        </w:rPr>
        <w:t xml:space="preserve"> (AMICs)</w:t>
      </w:r>
      <w:r w:rsidRPr="00CB305F">
        <w:rPr>
          <w:rFonts w:ascii="Cambria" w:hAnsi="Cambria"/>
          <w:sz w:val="21"/>
          <w:szCs w:val="21"/>
        </w:rPr>
        <w:t>.</w:t>
      </w:r>
      <w:r w:rsidR="00D35B0A" w:rsidRPr="00CB305F">
        <w:rPr>
          <w:rStyle w:val="EndnoteReference"/>
          <w:rFonts w:ascii="Cambria" w:hAnsi="Cambria"/>
          <w:sz w:val="21"/>
          <w:szCs w:val="21"/>
        </w:rPr>
        <w:endnoteReference w:id="5"/>
      </w:r>
      <w:r w:rsidRPr="00CB305F">
        <w:rPr>
          <w:rFonts w:ascii="Cambria" w:hAnsi="Cambria"/>
          <w:sz w:val="21"/>
          <w:szCs w:val="21"/>
        </w:rPr>
        <w:t xml:space="preserve">  The DFAT anchor points are less </w:t>
      </w:r>
      <w:r w:rsidR="00D769BB" w:rsidRPr="00CB305F">
        <w:rPr>
          <w:rFonts w:ascii="Cambria" w:hAnsi="Cambria"/>
          <w:sz w:val="21"/>
          <w:szCs w:val="21"/>
        </w:rPr>
        <w:t xml:space="preserve">visible.  </w:t>
      </w:r>
      <w:r w:rsidR="00345B0E">
        <w:rPr>
          <w:rFonts w:ascii="Cambria" w:hAnsi="Cambria"/>
          <w:sz w:val="21"/>
          <w:szCs w:val="21"/>
        </w:rPr>
        <w:t xml:space="preserve">In conversation, </w:t>
      </w:r>
      <w:r w:rsidR="00D769BB" w:rsidRPr="00CB305F">
        <w:rPr>
          <w:rFonts w:ascii="Cambria" w:hAnsi="Cambria"/>
          <w:sz w:val="21"/>
          <w:szCs w:val="21"/>
        </w:rPr>
        <w:t>DFAT officers articulated a sharp</w:t>
      </w:r>
      <w:r w:rsidR="00AE22FA" w:rsidRPr="00CB305F">
        <w:rPr>
          <w:rFonts w:ascii="Cambria" w:hAnsi="Cambria"/>
          <w:sz w:val="21"/>
          <w:szCs w:val="21"/>
        </w:rPr>
        <w:t>,</w:t>
      </w:r>
      <w:r w:rsidR="00D769BB" w:rsidRPr="00CB305F">
        <w:rPr>
          <w:rFonts w:ascii="Cambria" w:hAnsi="Cambria"/>
          <w:sz w:val="21"/>
          <w:szCs w:val="21"/>
        </w:rPr>
        <w:t xml:space="preserve"> clear vision of what they are trying to achieve and why.  Their principal focus was on Australia’s national interest in Malaysia and Thailand</w:t>
      </w:r>
      <w:r w:rsidR="00D86AA9">
        <w:rPr>
          <w:rFonts w:ascii="Cambria" w:hAnsi="Cambria"/>
          <w:sz w:val="21"/>
          <w:szCs w:val="21"/>
        </w:rPr>
        <w:t xml:space="preserve"> -</w:t>
      </w:r>
      <w:r w:rsidR="00D769BB" w:rsidRPr="00CB305F">
        <w:rPr>
          <w:rFonts w:ascii="Cambria" w:hAnsi="Cambria"/>
          <w:sz w:val="21"/>
          <w:szCs w:val="21"/>
        </w:rPr>
        <w:t xml:space="preserve"> </w:t>
      </w:r>
      <w:r w:rsidR="009F65E5" w:rsidRPr="00CB305F">
        <w:rPr>
          <w:rFonts w:ascii="Cambria" w:hAnsi="Cambria"/>
          <w:sz w:val="21"/>
          <w:szCs w:val="21"/>
        </w:rPr>
        <w:t xml:space="preserve">helping </w:t>
      </w:r>
      <w:r w:rsidR="00D769BB" w:rsidRPr="00CB305F">
        <w:rPr>
          <w:rFonts w:ascii="Cambria" w:hAnsi="Cambria"/>
          <w:sz w:val="21"/>
          <w:szCs w:val="21"/>
        </w:rPr>
        <w:t>loosen binding constraints</w:t>
      </w:r>
      <w:r w:rsidR="00AE22FA" w:rsidRPr="00CB305F">
        <w:rPr>
          <w:rFonts w:ascii="Cambria" w:hAnsi="Cambria"/>
          <w:sz w:val="21"/>
          <w:szCs w:val="21"/>
        </w:rPr>
        <w:t>,</w:t>
      </w:r>
      <w:r w:rsidR="00D769BB" w:rsidRPr="00CB305F">
        <w:rPr>
          <w:rFonts w:ascii="Cambria" w:hAnsi="Cambria"/>
          <w:sz w:val="21"/>
          <w:szCs w:val="21"/>
        </w:rPr>
        <w:t xml:space="preserve"> allowing them to grow faster, become stronger, </w:t>
      </w:r>
      <w:r w:rsidR="00AE22FA" w:rsidRPr="00CB305F">
        <w:rPr>
          <w:rFonts w:ascii="Cambria" w:hAnsi="Cambria"/>
          <w:sz w:val="21"/>
          <w:szCs w:val="21"/>
        </w:rPr>
        <w:t xml:space="preserve">and be </w:t>
      </w:r>
      <w:r w:rsidR="00D769BB" w:rsidRPr="00CB305F">
        <w:rPr>
          <w:rFonts w:ascii="Cambria" w:hAnsi="Cambria"/>
          <w:sz w:val="21"/>
          <w:szCs w:val="21"/>
        </w:rPr>
        <w:t>better placed to build mutually beneficial partnership</w:t>
      </w:r>
      <w:r w:rsidR="00AE22FA" w:rsidRPr="00CB305F">
        <w:rPr>
          <w:rFonts w:ascii="Cambria" w:hAnsi="Cambria"/>
          <w:sz w:val="21"/>
          <w:szCs w:val="21"/>
        </w:rPr>
        <w:t>s</w:t>
      </w:r>
      <w:r w:rsidR="00D769BB" w:rsidRPr="00CB305F">
        <w:rPr>
          <w:rFonts w:ascii="Cambria" w:hAnsi="Cambria"/>
          <w:sz w:val="21"/>
          <w:szCs w:val="21"/>
        </w:rPr>
        <w:t xml:space="preserve"> with Australia and others.</w:t>
      </w:r>
      <w:r w:rsidR="00F23269">
        <w:rPr>
          <w:rFonts w:ascii="Cambria" w:hAnsi="Cambria"/>
          <w:sz w:val="21"/>
          <w:szCs w:val="21"/>
        </w:rPr>
        <w:t xml:space="preserve">  </w:t>
      </w:r>
      <w:r w:rsidR="002C0D76">
        <w:rPr>
          <w:rFonts w:ascii="Cambria" w:hAnsi="Cambria"/>
          <w:sz w:val="21"/>
          <w:szCs w:val="21"/>
        </w:rPr>
        <w:t xml:space="preserve">Drawing on its own and international experience, </w:t>
      </w:r>
      <w:r w:rsidR="00F23269">
        <w:rPr>
          <w:rFonts w:ascii="Cambria" w:hAnsi="Cambria"/>
          <w:sz w:val="21"/>
          <w:szCs w:val="21"/>
        </w:rPr>
        <w:t xml:space="preserve">DFAT </w:t>
      </w:r>
      <w:r w:rsidR="002C0D76">
        <w:rPr>
          <w:rFonts w:ascii="Cambria" w:hAnsi="Cambria"/>
          <w:sz w:val="21"/>
          <w:szCs w:val="21"/>
        </w:rPr>
        <w:t xml:space="preserve">should </w:t>
      </w:r>
      <w:r w:rsidR="00F23269">
        <w:rPr>
          <w:rFonts w:ascii="Cambria" w:hAnsi="Cambria"/>
          <w:sz w:val="21"/>
          <w:szCs w:val="21"/>
        </w:rPr>
        <w:t>prepare a short strategy setting out goals and approaches for its AMIC work, to ensure consistency in light of frequent staff movements.</w:t>
      </w:r>
    </w:p>
    <w:p w14:paraId="1220130B" w14:textId="77777777" w:rsidR="00445B25" w:rsidRDefault="00445B25" w:rsidP="00163DB2">
      <w:pPr>
        <w:ind w:right="33"/>
        <w:jc w:val="both"/>
        <w:rPr>
          <w:rFonts w:ascii="Cambria" w:hAnsi="Cambria"/>
          <w:b/>
          <w:bCs/>
          <w:sz w:val="22"/>
          <w:szCs w:val="22"/>
        </w:rPr>
      </w:pPr>
    </w:p>
    <w:p w14:paraId="737E2595" w14:textId="0D690CE3" w:rsidR="00BA0368" w:rsidRPr="003A7E53" w:rsidRDefault="00BA0368" w:rsidP="00163DB2">
      <w:pPr>
        <w:pStyle w:val="Heading2"/>
        <w:ind w:right="33"/>
        <w:rPr>
          <w:b/>
          <w:bCs/>
          <w:sz w:val="28"/>
          <w:szCs w:val="28"/>
        </w:rPr>
      </w:pPr>
      <w:r w:rsidRPr="003A7E53">
        <w:rPr>
          <w:b/>
          <w:bCs/>
          <w:sz w:val="28"/>
          <w:szCs w:val="28"/>
        </w:rPr>
        <w:t xml:space="preserve">Evaluation </w:t>
      </w:r>
      <w:r w:rsidR="00AB5AC7" w:rsidRPr="003A7E53">
        <w:rPr>
          <w:b/>
          <w:bCs/>
          <w:sz w:val="28"/>
          <w:szCs w:val="28"/>
        </w:rPr>
        <w:t>methodology and limitations</w:t>
      </w:r>
    </w:p>
    <w:p w14:paraId="0ED51AB2" w14:textId="7DF9CF83" w:rsidR="00613482" w:rsidRPr="00CB305F" w:rsidRDefault="00747A2B" w:rsidP="00163DB2">
      <w:pPr>
        <w:ind w:right="33"/>
        <w:jc w:val="both"/>
        <w:rPr>
          <w:rFonts w:ascii="Cambria" w:hAnsi="Cambria"/>
          <w:sz w:val="21"/>
          <w:szCs w:val="21"/>
        </w:rPr>
      </w:pPr>
      <w:r w:rsidRPr="00CB305F">
        <w:rPr>
          <w:rFonts w:ascii="Cambria" w:hAnsi="Cambria"/>
          <w:sz w:val="21"/>
          <w:szCs w:val="21"/>
        </w:rPr>
        <w:t xml:space="preserve">This Mid Term Evaluation </w:t>
      </w:r>
      <w:r w:rsidR="00FB6A59" w:rsidRPr="00CB305F">
        <w:rPr>
          <w:rFonts w:ascii="Cambria" w:hAnsi="Cambria"/>
          <w:sz w:val="21"/>
          <w:szCs w:val="21"/>
        </w:rPr>
        <w:t xml:space="preserve">is designed as a quick assessment of progress to date, particularly with a view to maximising outcomes by the end of the program’s life.  </w:t>
      </w:r>
      <w:r w:rsidR="0025705A">
        <w:rPr>
          <w:rFonts w:ascii="Cambria" w:hAnsi="Cambria"/>
          <w:sz w:val="21"/>
          <w:szCs w:val="21"/>
        </w:rPr>
        <w:t>T</w:t>
      </w:r>
      <w:r w:rsidR="0025705A" w:rsidRPr="00CB305F">
        <w:rPr>
          <w:rFonts w:ascii="Cambria" w:hAnsi="Cambria"/>
          <w:sz w:val="21"/>
          <w:szCs w:val="21"/>
        </w:rPr>
        <w:t xml:space="preserve">he Evaluation Plan is at Attachment </w:t>
      </w:r>
      <w:r w:rsidR="0025705A">
        <w:rPr>
          <w:rFonts w:ascii="Cambria" w:hAnsi="Cambria"/>
          <w:sz w:val="21"/>
          <w:szCs w:val="21"/>
        </w:rPr>
        <w:t xml:space="preserve">B.  The plan </w:t>
      </w:r>
      <w:r w:rsidR="00FB6A59" w:rsidRPr="00CB305F">
        <w:rPr>
          <w:rFonts w:ascii="Cambria" w:hAnsi="Cambria"/>
          <w:sz w:val="21"/>
          <w:szCs w:val="21"/>
        </w:rPr>
        <w:t xml:space="preserve">relies </w:t>
      </w:r>
      <w:r w:rsidR="0025705A">
        <w:rPr>
          <w:rFonts w:ascii="Cambria" w:hAnsi="Cambria"/>
          <w:sz w:val="21"/>
          <w:szCs w:val="21"/>
        </w:rPr>
        <w:t xml:space="preserve">on </w:t>
      </w:r>
      <w:r w:rsidR="00F23269">
        <w:rPr>
          <w:rFonts w:ascii="Cambria" w:hAnsi="Cambria"/>
          <w:sz w:val="21"/>
          <w:szCs w:val="21"/>
        </w:rPr>
        <w:t xml:space="preserve">a) </w:t>
      </w:r>
      <w:r w:rsidR="00FB6A59" w:rsidRPr="004F3B68">
        <w:rPr>
          <w:rFonts w:ascii="Cambria" w:hAnsi="Cambria"/>
          <w:sz w:val="21"/>
          <w:szCs w:val="21"/>
        </w:rPr>
        <w:t xml:space="preserve">consultations with around </w:t>
      </w:r>
      <w:r w:rsidR="00F23269" w:rsidRPr="004F3B68">
        <w:rPr>
          <w:rFonts w:ascii="Cambria" w:hAnsi="Cambria"/>
          <w:sz w:val="21"/>
          <w:szCs w:val="21"/>
        </w:rPr>
        <w:t>3</w:t>
      </w:r>
      <w:r w:rsidR="00FB6A59" w:rsidRPr="004F3B68">
        <w:rPr>
          <w:rFonts w:ascii="Cambria" w:hAnsi="Cambria"/>
          <w:sz w:val="21"/>
          <w:szCs w:val="21"/>
        </w:rPr>
        <w:t xml:space="preserve">0 </w:t>
      </w:r>
      <w:r w:rsidR="003A31E1" w:rsidRPr="004F3B68">
        <w:rPr>
          <w:rFonts w:ascii="Cambria" w:hAnsi="Cambria"/>
          <w:sz w:val="21"/>
          <w:szCs w:val="21"/>
        </w:rPr>
        <w:t>people</w:t>
      </w:r>
      <w:r w:rsidR="0025705A" w:rsidRPr="004F3B68">
        <w:rPr>
          <w:rFonts w:ascii="Cambria" w:hAnsi="Cambria"/>
          <w:sz w:val="21"/>
          <w:szCs w:val="21"/>
        </w:rPr>
        <w:t>,</w:t>
      </w:r>
      <w:r w:rsidR="003A31E1" w:rsidRPr="004F3B68">
        <w:rPr>
          <w:rFonts w:ascii="Cambria" w:hAnsi="Cambria"/>
          <w:sz w:val="21"/>
          <w:szCs w:val="21"/>
        </w:rPr>
        <w:t xml:space="preserve"> especially </w:t>
      </w:r>
      <w:r w:rsidR="00FB6A59" w:rsidRPr="004F3B68">
        <w:rPr>
          <w:rFonts w:ascii="Cambria" w:hAnsi="Cambria"/>
          <w:sz w:val="21"/>
          <w:szCs w:val="21"/>
        </w:rPr>
        <w:t>DFAT and TAF officers</w:t>
      </w:r>
      <w:r w:rsidR="003467A0" w:rsidRPr="004F3B68">
        <w:rPr>
          <w:rFonts w:ascii="Cambria" w:hAnsi="Cambria"/>
          <w:sz w:val="21"/>
          <w:szCs w:val="21"/>
        </w:rPr>
        <w:t>,</w:t>
      </w:r>
      <w:r w:rsidR="00CC5419" w:rsidRPr="004F3B68">
        <w:rPr>
          <w:rFonts w:ascii="Cambria" w:hAnsi="Cambria"/>
          <w:sz w:val="21"/>
          <w:szCs w:val="21"/>
        </w:rPr>
        <w:t xml:space="preserve"> </w:t>
      </w:r>
      <w:r w:rsidR="003A31E1" w:rsidRPr="004F3B68">
        <w:rPr>
          <w:rFonts w:ascii="Cambria" w:hAnsi="Cambria"/>
          <w:sz w:val="21"/>
          <w:szCs w:val="21"/>
        </w:rPr>
        <w:t xml:space="preserve">contracted </w:t>
      </w:r>
      <w:r w:rsidR="00FB6A59" w:rsidRPr="004F3B68">
        <w:rPr>
          <w:rFonts w:ascii="Cambria" w:hAnsi="Cambria"/>
          <w:sz w:val="21"/>
          <w:szCs w:val="21"/>
        </w:rPr>
        <w:t>ex</w:t>
      </w:r>
      <w:r w:rsidR="00AB5AC7" w:rsidRPr="004F3B68">
        <w:rPr>
          <w:rFonts w:ascii="Cambria" w:hAnsi="Cambria"/>
          <w:sz w:val="21"/>
          <w:szCs w:val="21"/>
        </w:rPr>
        <w:t>p</w:t>
      </w:r>
      <w:r w:rsidR="00FB6A59" w:rsidRPr="004F3B68">
        <w:rPr>
          <w:rFonts w:ascii="Cambria" w:hAnsi="Cambria"/>
          <w:sz w:val="21"/>
          <w:szCs w:val="21"/>
        </w:rPr>
        <w:t>erts and counterparts</w:t>
      </w:r>
      <w:r w:rsidR="00CC5419" w:rsidRPr="004F3B68">
        <w:rPr>
          <w:rFonts w:ascii="Cambria" w:hAnsi="Cambria"/>
          <w:sz w:val="21"/>
          <w:szCs w:val="21"/>
        </w:rPr>
        <w:t xml:space="preserve"> (</w:t>
      </w:r>
      <w:r w:rsidR="00AB5AC7" w:rsidRPr="004F3B68">
        <w:rPr>
          <w:rFonts w:ascii="Cambria" w:hAnsi="Cambria"/>
          <w:sz w:val="21"/>
          <w:szCs w:val="21"/>
        </w:rPr>
        <w:t xml:space="preserve">consultees </w:t>
      </w:r>
      <w:r w:rsidR="00CC5419" w:rsidRPr="004F3B68">
        <w:rPr>
          <w:rFonts w:ascii="Cambria" w:hAnsi="Cambria"/>
          <w:sz w:val="21"/>
          <w:szCs w:val="21"/>
        </w:rPr>
        <w:t xml:space="preserve">listed at </w:t>
      </w:r>
      <w:r w:rsidR="00AB5AC7" w:rsidRPr="004F3B68">
        <w:rPr>
          <w:rFonts w:ascii="Cambria" w:hAnsi="Cambria"/>
          <w:sz w:val="21"/>
          <w:szCs w:val="21"/>
        </w:rPr>
        <w:t xml:space="preserve">Attachment </w:t>
      </w:r>
      <w:r w:rsidR="0025705A" w:rsidRPr="004F3B68">
        <w:rPr>
          <w:rFonts w:ascii="Cambria" w:hAnsi="Cambria"/>
          <w:sz w:val="21"/>
          <w:szCs w:val="21"/>
        </w:rPr>
        <w:t>C</w:t>
      </w:r>
      <w:r w:rsidR="00CC5419" w:rsidRPr="00CB305F">
        <w:rPr>
          <w:rFonts w:ascii="Cambria" w:hAnsi="Cambria"/>
          <w:sz w:val="21"/>
          <w:szCs w:val="21"/>
        </w:rPr>
        <w:t>)</w:t>
      </w:r>
      <w:r w:rsidR="00FB6A59" w:rsidRPr="00CB305F">
        <w:rPr>
          <w:rFonts w:ascii="Cambria" w:hAnsi="Cambria"/>
          <w:sz w:val="21"/>
          <w:szCs w:val="21"/>
        </w:rPr>
        <w:t xml:space="preserve">; </w:t>
      </w:r>
      <w:r w:rsidR="00F23269">
        <w:rPr>
          <w:rFonts w:ascii="Cambria" w:hAnsi="Cambria"/>
          <w:sz w:val="21"/>
          <w:szCs w:val="21"/>
        </w:rPr>
        <w:t xml:space="preserve">b) </w:t>
      </w:r>
      <w:r w:rsidR="00FB6A59" w:rsidRPr="00CB305F">
        <w:rPr>
          <w:rFonts w:ascii="Cambria" w:hAnsi="Cambria"/>
          <w:sz w:val="21"/>
          <w:szCs w:val="21"/>
        </w:rPr>
        <w:t xml:space="preserve">observation of </w:t>
      </w:r>
      <w:r w:rsidR="00CC5419" w:rsidRPr="00CB305F">
        <w:rPr>
          <w:rFonts w:ascii="Cambria" w:hAnsi="Cambria"/>
          <w:sz w:val="21"/>
          <w:szCs w:val="21"/>
        </w:rPr>
        <w:t xml:space="preserve">strategy testing and Joint </w:t>
      </w:r>
      <w:r w:rsidR="003467A0" w:rsidRPr="00CB305F">
        <w:rPr>
          <w:rFonts w:ascii="Cambria" w:hAnsi="Cambria"/>
          <w:sz w:val="21"/>
          <w:szCs w:val="21"/>
        </w:rPr>
        <w:t>W</w:t>
      </w:r>
      <w:r w:rsidR="00CC5419" w:rsidRPr="00CB305F">
        <w:rPr>
          <w:rFonts w:ascii="Cambria" w:hAnsi="Cambria"/>
          <w:sz w:val="21"/>
          <w:szCs w:val="21"/>
        </w:rPr>
        <w:t>orking Group meeting</w:t>
      </w:r>
      <w:r w:rsidR="00FB6A59" w:rsidRPr="00CB305F">
        <w:rPr>
          <w:rFonts w:ascii="Cambria" w:hAnsi="Cambria"/>
          <w:sz w:val="21"/>
          <w:szCs w:val="21"/>
        </w:rPr>
        <w:t>s</w:t>
      </w:r>
      <w:r w:rsidR="0025705A">
        <w:rPr>
          <w:rFonts w:ascii="Cambria" w:hAnsi="Cambria"/>
          <w:sz w:val="21"/>
          <w:szCs w:val="21"/>
        </w:rPr>
        <w:t>; and</w:t>
      </w:r>
      <w:r w:rsidR="0025705A" w:rsidRPr="00CB305F">
        <w:rPr>
          <w:rFonts w:ascii="Cambria" w:hAnsi="Cambria"/>
          <w:sz w:val="21"/>
          <w:szCs w:val="21"/>
        </w:rPr>
        <w:t xml:space="preserve"> </w:t>
      </w:r>
      <w:r w:rsidR="00F23269">
        <w:rPr>
          <w:rFonts w:ascii="Cambria" w:hAnsi="Cambria"/>
          <w:sz w:val="21"/>
          <w:szCs w:val="21"/>
        </w:rPr>
        <w:t xml:space="preserve">c) </w:t>
      </w:r>
      <w:r w:rsidR="0025705A" w:rsidRPr="00CB305F">
        <w:rPr>
          <w:rFonts w:ascii="Cambria" w:hAnsi="Cambria"/>
          <w:sz w:val="21"/>
          <w:szCs w:val="21"/>
        </w:rPr>
        <w:t xml:space="preserve">a review of </w:t>
      </w:r>
      <w:r w:rsidR="0025705A">
        <w:rPr>
          <w:rFonts w:ascii="Cambria" w:hAnsi="Cambria"/>
          <w:sz w:val="21"/>
          <w:szCs w:val="21"/>
        </w:rPr>
        <w:t xml:space="preserve">relevant </w:t>
      </w:r>
      <w:r w:rsidR="0025705A" w:rsidRPr="00CB305F">
        <w:rPr>
          <w:rFonts w:ascii="Cambria" w:hAnsi="Cambria"/>
          <w:sz w:val="21"/>
          <w:szCs w:val="21"/>
        </w:rPr>
        <w:t>documents</w:t>
      </w:r>
      <w:r w:rsidR="001B7FA2">
        <w:rPr>
          <w:rFonts w:ascii="Cambria" w:hAnsi="Cambria"/>
          <w:sz w:val="21"/>
          <w:szCs w:val="21"/>
        </w:rPr>
        <w:t xml:space="preserve"> (see Attachment A)</w:t>
      </w:r>
      <w:r w:rsidR="00CC5419" w:rsidRPr="00CB305F">
        <w:rPr>
          <w:rFonts w:ascii="Cambria" w:hAnsi="Cambria"/>
          <w:sz w:val="21"/>
          <w:szCs w:val="21"/>
        </w:rPr>
        <w:t>.</w:t>
      </w:r>
      <w:r w:rsidR="004C1378">
        <w:rPr>
          <w:rFonts w:ascii="Cambria" w:hAnsi="Cambria"/>
          <w:sz w:val="21"/>
          <w:szCs w:val="21"/>
        </w:rPr>
        <w:t xml:space="preserve">  An assessment of performance against program outcomes </w:t>
      </w:r>
      <w:r w:rsidR="00F23269">
        <w:rPr>
          <w:rFonts w:ascii="Cambria" w:hAnsi="Cambria"/>
          <w:sz w:val="21"/>
          <w:szCs w:val="21"/>
        </w:rPr>
        <w:t xml:space="preserve">and evaluation questions </w:t>
      </w:r>
      <w:r w:rsidR="004C1378">
        <w:rPr>
          <w:rFonts w:ascii="Cambria" w:hAnsi="Cambria"/>
          <w:sz w:val="21"/>
          <w:szCs w:val="21"/>
        </w:rPr>
        <w:t xml:space="preserve">provides the central structure of the report. </w:t>
      </w:r>
    </w:p>
    <w:p w14:paraId="33B1A564" w14:textId="77777777" w:rsidR="004C1378" w:rsidRDefault="004C1378" w:rsidP="00163DB2">
      <w:pPr>
        <w:pStyle w:val="ListParagraph"/>
        <w:ind w:left="0" w:right="33"/>
        <w:jc w:val="both"/>
        <w:rPr>
          <w:rFonts w:ascii="Cambria" w:hAnsi="Cambria"/>
          <w:sz w:val="21"/>
          <w:szCs w:val="21"/>
        </w:rPr>
      </w:pPr>
    </w:p>
    <w:p w14:paraId="50439949" w14:textId="4A154DEE" w:rsidR="00AB5AC7" w:rsidRPr="00CB305F" w:rsidRDefault="00AB5AC7" w:rsidP="00163DB2">
      <w:pPr>
        <w:pStyle w:val="ListParagraph"/>
        <w:ind w:left="0" w:right="33"/>
        <w:jc w:val="both"/>
        <w:rPr>
          <w:rFonts w:ascii="Cambria" w:hAnsi="Cambria"/>
          <w:sz w:val="21"/>
          <w:szCs w:val="21"/>
        </w:rPr>
      </w:pPr>
      <w:r w:rsidRPr="00CB305F">
        <w:rPr>
          <w:rFonts w:ascii="Cambria" w:hAnsi="Cambria"/>
          <w:sz w:val="21"/>
          <w:szCs w:val="21"/>
        </w:rPr>
        <w:t>The Mid</w:t>
      </w:r>
      <w:r w:rsidR="00D86AA9">
        <w:rPr>
          <w:rFonts w:ascii="Cambria" w:hAnsi="Cambria"/>
          <w:sz w:val="21"/>
          <w:szCs w:val="21"/>
        </w:rPr>
        <w:t>-</w:t>
      </w:r>
      <w:r w:rsidRPr="00CB305F">
        <w:rPr>
          <w:rFonts w:ascii="Cambria" w:hAnsi="Cambria"/>
          <w:sz w:val="21"/>
          <w:szCs w:val="21"/>
        </w:rPr>
        <w:t>Term Evaluation was a short</w:t>
      </w:r>
      <w:r w:rsidR="001B7FA2">
        <w:rPr>
          <w:rFonts w:ascii="Cambria" w:hAnsi="Cambria"/>
          <w:sz w:val="21"/>
          <w:szCs w:val="21"/>
        </w:rPr>
        <w:t>-</w:t>
      </w:r>
      <w:r w:rsidRPr="00CB305F">
        <w:rPr>
          <w:rFonts w:ascii="Cambria" w:hAnsi="Cambria"/>
          <w:sz w:val="21"/>
          <w:szCs w:val="21"/>
        </w:rPr>
        <w:t xml:space="preserve">duration exercise of ten days in total.  </w:t>
      </w:r>
      <w:r w:rsidR="007A3FE0" w:rsidRPr="00CB305F">
        <w:rPr>
          <w:rFonts w:ascii="Cambria" w:hAnsi="Cambria"/>
          <w:sz w:val="21"/>
          <w:szCs w:val="21"/>
        </w:rPr>
        <w:t xml:space="preserve"> </w:t>
      </w:r>
      <w:r w:rsidRPr="00CB305F">
        <w:rPr>
          <w:rFonts w:ascii="Cambria" w:hAnsi="Cambria"/>
          <w:sz w:val="21"/>
          <w:szCs w:val="21"/>
        </w:rPr>
        <w:t xml:space="preserve">It was judged to be too early to speak with most counterparts, limiting external evidence essential to </w:t>
      </w:r>
      <w:r w:rsidR="004C1378">
        <w:rPr>
          <w:rFonts w:ascii="Cambria" w:hAnsi="Cambria"/>
          <w:sz w:val="21"/>
          <w:szCs w:val="21"/>
        </w:rPr>
        <w:t>triangulat</w:t>
      </w:r>
      <w:r w:rsidR="00242B09">
        <w:rPr>
          <w:rFonts w:ascii="Cambria" w:hAnsi="Cambria"/>
          <w:sz w:val="21"/>
          <w:szCs w:val="21"/>
        </w:rPr>
        <w:t>e</w:t>
      </w:r>
      <w:r w:rsidR="004C1378">
        <w:rPr>
          <w:rFonts w:ascii="Cambria" w:hAnsi="Cambria"/>
          <w:sz w:val="21"/>
          <w:szCs w:val="21"/>
        </w:rPr>
        <w:t xml:space="preserve"> conclusions and </w:t>
      </w:r>
      <w:r w:rsidRPr="00CB305F">
        <w:rPr>
          <w:rFonts w:ascii="Cambria" w:hAnsi="Cambria"/>
          <w:sz w:val="21"/>
          <w:szCs w:val="21"/>
        </w:rPr>
        <w:t>assess the program’s contribution to Australia’s reputation and bilateral relations.  In addition, in Malaysia’s case</w:t>
      </w:r>
      <w:r w:rsidR="00F23269">
        <w:rPr>
          <w:rFonts w:ascii="Cambria" w:hAnsi="Cambria"/>
          <w:sz w:val="21"/>
          <w:szCs w:val="21"/>
        </w:rPr>
        <w:t>,</w:t>
      </w:r>
      <w:r w:rsidRPr="00CB305F">
        <w:rPr>
          <w:rFonts w:ascii="Cambria" w:hAnsi="Cambria"/>
          <w:sz w:val="21"/>
          <w:szCs w:val="21"/>
        </w:rPr>
        <w:t xml:space="preserve"> the program got off to a slower start and consequently there is less hard evidence on which to base conclusions.  The evidence base is expected to be much stronger during the end of program evaluation to be conducted mid 2022.  </w:t>
      </w:r>
    </w:p>
    <w:p w14:paraId="4773E214" w14:textId="32220A2E" w:rsidR="007A7975" w:rsidRPr="003A7E53" w:rsidRDefault="004C1378" w:rsidP="00163DB2">
      <w:pPr>
        <w:pStyle w:val="Heading2"/>
        <w:ind w:right="33"/>
        <w:rPr>
          <w:b/>
          <w:bCs/>
          <w:sz w:val="28"/>
          <w:szCs w:val="28"/>
        </w:rPr>
      </w:pPr>
      <w:r>
        <w:rPr>
          <w:b/>
          <w:bCs/>
          <w:sz w:val="28"/>
          <w:szCs w:val="28"/>
        </w:rPr>
        <w:lastRenderedPageBreak/>
        <w:t xml:space="preserve">Unique </w:t>
      </w:r>
      <w:r w:rsidR="005D1C61">
        <w:rPr>
          <w:b/>
          <w:bCs/>
          <w:sz w:val="28"/>
          <w:szCs w:val="28"/>
        </w:rPr>
        <w:t xml:space="preserve">MTRP </w:t>
      </w:r>
      <w:r>
        <w:rPr>
          <w:b/>
          <w:bCs/>
          <w:sz w:val="28"/>
          <w:szCs w:val="28"/>
        </w:rPr>
        <w:t xml:space="preserve">features </w:t>
      </w:r>
      <w:r w:rsidR="004F6462">
        <w:rPr>
          <w:b/>
          <w:bCs/>
          <w:sz w:val="28"/>
          <w:szCs w:val="28"/>
        </w:rPr>
        <w:t>– and risks</w:t>
      </w:r>
      <w:r w:rsidR="005D1C61">
        <w:rPr>
          <w:b/>
          <w:bCs/>
          <w:sz w:val="28"/>
          <w:szCs w:val="28"/>
        </w:rPr>
        <w:t>: T</w:t>
      </w:r>
      <w:r w:rsidR="00F23269">
        <w:rPr>
          <w:b/>
          <w:bCs/>
          <w:sz w:val="28"/>
          <w:szCs w:val="28"/>
        </w:rPr>
        <w:t xml:space="preserve">he challenge of shifting </w:t>
      </w:r>
      <w:r w:rsidR="00ED713E">
        <w:rPr>
          <w:b/>
          <w:bCs/>
          <w:sz w:val="28"/>
          <w:szCs w:val="28"/>
        </w:rPr>
        <w:t>goal posts</w:t>
      </w:r>
    </w:p>
    <w:p w14:paraId="414FB404" w14:textId="212F44E9" w:rsidR="007B5C0D" w:rsidRDefault="00A80F70" w:rsidP="00163DB2">
      <w:pPr>
        <w:ind w:right="33"/>
        <w:jc w:val="both"/>
        <w:rPr>
          <w:rFonts w:ascii="Cambria" w:hAnsi="Cambria"/>
          <w:sz w:val="21"/>
          <w:szCs w:val="21"/>
        </w:rPr>
      </w:pPr>
      <w:r w:rsidRPr="00CB305F">
        <w:rPr>
          <w:rFonts w:ascii="Cambria" w:hAnsi="Cambria"/>
          <w:sz w:val="21"/>
          <w:szCs w:val="21"/>
        </w:rPr>
        <w:t>MTRP does not work on an inputs/outputs model</w:t>
      </w:r>
      <w:r w:rsidR="002C0D76">
        <w:rPr>
          <w:rFonts w:ascii="Cambria" w:hAnsi="Cambria"/>
          <w:sz w:val="21"/>
          <w:szCs w:val="21"/>
        </w:rPr>
        <w:t xml:space="preserve">.  </w:t>
      </w:r>
      <w:r w:rsidRPr="00CB305F">
        <w:rPr>
          <w:rFonts w:ascii="Cambria" w:hAnsi="Cambria"/>
          <w:sz w:val="21"/>
          <w:szCs w:val="21"/>
        </w:rPr>
        <w:t xml:space="preserve">It is an exploratory program where DFAT is hoping to buy better outcomes </w:t>
      </w:r>
      <w:r w:rsidR="00163DB2">
        <w:rPr>
          <w:rFonts w:ascii="Cambria" w:hAnsi="Cambria"/>
          <w:sz w:val="21"/>
          <w:szCs w:val="21"/>
        </w:rPr>
        <w:t xml:space="preserve">than </w:t>
      </w:r>
      <w:r w:rsidR="00D86AA9">
        <w:rPr>
          <w:rFonts w:ascii="Cambria" w:hAnsi="Cambria"/>
          <w:sz w:val="21"/>
          <w:szCs w:val="21"/>
        </w:rPr>
        <w:t xml:space="preserve">it could </w:t>
      </w:r>
      <w:r w:rsidR="00D70AC6">
        <w:rPr>
          <w:rFonts w:ascii="Cambria" w:hAnsi="Cambria"/>
          <w:sz w:val="21"/>
          <w:szCs w:val="21"/>
        </w:rPr>
        <w:t>through a more conventional approach</w:t>
      </w:r>
      <w:r w:rsidR="00D86AA9">
        <w:rPr>
          <w:rFonts w:ascii="Cambria" w:hAnsi="Cambria"/>
          <w:sz w:val="21"/>
          <w:szCs w:val="21"/>
        </w:rPr>
        <w:t>.  T</w:t>
      </w:r>
      <w:r w:rsidRPr="00CB305F">
        <w:rPr>
          <w:rFonts w:ascii="Cambria" w:hAnsi="Cambria"/>
          <w:sz w:val="21"/>
          <w:szCs w:val="21"/>
        </w:rPr>
        <w:t xml:space="preserve">he trade-off </w:t>
      </w:r>
      <w:r w:rsidR="00D86AA9">
        <w:rPr>
          <w:rFonts w:ascii="Cambria" w:hAnsi="Cambria"/>
          <w:sz w:val="21"/>
          <w:szCs w:val="21"/>
        </w:rPr>
        <w:t xml:space="preserve">is </w:t>
      </w:r>
      <w:r w:rsidRPr="00CB305F">
        <w:rPr>
          <w:rFonts w:ascii="Cambria" w:hAnsi="Cambria"/>
          <w:sz w:val="21"/>
          <w:szCs w:val="21"/>
        </w:rPr>
        <w:t xml:space="preserve">that it can’t be sure exactly what these will be at the outset.  This is a pro-innovation, pro-entrepreneurial approach, but carries risks that must be explicitly managed. </w:t>
      </w:r>
      <w:r w:rsidR="007B5C0D">
        <w:rPr>
          <w:rFonts w:ascii="Cambria" w:hAnsi="Cambria"/>
          <w:sz w:val="21"/>
          <w:szCs w:val="21"/>
        </w:rPr>
        <w:t xml:space="preserve">  For the evaluation, assessment of the program is complicated by the fact that the outcomes being sought are themselves in flux.  What then constitutes success?</w:t>
      </w:r>
    </w:p>
    <w:p w14:paraId="13F361B1" w14:textId="77777777" w:rsidR="00A80F70" w:rsidRPr="00CB305F" w:rsidRDefault="00A80F70" w:rsidP="00163DB2">
      <w:pPr>
        <w:ind w:right="33"/>
        <w:jc w:val="both"/>
        <w:rPr>
          <w:rFonts w:ascii="Cambria" w:hAnsi="Cambria"/>
          <w:sz w:val="21"/>
          <w:szCs w:val="21"/>
        </w:rPr>
      </w:pPr>
    </w:p>
    <w:p w14:paraId="5D10AFA6" w14:textId="63363F12" w:rsidR="007B5C0D" w:rsidRDefault="0030774A" w:rsidP="00163DB2">
      <w:pPr>
        <w:ind w:right="33"/>
        <w:jc w:val="both"/>
        <w:rPr>
          <w:rFonts w:ascii="Cambria" w:hAnsi="Cambria"/>
          <w:sz w:val="21"/>
          <w:szCs w:val="21"/>
        </w:rPr>
      </w:pPr>
      <w:r>
        <w:rPr>
          <w:rFonts w:ascii="Cambria" w:hAnsi="Cambria"/>
          <w:sz w:val="21"/>
          <w:szCs w:val="21"/>
        </w:rPr>
        <w:t>A</w:t>
      </w:r>
      <w:r w:rsidRPr="0030774A">
        <w:rPr>
          <w:rFonts w:ascii="Cambria" w:hAnsi="Cambria"/>
          <w:sz w:val="21"/>
          <w:szCs w:val="21"/>
        </w:rPr>
        <w:t>chieving ‘meaningful progress’ on priority reforms is the keystone of the program</w:t>
      </w:r>
      <w:r w:rsidR="00622910">
        <w:rPr>
          <w:rFonts w:ascii="Cambria" w:hAnsi="Cambria"/>
          <w:sz w:val="21"/>
          <w:szCs w:val="21"/>
        </w:rPr>
        <w:t>, but</w:t>
      </w:r>
      <w:r w:rsidRPr="0030774A">
        <w:rPr>
          <w:rFonts w:ascii="Cambria" w:hAnsi="Cambria"/>
          <w:sz w:val="21"/>
          <w:szCs w:val="21"/>
        </w:rPr>
        <w:t xml:space="preserve"> involves creative ambiguity</w:t>
      </w:r>
      <w:r w:rsidR="00622910">
        <w:rPr>
          <w:rFonts w:ascii="Cambria" w:hAnsi="Cambria"/>
          <w:sz w:val="21"/>
          <w:szCs w:val="21"/>
        </w:rPr>
        <w:t xml:space="preserve"> </w:t>
      </w:r>
      <w:r w:rsidR="00CB6488">
        <w:rPr>
          <w:rFonts w:ascii="Cambria" w:hAnsi="Cambria"/>
          <w:sz w:val="21"/>
          <w:szCs w:val="21"/>
        </w:rPr>
        <w:t>that</w:t>
      </w:r>
      <w:r w:rsidRPr="0030774A">
        <w:rPr>
          <w:rFonts w:ascii="Cambria" w:hAnsi="Cambria"/>
          <w:sz w:val="21"/>
          <w:szCs w:val="21"/>
        </w:rPr>
        <w:t xml:space="preserve"> </w:t>
      </w:r>
      <w:r w:rsidR="007B5C0D">
        <w:rPr>
          <w:rFonts w:ascii="Cambria" w:hAnsi="Cambria"/>
          <w:sz w:val="21"/>
          <w:szCs w:val="21"/>
        </w:rPr>
        <w:t>requires</w:t>
      </w:r>
      <w:r w:rsidRPr="0030774A">
        <w:rPr>
          <w:rFonts w:ascii="Cambria" w:hAnsi="Cambria"/>
          <w:sz w:val="21"/>
          <w:szCs w:val="21"/>
        </w:rPr>
        <w:t xml:space="preserve"> sharpening the focus over time</w:t>
      </w:r>
      <w:r w:rsidR="00CB6488">
        <w:rPr>
          <w:rFonts w:ascii="Cambria" w:hAnsi="Cambria"/>
          <w:sz w:val="21"/>
          <w:szCs w:val="21"/>
        </w:rPr>
        <w:t xml:space="preserve">.  </w:t>
      </w:r>
      <w:r w:rsidR="007544DA">
        <w:rPr>
          <w:rFonts w:ascii="Cambria" w:hAnsi="Cambria"/>
          <w:sz w:val="21"/>
          <w:szCs w:val="21"/>
        </w:rPr>
        <w:t xml:space="preserve">Both </w:t>
      </w:r>
      <w:r w:rsidRPr="0030774A">
        <w:rPr>
          <w:rFonts w:ascii="Cambria" w:hAnsi="Cambria"/>
          <w:sz w:val="21"/>
          <w:szCs w:val="21"/>
        </w:rPr>
        <w:t xml:space="preserve">intermediate and ultimate outcomes </w:t>
      </w:r>
      <w:r w:rsidR="007544DA">
        <w:rPr>
          <w:rFonts w:ascii="Cambria" w:hAnsi="Cambria"/>
          <w:sz w:val="21"/>
          <w:szCs w:val="21"/>
        </w:rPr>
        <w:t xml:space="preserve">need to be </w:t>
      </w:r>
      <w:r w:rsidRPr="0030774A">
        <w:rPr>
          <w:rFonts w:ascii="Cambria" w:hAnsi="Cambria"/>
          <w:sz w:val="21"/>
          <w:szCs w:val="21"/>
        </w:rPr>
        <w:t xml:space="preserve">progressively tightened so that there is growing confidence that they are both achievable and represent good value for money.   </w:t>
      </w:r>
      <w:r w:rsidR="007B5C0D" w:rsidRPr="00CB305F">
        <w:rPr>
          <w:rFonts w:ascii="Cambria" w:hAnsi="Cambria"/>
          <w:sz w:val="21"/>
          <w:szCs w:val="21"/>
        </w:rPr>
        <w:t>TAF has evolved a common-sense approach to</w:t>
      </w:r>
      <w:r w:rsidR="007B5C0D">
        <w:rPr>
          <w:rFonts w:ascii="Cambria" w:hAnsi="Cambria"/>
          <w:sz w:val="21"/>
          <w:szCs w:val="21"/>
        </w:rPr>
        <w:t xml:space="preserve"> this.  It s</w:t>
      </w:r>
      <w:r w:rsidR="007B5C0D" w:rsidRPr="00CB305F">
        <w:rPr>
          <w:rFonts w:ascii="Cambria" w:hAnsi="Cambria"/>
          <w:sz w:val="21"/>
          <w:szCs w:val="21"/>
        </w:rPr>
        <w:t>et</w:t>
      </w:r>
      <w:r w:rsidR="007B5C0D">
        <w:rPr>
          <w:rFonts w:ascii="Cambria" w:hAnsi="Cambria"/>
          <w:sz w:val="21"/>
          <w:szCs w:val="21"/>
        </w:rPr>
        <w:t xml:space="preserve">s </w:t>
      </w:r>
      <w:r w:rsidR="007B5C0D" w:rsidRPr="00CB305F">
        <w:rPr>
          <w:rFonts w:ascii="Cambria" w:hAnsi="Cambria"/>
          <w:sz w:val="21"/>
          <w:szCs w:val="21"/>
        </w:rPr>
        <w:t>out its program logic at the beginning and regularly test</w:t>
      </w:r>
      <w:r w:rsidR="007B5C0D">
        <w:rPr>
          <w:rFonts w:ascii="Cambria" w:hAnsi="Cambria"/>
          <w:sz w:val="21"/>
          <w:szCs w:val="21"/>
        </w:rPr>
        <w:t>s</w:t>
      </w:r>
      <w:r w:rsidR="007B5C0D" w:rsidRPr="00CB305F">
        <w:rPr>
          <w:rFonts w:ascii="Cambria" w:hAnsi="Cambria"/>
          <w:sz w:val="21"/>
          <w:szCs w:val="21"/>
        </w:rPr>
        <w:t xml:space="preserve"> it, making continuous adaptive changes that are transparent and agreed.  This ‘strategy testing’ process ought to share the risks and the decision making</w:t>
      </w:r>
      <w:r w:rsidR="007B5C0D">
        <w:rPr>
          <w:rStyle w:val="EndnoteReference"/>
          <w:rFonts w:ascii="Cambria" w:hAnsi="Cambria"/>
          <w:sz w:val="21"/>
          <w:szCs w:val="21"/>
        </w:rPr>
        <w:endnoteReference w:id="6"/>
      </w:r>
      <w:r w:rsidR="007B5C0D" w:rsidRPr="00CB305F">
        <w:rPr>
          <w:rFonts w:ascii="Cambria" w:hAnsi="Cambria"/>
          <w:sz w:val="21"/>
          <w:szCs w:val="21"/>
        </w:rPr>
        <w:t>.   At the end, whether there</w:t>
      </w:r>
      <w:r w:rsidR="007B5C0D">
        <w:rPr>
          <w:rFonts w:ascii="Cambria" w:hAnsi="Cambria"/>
          <w:sz w:val="21"/>
          <w:szCs w:val="21"/>
        </w:rPr>
        <w:t xml:space="preserve"> i</w:t>
      </w:r>
      <w:r w:rsidR="007B5C0D" w:rsidRPr="00CB305F">
        <w:rPr>
          <w:rFonts w:ascii="Cambria" w:hAnsi="Cambria"/>
          <w:sz w:val="21"/>
          <w:szCs w:val="21"/>
        </w:rPr>
        <w:t xml:space="preserve">s success or failure, partners should have established a ‘block-chain’ style ledger of what </w:t>
      </w:r>
      <w:r w:rsidR="007B5C0D">
        <w:rPr>
          <w:rFonts w:ascii="Cambria" w:hAnsi="Cambria"/>
          <w:sz w:val="21"/>
          <w:szCs w:val="21"/>
        </w:rPr>
        <w:t xml:space="preserve">was done </w:t>
      </w:r>
      <w:r w:rsidR="007B5C0D" w:rsidRPr="00CB305F">
        <w:rPr>
          <w:rFonts w:ascii="Cambria" w:hAnsi="Cambria"/>
          <w:sz w:val="21"/>
          <w:szCs w:val="21"/>
        </w:rPr>
        <w:t xml:space="preserve">and why.  </w:t>
      </w:r>
      <w:r w:rsidR="007B5C0D">
        <w:rPr>
          <w:rFonts w:ascii="Cambria" w:hAnsi="Cambria"/>
          <w:sz w:val="21"/>
          <w:szCs w:val="21"/>
        </w:rPr>
        <w:t>S</w:t>
      </w:r>
      <w:r w:rsidR="007B5C0D" w:rsidRPr="00CB305F">
        <w:rPr>
          <w:rFonts w:ascii="Cambria" w:hAnsi="Cambria"/>
          <w:sz w:val="21"/>
          <w:szCs w:val="21"/>
        </w:rPr>
        <w:t xml:space="preserve">trategy testing allows for progressively greater clarity about what will be delivered. </w:t>
      </w:r>
      <w:r w:rsidR="007B5C0D">
        <w:rPr>
          <w:rFonts w:ascii="Cambria" w:hAnsi="Cambria"/>
          <w:sz w:val="21"/>
          <w:szCs w:val="21"/>
        </w:rPr>
        <w:t xml:space="preserve"> It is a sound platform for managing these issues successfully, but much swings on its rigor. </w:t>
      </w:r>
    </w:p>
    <w:p w14:paraId="4FEFBD56" w14:textId="77777777" w:rsidR="007E309D" w:rsidRDefault="007E309D" w:rsidP="00163DB2">
      <w:pPr>
        <w:ind w:right="33"/>
        <w:jc w:val="both"/>
        <w:rPr>
          <w:rFonts w:ascii="Cambria" w:hAnsi="Cambria"/>
          <w:sz w:val="21"/>
          <w:szCs w:val="21"/>
        </w:rPr>
      </w:pPr>
    </w:p>
    <w:p w14:paraId="5B4A5702" w14:textId="79AE1778" w:rsidR="00C119BC" w:rsidRDefault="007E309D" w:rsidP="00163DB2">
      <w:pPr>
        <w:ind w:right="33"/>
        <w:jc w:val="both"/>
        <w:rPr>
          <w:rFonts w:ascii="Cambria" w:hAnsi="Cambria"/>
          <w:sz w:val="21"/>
          <w:szCs w:val="21"/>
        </w:rPr>
      </w:pPr>
      <w:r w:rsidRPr="00CB305F">
        <w:rPr>
          <w:rFonts w:ascii="Cambria" w:hAnsi="Cambria"/>
          <w:sz w:val="21"/>
          <w:szCs w:val="21"/>
        </w:rPr>
        <w:t xml:space="preserve">The evaluation </w:t>
      </w:r>
      <w:r>
        <w:rPr>
          <w:rFonts w:ascii="Cambria" w:hAnsi="Cambria"/>
          <w:sz w:val="21"/>
          <w:szCs w:val="21"/>
        </w:rPr>
        <w:t xml:space="preserve">has benchmarked initiatives against their current objectives, but </w:t>
      </w:r>
      <w:r w:rsidRPr="00CB305F">
        <w:rPr>
          <w:rFonts w:ascii="Cambria" w:hAnsi="Cambria"/>
          <w:sz w:val="21"/>
          <w:szCs w:val="21"/>
        </w:rPr>
        <w:t xml:space="preserve">sees the </w:t>
      </w:r>
      <w:r>
        <w:rPr>
          <w:rFonts w:ascii="Cambria" w:hAnsi="Cambria"/>
          <w:sz w:val="21"/>
          <w:szCs w:val="21"/>
        </w:rPr>
        <w:t>need for</w:t>
      </w:r>
      <w:r w:rsidRPr="00CB305F">
        <w:rPr>
          <w:rFonts w:ascii="Cambria" w:hAnsi="Cambria"/>
          <w:sz w:val="21"/>
          <w:szCs w:val="21"/>
        </w:rPr>
        <w:t xml:space="preserve"> more rigorou</w:t>
      </w:r>
      <w:r>
        <w:rPr>
          <w:rFonts w:ascii="Cambria" w:hAnsi="Cambria"/>
          <w:sz w:val="21"/>
          <w:szCs w:val="21"/>
        </w:rPr>
        <w:t>s</w:t>
      </w:r>
      <w:r w:rsidRPr="00CB305F">
        <w:rPr>
          <w:rFonts w:ascii="Cambria" w:hAnsi="Cambria"/>
          <w:sz w:val="21"/>
          <w:szCs w:val="21"/>
        </w:rPr>
        <w:t xml:space="preserve"> retest</w:t>
      </w:r>
      <w:r>
        <w:rPr>
          <w:rFonts w:ascii="Cambria" w:hAnsi="Cambria"/>
          <w:sz w:val="21"/>
          <w:szCs w:val="21"/>
        </w:rPr>
        <w:t xml:space="preserve">ing of </w:t>
      </w:r>
      <w:r w:rsidRPr="00CB305F">
        <w:rPr>
          <w:rFonts w:ascii="Cambria" w:hAnsi="Cambria"/>
          <w:sz w:val="21"/>
          <w:szCs w:val="21"/>
        </w:rPr>
        <w:t>objectives</w:t>
      </w:r>
      <w:r>
        <w:rPr>
          <w:rFonts w:ascii="Cambria" w:hAnsi="Cambria"/>
          <w:sz w:val="21"/>
          <w:szCs w:val="21"/>
        </w:rPr>
        <w:t xml:space="preserve"> and</w:t>
      </w:r>
      <w:r w:rsidRPr="00CB305F">
        <w:rPr>
          <w:rFonts w:ascii="Cambria" w:hAnsi="Cambria"/>
          <w:sz w:val="21"/>
          <w:szCs w:val="21"/>
        </w:rPr>
        <w:t xml:space="preserve"> outcomes a</w:t>
      </w:r>
      <w:r>
        <w:rPr>
          <w:rFonts w:ascii="Cambria" w:hAnsi="Cambria"/>
          <w:sz w:val="21"/>
          <w:szCs w:val="21"/>
        </w:rPr>
        <w:t>s part of the</w:t>
      </w:r>
      <w:r w:rsidRPr="00CB305F">
        <w:rPr>
          <w:rFonts w:ascii="Cambria" w:hAnsi="Cambria"/>
          <w:sz w:val="21"/>
          <w:szCs w:val="21"/>
        </w:rPr>
        <w:t xml:space="preserve"> strateg</w:t>
      </w:r>
      <w:r>
        <w:rPr>
          <w:rFonts w:ascii="Cambria" w:hAnsi="Cambria"/>
          <w:sz w:val="21"/>
          <w:szCs w:val="21"/>
        </w:rPr>
        <w:t xml:space="preserve">y testing process.  </w:t>
      </w:r>
      <w:r w:rsidR="00C119BC" w:rsidRPr="00CB305F">
        <w:rPr>
          <w:rFonts w:ascii="Cambria" w:hAnsi="Cambria"/>
          <w:sz w:val="21"/>
          <w:szCs w:val="21"/>
        </w:rPr>
        <w:t>Currently there is</w:t>
      </w:r>
      <w:r>
        <w:rPr>
          <w:rFonts w:ascii="Cambria" w:hAnsi="Cambria"/>
          <w:sz w:val="21"/>
          <w:szCs w:val="21"/>
        </w:rPr>
        <w:t xml:space="preserve"> </w:t>
      </w:r>
      <w:r w:rsidR="00C119BC" w:rsidRPr="00CB305F">
        <w:rPr>
          <w:rFonts w:ascii="Cambria" w:hAnsi="Cambria"/>
          <w:sz w:val="21"/>
          <w:szCs w:val="21"/>
        </w:rPr>
        <w:t>considerable</w:t>
      </w:r>
      <w:r>
        <w:rPr>
          <w:rFonts w:ascii="Cambria" w:hAnsi="Cambria"/>
          <w:sz w:val="21"/>
          <w:szCs w:val="21"/>
        </w:rPr>
        <w:t xml:space="preserve"> </w:t>
      </w:r>
      <w:r w:rsidR="00C119BC" w:rsidRPr="00CB305F">
        <w:rPr>
          <w:rFonts w:ascii="Cambria" w:hAnsi="Cambria"/>
          <w:sz w:val="21"/>
          <w:szCs w:val="21"/>
        </w:rPr>
        <w:t>disparity in the level of ambition set for different initiatives</w:t>
      </w:r>
      <w:r w:rsidR="00F23269">
        <w:rPr>
          <w:rFonts w:ascii="Cambria" w:hAnsi="Cambria"/>
          <w:sz w:val="21"/>
          <w:szCs w:val="21"/>
        </w:rPr>
        <w:t xml:space="preserve"> </w:t>
      </w:r>
      <w:r w:rsidR="007B5C0D">
        <w:rPr>
          <w:rFonts w:ascii="Cambria" w:hAnsi="Cambria"/>
          <w:sz w:val="21"/>
          <w:szCs w:val="21"/>
        </w:rPr>
        <w:t xml:space="preserve">that is </w:t>
      </w:r>
      <w:r w:rsidR="00F05491">
        <w:rPr>
          <w:rFonts w:ascii="Cambria" w:hAnsi="Cambria"/>
          <w:sz w:val="21"/>
          <w:szCs w:val="21"/>
        </w:rPr>
        <w:t xml:space="preserve">not clearly </w:t>
      </w:r>
      <w:r w:rsidR="00F23269">
        <w:rPr>
          <w:rFonts w:ascii="Cambria" w:hAnsi="Cambria"/>
          <w:sz w:val="21"/>
          <w:szCs w:val="21"/>
        </w:rPr>
        <w:t xml:space="preserve">related to contextual factors.  </w:t>
      </w:r>
      <w:r w:rsidR="00F05491">
        <w:rPr>
          <w:rFonts w:ascii="Cambria" w:hAnsi="Cambria"/>
          <w:sz w:val="21"/>
          <w:szCs w:val="21"/>
        </w:rPr>
        <w:t>Goals range from the</w:t>
      </w:r>
      <w:r w:rsidR="00F05491" w:rsidRPr="00CB305F">
        <w:rPr>
          <w:rFonts w:ascii="Cambria" w:hAnsi="Cambria"/>
          <w:sz w:val="21"/>
          <w:szCs w:val="21"/>
        </w:rPr>
        <w:t xml:space="preserve"> modest </w:t>
      </w:r>
      <w:r w:rsidR="00F05491">
        <w:rPr>
          <w:rFonts w:ascii="Cambria" w:hAnsi="Cambria"/>
          <w:sz w:val="21"/>
          <w:szCs w:val="21"/>
        </w:rPr>
        <w:t>objective</w:t>
      </w:r>
      <w:r w:rsidR="00F05491" w:rsidRPr="00CB305F">
        <w:rPr>
          <w:rFonts w:ascii="Cambria" w:hAnsi="Cambria"/>
          <w:sz w:val="21"/>
          <w:szCs w:val="21"/>
        </w:rPr>
        <w:t xml:space="preserve"> of developing a new policy in one area, through ‘catalysing reforms and new forms of cooperation’ in another, to the very ambitious goal of firmly establishing a new institution in a highly contested space within two years.  </w:t>
      </w:r>
      <w:r w:rsidR="00F05491">
        <w:rPr>
          <w:rFonts w:ascii="Cambria" w:hAnsi="Cambria"/>
          <w:sz w:val="21"/>
          <w:szCs w:val="21"/>
        </w:rPr>
        <w:t>I</w:t>
      </w:r>
      <w:r w:rsidR="00F05491" w:rsidRPr="00CB305F">
        <w:rPr>
          <w:rFonts w:ascii="Cambria" w:hAnsi="Cambria"/>
          <w:sz w:val="21"/>
          <w:szCs w:val="21"/>
        </w:rPr>
        <w:t>ntermediate o</w:t>
      </w:r>
      <w:r w:rsidR="00F05491">
        <w:rPr>
          <w:rFonts w:ascii="Cambria" w:hAnsi="Cambria"/>
          <w:sz w:val="21"/>
          <w:szCs w:val="21"/>
        </w:rPr>
        <w:t>utcomes</w:t>
      </w:r>
      <w:r w:rsidR="00F05491" w:rsidRPr="00CB305F">
        <w:rPr>
          <w:rFonts w:ascii="Cambria" w:hAnsi="Cambria"/>
          <w:sz w:val="21"/>
          <w:szCs w:val="21"/>
        </w:rPr>
        <w:t xml:space="preserve"> are </w:t>
      </w:r>
      <w:r w:rsidR="00F05491">
        <w:rPr>
          <w:rFonts w:ascii="Cambria" w:hAnsi="Cambria"/>
          <w:sz w:val="21"/>
          <w:szCs w:val="21"/>
        </w:rPr>
        <w:t xml:space="preserve">also </w:t>
      </w:r>
      <w:r w:rsidR="00DC3F81">
        <w:rPr>
          <w:rFonts w:ascii="Cambria" w:hAnsi="Cambria"/>
          <w:sz w:val="21"/>
          <w:szCs w:val="21"/>
        </w:rPr>
        <w:t xml:space="preserve">highly </w:t>
      </w:r>
      <w:r w:rsidR="00F05491" w:rsidRPr="00CB305F">
        <w:rPr>
          <w:rFonts w:ascii="Cambria" w:hAnsi="Cambria"/>
          <w:sz w:val="21"/>
          <w:szCs w:val="21"/>
        </w:rPr>
        <w:t xml:space="preserve">variable, </w:t>
      </w:r>
      <w:r w:rsidR="00F05491">
        <w:rPr>
          <w:rFonts w:ascii="Cambria" w:hAnsi="Cambria"/>
          <w:sz w:val="21"/>
          <w:szCs w:val="21"/>
        </w:rPr>
        <w:t xml:space="preserve">with </w:t>
      </w:r>
      <w:r w:rsidR="00F05491" w:rsidRPr="00CB305F">
        <w:rPr>
          <w:rFonts w:ascii="Cambria" w:hAnsi="Cambria"/>
          <w:sz w:val="21"/>
          <w:szCs w:val="21"/>
        </w:rPr>
        <w:t xml:space="preserve">many being </w:t>
      </w:r>
      <w:r w:rsidR="00A3765C">
        <w:rPr>
          <w:rFonts w:ascii="Cambria" w:hAnsi="Cambria"/>
          <w:sz w:val="21"/>
          <w:szCs w:val="21"/>
        </w:rPr>
        <w:t xml:space="preserve">indistinct, </w:t>
      </w:r>
      <w:r w:rsidR="00F05491" w:rsidRPr="00CB305F">
        <w:rPr>
          <w:rFonts w:ascii="Cambria" w:hAnsi="Cambria"/>
          <w:sz w:val="21"/>
          <w:szCs w:val="21"/>
        </w:rPr>
        <w:t xml:space="preserve">procedural outputs. </w:t>
      </w:r>
      <w:r>
        <w:rPr>
          <w:rFonts w:ascii="Cambria" w:hAnsi="Cambria"/>
          <w:sz w:val="21"/>
          <w:szCs w:val="21"/>
        </w:rPr>
        <w:t xml:space="preserve"> At the program’s half way point, the evaluation would have expected somewhat tighter definition of outcomes, with levels of ambition </w:t>
      </w:r>
      <w:r w:rsidR="00A3765C">
        <w:rPr>
          <w:rFonts w:ascii="Cambria" w:hAnsi="Cambria"/>
          <w:sz w:val="21"/>
          <w:szCs w:val="21"/>
        </w:rPr>
        <w:t xml:space="preserve">more </w:t>
      </w:r>
      <w:r>
        <w:rPr>
          <w:rFonts w:ascii="Cambria" w:hAnsi="Cambria"/>
          <w:sz w:val="21"/>
          <w:szCs w:val="21"/>
        </w:rPr>
        <w:t xml:space="preserve">clearly related to underlying analysis. </w:t>
      </w:r>
      <w:r w:rsidR="00CB6488">
        <w:rPr>
          <w:rFonts w:ascii="Cambria" w:hAnsi="Cambria"/>
          <w:sz w:val="21"/>
          <w:szCs w:val="21"/>
        </w:rPr>
        <w:t xml:space="preserve"> </w:t>
      </w:r>
      <w:r>
        <w:rPr>
          <w:rFonts w:ascii="Cambria" w:hAnsi="Cambria"/>
          <w:sz w:val="21"/>
          <w:szCs w:val="21"/>
        </w:rPr>
        <w:t xml:space="preserve">This is achievable if the strategy testing process is </w:t>
      </w:r>
      <w:r w:rsidR="00A3765C">
        <w:rPr>
          <w:rFonts w:ascii="Cambria" w:hAnsi="Cambria"/>
          <w:sz w:val="21"/>
          <w:szCs w:val="21"/>
        </w:rPr>
        <w:t xml:space="preserve">further strengthened and applied thoroughly by all parties.  Some proposals are  set out on page </w:t>
      </w:r>
      <w:r w:rsidR="00C838DC">
        <w:rPr>
          <w:rFonts w:ascii="Cambria" w:hAnsi="Cambria"/>
          <w:sz w:val="21"/>
          <w:szCs w:val="21"/>
        </w:rPr>
        <w:t>8</w:t>
      </w:r>
      <w:r w:rsidR="00A3765C">
        <w:rPr>
          <w:rFonts w:ascii="Cambria" w:hAnsi="Cambria"/>
          <w:sz w:val="21"/>
          <w:szCs w:val="21"/>
        </w:rPr>
        <w:t>.</w:t>
      </w:r>
      <w:r>
        <w:rPr>
          <w:rFonts w:ascii="Cambria" w:hAnsi="Cambria"/>
          <w:sz w:val="21"/>
          <w:szCs w:val="21"/>
        </w:rPr>
        <w:t xml:space="preserve"> </w:t>
      </w:r>
    </w:p>
    <w:p w14:paraId="04036E33" w14:textId="77777777" w:rsidR="007E309D" w:rsidRPr="00C119BC" w:rsidRDefault="007E309D" w:rsidP="00163DB2">
      <w:pPr>
        <w:ind w:right="33"/>
        <w:jc w:val="both"/>
        <w:rPr>
          <w:rFonts w:ascii="Cambria" w:hAnsi="Cambria"/>
          <w:sz w:val="21"/>
          <w:szCs w:val="21"/>
        </w:rPr>
      </w:pPr>
    </w:p>
    <w:p w14:paraId="30182F1F" w14:textId="1F969BB8" w:rsidR="00A97095" w:rsidRDefault="00A97095" w:rsidP="00163DB2">
      <w:pPr>
        <w:pStyle w:val="Heading2"/>
        <w:ind w:right="33"/>
        <w:jc w:val="both"/>
        <w:rPr>
          <w:b/>
          <w:bCs/>
          <w:sz w:val="28"/>
          <w:szCs w:val="28"/>
        </w:rPr>
      </w:pPr>
      <w:r>
        <w:rPr>
          <w:b/>
          <w:bCs/>
          <w:sz w:val="28"/>
          <w:szCs w:val="28"/>
        </w:rPr>
        <w:t xml:space="preserve">Evaluation </w:t>
      </w:r>
      <w:r w:rsidR="00A90F20">
        <w:rPr>
          <w:b/>
          <w:bCs/>
          <w:sz w:val="28"/>
          <w:szCs w:val="28"/>
        </w:rPr>
        <w:t>Q</w:t>
      </w:r>
      <w:r>
        <w:rPr>
          <w:b/>
          <w:bCs/>
          <w:sz w:val="28"/>
          <w:szCs w:val="28"/>
        </w:rPr>
        <w:t xml:space="preserve">uestion 1: </w:t>
      </w:r>
      <w:r w:rsidR="00A90F20">
        <w:rPr>
          <w:b/>
          <w:bCs/>
          <w:sz w:val="28"/>
          <w:szCs w:val="28"/>
        </w:rPr>
        <w:t xml:space="preserve"> To what extent is the program achieving its </w:t>
      </w:r>
      <w:r>
        <w:rPr>
          <w:b/>
          <w:bCs/>
          <w:sz w:val="28"/>
          <w:szCs w:val="28"/>
        </w:rPr>
        <w:t>objectives</w:t>
      </w:r>
      <w:r w:rsidR="00A90F20">
        <w:rPr>
          <w:b/>
          <w:bCs/>
          <w:sz w:val="28"/>
          <w:szCs w:val="28"/>
        </w:rPr>
        <w:t>?</w:t>
      </w:r>
    </w:p>
    <w:p w14:paraId="7D506CB8" w14:textId="2C3DE71D" w:rsidR="007A7975" w:rsidRPr="00245CAC" w:rsidRDefault="00FC0966" w:rsidP="00163DB2">
      <w:pPr>
        <w:pStyle w:val="Heading3"/>
        <w:spacing w:before="120"/>
        <w:ind w:right="33"/>
        <w:jc w:val="both"/>
      </w:pPr>
      <w:r w:rsidRPr="003A7E53">
        <w:t>Objective 1:  Australia’s contribution</w:t>
      </w:r>
      <w:r w:rsidR="005417CF" w:rsidRPr="003A7E53">
        <w:t>s</w:t>
      </w:r>
      <w:r w:rsidRPr="003A7E53">
        <w:t xml:space="preserve"> support meaningful progress on reforms in Malaysia and Thailand that are critical for maintaining inclusive growth and stability</w:t>
      </w:r>
    </w:p>
    <w:p w14:paraId="34E65FCE" w14:textId="2DAC596A" w:rsidR="00714C08" w:rsidRPr="00D5751E" w:rsidRDefault="009A591A" w:rsidP="00163DB2">
      <w:pPr>
        <w:pStyle w:val="Heading3"/>
        <w:spacing w:before="120"/>
        <w:ind w:right="33"/>
        <w:jc w:val="both"/>
        <w:rPr>
          <w:b/>
          <w:bCs/>
        </w:rPr>
      </w:pPr>
      <w:r w:rsidRPr="00D5751E">
        <w:rPr>
          <w:b/>
          <w:bCs/>
        </w:rPr>
        <w:t>Overall r</w:t>
      </w:r>
      <w:r w:rsidR="00714C08" w:rsidRPr="00D5751E">
        <w:rPr>
          <w:b/>
          <w:bCs/>
        </w:rPr>
        <w:t>eform progress</w:t>
      </w:r>
    </w:p>
    <w:p w14:paraId="43F418E3" w14:textId="4B80EEDC" w:rsidR="0081410A" w:rsidRDefault="00CB6488" w:rsidP="0081410A">
      <w:pPr>
        <w:ind w:right="33"/>
        <w:jc w:val="both"/>
        <w:rPr>
          <w:rFonts w:ascii="Cambria" w:hAnsi="Cambria"/>
          <w:sz w:val="10"/>
          <w:szCs w:val="10"/>
        </w:rPr>
      </w:pPr>
      <w:r>
        <w:rPr>
          <w:rFonts w:ascii="Cambria" w:hAnsi="Cambria"/>
          <w:sz w:val="21"/>
          <w:szCs w:val="21"/>
        </w:rPr>
        <w:t xml:space="preserve">The attention given to Objective 1 </w:t>
      </w:r>
      <w:r w:rsidR="007544DA">
        <w:rPr>
          <w:rFonts w:ascii="Cambria" w:hAnsi="Cambria"/>
          <w:sz w:val="21"/>
          <w:szCs w:val="21"/>
        </w:rPr>
        <w:t xml:space="preserve">in this report </w:t>
      </w:r>
      <w:r>
        <w:rPr>
          <w:rFonts w:ascii="Cambria" w:hAnsi="Cambria"/>
          <w:sz w:val="21"/>
          <w:szCs w:val="21"/>
        </w:rPr>
        <w:t>reflects</w:t>
      </w:r>
      <w:r w:rsidR="00D363E0">
        <w:rPr>
          <w:rFonts w:ascii="Cambria" w:hAnsi="Cambria"/>
          <w:sz w:val="21"/>
          <w:szCs w:val="21"/>
        </w:rPr>
        <w:t xml:space="preserve"> </w:t>
      </w:r>
      <w:r w:rsidR="007544DA">
        <w:rPr>
          <w:rFonts w:ascii="Cambria" w:hAnsi="Cambria"/>
          <w:sz w:val="21"/>
          <w:szCs w:val="21"/>
        </w:rPr>
        <w:t>its weight as</w:t>
      </w:r>
      <w:r>
        <w:rPr>
          <w:rFonts w:ascii="Cambria" w:hAnsi="Cambria"/>
          <w:sz w:val="21"/>
          <w:szCs w:val="21"/>
        </w:rPr>
        <w:t xml:space="preserve"> </w:t>
      </w:r>
      <w:r w:rsidR="00D363E0">
        <w:rPr>
          <w:rFonts w:ascii="Cambria" w:hAnsi="Cambria"/>
          <w:sz w:val="21"/>
          <w:szCs w:val="21"/>
        </w:rPr>
        <w:t>the most important of MTRP’s 3 objectives,</w:t>
      </w:r>
      <w:r w:rsidR="0081410A">
        <w:rPr>
          <w:rFonts w:ascii="Cambria" w:hAnsi="Cambria"/>
          <w:sz w:val="21"/>
          <w:szCs w:val="21"/>
        </w:rPr>
        <w:t xml:space="preserve"> </w:t>
      </w:r>
      <w:r w:rsidR="00D363E0">
        <w:rPr>
          <w:rFonts w:ascii="Cambria" w:hAnsi="Cambria"/>
          <w:sz w:val="21"/>
          <w:szCs w:val="21"/>
        </w:rPr>
        <w:t xml:space="preserve">in its own right and to underpin reputational gains (Objective 2).  </w:t>
      </w:r>
      <w:r w:rsidR="0081410A">
        <w:rPr>
          <w:rFonts w:ascii="Cambria" w:hAnsi="Cambria"/>
          <w:sz w:val="21"/>
          <w:szCs w:val="21"/>
        </w:rPr>
        <w:t>E</w:t>
      </w:r>
      <w:r w:rsidR="007544DA">
        <w:rPr>
          <w:rFonts w:ascii="Cambria" w:hAnsi="Cambria"/>
          <w:sz w:val="21"/>
          <w:szCs w:val="21"/>
        </w:rPr>
        <w:t xml:space="preserve">ach </w:t>
      </w:r>
      <w:r w:rsidR="00FC7C74" w:rsidRPr="00CB305F">
        <w:rPr>
          <w:rFonts w:ascii="Cambria" w:hAnsi="Cambria"/>
          <w:sz w:val="21"/>
          <w:szCs w:val="21"/>
        </w:rPr>
        <w:t>reform initiative is briefly surveyed</w:t>
      </w:r>
      <w:r>
        <w:rPr>
          <w:rFonts w:ascii="Cambria" w:hAnsi="Cambria"/>
          <w:sz w:val="21"/>
          <w:szCs w:val="21"/>
        </w:rPr>
        <w:t xml:space="preserve"> and assessed</w:t>
      </w:r>
      <w:r w:rsidR="00FC7C74" w:rsidRPr="00CB305F">
        <w:rPr>
          <w:rFonts w:ascii="Cambria" w:hAnsi="Cambria"/>
          <w:sz w:val="21"/>
          <w:szCs w:val="21"/>
        </w:rPr>
        <w:t xml:space="preserve">.  </w:t>
      </w:r>
      <w:r>
        <w:rPr>
          <w:rFonts w:ascii="Cambria" w:hAnsi="Cambria"/>
          <w:sz w:val="21"/>
          <w:szCs w:val="21"/>
        </w:rPr>
        <w:t xml:space="preserve">Indicators of success are provided overall, but also by country and initiative.  </w:t>
      </w:r>
      <w:r w:rsidR="00FC7C74" w:rsidRPr="00CB305F">
        <w:rPr>
          <w:rFonts w:ascii="Cambria" w:hAnsi="Cambria"/>
          <w:sz w:val="21"/>
          <w:szCs w:val="21"/>
        </w:rPr>
        <w:t>What emerges is a tale of two programs, with unambiguous success in Thailand and</w:t>
      </w:r>
      <w:r w:rsidR="00FA0503">
        <w:rPr>
          <w:rFonts w:ascii="Cambria" w:hAnsi="Cambria"/>
          <w:sz w:val="21"/>
          <w:szCs w:val="21"/>
        </w:rPr>
        <w:t>,</w:t>
      </w:r>
      <w:r w:rsidR="00FC7C74" w:rsidRPr="00CB305F">
        <w:rPr>
          <w:rFonts w:ascii="Cambria" w:hAnsi="Cambria"/>
          <w:sz w:val="21"/>
          <w:szCs w:val="21"/>
        </w:rPr>
        <w:t xml:space="preserve"> as yet, less in Malaysia.  The possibility of success remains in Malaysia</w:t>
      </w:r>
      <w:r w:rsidR="00725C69" w:rsidRPr="00CB305F">
        <w:rPr>
          <w:rFonts w:ascii="Cambria" w:hAnsi="Cambria"/>
          <w:sz w:val="21"/>
          <w:szCs w:val="21"/>
        </w:rPr>
        <w:t>,</w:t>
      </w:r>
      <w:r w:rsidR="00FC7C74" w:rsidRPr="00CB305F">
        <w:rPr>
          <w:rFonts w:ascii="Cambria" w:hAnsi="Cambria"/>
          <w:sz w:val="21"/>
          <w:szCs w:val="21"/>
        </w:rPr>
        <w:t xml:space="preserve"> but </w:t>
      </w:r>
      <w:r w:rsidR="00D363E0">
        <w:rPr>
          <w:rFonts w:ascii="Cambria" w:hAnsi="Cambria"/>
          <w:sz w:val="21"/>
          <w:szCs w:val="21"/>
        </w:rPr>
        <w:t>requires</w:t>
      </w:r>
      <w:r w:rsidR="00FC7C74" w:rsidRPr="00CB305F">
        <w:rPr>
          <w:rFonts w:ascii="Cambria" w:hAnsi="Cambria"/>
          <w:sz w:val="21"/>
          <w:szCs w:val="21"/>
        </w:rPr>
        <w:t xml:space="preserve"> strong</w:t>
      </w:r>
      <w:r w:rsidR="00B455DC" w:rsidRPr="00CB305F">
        <w:rPr>
          <w:rFonts w:ascii="Cambria" w:hAnsi="Cambria"/>
          <w:sz w:val="21"/>
          <w:szCs w:val="21"/>
        </w:rPr>
        <w:t>er</w:t>
      </w:r>
      <w:r w:rsidR="00FC7C74" w:rsidRPr="00CB305F">
        <w:rPr>
          <w:rFonts w:ascii="Cambria" w:hAnsi="Cambria"/>
          <w:sz w:val="21"/>
          <w:szCs w:val="21"/>
        </w:rPr>
        <w:t xml:space="preserve"> progress in the second half of the program.  </w:t>
      </w:r>
    </w:p>
    <w:p w14:paraId="76CE0F62" w14:textId="6BFB4DA1" w:rsidR="0081410A" w:rsidRPr="0081410A" w:rsidRDefault="0081410A" w:rsidP="0081410A">
      <w:pPr>
        <w:spacing w:before="80"/>
        <w:ind w:right="34"/>
        <w:jc w:val="both"/>
        <w:rPr>
          <w:rFonts w:ascii="Cambria" w:hAnsi="Cambria"/>
          <w:sz w:val="10"/>
          <w:szCs w:val="10"/>
        </w:rPr>
      </w:pPr>
      <w:r w:rsidRPr="0081410A">
        <w:rPr>
          <w:rFonts w:ascii="Cambria" w:hAnsi="Cambria"/>
          <w:b/>
          <w:bCs/>
          <w:sz w:val="10"/>
          <w:szCs w:val="10"/>
        </w:rPr>
        <w:tab/>
      </w:r>
      <w:r w:rsidRPr="0081410A">
        <w:rPr>
          <w:rFonts w:ascii="Cambria" w:hAnsi="Cambria"/>
          <w:b/>
          <w:bCs/>
          <w:sz w:val="10"/>
          <w:szCs w:val="10"/>
        </w:rPr>
        <w:tab/>
      </w:r>
      <w:r w:rsidRPr="0081410A">
        <w:rPr>
          <w:rFonts w:ascii="Cambria" w:hAnsi="Cambria"/>
          <w:b/>
          <w:bCs/>
          <w:sz w:val="10"/>
          <w:szCs w:val="10"/>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sidRPr="0081410A">
        <w:rPr>
          <w:rFonts w:ascii="Cambria" w:hAnsi="Cambria"/>
          <w:b/>
          <w:bCs/>
          <w:sz w:val="20"/>
          <w:szCs w:val="20"/>
        </w:rPr>
        <w:t xml:space="preserve">            </w:t>
      </w:r>
      <w:r>
        <w:rPr>
          <w:rFonts w:ascii="Cambria" w:hAnsi="Cambria"/>
          <w:b/>
          <w:bCs/>
          <w:sz w:val="20"/>
          <w:szCs w:val="20"/>
        </w:rPr>
        <w:t xml:space="preserve">                      </w:t>
      </w:r>
      <w:r w:rsidRPr="0081410A">
        <w:rPr>
          <w:rFonts w:ascii="Cambria" w:hAnsi="Cambria"/>
          <w:b/>
          <w:bCs/>
          <w:sz w:val="20"/>
          <w:szCs w:val="20"/>
        </w:rPr>
        <w:t xml:space="preserve">Overall rating                  </w:t>
      </w:r>
      <w:r w:rsidRPr="0081410A">
        <w:rPr>
          <w:rFonts w:ascii="Cambria" w:hAnsi="Cambria"/>
          <w:noProof/>
          <w:sz w:val="20"/>
          <w:szCs w:val="20"/>
        </w:rPr>
        <w:drawing>
          <wp:inline distT="0" distB="0" distL="0" distR="0" wp14:anchorId="2808C211" wp14:editId="3491917F">
            <wp:extent cx="172800" cy="180557"/>
            <wp:effectExtent l="0" t="0" r="5080" b="0"/>
            <wp:docPr id="19" name="Picture 19" descr="Rating Amber: satisfactory at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Rating Amber: satisfactory at this ti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800" cy="180557"/>
                    </a:xfrm>
                    <a:prstGeom prst="rect">
                      <a:avLst/>
                    </a:prstGeom>
                  </pic:spPr>
                </pic:pic>
              </a:graphicData>
            </a:graphic>
          </wp:inline>
        </w:drawing>
      </w:r>
    </w:p>
    <w:p w14:paraId="44DC2612" w14:textId="19C2625C" w:rsidR="0044161D" w:rsidRPr="00D5751E" w:rsidRDefault="009C47CD" w:rsidP="00163DB2">
      <w:pPr>
        <w:pStyle w:val="Heading3"/>
        <w:ind w:right="33"/>
        <w:rPr>
          <w:b/>
          <w:bCs/>
        </w:rPr>
      </w:pPr>
      <w:r w:rsidRPr="00D5751E">
        <w:rPr>
          <w:b/>
          <w:bCs/>
        </w:rPr>
        <w:t xml:space="preserve">Thailand </w:t>
      </w:r>
    </w:p>
    <w:p w14:paraId="77E3CC8E" w14:textId="77777777" w:rsidR="003A7E53" w:rsidRPr="00CB305F" w:rsidRDefault="003A7E53" w:rsidP="00163DB2">
      <w:pPr>
        <w:spacing w:before="120"/>
        <w:ind w:right="33"/>
        <w:jc w:val="both"/>
        <w:rPr>
          <w:rFonts w:ascii="Cambria" w:hAnsi="Cambria"/>
          <w:b/>
          <w:bCs/>
          <w:sz w:val="21"/>
          <w:szCs w:val="21"/>
        </w:rPr>
      </w:pPr>
      <w:r w:rsidRPr="00CB305F">
        <w:rPr>
          <w:rFonts w:ascii="Cambria" w:hAnsi="Cambria"/>
          <w:b/>
          <w:bCs/>
          <w:sz w:val="21"/>
          <w:szCs w:val="21"/>
        </w:rPr>
        <w:t>Overall reform progress</w:t>
      </w:r>
    </w:p>
    <w:p w14:paraId="758487F7" w14:textId="4311C2D2" w:rsidR="00E10610" w:rsidRPr="00CB305F" w:rsidRDefault="00D92CD4" w:rsidP="00163DB2">
      <w:pPr>
        <w:ind w:right="33"/>
        <w:jc w:val="both"/>
        <w:rPr>
          <w:rFonts w:ascii="Cambria" w:hAnsi="Cambria"/>
          <w:sz w:val="21"/>
          <w:szCs w:val="21"/>
        </w:rPr>
      </w:pPr>
      <w:r>
        <w:rPr>
          <w:rFonts w:ascii="Cambria" w:hAnsi="Cambria"/>
          <w:sz w:val="21"/>
          <w:szCs w:val="21"/>
        </w:rPr>
        <w:t xml:space="preserve">Reform progress has been strong </w:t>
      </w:r>
      <w:r w:rsidR="00BD4D4E">
        <w:rPr>
          <w:rFonts w:ascii="Cambria" w:hAnsi="Cambria"/>
          <w:sz w:val="21"/>
          <w:szCs w:val="21"/>
        </w:rPr>
        <w:t>to date, but exactly what will endure is not yet clear</w:t>
      </w:r>
      <w:r>
        <w:rPr>
          <w:rFonts w:ascii="Cambria" w:hAnsi="Cambria"/>
          <w:sz w:val="21"/>
          <w:szCs w:val="21"/>
        </w:rPr>
        <w:t xml:space="preserve">.   </w:t>
      </w:r>
      <w:r w:rsidRPr="00CB305F">
        <w:rPr>
          <w:rFonts w:ascii="Cambria" w:hAnsi="Cambria"/>
          <w:sz w:val="21"/>
          <w:szCs w:val="21"/>
        </w:rPr>
        <w:t xml:space="preserve">TAF’s organisational assets </w:t>
      </w:r>
      <w:r w:rsidR="00A3765C">
        <w:rPr>
          <w:rFonts w:ascii="Cambria" w:hAnsi="Cambria"/>
          <w:sz w:val="21"/>
          <w:szCs w:val="21"/>
        </w:rPr>
        <w:t xml:space="preserve">in Bangkok </w:t>
      </w:r>
      <w:r>
        <w:rPr>
          <w:rFonts w:ascii="Cambria" w:hAnsi="Cambria"/>
          <w:sz w:val="21"/>
          <w:szCs w:val="21"/>
        </w:rPr>
        <w:t xml:space="preserve">and long history of working with DFAT </w:t>
      </w:r>
      <w:r w:rsidRPr="00CB305F">
        <w:rPr>
          <w:rFonts w:ascii="Cambria" w:hAnsi="Cambria"/>
          <w:sz w:val="21"/>
          <w:szCs w:val="21"/>
        </w:rPr>
        <w:t xml:space="preserve">are critical to </w:t>
      </w:r>
      <w:r w:rsidR="00BD4D4E">
        <w:rPr>
          <w:rFonts w:ascii="Cambria" w:hAnsi="Cambria"/>
          <w:sz w:val="21"/>
          <w:szCs w:val="21"/>
        </w:rPr>
        <w:t xml:space="preserve">its </w:t>
      </w:r>
      <w:r w:rsidRPr="00CB305F">
        <w:rPr>
          <w:rFonts w:ascii="Cambria" w:hAnsi="Cambria"/>
          <w:sz w:val="21"/>
          <w:szCs w:val="21"/>
        </w:rPr>
        <w:t>success</w:t>
      </w:r>
      <w:r>
        <w:rPr>
          <w:rFonts w:ascii="Cambria" w:hAnsi="Cambria"/>
          <w:sz w:val="21"/>
          <w:szCs w:val="21"/>
        </w:rPr>
        <w:t xml:space="preserve">. </w:t>
      </w:r>
      <w:r w:rsidRPr="00CB305F">
        <w:rPr>
          <w:rFonts w:ascii="Cambria" w:hAnsi="Cambria"/>
          <w:sz w:val="21"/>
          <w:szCs w:val="21"/>
        </w:rPr>
        <w:t xml:space="preserve"> </w:t>
      </w:r>
      <w:r w:rsidR="00A97095" w:rsidRPr="00CB305F">
        <w:rPr>
          <w:rFonts w:ascii="Cambria" w:hAnsi="Cambria"/>
          <w:sz w:val="21"/>
          <w:szCs w:val="21"/>
        </w:rPr>
        <w:t xml:space="preserve">The </w:t>
      </w:r>
      <w:r w:rsidR="00A97095">
        <w:rPr>
          <w:rFonts w:ascii="Cambria" w:hAnsi="Cambria"/>
          <w:sz w:val="21"/>
          <w:szCs w:val="21"/>
        </w:rPr>
        <w:t>TAF Co</w:t>
      </w:r>
      <w:r w:rsidR="00A97095" w:rsidRPr="00CB305F">
        <w:rPr>
          <w:rFonts w:ascii="Cambria" w:hAnsi="Cambria"/>
          <w:sz w:val="21"/>
          <w:szCs w:val="21"/>
        </w:rPr>
        <w:t xml:space="preserve">untry </w:t>
      </w:r>
      <w:r w:rsidR="00A97095">
        <w:rPr>
          <w:rFonts w:ascii="Cambria" w:hAnsi="Cambria"/>
          <w:sz w:val="21"/>
          <w:szCs w:val="21"/>
        </w:rPr>
        <w:t>R</w:t>
      </w:r>
      <w:r w:rsidR="00A97095" w:rsidRPr="00CB305F">
        <w:rPr>
          <w:rFonts w:ascii="Cambria" w:hAnsi="Cambria"/>
          <w:sz w:val="21"/>
          <w:szCs w:val="21"/>
        </w:rPr>
        <w:t xml:space="preserve">epresentative (CR) is well known to DFAT and has worked for the department and also for TAF HQ.  There was considerable praise for </w:t>
      </w:r>
      <w:r>
        <w:rPr>
          <w:rFonts w:ascii="Cambria" w:hAnsi="Cambria"/>
          <w:sz w:val="21"/>
          <w:szCs w:val="21"/>
        </w:rPr>
        <w:t xml:space="preserve">his </w:t>
      </w:r>
      <w:r w:rsidR="00A97095" w:rsidRPr="00CB305F">
        <w:rPr>
          <w:rFonts w:ascii="Cambria" w:hAnsi="Cambria"/>
          <w:sz w:val="21"/>
          <w:szCs w:val="21"/>
        </w:rPr>
        <w:t>abilities and a large degree of trust as a result.  The office</w:t>
      </w:r>
      <w:r w:rsidR="00A97095">
        <w:rPr>
          <w:rFonts w:ascii="Cambria" w:hAnsi="Cambria"/>
          <w:sz w:val="21"/>
          <w:szCs w:val="21"/>
        </w:rPr>
        <w:t xml:space="preserve"> also has</w:t>
      </w:r>
      <w:r w:rsidR="00893FEE">
        <w:rPr>
          <w:rFonts w:ascii="Cambria" w:hAnsi="Cambria"/>
          <w:sz w:val="21"/>
          <w:szCs w:val="21"/>
        </w:rPr>
        <w:t xml:space="preserve"> strong</w:t>
      </w:r>
      <w:r w:rsidR="00A97095" w:rsidRPr="00CB305F">
        <w:rPr>
          <w:rFonts w:ascii="Cambria" w:hAnsi="Cambria"/>
          <w:sz w:val="21"/>
          <w:szCs w:val="21"/>
        </w:rPr>
        <w:t xml:space="preserve"> in-house expertise</w:t>
      </w:r>
      <w:r w:rsidR="00A97095">
        <w:rPr>
          <w:rFonts w:ascii="Cambria" w:hAnsi="Cambria"/>
          <w:sz w:val="21"/>
          <w:szCs w:val="21"/>
        </w:rPr>
        <w:t xml:space="preserve"> in the areas selected for initiatives</w:t>
      </w:r>
      <w:r w:rsidR="00A97095" w:rsidRPr="00CB305F">
        <w:rPr>
          <w:rFonts w:ascii="Cambria" w:hAnsi="Cambria"/>
          <w:sz w:val="21"/>
          <w:szCs w:val="21"/>
        </w:rPr>
        <w:t xml:space="preserve">, boosted by the regional roles the office plays.  </w:t>
      </w:r>
      <w:r w:rsidR="00BD4D4E">
        <w:rPr>
          <w:rFonts w:ascii="Cambria" w:hAnsi="Cambria"/>
          <w:sz w:val="21"/>
          <w:szCs w:val="21"/>
        </w:rPr>
        <w:t xml:space="preserve">The team was described as ‘very strong’.  </w:t>
      </w:r>
      <w:r w:rsidR="00A97095">
        <w:rPr>
          <w:rFonts w:ascii="Cambria" w:hAnsi="Cambria"/>
          <w:sz w:val="21"/>
          <w:szCs w:val="21"/>
        </w:rPr>
        <w:t>A pre</w:t>
      </w:r>
      <w:r>
        <w:rPr>
          <w:rFonts w:ascii="Cambria" w:hAnsi="Cambria"/>
          <w:sz w:val="21"/>
          <w:szCs w:val="21"/>
        </w:rPr>
        <w:t>-</w:t>
      </w:r>
      <w:r w:rsidR="00A97095">
        <w:rPr>
          <w:rFonts w:ascii="Cambria" w:hAnsi="Cambria"/>
          <w:sz w:val="21"/>
          <w:szCs w:val="21"/>
        </w:rPr>
        <w:t>MTRP, one</w:t>
      </w:r>
      <w:r>
        <w:rPr>
          <w:rFonts w:ascii="Cambria" w:hAnsi="Cambria"/>
          <w:sz w:val="21"/>
          <w:szCs w:val="21"/>
        </w:rPr>
        <w:t>-</w:t>
      </w:r>
      <w:r w:rsidR="00A97095">
        <w:rPr>
          <w:rFonts w:ascii="Cambria" w:hAnsi="Cambria"/>
          <w:sz w:val="21"/>
          <w:szCs w:val="21"/>
        </w:rPr>
        <w:t xml:space="preserve">year Middle Income Country </w:t>
      </w:r>
      <w:r>
        <w:rPr>
          <w:rFonts w:ascii="Cambria" w:hAnsi="Cambria"/>
          <w:sz w:val="21"/>
          <w:szCs w:val="21"/>
        </w:rPr>
        <w:t>I</w:t>
      </w:r>
      <w:r w:rsidR="00A97095">
        <w:rPr>
          <w:rFonts w:ascii="Cambria" w:hAnsi="Cambria"/>
          <w:sz w:val="21"/>
          <w:szCs w:val="21"/>
        </w:rPr>
        <w:t>nitiative</w:t>
      </w:r>
      <w:r>
        <w:rPr>
          <w:rFonts w:ascii="Cambria" w:hAnsi="Cambria"/>
          <w:sz w:val="21"/>
          <w:szCs w:val="21"/>
        </w:rPr>
        <w:t xml:space="preserve"> gave Bangkok a head start.  In short, all of the stars aligned </w:t>
      </w:r>
      <w:r w:rsidR="00E10610" w:rsidRPr="00CB305F">
        <w:rPr>
          <w:rFonts w:ascii="Cambria" w:hAnsi="Cambria"/>
          <w:sz w:val="21"/>
          <w:szCs w:val="21"/>
        </w:rPr>
        <w:t xml:space="preserve">in Thailand.  </w:t>
      </w:r>
    </w:p>
    <w:p w14:paraId="4B88FBD4" w14:textId="77777777" w:rsidR="004031E0" w:rsidRDefault="004031E0" w:rsidP="00163DB2">
      <w:pPr>
        <w:ind w:right="33"/>
        <w:jc w:val="both"/>
        <w:rPr>
          <w:rFonts w:ascii="Cambria" w:hAnsi="Cambria"/>
          <w:b/>
          <w:bCs/>
          <w:sz w:val="22"/>
          <w:szCs w:val="22"/>
        </w:rPr>
      </w:pPr>
    </w:p>
    <w:p w14:paraId="2285E529" w14:textId="7973A64C" w:rsidR="00A51FB2" w:rsidRPr="00CB305F" w:rsidRDefault="00A51FB2" w:rsidP="00163DB2">
      <w:pPr>
        <w:ind w:right="33"/>
        <w:jc w:val="both"/>
        <w:rPr>
          <w:rFonts w:ascii="Cambria" w:hAnsi="Cambria"/>
          <w:b/>
          <w:bCs/>
          <w:sz w:val="21"/>
          <w:szCs w:val="21"/>
        </w:rPr>
      </w:pPr>
      <w:r w:rsidRPr="00CB305F">
        <w:rPr>
          <w:rFonts w:ascii="Cambria" w:hAnsi="Cambria"/>
          <w:b/>
          <w:bCs/>
          <w:sz w:val="21"/>
          <w:szCs w:val="21"/>
        </w:rPr>
        <w:t xml:space="preserve">Relevance </w:t>
      </w:r>
      <w:r w:rsidR="00643A46" w:rsidRPr="00CB305F">
        <w:rPr>
          <w:rFonts w:ascii="Cambria" w:hAnsi="Cambria"/>
          <w:b/>
          <w:bCs/>
          <w:sz w:val="21"/>
          <w:szCs w:val="21"/>
        </w:rPr>
        <w:t xml:space="preserve">of reforms </w:t>
      </w:r>
      <w:r w:rsidRPr="00CB305F">
        <w:rPr>
          <w:rFonts w:ascii="Cambria" w:hAnsi="Cambria"/>
          <w:b/>
          <w:bCs/>
          <w:sz w:val="21"/>
          <w:szCs w:val="21"/>
        </w:rPr>
        <w:t>to DFAT’s mission and goals</w:t>
      </w:r>
    </w:p>
    <w:p w14:paraId="05B5143D" w14:textId="77777777" w:rsidR="00A51FB2" w:rsidRPr="00CB305F" w:rsidRDefault="00A51FB2" w:rsidP="00163DB2">
      <w:pPr>
        <w:ind w:right="33"/>
        <w:jc w:val="both"/>
        <w:rPr>
          <w:rFonts w:ascii="Cambria" w:hAnsi="Cambria"/>
          <w:b/>
          <w:bCs/>
          <w:sz w:val="21"/>
          <w:szCs w:val="21"/>
        </w:rPr>
      </w:pPr>
    </w:p>
    <w:p w14:paraId="6CD7CC76" w14:textId="51548409" w:rsidR="005B19FB" w:rsidRDefault="00A51FB2" w:rsidP="00163DB2">
      <w:pPr>
        <w:ind w:right="33" w:firstLine="360"/>
        <w:jc w:val="both"/>
        <w:rPr>
          <w:rFonts w:ascii="Cambria" w:hAnsi="Cambria"/>
          <w:b/>
          <w:bCs/>
          <w:i/>
          <w:iCs/>
          <w:sz w:val="21"/>
          <w:szCs w:val="21"/>
        </w:rPr>
      </w:pPr>
      <w:r w:rsidRPr="00CB305F">
        <w:rPr>
          <w:rFonts w:ascii="Cambria" w:hAnsi="Cambria"/>
          <w:i/>
          <w:iCs/>
          <w:sz w:val="21"/>
          <w:szCs w:val="21"/>
        </w:rPr>
        <w:t>“All activities are on point.  They couldn’t be more relevant.”</w:t>
      </w:r>
      <w:r w:rsidRPr="00CB305F">
        <w:rPr>
          <w:rFonts w:ascii="Cambria" w:hAnsi="Cambria"/>
          <w:i/>
          <w:iCs/>
          <w:sz w:val="21"/>
          <w:szCs w:val="21"/>
        </w:rPr>
        <w:tab/>
      </w:r>
      <w:r w:rsidRPr="00CB305F">
        <w:rPr>
          <w:rFonts w:ascii="Cambria" w:hAnsi="Cambria"/>
          <w:b/>
          <w:bCs/>
          <w:i/>
          <w:iCs/>
          <w:sz w:val="21"/>
          <w:szCs w:val="21"/>
        </w:rPr>
        <w:t xml:space="preserve">      </w:t>
      </w:r>
      <w:r w:rsidR="00270ACB">
        <w:rPr>
          <w:rFonts w:ascii="Cambria" w:hAnsi="Cambria"/>
          <w:b/>
          <w:bCs/>
          <w:i/>
          <w:iCs/>
          <w:sz w:val="21"/>
          <w:szCs w:val="21"/>
        </w:rPr>
        <w:tab/>
        <w:t xml:space="preserve">       </w:t>
      </w:r>
      <w:r w:rsidRPr="00CB305F">
        <w:rPr>
          <w:rFonts w:ascii="Cambria" w:hAnsi="Cambria"/>
          <w:b/>
          <w:bCs/>
          <w:i/>
          <w:iCs/>
          <w:sz w:val="21"/>
          <w:szCs w:val="21"/>
        </w:rPr>
        <w:t xml:space="preserve"> </w:t>
      </w:r>
      <w:r w:rsidR="00D92CD4">
        <w:rPr>
          <w:rFonts w:ascii="Cambria" w:hAnsi="Cambria"/>
          <w:b/>
          <w:bCs/>
          <w:i/>
          <w:iCs/>
          <w:sz w:val="21"/>
          <w:szCs w:val="21"/>
        </w:rPr>
        <w:t xml:space="preserve">  </w:t>
      </w:r>
      <w:r w:rsidRPr="00CB305F">
        <w:rPr>
          <w:rFonts w:ascii="Cambria" w:hAnsi="Cambria"/>
          <w:b/>
          <w:bCs/>
          <w:i/>
          <w:iCs/>
          <w:sz w:val="21"/>
          <w:szCs w:val="21"/>
        </w:rPr>
        <w:t xml:space="preserve"> Senior DFAT Posted Officer</w:t>
      </w:r>
    </w:p>
    <w:p w14:paraId="7ED85C3F" w14:textId="3794C90E" w:rsidR="005B19FB" w:rsidRDefault="005B19FB" w:rsidP="00163DB2">
      <w:pPr>
        <w:ind w:right="33" w:firstLine="360"/>
        <w:jc w:val="both"/>
        <w:rPr>
          <w:rFonts w:ascii="Cambria" w:hAnsi="Cambria"/>
          <w:i/>
          <w:iCs/>
          <w:sz w:val="21"/>
          <w:szCs w:val="21"/>
        </w:rPr>
      </w:pPr>
    </w:p>
    <w:p w14:paraId="56517B85" w14:textId="331E8BB4" w:rsidR="00CB6488" w:rsidRPr="00A3765C" w:rsidRDefault="00D92CD4" w:rsidP="007544DA">
      <w:pPr>
        <w:ind w:left="360" w:right="33"/>
        <w:jc w:val="both"/>
        <w:rPr>
          <w:rFonts w:ascii="Cambria" w:hAnsi="Cambria"/>
          <w:b/>
          <w:bCs/>
          <w:i/>
          <w:iCs/>
          <w:sz w:val="21"/>
          <w:szCs w:val="21"/>
        </w:rPr>
      </w:pPr>
      <w:r>
        <w:rPr>
          <w:rFonts w:ascii="Cambria" w:hAnsi="Cambria"/>
          <w:i/>
          <w:iCs/>
          <w:sz w:val="21"/>
          <w:szCs w:val="21"/>
        </w:rPr>
        <w:t xml:space="preserve">“We were there at the start, fully involved in selecting the right activities.  The areas have stacked up very well.”   </w:t>
      </w:r>
      <w:r>
        <w:rPr>
          <w:rFonts w:ascii="Cambria" w:hAnsi="Cambria"/>
          <w:i/>
          <w:iCs/>
          <w:sz w:val="21"/>
          <w:szCs w:val="21"/>
        </w:rPr>
        <w:tab/>
      </w:r>
      <w:r>
        <w:rPr>
          <w:rFonts w:ascii="Cambria" w:hAnsi="Cambria"/>
          <w:i/>
          <w:iCs/>
          <w:sz w:val="21"/>
          <w:szCs w:val="21"/>
        </w:rPr>
        <w:tab/>
      </w:r>
      <w:r>
        <w:rPr>
          <w:rFonts w:ascii="Cambria" w:hAnsi="Cambria"/>
          <w:i/>
          <w:iCs/>
          <w:sz w:val="21"/>
          <w:szCs w:val="21"/>
        </w:rPr>
        <w:tab/>
      </w:r>
      <w:r>
        <w:rPr>
          <w:rFonts w:ascii="Cambria" w:hAnsi="Cambria"/>
          <w:i/>
          <w:iCs/>
          <w:sz w:val="21"/>
          <w:szCs w:val="21"/>
        </w:rPr>
        <w:tab/>
      </w:r>
      <w:r>
        <w:rPr>
          <w:rFonts w:ascii="Cambria" w:hAnsi="Cambria"/>
          <w:i/>
          <w:iCs/>
          <w:sz w:val="21"/>
          <w:szCs w:val="21"/>
        </w:rPr>
        <w:tab/>
      </w:r>
      <w:r>
        <w:rPr>
          <w:rFonts w:ascii="Cambria" w:hAnsi="Cambria"/>
          <w:i/>
          <w:iCs/>
          <w:sz w:val="21"/>
          <w:szCs w:val="21"/>
        </w:rPr>
        <w:tab/>
      </w:r>
      <w:r>
        <w:rPr>
          <w:rFonts w:ascii="Cambria" w:hAnsi="Cambria"/>
          <w:i/>
          <w:iCs/>
          <w:sz w:val="21"/>
          <w:szCs w:val="21"/>
        </w:rPr>
        <w:tab/>
      </w:r>
      <w:r>
        <w:rPr>
          <w:rFonts w:ascii="Cambria" w:hAnsi="Cambria"/>
          <w:i/>
          <w:iCs/>
          <w:sz w:val="21"/>
          <w:szCs w:val="21"/>
        </w:rPr>
        <w:tab/>
        <w:t xml:space="preserve">           </w:t>
      </w:r>
      <w:r w:rsidRPr="00CB305F">
        <w:rPr>
          <w:rFonts w:ascii="Cambria" w:hAnsi="Cambria"/>
          <w:b/>
          <w:bCs/>
          <w:i/>
          <w:iCs/>
          <w:sz w:val="21"/>
          <w:szCs w:val="21"/>
        </w:rPr>
        <w:t>Senior DFAT Posted Officer</w:t>
      </w:r>
    </w:p>
    <w:p w14:paraId="2BF62D19" w14:textId="48210D53" w:rsidR="009C47CD" w:rsidRPr="00CB305F" w:rsidRDefault="009C47CD" w:rsidP="00163DB2">
      <w:pPr>
        <w:pStyle w:val="ListParagraph"/>
        <w:numPr>
          <w:ilvl w:val="0"/>
          <w:numId w:val="5"/>
        </w:numPr>
        <w:ind w:right="33"/>
        <w:jc w:val="both"/>
        <w:rPr>
          <w:rFonts w:ascii="Cambria" w:hAnsi="Cambria"/>
          <w:b/>
          <w:bCs/>
          <w:sz w:val="21"/>
          <w:szCs w:val="21"/>
        </w:rPr>
      </w:pPr>
      <w:r w:rsidRPr="00CB305F">
        <w:rPr>
          <w:rFonts w:ascii="Cambria" w:hAnsi="Cambria"/>
          <w:b/>
          <w:bCs/>
          <w:sz w:val="21"/>
          <w:szCs w:val="21"/>
        </w:rPr>
        <w:lastRenderedPageBreak/>
        <w:t>E</w:t>
      </w:r>
      <w:r w:rsidR="005417CF" w:rsidRPr="00CB305F">
        <w:rPr>
          <w:rFonts w:ascii="Cambria" w:hAnsi="Cambria"/>
          <w:b/>
          <w:bCs/>
          <w:sz w:val="21"/>
          <w:szCs w:val="21"/>
        </w:rPr>
        <w:t>ducation</w:t>
      </w:r>
      <w:r w:rsidR="00BD4D4E">
        <w:rPr>
          <w:rFonts w:ascii="Cambria" w:hAnsi="Cambria"/>
          <w:b/>
          <w:bCs/>
          <w:sz w:val="21"/>
          <w:szCs w:val="21"/>
        </w:rPr>
        <w:t xml:space="preserve"> reform to improve Thailand’s long-term competitiveness</w:t>
      </w:r>
    </w:p>
    <w:p w14:paraId="77CF2104" w14:textId="60329B73" w:rsidR="00231B2C" w:rsidRPr="00CB305F" w:rsidRDefault="00231B2C" w:rsidP="00163DB2">
      <w:pPr>
        <w:ind w:right="33"/>
        <w:jc w:val="both"/>
        <w:rPr>
          <w:rFonts w:ascii="Cambria" w:hAnsi="Cambria"/>
          <w:b/>
          <w:bCs/>
          <w:sz w:val="21"/>
          <w:szCs w:val="21"/>
        </w:rPr>
      </w:pPr>
    </w:p>
    <w:p w14:paraId="10827481" w14:textId="774D0F06" w:rsidR="00231B2C" w:rsidRPr="00CB305F" w:rsidRDefault="003A7E53" w:rsidP="00163DB2">
      <w:pPr>
        <w:ind w:right="33"/>
        <w:jc w:val="both"/>
        <w:rPr>
          <w:rFonts w:ascii="Cambria" w:hAnsi="Cambria"/>
          <w:b/>
          <w:bCs/>
          <w:sz w:val="21"/>
          <w:szCs w:val="21"/>
        </w:rPr>
      </w:pPr>
      <w:r w:rsidRPr="00CB305F">
        <w:rPr>
          <w:rFonts w:ascii="Cambria" w:hAnsi="Cambria"/>
          <w:b/>
          <w:bCs/>
          <w:sz w:val="21"/>
          <w:szCs w:val="21"/>
        </w:rPr>
        <w:t xml:space="preserve">Initiative </w:t>
      </w:r>
      <w:r w:rsidR="00231B2C" w:rsidRPr="00CB305F">
        <w:rPr>
          <w:rFonts w:ascii="Cambria" w:hAnsi="Cambria"/>
          <w:b/>
          <w:bCs/>
          <w:sz w:val="21"/>
          <w:szCs w:val="21"/>
        </w:rPr>
        <w:t>progress</w:t>
      </w:r>
    </w:p>
    <w:p w14:paraId="1E77D1E3" w14:textId="2F32102C" w:rsidR="00445B25" w:rsidRPr="00CB305F" w:rsidRDefault="00BD4D4E" w:rsidP="00163DB2">
      <w:pPr>
        <w:ind w:right="33"/>
        <w:jc w:val="both"/>
        <w:rPr>
          <w:rFonts w:ascii="Cambria" w:hAnsi="Cambria"/>
          <w:sz w:val="21"/>
          <w:szCs w:val="21"/>
        </w:rPr>
      </w:pPr>
      <w:r>
        <w:rPr>
          <w:rFonts w:ascii="Cambria" w:hAnsi="Cambria"/>
          <w:sz w:val="21"/>
          <w:szCs w:val="21"/>
        </w:rPr>
        <w:t>DFAT’s previous work in education under the Middle-Income Country Initiative</w:t>
      </w:r>
      <w:r w:rsidR="00116EEA" w:rsidRPr="00CB305F">
        <w:rPr>
          <w:rFonts w:ascii="Cambria" w:hAnsi="Cambria"/>
          <w:sz w:val="21"/>
          <w:szCs w:val="21"/>
        </w:rPr>
        <w:t xml:space="preserve"> </w:t>
      </w:r>
      <w:r w:rsidR="00BE627C" w:rsidRPr="00CB305F">
        <w:rPr>
          <w:rFonts w:ascii="Cambria" w:hAnsi="Cambria"/>
          <w:sz w:val="21"/>
          <w:szCs w:val="21"/>
        </w:rPr>
        <w:t xml:space="preserve">and a highly credible, experienced </w:t>
      </w:r>
      <w:r w:rsidR="009F65E5" w:rsidRPr="00CB305F">
        <w:rPr>
          <w:rFonts w:ascii="Cambria" w:hAnsi="Cambria"/>
          <w:sz w:val="21"/>
          <w:szCs w:val="21"/>
        </w:rPr>
        <w:t xml:space="preserve">education </w:t>
      </w:r>
      <w:r w:rsidR="00BE627C" w:rsidRPr="00CB305F">
        <w:rPr>
          <w:rFonts w:ascii="Cambria" w:hAnsi="Cambria"/>
          <w:sz w:val="21"/>
          <w:szCs w:val="21"/>
        </w:rPr>
        <w:t>team leader</w:t>
      </w:r>
      <w:r w:rsidR="00570F37" w:rsidRPr="00CB305F">
        <w:rPr>
          <w:rFonts w:ascii="Cambria" w:hAnsi="Cambria"/>
          <w:sz w:val="21"/>
          <w:szCs w:val="21"/>
        </w:rPr>
        <w:t>,</w:t>
      </w:r>
      <w:r w:rsidR="00BE627C" w:rsidRPr="00CB305F">
        <w:rPr>
          <w:rFonts w:ascii="Cambria" w:hAnsi="Cambria"/>
          <w:sz w:val="21"/>
          <w:szCs w:val="21"/>
        </w:rPr>
        <w:t xml:space="preserve"> </w:t>
      </w:r>
      <w:r w:rsidR="00570F37" w:rsidRPr="00CB305F">
        <w:rPr>
          <w:rFonts w:ascii="Cambria" w:hAnsi="Cambria"/>
          <w:sz w:val="21"/>
          <w:szCs w:val="21"/>
        </w:rPr>
        <w:t xml:space="preserve">have </w:t>
      </w:r>
      <w:r w:rsidR="00116EEA" w:rsidRPr="00CB305F">
        <w:rPr>
          <w:rFonts w:ascii="Cambria" w:hAnsi="Cambria"/>
          <w:sz w:val="21"/>
          <w:szCs w:val="21"/>
        </w:rPr>
        <w:t xml:space="preserve">positioned </w:t>
      </w:r>
      <w:r>
        <w:rPr>
          <w:rFonts w:ascii="Cambria" w:hAnsi="Cambria"/>
          <w:sz w:val="21"/>
          <w:szCs w:val="21"/>
        </w:rPr>
        <w:t xml:space="preserve">MTRP </w:t>
      </w:r>
      <w:r w:rsidR="00116EEA" w:rsidRPr="00CB305F">
        <w:rPr>
          <w:rFonts w:ascii="Cambria" w:hAnsi="Cambria"/>
          <w:sz w:val="21"/>
          <w:szCs w:val="21"/>
        </w:rPr>
        <w:t xml:space="preserve">well to identify unaddressed issues preventing decentralisation policy from working effectively.  </w:t>
      </w:r>
      <w:r w:rsidR="00445B25" w:rsidRPr="00CB305F">
        <w:rPr>
          <w:rFonts w:ascii="Cambria" w:hAnsi="Cambria"/>
          <w:sz w:val="21"/>
          <w:szCs w:val="21"/>
        </w:rPr>
        <w:t>Deep political-economy insights at a systems level have led to ground breaking diagnostic work that explains the failure of previous reforms.  Research has shown that principals in areas outside Bangkok are over-burdened, underfunded and bureaucratically managed, leaving them few opportunities for ‘instructional leadership’.</w:t>
      </w:r>
      <w:r w:rsidR="00573A2F">
        <w:rPr>
          <w:rStyle w:val="EndnoteReference"/>
          <w:rFonts w:ascii="Cambria" w:hAnsi="Cambria"/>
          <w:sz w:val="21"/>
          <w:szCs w:val="21"/>
        </w:rPr>
        <w:endnoteReference w:id="7"/>
      </w:r>
    </w:p>
    <w:p w14:paraId="3F484E75" w14:textId="77777777" w:rsidR="00445B25" w:rsidRPr="00CB305F" w:rsidRDefault="00445B25" w:rsidP="00163DB2">
      <w:pPr>
        <w:ind w:right="33"/>
        <w:jc w:val="both"/>
        <w:rPr>
          <w:rFonts w:ascii="Cambria" w:hAnsi="Cambria"/>
          <w:sz w:val="21"/>
          <w:szCs w:val="21"/>
        </w:rPr>
      </w:pPr>
    </w:p>
    <w:p w14:paraId="6828A097" w14:textId="582E25F5" w:rsidR="00F14E83" w:rsidRPr="00CB305F" w:rsidRDefault="00116EEA" w:rsidP="00163DB2">
      <w:pPr>
        <w:ind w:right="33"/>
        <w:jc w:val="both"/>
        <w:rPr>
          <w:rFonts w:ascii="Cambria" w:hAnsi="Cambria"/>
          <w:sz w:val="21"/>
          <w:szCs w:val="21"/>
        </w:rPr>
      </w:pPr>
      <w:r w:rsidRPr="00CB305F">
        <w:rPr>
          <w:rFonts w:ascii="Cambria" w:hAnsi="Cambria"/>
          <w:sz w:val="21"/>
          <w:szCs w:val="21"/>
        </w:rPr>
        <w:t xml:space="preserve">A major diagnostic report – </w:t>
      </w:r>
      <w:r w:rsidRPr="00CB305F">
        <w:rPr>
          <w:rFonts w:ascii="Cambria" w:hAnsi="Cambria"/>
          <w:i/>
          <w:iCs/>
          <w:sz w:val="21"/>
          <w:szCs w:val="21"/>
        </w:rPr>
        <w:t>The challenges in delivering quality education in Thailand: Rules, Resources and Leadership</w:t>
      </w:r>
      <w:r w:rsidRPr="00CB305F">
        <w:rPr>
          <w:rFonts w:ascii="Cambria" w:hAnsi="Cambria"/>
          <w:sz w:val="21"/>
          <w:szCs w:val="21"/>
        </w:rPr>
        <w:t xml:space="preserve"> – was launched in February 2021, </w:t>
      </w:r>
      <w:r w:rsidR="00F14E83" w:rsidRPr="00CB305F">
        <w:rPr>
          <w:rFonts w:ascii="Cambria" w:hAnsi="Cambria"/>
          <w:sz w:val="21"/>
          <w:szCs w:val="21"/>
        </w:rPr>
        <w:t xml:space="preserve">in an event attended by 5 secretaries of departments, </w:t>
      </w:r>
      <w:r w:rsidR="00573A2F">
        <w:rPr>
          <w:rFonts w:ascii="Cambria" w:hAnsi="Cambria"/>
          <w:sz w:val="21"/>
          <w:szCs w:val="21"/>
        </w:rPr>
        <w:t xml:space="preserve">amongst 40 leading educators, </w:t>
      </w:r>
      <w:r w:rsidR="00F14E83" w:rsidRPr="00CB305F">
        <w:rPr>
          <w:rFonts w:ascii="Cambria" w:hAnsi="Cambria"/>
          <w:sz w:val="21"/>
          <w:szCs w:val="21"/>
        </w:rPr>
        <w:t xml:space="preserve">illustrating high levels of senior interest and </w:t>
      </w:r>
      <w:r w:rsidR="00E10610" w:rsidRPr="00CB305F">
        <w:rPr>
          <w:rFonts w:ascii="Cambria" w:hAnsi="Cambria"/>
          <w:sz w:val="21"/>
          <w:szCs w:val="21"/>
        </w:rPr>
        <w:t xml:space="preserve">the dividends of </w:t>
      </w:r>
      <w:r w:rsidR="00F14E83" w:rsidRPr="00CB305F">
        <w:rPr>
          <w:rFonts w:ascii="Cambria" w:hAnsi="Cambria"/>
          <w:sz w:val="21"/>
          <w:szCs w:val="21"/>
        </w:rPr>
        <w:t>a constructive “hand-in-hand” approach</w:t>
      </w:r>
      <w:r w:rsidR="00BD4D4E">
        <w:rPr>
          <w:rFonts w:ascii="Cambria" w:hAnsi="Cambria"/>
          <w:sz w:val="21"/>
          <w:szCs w:val="21"/>
        </w:rPr>
        <w:t xml:space="preserve"> </w:t>
      </w:r>
      <w:r w:rsidR="00893FEE">
        <w:rPr>
          <w:rFonts w:ascii="Cambria" w:hAnsi="Cambria"/>
          <w:sz w:val="21"/>
          <w:szCs w:val="21"/>
        </w:rPr>
        <w:t>that</w:t>
      </w:r>
      <w:r w:rsidR="00BD4D4E">
        <w:rPr>
          <w:rFonts w:ascii="Cambria" w:hAnsi="Cambria"/>
          <w:sz w:val="21"/>
          <w:szCs w:val="21"/>
        </w:rPr>
        <w:t xml:space="preserve"> has been years in the making</w:t>
      </w:r>
      <w:r w:rsidRPr="00CB305F">
        <w:rPr>
          <w:rFonts w:ascii="Cambria" w:hAnsi="Cambria"/>
          <w:sz w:val="21"/>
          <w:szCs w:val="21"/>
        </w:rPr>
        <w:t xml:space="preserve">.  </w:t>
      </w:r>
      <w:r w:rsidR="00BD4D4E">
        <w:rPr>
          <w:rFonts w:ascii="Cambria" w:hAnsi="Cambria"/>
          <w:sz w:val="21"/>
          <w:szCs w:val="21"/>
        </w:rPr>
        <w:t xml:space="preserve"> </w:t>
      </w:r>
      <w:r w:rsidRPr="00CB305F">
        <w:rPr>
          <w:rFonts w:ascii="Cambria" w:hAnsi="Cambria"/>
          <w:sz w:val="21"/>
          <w:szCs w:val="21"/>
        </w:rPr>
        <w:t xml:space="preserve">Major stakeholders such as the Office of Basic Education </w:t>
      </w:r>
      <w:r w:rsidR="009F65E5" w:rsidRPr="00CB305F">
        <w:rPr>
          <w:rFonts w:ascii="Cambria" w:hAnsi="Cambria"/>
          <w:sz w:val="21"/>
          <w:szCs w:val="21"/>
        </w:rPr>
        <w:t xml:space="preserve">(OBEC) </w:t>
      </w:r>
      <w:r w:rsidRPr="00CB305F">
        <w:rPr>
          <w:rFonts w:ascii="Cambria" w:hAnsi="Cambria"/>
          <w:sz w:val="21"/>
          <w:szCs w:val="21"/>
        </w:rPr>
        <w:t xml:space="preserve">and </w:t>
      </w:r>
      <w:r w:rsidR="00BE627C" w:rsidRPr="00CB305F">
        <w:rPr>
          <w:rFonts w:ascii="Cambria" w:hAnsi="Cambria"/>
          <w:sz w:val="21"/>
          <w:szCs w:val="21"/>
        </w:rPr>
        <w:t xml:space="preserve">the Bangkok Metropolitan </w:t>
      </w:r>
      <w:r w:rsidR="009F65E5" w:rsidRPr="00CB305F">
        <w:rPr>
          <w:rFonts w:ascii="Cambria" w:hAnsi="Cambria"/>
          <w:sz w:val="21"/>
          <w:szCs w:val="21"/>
        </w:rPr>
        <w:t>A</w:t>
      </w:r>
      <w:r w:rsidR="00BE627C" w:rsidRPr="00CB305F">
        <w:rPr>
          <w:rFonts w:ascii="Cambria" w:hAnsi="Cambria"/>
          <w:sz w:val="21"/>
          <w:szCs w:val="21"/>
        </w:rPr>
        <w:t xml:space="preserve">dministration </w:t>
      </w:r>
      <w:r w:rsidR="009F65E5" w:rsidRPr="00CB305F">
        <w:rPr>
          <w:rFonts w:ascii="Cambria" w:hAnsi="Cambria"/>
          <w:sz w:val="21"/>
          <w:szCs w:val="21"/>
        </w:rPr>
        <w:t xml:space="preserve">(BMA) </w:t>
      </w:r>
      <w:r w:rsidRPr="00CB305F">
        <w:rPr>
          <w:rFonts w:ascii="Cambria" w:hAnsi="Cambria"/>
          <w:sz w:val="21"/>
          <w:szCs w:val="21"/>
        </w:rPr>
        <w:t>welcomed the report and committed to at least some of its recommendations.</w:t>
      </w:r>
      <w:r w:rsidR="00573A2F">
        <w:rPr>
          <w:rStyle w:val="EndnoteReference"/>
          <w:rFonts w:ascii="Cambria" w:hAnsi="Cambria"/>
          <w:sz w:val="21"/>
          <w:szCs w:val="21"/>
        </w:rPr>
        <w:endnoteReference w:id="8"/>
      </w:r>
      <w:r w:rsidR="00BE627C" w:rsidRPr="00CB305F">
        <w:rPr>
          <w:rFonts w:ascii="Cambria" w:hAnsi="Cambria"/>
          <w:sz w:val="21"/>
          <w:szCs w:val="21"/>
        </w:rPr>
        <w:t xml:space="preserve">  </w:t>
      </w:r>
    </w:p>
    <w:p w14:paraId="62CA5DB6" w14:textId="77777777" w:rsidR="00F14E83" w:rsidRPr="00CB305F" w:rsidRDefault="00F14E83" w:rsidP="00163DB2">
      <w:pPr>
        <w:ind w:right="33"/>
        <w:jc w:val="both"/>
        <w:rPr>
          <w:rFonts w:ascii="Cambria" w:hAnsi="Cambria"/>
          <w:sz w:val="21"/>
          <w:szCs w:val="21"/>
        </w:rPr>
      </w:pPr>
    </w:p>
    <w:p w14:paraId="08CE010C" w14:textId="372F2FEC" w:rsidR="008A372D" w:rsidRPr="00CB305F" w:rsidRDefault="00573A2F" w:rsidP="00163DB2">
      <w:pPr>
        <w:ind w:right="33"/>
        <w:jc w:val="both"/>
        <w:rPr>
          <w:rFonts w:ascii="Cambria" w:hAnsi="Cambria"/>
          <w:sz w:val="21"/>
          <w:szCs w:val="21"/>
        </w:rPr>
      </w:pPr>
      <w:r>
        <w:rPr>
          <w:rFonts w:ascii="Cambria" w:hAnsi="Cambria"/>
          <w:sz w:val="21"/>
          <w:szCs w:val="21"/>
        </w:rPr>
        <w:t>Policy-based d</w:t>
      </w:r>
      <w:r w:rsidR="00BE627C" w:rsidRPr="00CB305F">
        <w:rPr>
          <w:rFonts w:ascii="Cambria" w:hAnsi="Cambria"/>
          <w:sz w:val="21"/>
          <w:szCs w:val="21"/>
        </w:rPr>
        <w:t xml:space="preserve">ialogue is being used to build coalitions in support of greater school autonomy </w:t>
      </w:r>
      <w:r w:rsidR="00445B25" w:rsidRPr="00CB305F">
        <w:rPr>
          <w:rFonts w:ascii="Cambria" w:hAnsi="Cambria"/>
          <w:sz w:val="21"/>
          <w:szCs w:val="21"/>
        </w:rPr>
        <w:t xml:space="preserve">and to identify the means of achieving it.  </w:t>
      </w:r>
      <w:r w:rsidR="00570F37" w:rsidRPr="00CB305F">
        <w:rPr>
          <w:rFonts w:ascii="Cambria" w:hAnsi="Cambria"/>
          <w:sz w:val="21"/>
          <w:szCs w:val="21"/>
        </w:rPr>
        <w:t>MCOT TV network is working with TAF to highlight education issues in a monthly prime</w:t>
      </w:r>
      <w:r w:rsidR="00F14E83" w:rsidRPr="00CB305F">
        <w:rPr>
          <w:rFonts w:ascii="Cambria" w:hAnsi="Cambria"/>
          <w:sz w:val="21"/>
          <w:szCs w:val="21"/>
        </w:rPr>
        <w:t>-</w:t>
      </w:r>
      <w:r w:rsidR="00570F37" w:rsidRPr="00CB305F">
        <w:rPr>
          <w:rFonts w:ascii="Cambria" w:hAnsi="Cambria"/>
          <w:sz w:val="21"/>
          <w:szCs w:val="21"/>
        </w:rPr>
        <w:t xml:space="preserve">time discussion </w:t>
      </w:r>
      <w:r w:rsidR="00F14E83" w:rsidRPr="00CB305F">
        <w:rPr>
          <w:rFonts w:ascii="Cambria" w:hAnsi="Cambria"/>
          <w:sz w:val="21"/>
          <w:szCs w:val="21"/>
        </w:rPr>
        <w:t>program</w:t>
      </w:r>
      <w:r w:rsidR="00570F37" w:rsidRPr="00CB305F">
        <w:rPr>
          <w:rFonts w:ascii="Cambria" w:hAnsi="Cambria"/>
          <w:sz w:val="21"/>
          <w:szCs w:val="21"/>
        </w:rPr>
        <w:t xml:space="preserve">. </w:t>
      </w:r>
      <w:r w:rsidR="00C7608A" w:rsidRPr="00CB305F">
        <w:rPr>
          <w:rFonts w:ascii="Cambria" w:hAnsi="Cambria"/>
          <w:sz w:val="21"/>
          <w:szCs w:val="21"/>
        </w:rPr>
        <w:t xml:space="preserve"> At OBEC’s request</w:t>
      </w:r>
      <w:r w:rsidR="00445B25" w:rsidRPr="00CB305F">
        <w:rPr>
          <w:rFonts w:ascii="Cambria" w:hAnsi="Cambria"/>
          <w:sz w:val="21"/>
          <w:szCs w:val="21"/>
        </w:rPr>
        <w:t>,</w:t>
      </w:r>
      <w:r w:rsidR="00C7608A" w:rsidRPr="00CB305F">
        <w:rPr>
          <w:rFonts w:ascii="Cambria" w:hAnsi="Cambria"/>
          <w:sz w:val="21"/>
          <w:szCs w:val="21"/>
        </w:rPr>
        <w:t xml:space="preserve"> a separate</w:t>
      </w:r>
      <w:r>
        <w:rPr>
          <w:rFonts w:ascii="Cambria" w:hAnsi="Cambria"/>
          <w:sz w:val="21"/>
          <w:szCs w:val="21"/>
        </w:rPr>
        <w:t>,</w:t>
      </w:r>
      <w:r w:rsidR="00C7608A" w:rsidRPr="00CB305F">
        <w:rPr>
          <w:rFonts w:ascii="Cambria" w:hAnsi="Cambria"/>
          <w:sz w:val="21"/>
          <w:szCs w:val="21"/>
        </w:rPr>
        <w:t xml:space="preserve"> small initiative was commenced to assist the upgrading of Thailand’s fragmented capability for digital education.  </w:t>
      </w:r>
      <w:r w:rsidR="00394001">
        <w:rPr>
          <w:rFonts w:ascii="Cambria" w:hAnsi="Cambria"/>
          <w:sz w:val="21"/>
          <w:szCs w:val="21"/>
        </w:rPr>
        <w:t>BMA reported considerable student and teacher enthusiasm for the digital program.  It</w:t>
      </w:r>
      <w:r w:rsidR="00C7608A" w:rsidRPr="00CB305F">
        <w:rPr>
          <w:rFonts w:ascii="Cambria" w:hAnsi="Cambria"/>
          <w:sz w:val="21"/>
          <w:szCs w:val="21"/>
        </w:rPr>
        <w:t xml:space="preserve"> has demonstrated the usefulness of MTRP to respond to priority requests</w:t>
      </w:r>
      <w:r w:rsidR="00F14E83" w:rsidRPr="00CB305F">
        <w:rPr>
          <w:rFonts w:ascii="Cambria" w:hAnsi="Cambria"/>
          <w:sz w:val="21"/>
          <w:szCs w:val="21"/>
        </w:rPr>
        <w:t>,</w:t>
      </w:r>
      <w:r w:rsidR="00C7608A" w:rsidRPr="00CB305F">
        <w:rPr>
          <w:rFonts w:ascii="Cambria" w:hAnsi="Cambria"/>
          <w:sz w:val="21"/>
          <w:szCs w:val="21"/>
        </w:rPr>
        <w:t xml:space="preserve"> </w:t>
      </w:r>
      <w:r w:rsidR="007A5E66" w:rsidRPr="00CB305F">
        <w:rPr>
          <w:rFonts w:ascii="Cambria" w:hAnsi="Cambria"/>
          <w:sz w:val="21"/>
          <w:szCs w:val="21"/>
        </w:rPr>
        <w:t xml:space="preserve">but while an important means of keeping students engaged with education during COVID, TAF’s work on instructional leadership should remain the focus. </w:t>
      </w:r>
    </w:p>
    <w:p w14:paraId="5792BAB9" w14:textId="77777777" w:rsidR="008A372D" w:rsidRPr="00CB305F" w:rsidRDefault="008A372D" w:rsidP="00163DB2">
      <w:pPr>
        <w:ind w:left="720" w:right="33"/>
        <w:jc w:val="both"/>
        <w:rPr>
          <w:rFonts w:ascii="Cambria" w:hAnsi="Cambria"/>
          <w:b/>
          <w:bCs/>
          <w:sz w:val="21"/>
          <w:szCs w:val="21"/>
        </w:rPr>
      </w:pPr>
    </w:p>
    <w:p w14:paraId="34BEA06C" w14:textId="620AE8D2" w:rsidR="00E568EE" w:rsidRPr="00CB305F" w:rsidRDefault="00E568EE" w:rsidP="00163DB2">
      <w:pPr>
        <w:ind w:left="720" w:right="33"/>
        <w:jc w:val="both"/>
        <w:rPr>
          <w:rFonts w:ascii="Cambria" w:hAnsi="Cambria"/>
          <w:b/>
          <w:bCs/>
          <w:sz w:val="21"/>
          <w:szCs w:val="21"/>
        </w:rPr>
      </w:pPr>
      <w:r w:rsidRPr="00CB305F">
        <w:rPr>
          <w:rFonts w:ascii="Cambria" w:hAnsi="Cambria"/>
          <w:b/>
          <w:bCs/>
          <w:sz w:val="21"/>
          <w:szCs w:val="21"/>
        </w:rPr>
        <w:t>Comments and assessments from stakeholders:</w:t>
      </w:r>
    </w:p>
    <w:p w14:paraId="7D6034BF" w14:textId="6ED48576" w:rsidR="00E568EE" w:rsidRPr="00CB305F" w:rsidRDefault="00E568EE" w:rsidP="00163DB2">
      <w:pPr>
        <w:ind w:right="33"/>
        <w:jc w:val="both"/>
        <w:rPr>
          <w:rFonts w:ascii="Cambria" w:hAnsi="Cambria"/>
          <w:sz w:val="21"/>
          <w:szCs w:val="21"/>
        </w:rPr>
      </w:pPr>
    </w:p>
    <w:p w14:paraId="6A10E64B" w14:textId="49FADDE6" w:rsidR="00E568EE" w:rsidRPr="00CB305F" w:rsidRDefault="00E568EE" w:rsidP="00163DB2">
      <w:pPr>
        <w:ind w:left="720" w:right="33"/>
        <w:jc w:val="both"/>
        <w:rPr>
          <w:rFonts w:ascii="Cambria" w:hAnsi="Cambria"/>
          <w:i/>
          <w:iCs/>
          <w:sz w:val="21"/>
          <w:szCs w:val="21"/>
        </w:rPr>
      </w:pPr>
      <w:r w:rsidRPr="00CB305F">
        <w:rPr>
          <w:rFonts w:ascii="Cambria" w:hAnsi="Cambria"/>
          <w:i/>
          <w:iCs/>
          <w:sz w:val="21"/>
          <w:szCs w:val="21"/>
        </w:rPr>
        <w:t>‘The team is doing a tremendous job, navigating complex issues.</w:t>
      </w:r>
      <w:r w:rsidRPr="00CB305F">
        <w:rPr>
          <w:rFonts w:ascii="Cambria" w:hAnsi="Cambria"/>
          <w:b/>
          <w:bCs/>
          <w:i/>
          <w:iCs/>
          <w:sz w:val="21"/>
          <w:szCs w:val="21"/>
        </w:rPr>
        <w:t xml:space="preserve">’  </w:t>
      </w:r>
      <w:r w:rsidR="007A5E66" w:rsidRPr="00CB305F">
        <w:rPr>
          <w:rFonts w:ascii="Cambria" w:hAnsi="Cambria"/>
          <w:b/>
          <w:bCs/>
          <w:i/>
          <w:iCs/>
          <w:sz w:val="21"/>
          <w:szCs w:val="21"/>
        </w:rPr>
        <w:t xml:space="preserve">                </w:t>
      </w:r>
      <w:r w:rsidR="00CB305F">
        <w:rPr>
          <w:rFonts w:ascii="Cambria" w:hAnsi="Cambria"/>
          <w:b/>
          <w:bCs/>
          <w:i/>
          <w:iCs/>
          <w:sz w:val="21"/>
          <w:szCs w:val="21"/>
        </w:rPr>
        <w:t xml:space="preserve">       </w:t>
      </w:r>
      <w:r w:rsidR="007A5E66" w:rsidRPr="00CB305F">
        <w:rPr>
          <w:rFonts w:ascii="Cambria" w:hAnsi="Cambria"/>
          <w:b/>
          <w:bCs/>
          <w:i/>
          <w:iCs/>
          <w:sz w:val="21"/>
          <w:szCs w:val="21"/>
        </w:rPr>
        <w:t xml:space="preserve">  </w:t>
      </w:r>
      <w:r w:rsidR="00573A2F">
        <w:rPr>
          <w:rFonts w:ascii="Cambria" w:hAnsi="Cambria"/>
          <w:b/>
          <w:bCs/>
          <w:i/>
          <w:iCs/>
          <w:sz w:val="21"/>
          <w:szCs w:val="21"/>
        </w:rPr>
        <w:t xml:space="preserve"> </w:t>
      </w:r>
      <w:r w:rsidR="00BD4D4E">
        <w:rPr>
          <w:rFonts w:ascii="Cambria" w:hAnsi="Cambria"/>
          <w:b/>
          <w:bCs/>
          <w:i/>
          <w:iCs/>
          <w:sz w:val="21"/>
          <w:szCs w:val="21"/>
        </w:rPr>
        <w:t xml:space="preserve">  </w:t>
      </w:r>
      <w:r w:rsidR="00573A2F">
        <w:rPr>
          <w:rFonts w:ascii="Cambria" w:hAnsi="Cambria"/>
          <w:b/>
          <w:bCs/>
          <w:i/>
          <w:iCs/>
          <w:sz w:val="21"/>
          <w:szCs w:val="21"/>
        </w:rPr>
        <w:t xml:space="preserve"> </w:t>
      </w:r>
      <w:r w:rsidRPr="00CB305F">
        <w:rPr>
          <w:rFonts w:ascii="Cambria" w:hAnsi="Cambria"/>
          <w:b/>
          <w:bCs/>
          <w:i/>
          <w:iCs/>
          <w:sz w:val="21"/>
          <w:szCs w:val="21"/>
        </w:rPr>
        <w:t>DFAT posted officer</w:t>
      </w:r>
    </w:p>
    <w:p w14:paraId="1DC6C076" w14:textId="6CD2390B" w:rsidR="006D34EB" w:rsidRPr="00CB305F" w:rsidRDefault="006D34EB" w:rsidP="00163DB2">
      <w:pPr>
        <w:ind w:left="720" w:right="33"/>
        <w:jc w:val="both"/>
        <w:rPr>
          <w:rFonts w:ascii="Cambria" w:hAnsi="Cambria"/>
          <w:i/>
          <w:iCs/>
          <w:sz w:val="21"/>
          <w:szCs w:val="21"/>
        </w:rPr>
      </w:pPr>
    </w:p>
    <w:p w14:paraId="3F1760F3" w14:textId="29882DEB" w:rsidR="00C8068E" w:rsidRPr="00CB305F" w:rsidRDefault="00242B09" w:rsidP="00163DB2">
      <w:pPr>
        <w:ind w:left="720" w:right="33"/>
        <w:jc w:val="both"/>
        <w:rPr>
          <w:rFonts w:ascii="Cambria" w:hAnsi="Cambria"/>
          <w:i/>
          <w:iCs/>
          <w:sz w:val="21"/>
          <w:szCs w:val="21"/>
        </w:rPr>
      </w:pPr>
      <w:r>
        <w:rPr>
          <w:rFonts w:ascii="Cambria" w:hAnsi="Cambria"/>
          <w:i/>
          <w:iCs/>
          <w:sz w:val="21"/>
          <w:szCs w:val="21"/>
        </w:rPr>
        <w:t>D</w:t>
      </w:r>
      <w:r w:rsidR="00786D4F" w:rsidRPr="00CB305F">
        <w:rPr>
          <w:rFonts w:ascii="Cambria" w:hAnsi="Cambria"/>
          <w:i/>
          <w:iCs/>
          <w:sz w:val="21"/>
          <w:szCs w:val="21"/>
        </w:rPr>
        <w:t>r Ekach</w:t>
      </w:r>
      <w:r>
        <w:rPr>
          <w:rFonts w:ascii="Cambria" w:hAnsi="Cambria"/>
          <w:i/>
          <w:iCs/>
          <w:sz w:val="21"/>
          <w:szCs w:val="21"/>
        </w:rPr>
        <w:t>a</w:t>
      </w:r>
      <w:r w:rsidR="00786D4F" w:rsidRPr="00CB305F">
        <w:rPr>
          <w:rFonts w:ascii="Cambria" w:hAnsi="Cambria"/>
          <w:i/>
          <w:iCs/>
          <w:sz w:val="21"/>
          <w:szCs w:val="21"/>
        </w:rPr>
        <w:t>i [Chairman of</w:t>
      </w:r>
      <w:r w:rsidR="007A5E66" w:rsidRPr="00CB305F">
        <w:rPr>
          <w:rFonts w:ascii="Cambria" w:hAnsi="Cambria"/>
          <w:i/>
          <w:iCs/>
          <w:sz w:val="21"/>
          <w:szCs w:val="21"/>
        </w:rPr>
        <w:t xml:space="preserve"> </w:t>
      </w:r>
      <w:r w:rsidR="00786D4F" w:rsidRPr="00CB305F">
        <w:rPr>
          <w:rFonts w:ascii="Cambria" w:hAnsi="Cambria"/>
          <w:i/>
          <w:iCs/>
          <w:sz w:val="21"/>
          <w:szCs w:val="21"/>
        </w:rPr>
        <w:t xml:space="preserve">OBEC)] commented that the urge to develop instructional leadership in OBEC principals suggested by the Asia Foundation is in line with the </w:t>
      </w:r>
      <w:r w:rsidR="00C7608A" w:rsidRPr="00CB305F">
        <w:rPr>
          <w:rFonts w:ascii="Cambria" w:hAnsi="Cambria"/>
          <w:i/>
          <w:iCs/>
          <w:sz w:val="21"/>
          <w:szCs w:val="21"/>
        </w:rPr>
        <w:t xml:space="preserve">[thinking of] the </w:t>
      </w:r>
      <w:r w:rsidR="00786D4F" w:rsidRPr="00CB305F">
        <w:rPr>
          <w:rFonts w:ascii="Cambria" w:hAnsi="Cambria"/>
          <w:i/>
          <w:iCs/>
          <w:sz w:val="21"/>
          <w:szCs w:val="21"/>
        </w:rPr>
        <w:t>Office of the Teacher Civil Service and Educational Personnel Commission</w:t>
      </w:r>
      <w:r w:rsidR="00C7608A" w:rsidRPr="00CB305F">
        <w:rPr>
          <w:rFonts w:ascii="Cambria" w:hAnsi="Cambria"/>
          <w:i/>
          <w:iCs/>
          <w:sz w:val="21"/>
          <w:szCs w:val="21"/>
        </w:rPr>
        <w:t>.</w:t>
      </w:r>
      <w:r w:rsidR="00C8068E" w:rsidRPr="00CB305F">
        <w:rPr>
          <w:rFonts w:ascii="Cambria" w:hAnsi="Cambria"/>
          <w:i/>
          <w:iCs/>
          <w:sz w:val="21"/>
          <w:szCs w:val="21"/>
        </w:rPr>
        <w:tab/>
        <w:t xml:space="preserve">      </w:t>
      </w:r>
      <w:r w:rsidR="00CB305F">
        <w:rPr>
          <w:rFonts w:ascii="Cambria" w:hAnsi="Cambria"/>
          <w:i/>
          <w:iCs/>
          <w:sz w:val="21"/>
          <w:szCs w:val="21"/>
        </w:rPr>
        <w:t xml:space="preserve">                 </w:t>
      </w:r>
      <w:r w:rsidR="00C8068E" w:rsidRPr="00CB305F">
        <w:rPr>
          <w:rFonts w:ascii="Cambria" w:hAnsi="Cambria"/>
          <w:i/>
          <w:iCs/>
          <w:sz w:val="21"/>
          <w:szCs w:val="21"/>
        </w:rPr>
        <w:t xml:space="preserve"> </w:t>
      </w:r>
      <w:r w:rsidR="00BD4D4E">
        <w:rPr>
          <w:rFonts w:ascii="Cambria" w:hAnsi="Cambria"/>
          <w:i/>
          <w:iCs/>
          <w:sz w:val="21"/>
          <w:szCs w:val="21"/>
        </w:rPr>
        <w:t xml:space="preserve"> </w:t>
      </w:r>
      <w:r w:rsidR="00893FEE">
        <w:rPr>
          <w:rFonts w:ascii="Cambria" w:hAnsi="Cambria"/>
          <w:i/>
          <w:iCs/>
          <w:sz w:val="21"/>
          <w:szCs w:val="21"/>
        </w:rPr>
        <w:t xml:space="preserve">                </w:t>
      </w:r>
      <w:r w:rsidR="00BD4D4E">
        <w:rPr>
          <w:rFonts w:ascii="Cambria" w:hAnsi="Cambria"/>
          <w:i/>
          <w:iCs/>
          <w:sz w:val="21"/>
          <w:szCs w:val="21"/>
        </w:rPr>
        <w:t xml:space="preserve">  </w:t>
      </w:r>
      <w:r w:rsidR="00C8068E" w:rsidRPr="00CB305F">
        <w:rPr>
          <w:rFonts w:ascii="Cambria" w:hAnsi="Cambria"/>
          <w:i/>
          <w:iCs/>
          <w:sz w:val="21"/>
          <w:szCs w:val="21"/>
        </w:rPr>
        <w:t xml:space="preserve"> </w:t>
      </w:r>
      <w:r w:rsidR="00C8068E" w:rsidRPr="00CB305F">
        <w:rPr>
          <w:rFonts w:ascii="Cambria" w:hAnsi="Cambria"/>
          <w:b/>
          <w:bCs/>
          <w:i/>
          <w:iCs/>
          <w:sz w:val="21"/>
          <w:szCs w:val="21"/>
        </w:rPr>
        <w:t>OBEC Press release</w:t>
      </w:r>
      <w:r w:rsidR="00C8068E" w:rsidRPr="00CB305F">
        <w:rPr>
          <w:rFonts w:ascii="Cambria" w:hAnsi="Cambria"/>
          <w:i/>
          <w:iCs/>
          <w:sz w:val="21"/>
          <w:szCs w:val="21"/>
        </w:rPr>
        <w:t xml:space="preserve"> </w:t>
      </w:r>
    </w:p>
    <w:p w14:paraId="625DE629" w14:textId="4753AEAD" w:rsidR="00F14E83" w:rsidRPr="00CB305F" w:rsidRDefault="00F14E83" w:rsidP="00163DB2">
      <w:pPr>
        <w:ind w:left="720" w:right="33"/>
        <w:jc w:val="both"/>
        <w:rPr>
          <w:rFonts w:ascii="Cambria" w:hAnsi="Cambria"/>
          <w:i/>
          <w:iCs/>
          <w:sz w:val="21"/>
          <w:szCs w:val="21"/>
        </w:rPr>
      </w:pPr>
    </w:p>
    <w:p w14:paraId="75605DB6" w14:textId="2F843293" w:rsidR="00770DB8" w:rsidRDefault="00F14E83" w:rsidP="00163DB2">
      <w:pPr>
        <w:ind w:left="720" w:right="33"/>
        <w:jc w:val="both"/>
        <w:rPr>
          <w:rFonts w:ascii="Cambria" w:hAnsi="Cambria"/>
          <w:i/>
          <w:iCs/>
          <w:sz w:val="21"/>
          <w:szCs w:val="21"/>
        </w:rPr>
      </w:pPr>
      <w:r w:rsidRPr="00CB305F">
        <w:rPr>
          <w:rFonts w:ascii="Cambria" w:hAnsi="Cambria"/>
          <w:i/>
          <w:iCs/>
          <w:sz w:val="21"/>
          <w:szCs w:val="21"/>
        </w:rPr>
        <w:t>“Potentially we may be able to improve educational outcomes in many of Thailand’s 36,000 schools.  That is a very big prize.</w:t>
      </w:r>
      <w:r w:rsidR="00E10610" w:rsidRPr="00CB305F">
        <w:rPr>
          <w:rFonts w:ascii="Cambria" w:hAnsi="Cambria"/>
          <w:i/>
          <w:iCs/>
          <w:sz w:val="21"/>
          <w:szCs w:val="21"/>
        </w:rPr>
        <w:t xml:space="preserve">  Progress has been based on years of building credibility with Ministries, sometimes meeting with 40 people a day …  Quality diagnostic work is also essential and there’s more we need to do</w:t>
      </w:r>
      <w:r w:rsidRPr="00CB305F">
        <w:rPr>
          <w:rFonts w:ascii="Cambria" w:hAnsi="Cambria"/>
          <w:i/>
          <w:iCs/>
          <w:sz w:val="21"/>
          <w:szCs w:val="21"/>
        </w:rPr>
        <w:t>”</w:t>
      </w:r>
      <w:r w:rsidR="00E10610" w:rsidRPr="00CB305F">
        <w:rPr>
          <w:rFonts w:ascii="Cambria" w:hAnsi="Cambria"/>
          <w:i/>
          <w:iCs/>
          <w:sz w:val="21"/>
          <w:szCs w:val="21"/>
        </w:rPr>
        <w:t>.</w:t>
      </w:r>
      <w:r w:rsidRPr="00CB305F">
        <w:rPr>
          <w:rFonts w:ascii="Cambria" w:hAnsi="Cambria"/>
          <w:i/>
          <w:iCs/>
          <w:sz w:val="21"/>
          <w:szCs w:val="21"/>
        </w:rPr>
        <w:tab/>
      </w:r>
      <w:r w:rsidRPr="00CB305F">
        <w:rPr>
          <w:rFonts w:ascii="Cambria" w:hAnsi="Cambria"/>
          <w:i/>
          <w:iCs/>
          <w:sz w:val="21"/>
          <w:szCs w:val="21"/>
        </w:rPr>
        <w:tab/>
      </w:r>
      <w:r w:rsidRPr="00CB305F">
        <w:rPr>
          <w:rFonts w:ascii="Cambria" w:hAnsi="Cambria"/>
          <w:i/>
          <w:iCs/>
          <w:sz w:val="21"/>
          <w:szCs w:val="21"/>
        </w:rPr>
        <w:tab/>
      </w:r>
      <w:r w:rsidRPr="00CB305F">
        <w:rPr>
          <w:rFonts w:ascii="Cambria" w:hAnsi="Cambria"/>
          <w:b/>
          <w:bCs/>
          <w:i/>
          <w:iCs/>
          <w:sz w:val="21"/>
          <w:szCs w:val="21"/>
        </w:rPr>
        <w:t xml:space="preserve">   </w:t>
      </w:r>
      <w:r w:rsidR="00CB305F">
        <w:rPr>
          <w:rFonts w:ascii="Cambria" w:hAnsi="Cambria"/>
          <w:b/>
          <w:bCs/>
          <w:i/>
          <w:iCs/>
          <w:sz w:val="21"/>
          <w:szCs w:val="21"/>
        </w:rPr>
        <w:t xml:space="preserve">                                               </w:t>
      </w:r>
      <w:r w:rsidRPr="00CB305F">
        <w:rPr>
          <w:rFonts w:ascii="Cambria" w:hAnsi="Cambria"/>
          <w:b/>
          <w:bCs/>
          <w:i/>
          <w:iCs/>
          <w:sz w:val="21"/>
          <w:szCs w:val="21"/>
        </w:rPr>
        <w:t xml:space="preserve"> </w:t>
      </w:r>
      <w:r w:rsidR="00BD4D4E">
        <w:rPr>
          <w:rFonts w:ascii="Cambria" w:hAnsi="Cambria"/>
          <w:b/>
          <w:bCs/>
          <w:i/>
          <w:iCs/>
          <w:sz w:val="21"/>
          <w:szCs w:val="21"/>
        </w:rPr>
        <w:t xml:space="preserve">  </w:t>
      </w:r>
      <w:r w:rsidR="00573A2F">
        <w:rPr>
          <w:rFonts w:ascii="Cambria" w:hAnsi="Cambria"/>
          <w:b/>
          <w:bCs/>
          <w:i/>
          <w:iCs/>
          <w:sz w:val="21"/>
          <w:szCs w:val="21"/>
        </w:rPr>
        <w:t xml:space="preserve">  </w:t>
      </w:r>
      <w:r w:rsidR="00187496">
        <w:rPr>
          <w:rFonts w:ascii="Cambria" w:hAnsi="Cambria"/>
          <w:b/>
          <w:bCs/>
          <w:i/>
          <w:iCs/>
          <w:sz w:val="21"/>
          <w:szCs w:val="21"/>
        </w:rPr>
        <w:tab/>
      </w:r>
      <w:r w:rsidR="00187496">
        <w:rPr>
          <w:rFonts w:ascii="Cambria" w:hAnsi="Cambria"/>
          <w:b/>
          <w:bCs/>
          <w:i/>
          <w:iCs/>
          <w:sz w:val="21"/>
          <w:szCs w:val="21"/>
        </w:rPr>
        <w:tab/>
        <w:t xml:space="preserve">           </w:t>
      </w:r>
      <w:r w:rsidRPr="00CB305F">
        <w:rPr>
          <w:rFonts w:ascii="Cambria" w:hAnsi="Cambria"/>
          <w:b/>
          <w:bCs/>
          <w:i/>
          <w:iCs/>
          <w:sz w:val="21"/>
          <w:szCs w:val="21"/>
        </w:rPr>
        <w:t>TAF Education Lead</w:t>
      </w:r>
    </w:p>
    <w:p w14:paraId="6B49623B" w14:textId="794A590E" w:rsidR="00187496" w:rsidRDefault="00187496" w:rsidP="00163DB2">
      <w:pPr>
        <w:ind w:left="720" w:right="33"/>
        <w:jc w:val="both"/>
        <w:rPr>
          <w:rFonts w:ascii="Cambria" w:hAnsi="Cambria"/>
          <w:i/>
          <w:iCs/>
          <w:sz w:val="21"/>
          <w:szCs w:val="21"/>
        </w:rPr>
      </w:pPr>
    </w:p>
    <w:p w14:paraId="28CE6F93" w14:textId="7739690C" w:rsidR="00B70FBF" w:rsidRDefault="00187496" w:rsidP="00163DB2">
      <w:pPr>
        <w:ind w:left="720" w:right="33"/>
        <w:jc w:val="both"/>
        <w:rPr>
          <w:rFonts w:ascii="Cambria" w:hAnsi="Cambria"/>
          <w:i/>
          <w:iCs/>
          <w:sz w:val="21"/>
          <w:szCs w:val="21"/>
        </w:rPr>
      </w:pPr>
      <w:r>
        <w:rPr>
          <w:rFonts w:ascii="Cambria" w:hAnsi="Cambria"/>
          <w:i/>
          <w:iCs/>
          <w:sz w:val="21"/>
          <w:szCs w:val="21"/>
        </w:rPr>
        <w:t>We’ve worked together from the beginning and our thinking aligns.  Sometimes an external stakeholder can do things insiders can’t.  They can be independent, they can point to global examples, and their views can carry a lot of weight.  TAF has been very good to work wit</w:t>
      </w:r>
      <w:r w:rsidR="002B6E7E">
        <w:rPr>
          <w:rFonts w:ascii="Cambria" w:hAnsi="Cambria"/>
          <w:i/>
          <w:iCs/>
          <w:sz w:val="21"/>
          <w:szCs w:val="21"/>
        </w:rPr>
        <w:t>h.  It</w:t>
      </w:r>
      <w:r>
        <w:rPr>
          <w:rFonts w:ascii="Cambria" w:hAnsi="Cambria"/>
          <w:i/>
          <w:iCs/>
          <w:sz w:val="21"/>
          <w:szCs w:val="21"/>
        </w:rPr>
        <w:t xml:space="preserve"> is our only external partner.</w:t>
      </w:r>
    </w:p>
    <w:p w14:paraId="46890F1B" w14:textId="3B35FDA8" w:rsidR="00187496" w:rsidRPr="00187496" w:rsidRDefault="00187496" w:rsidP="00163DB2">
      <w:pPr>
        <w:ind w:left="2880" w:right="33"/>
        <w:jc w:val="both"/>
        <w:rPr>
          <w:rFonts w:ascii="Cambria" w:hAnsi="Cambria"/>
          <w:b/>
          <w:bCs/>
          <w:i/>
          <w:iCs/>
          <w:sz w:val="21"/>
          <w:szCs w:val="21"/>
        </w:rPr>
      </w:pPr>
      <w:r>
        <w:rPr>
          <w:rFonts w:ascii="Cambria" w:hAnsi="Cambria"/>
          <w:i/>
          <w:iCs/>
          <w:sz w:val="21"/>
          <w:szCs w:val="21"/>
        </w:rPr>
        <w:tab/>
      </w:r>
      <w:r>
        <w:rPr>
          <w:rFonts w:ascii="Cambria" w:hAnsi="Cambria"/>
          <w:i/>
          <w:iCs/>
          <w:sz w:val="21"/>
          <w:szCs w:val="21"/>
        </w:rPr>
        <w:tab/>
        <w:t xml:space="preserve">  </w:t>
      </w:r>
      <w:r w:rsidRPr="00187496">
        <w:rPr>
          <w:rFonts w:ascii="Cambria" w:hAnsi="Cambria"/>
          <w:b/>
          <w:bCs/>
          <w:i/>
          <w:iCs/>
          <w:sz w:val="21"/>
          <w:szCs w:val="21"/>
        </w:rPr>
        <w:t xml:space="preserve"> District Officer, Bangkok Metropolitan  Administration</w:t>
      </w:r>
    </w:p>
    <w:p w14:paraId="7CFA9B82" w14:textId="39E8C216" w:rsidR="00B442DD" w:rsidRDefault="00B73A90" w:rsidP="00163DB2">
      <w:pPr>
        <w:spacing w:before="160"/>
        <w:ind w:left="5761" w:right="33" w:firstLine="720"/>
        <w:jc w:val="both"/>
      </w:pPr>
      <w:r>
        <w:rPr>
          <w:rFonts w:ascii="Cambria" w:hAnsi="Cambria"/>
          <w:b/>
          <w:bCs/>
          <w:sz w:val="22"/>
          <w:szCs w:val="22"/>
        </w:rPr>
        <w:t xml:space="preserve">   </w:t>
      </w:r>
      <w:r w:rsidR="00320A4D">
        <w:rPr>
          <w:rFonts w:ascii="Cambria" w:hAnsi="Cambria"/>
          <w:b/>
          <w:bCs/>
          <w:sz w:val="22"/>
          <w:szCs w:val="22"/>
        </w:rPr>
        <w:t xml:space="preserve">     </w:t>
      </w:r>
      <w:r>
        <w:rPr>
          <w:rFonts w:ascii="Cambria" w:hAnsi="Cambria"/>
          <w:b/>
          <w:bCs/>
          <w:sz w:val="22"/>
          <w:szCs w:val="22"/>
        </w:rPr>
        <w:t xml:space="preserve"> </w:t>
      </w:r>
      <w:r w:rsidR="00770DB8" w:rsidRPr="004031E0">
        <w:rPr>
          <w:rFonts w:ascii="Cambria" w:hAnsi="Cambria"/>
          <w:b/>
          <w:bCs/>
          <w:sz w:val="22"/>
          <w:szCs w:val="22"/>
        </w:rPr>
        <w:t>Overall rating</w:t>
      </w:r>
      <w:r w:rsidR="004031E0">
        <w:rPr>
          <w:rFonts w:ascii="Cambria" w:hAnsi="Cambria"/>
          <w:b/>
          <w:bCs/>
          <w:sz w:val="22"/>
          <w:szCs w:val="22"/>
        </w:rPr>
        <w:t xml:space="preserve">   </w:t>
      </w:r>
      <w:r w:rsidR="00B442DD">
        <w:t xml:space="preserve"> </w:t>
      </w:r>
      <w:r w:rsidR="004031E0">
        <w:t xml:space="preserve">    </w:t>
      </w:r>
      <w:r w:rsidR="00B442DD">
        <w:t xml:space="preserve">   </w:t>
      </w:r>
      <w:r w:rsidR="00E66E02">
        <w:t xml:space="preserve">    </w:t>
      </w:r>
      <w:r w:rsidR="00B442DD">
        <w:t xml:space="preserve"> </w:t>
      </w:r>
      <w:r w:rsidR="00B70FBF">
        <w:rPr>
          <w:rFonts w:ascii="Cambria" w:hAnsi="Cambria"/>
          <w:b/>
          <w:bCs/>
          <w:sz w:val="22"/>
          <w:szCs w:val="22"/>
        </w:rPr>
        <w:t xml:space="preserve">   </w:t>
      </w:r>
      <w:r w:rsidR="00B70FBF">
        <w:rPr>
          <w:rFonts w:ascii="Cambria" w:hAnsi="Cambria"/>
        </w:rPr>
        <w:t xml:space="preserve">  </w:t>
      </w:r>
      <w:r w:rsidR="00B70FBF">
        <w:rPr>
          <w:rFonts w:ascii="Cambria" w:hAnsi="Cambria"/>
          <w:noProof/>
        </w:rPr>
        <w:drawing>
          <wp:inline distT="0" distB="0" distL="0" distR="0" wp14:anchorId="348B4978" wp14:editId="435E8450">
            <wp:extent cx="180000" cy="180000"/>
            <wp:effectExtent l="0" t="0" r="0" b="0"/>
            <wp:docPr id="11" name="Picture 11" descr="Rating Green: fully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ating Green: fully on trac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B442DD">
        <w:t xml:space="preserve"> </w:t>
      </w:r>
    </w:p>
    <w:p w14:paraId="185373C6" w14:textId="548D40EE" w:rsidR="00570F37" w:rsidRDefault="00570F37" w:rsidP="00163DB2">
      <w:pPr>
        <w:ind w:right="33"/>
        <w:jc w:val="both"/>
        <w:rPr>
          <w:rFonts w:ascii="Cambria" w:hAnsi="Cambria"/>
          <w:sz w:val="22"/>
          <w:szCs w:val="22"/>
        </w:rPr>
      </w:pPr>
    </w:p>
    <w:p w14:paraId="605C2261" w14:textId="2C8CD354" w:rsidR="009C47CD" w:rsidRPr="00CB305F" w:rsidRDefault="009C47CD" w:rsidP="00163DB2">
      <w:pPr>
        <w:pStyle w:val="ListParagraph"/>
        <w:numPr>
          <w:ilvl w:val="0"/>
          <w:numId w:val="5"/>
        </w:numPr>
        <w:ind w:right="33"/>
        <w:jc w:val="both"/>
        <w:rPr>
          <w:rFonts w:ascii="Cambria" w:hAnsi="Cambria"/>
          <w:b/>
          <w:bCs/>
          <w:sz w:val="21"/>
          <w:szCs w:val="21"/>
        </w:rPr>
      </w:pPr>
      <w:r w:rsidRPr="00CB305F">
        <w:rPr>
          <w:rFonts w:ascii="Cambria" w:hAnsi="Cambria"/>
          <w:b/>
          <w:bCs/>
          <w:sz w:val="21"/>
          <w:szCs w:val="21"/>
        </w:rPr>
        <w:t xml:space="preserve"> </w:t>
      </w:r>
      <w:r w:rsidR="00187496">
        <w:rPr>
          <w:rFonts w:ascii="Cambria" w:hAnsi="Cambria"/>
          <w:b/>
          <w:bCs/>
          <w:sz w:val="21"/>
          <w:szCs w:val="21"/>
        </w:rPr>
        <w:t>Increasing market c</w:t>
      </w:r>
      <w:r w:rsidR="00DB25A6" w:rsidRPr="00CB305F">
        <w:rPr>
          <w:rFonts w:ascii="Cambria" w:hAnsi="Cambria"/>
          <w:b/>
          <w:bCs/>
          <w:sz w:val="21"/>
          <w:szCs w:val="21"/>
        </w:rPr>
        <w:t>ompetition</w:t>
      </w:r>
      <w:r w:rsidR="00187496">
        <w:rPr>
          <w:rFonts w:ascii="Cambria" w:hAnsi="Cambria"/>
          <w:b/>
          <w:bCs/>
          <w:sz w:val="21"/>
          <w:szCs w:val="21"/>
        </w:rPr>
        <w:t xml:space="preserve"> through support for the Office of Trade and Competition Commission (OTCC)</w:t>
      </w:r>
    </w:p>
    <w:p w14:paraId="388ED32E" w14:textId="23A132DC" w:rsidR="00580A7E" w:rsidRPr="00CB305F" w:rsidRDefault="00DB25A6" w:rsidP="00163DB2">
      <w:pPr>
        <w:ind w:right="33"/>
        <w:jc w:val="both"/>
        <w:rPr>
          <w:rFonts w:ascii="Cambria" w:hAnsi="Cambria"/>
          <w:sz w:val="21"/>
          <w:szCs w:val="21"/>
        </w:rPr>
      </w:pPr>
      <w:r w:rsidRPr="00CB305F">
        <w:rPr>
          <w:rFonts w:ascii="Cambria" w:hAnsi="Cambria"/>
          <w:sz w:val="21"/>
          <w:szCs w:val="21"/>
        </w:rPr>
        <w:t xml:space="preserve">The formation of the Office of Trade and Competition Commission </w:t>
      </w:r>
      <w:r w:rsidR="00573A2F">
        <w:rPr>
          <w:rFonts w:ascii="Cambria" w:hAnsi="Cambria"/>
          <w:sz w:val="21"/>
          <w:szCs w:val="21"/>
        </w:rPr>
        <w:t xml:space="preserve">(OTCC) </w:t>
      </w:r>
      <w:r w:rsidRPr="00CB305F">
        <w:rPr>
          <w:rFonts w:ascii="Cambria" w:hAnsi="Cambria"/>
          <w:sz w:val="21"/>
          <w:szCs w:val="21"/>
        </w:rPr>
        <w:t>in 2019 provided an opportunity to strengthen a new institutional actor</w:t>
      </w:r>
      <w:r w:rsidR="00AB5DBF" w:rsidRPr="00CB305F">
        <w:rPr>
          <w:rFonts w:ascii="Cambria" w:hAnsi="Cambria"/>
          <w:sz w:val="21"/>
          <w:szCs w:val="21"/>
        </w:rPr>
        <w:t xml:space="preserve"> with a Prime Ministerial remit to promote competition</w:t>
      </w:r>
      <w:r w:rsidRPr="00CB305F">
        <w:rPr>
          <w:rFonts w:ascii="Cambria" w:hAnsi="Cambria"/>
          <w:sz w:val="21"/>
          <w:szCs w:val="21"/>
        </w:rPr>
        <w:t xml:space="preserve">.  DFAT and TAF moved quickly to leverage </w:t>
      </w:r>
      <w:r w:rsidR="00573A2F">
        <w:rPr>
          <w:rFonts w:ascii="Cambria" w:hAnsi="Cambria"/>
          <w:sz w:val="21"/>
          <w:szCs w:val="21"/>
        </w:rPr>
        <w:t xml:space="preserve">prior cooperation, contacts and </w:t>
      </w:r>
      <w:r w:rsidRPr="00CB305F">
        <w:rPr>
          <w:rFonts w:ascii="Cambria" w:hAnsi="Cambria"/>
          <w:sz w:val="21"/>
          <w:szCs w:val="21"/>
        </w:rPr>
        <w:t>the expertise of the Australian Competition and Consumer Commission</w:t>
      </w:r>
      <w:r w:rsidR="00573A2F">
        <w:rPr>
          <w:rFonts w:ascii="Cambria" w:hAnsi="Cambria"/>
          <w:sz w:val="21"/>
          <w:szCs w:val="21"/>
        </w:rPr>
        <w:t>.</w:t>
      </w:r>
      <w:r w:rsidR="00E3020B" w:rsidRPr="00CB305F">
        <w:rPr>
          <w:rFonts w:ascii="Cambria" w:hAnsi="Cambria"/>
          <w:sz w:val="21"/>
          <w:szCs w:val="21"/>
        </w:rPr>
        <w:t xml:space="preserve">  </w:t>
      </w:r>
      <w:r w:rsidR="008A372D" w:rsidRPr="00CB305F">
        <w:rPr>
          <w:rFonts w:ascii="Cambria" w:hAnsi="Cambria"/>
          <w:sz w:val="21"/>
          <w:szCs w:val="21"/>
        </w:rPr>
        <w:t>ACCC’s</w:t>
      </w:r>
      <w:r w:rsidR="00E3020B" w:rsidRPr="00CB305F">
        <w:rPr>
          <w:rFonts w:ascii="Cambria" w:hAnsi="Cambria"/>
          <w:sz w:val="21"/>
          <w:szCs w:val="21"/>
        </w:rPr>
        <w:t xml:space="preserve"> peer-to-peer partnership is highly valued</w:t>
      </w:r>
      <w:r w:rsidR="00573A2F">
        <w:rPr>
          <w:rFonts w:ascii="Cambria" w:hAnsi="Cambria"/>
          <w:sz w:val="21"/>
          <w:szCs w:val="21"/>
        </w:rPr>
        <w:t xml:space="preserve"> in </w:t>
      </w:r>
      <w:r w:rsidR="00573A2F" w:rsidRPr="00CB305F">
        <w:rPr>
          <w:rFonts w:ascii="Cambria" w:hAnsi="Cambria"/>
          <w:sz w:val="21"/>
          <w:szCs w:val="21"/>
        </w:rPr>
        <w:t>provid</w:t>
      </w:r>
      <w:r w:rsidR="00573A2F">
        <w:rPr>
          <w:rFonts w:ascii="Cambria" w:hAnsi="Cambria"/>
          <w:sz w:val="21"/>
          <w:szCs w:val="21"/>
        </w:rPr>
        <w:t>ing</w:t>
      </w:r>
      <w:r w:rsidR="00573A2F" w:rsidRPr="00CB305F">
        <w:rPr>
          <w:rFonts w:ascii="Cambria" w:hAnsi="Cambria"/>
          <w:sz w:val="21"/>
          <w:szCs w:val="21"/>
        </w:rPr>
        <w:t xml:space="preserve"> mentoring, capacity building and professional advice</w:t>
      </w:r>
      <w:r w:rsidR="00E3020B" w:rsidRPr="00CB305F">
        <w:rPr>
          <w:rFonts w:ascii="Cambria" w:hAnsi="Cambria"/>
          <w:sz w:val="21"/>
          <w:szCs w:val="21"/>
        </w:rPr>
        <w:t>.  The flexibility of ACCC in moving to virtual assistance in response to COVID minimised pandemic disruption</w:t>
      </w:r>
      <w:r w:rsidR="00573A2F">
        <w:rPr>
          <w:rFonts w:ascii="Cambria" w:hAnsi="Cambria"/>
          <w:sz w:val="21"/>
          <w:szCs w:val="21"/>
        </w:rPr>
        <w:t xml:space="preserve"> and displayed Australian pragmatism</w:t>
      </w:r>
      <w:r w:rsidR="00E3020B" w:rsidRPr="00CB305F">
        <w:rPr>
          <w:rFonts w:ascii="Cambria" w:hAnsi="Cambria"/>
          <w:sz w:val="21"/>
          <w:szCs w:val="21"/>
        </w:rPr>
        <w:t>.</w:t>
      </w:r>
      <w:r w:rsidR="00AB5DBF" w:rsidRPr="00CB305F">
        <w:rPr>
          <w:rFonts w:ascii="Cambria" w:hAnsi="Cambria"/>
          <w:sz w:val="21"/>
          <w:szCs w:val="21"/>
        </w:rPr>
        <w:t xml:space="preserve">  The program is also assisting in the development of a province-based index of competitiveness.  </w:t>
      </w:r>
    </w:p>
    <w:p w14:paraId="22959020" w14:textId="77777777" w:rsidR="00580A7E" w:rsidRPr="00CB305F" w:rsidRDefault="00580A7E" w:rsidP="00163DB2">
      <w:pPr>
        <w:ind w:right="33"/>
        <w:jc w:val="both"/>
        <w:rPr>
          <w:rFonts w:ascii="Cambria" w:hAnsi="Cambria"/>
          <w:sz w:val="21"/>
          <w:szCs w:val="21"/>
        </w:rPr>
      </w:pPr>
    </w:p>
    <w:p w14:paraId="12C0594E" w14:textId="47BFC533" w:rsidR="00E10610" w:rsidRPr="00CB305F" w:rsidRDefault="00AB5DBF" w:rsidP="00163DB2">
      <w:pPr>
        <w:ind w:right="33"/>
        <w:jc w:val="both"/>
        <w:rPr>
          <w:rFonts w:ascii="Cambria" w:hAnsi="Cambria"/>
          <w:sz w:val="21"/>
          <w:szCs w:val="21"/>
        </w:rPr>
      </w:pPr>
      <w:r w:rsidRPr="00CB305F">
        <w:rPr>
          <w:rFonts w:ascii="Cambria" w:hAnsi="Cambria"/>
          <w:sz w:val="21"/>
          <w:szCs w:val="21"/>
        </w:rPr>
        <w:t>Despite evidence of success to date, OTCC faces many challenges and the goal of ‘firmly establishing OTCC as a credible regulator’ within two years is likely to be too ambitious.</w:t>
      </w:r>
      <w:r w:rsidR="00662623" w:rsidRPr="00CB305F">
        <w:rPr>
          <w:rFonts w:ascii="Cambria" w:hAnsi="Cambria"/>
          <w:sz w:val="21"/>
          <w:szCs w:val="21"/>
        </w:rPr>
        <w:t xml:space="preserve">  DFAT should explore options for </w:t>
      </w:r>
      <w:r w:rsidR="00580A7E" w:rsidRPr="00CB305F">
        <w:rPr>
          <w:rFonts w:ascii="Cambria" w:hAnsi="Cambria"/>
          <w:sz w:val="21"/>
          <w:szCs w:val="21"/>
        </w:rPr>
        <w:t>additional</w:t>
      </w:r>
      <w:r w:rsidR="00662623" w:rsidRPr="00CB305F">
        <w:rPr>
          <w:rFonts w:ascii="Cambria" w:hAnsi="Cambria"/>
          <w:sz w:val="21"/>
          <w:szCs w:val="21"/>
        </w:rPr>
        <w:t xml:space="preserve"> support through other mechanisms</w:t>
      </w:r>
      <w:r w:rsidR="008A372D" w:rsidRPr="00CB305F">
        <w:rPr>
          <w:rFonts w:ascii="Cambria" w:hAnsi="Cambria"/>
          <w:sz w:val="21"/>
          <w:szCs w:val="21"/>
        </w:rPr>
        <w:t xml:space="preserve"> and in collaboration with other partners</w:t>
      </w:r>
      <w:r w:rsidR="00662623" w:rsidRPr="00CB305F">
        <w:rPr>
          <w:rFonts w:ascii="Cambria" w:hAnsi="Cambria"/>
          <w:sz w:val="21"/>
          <w:szCs w:val="21"/>
        </w:rPr>
        <w:t>.</w:t>
      </w:r>
      <w:r w:rsidRPr="00CB305F">
        <w:rPr>
          <w:rFonts w:ascii="Cambria" w:hAnsi="Cambria"/>
          <w:sz w:val="21"/>
          <w:szCs w:val="21"/>
        </w:rPr>
        <w:t xml:space="preserve">  </w:t>
      </w:r>
    </w:p>
    <w:p w14:paraId="06A5642E" w14:textId="5E2C5E33" w:rsidR="00D13A85" w:rsidRPr="00CB305F" w:rsidRDefault="00D13A85" w:rsidP="00163DB2">
      <w:pPr>
        <w:ind w:right="33"/>
        <w:jc w:val="both"/>
        <w:rPr>
          <w:rFonts w:ascii="Cambria" w:hAnsi="Cambria"/>
          <w:sz w:val="21"/>
          <w:szCs w:val="21"/>
        </w:rPr>
      </w:pPr>
      <w:r w:rsidRPr="00CB305F">
        <w:rPr>
          <w:rFonts w:ascii="Cambria" w:hAnsi="Cambria"/>
          <w:sz w:val="21"/>
          <w:szCs w:val="21"/>
        </w:rPr>
        <w:lastRenderedPageBreak/>
        <w:t xml:space="preserve">Dialogue with </w:t>
      </w:r>
      <w:r w:rsidR="00242B09">
        <w:rPr>
          <w:rFonts w:ascii="Cambria" w:hAnsi="Cambria"/>
          <w:sz w:val="21"/>
          <w:szCs w:val="21"/>
        </w:rPr>
        <w:t xml:space="preserve">the </w:t>
      </w:r>
      <w:r w:rsidRPr="00CB305F">
        <w:rPr>
          <w:rFonts w:ascii="Cambria" w:hAnsi="Cambria"/>
          <w:sz w:val="21"/>
          <w:szCs w:val="21"/>
        </w:rPr>
        <w:t>Commission</w:t>
      </w:r>
      <w:r w:rsidR="00513713">
        <w:rPr>
          <w:rFonts w:ascii="Cambria" w:hAnsi="Cambria"/>
          <w:sz w:val="21"/>
          <w:szCs w:val="21"/>
        </w:rPr>
        <w:t xml:space="preserve"> Vice Chair</w:t>
      </w:r>
      <w:r w:rsidRPr="00CB305F">
        <w:rPr>
          <w:rFonts w:ascii="Cambria" w:hAnsi="Cambria"/>
          <w:sz w:val="21"/>
          <w:szCs w:val="21"/>
        </w:rPr>
        <w:t xml:space="preserve"> highlighted the value OTCC accords the program and the long payoffs that can accrue to cooperation.  The Commissioner is well known to Australia as a result of being a </w:t>
      </w:r>
      <w:r w:rsidR="00893FEE">
        <w:rPr>
          <w:rFonts w:ascii="Cambria" w:hAnsi="Cambria"/>
          <w:sz w:val="21"/>
          <w:szCs w:val="21"/>
        </w:rPr>
        <w:t xml:space="preserve">former </w:t>
      </w:r>
      <w:r w:rsidRPr="00CB305F">
        <w:rPr>
          <w:rFonts w:ascii="Cambria" w:hAnsi="Cambria"/>
          <w:sz w:val="21"/>
          <w:szCs w:val="21"/>
        </w:rPr>
        <w:t xml:space="preserve">Colombo Plan student and having </w:t>
      </w:r>
      <w:r w:rsidR="009A0DE0">
        <w:rPr>
          <w:rFonts w:ascii="Cambria" w:hAnsi="Cambria"/>
          <w:sz w:val="21"/>
          <w:szCs w:val="21"/>
        </w:rPr>
        <w:t xml:space="preserve">previously </w:t>
      </w:r>
      <w:r w:rsidR="00187496">
        <w:rPr>
          <w:rFonts w:ascii="Cambria" w:hAnsi="Cambria"/>
          <w:sz w:val="21"/>
          <w:szCs w:val="21"/>
        </w:rPr>
        <w:t>collaborated</w:t>
      </w:r>
      <w:r w:rsidRPr="00CB305F">
        <w:rPr>
          <w:rFonts w:ascii="Cambria" w:hAnsi="Cambria"/>
          <w:sz w:val="21"/>
          <w:szCs w:val="21"/>
        </w:rPr>
        <w:t xml:space="preserve"> with AIDAB (a previous incarnation of what became AusAID and subsequently DFAT).  This shared history makes for a close relationship where the partners can communicate at the most senior levels, rapidly test</w:t>
      </w:r>
      <w:r w:rsidR="009A0DE0">
        <w:rPr>
          <w:rFonts w:ascii="Cambria" w:hAnsi="Cambria"/>
          <w:sz w:val="21"/>
          <w:szCs w:val="21"/>
        </w:rPr>
        <w:t>ing</w:t>
      </w:r>
      <w:r w:rsidRPr="00CB305F">
        <w:rPr>
          <w:rFonts w:ascii="Cambria" w:hAnsi="Cambria"/>
          <w:sz w:val="21"/>
          <w:szCs w:val="21"/>
        </w:rPr>
        <w:t xml:space="preserve"> ideas and purs</w:t>
      </w:r>
      <w:r w:rsidR="009A0DE0">
        <w:rPr>
          <w:rFonts w:ascii="Cambria" w:hAnsi="Cambria"/>
          <w:sz w:val="21"/>
          <w:szCs w:val="21"/>
        </w:rPr>
        <w:t>uing</w:t>
      </w:r>
      <w:r w:rsidRPr="00CB305F">
        <w:rPr>
          <w:rFonts w:ascii="Cambria" w:hAnsi="Cambria"/>
          <w:sz w:val="21"/>
          <w:szCs w:val="21"/>
        </w:rPr>
        <w:t xml:space="preserve"> opportunities.  </w:t>
      </w:r>
    </w:p>
    <w:p w14:paraId="194B0FFE" w14:textId="77777777" w:rsidR="00187496" w:rsidRDefault="00187496" w:rsidP="00163DB2">
      <w:pPr>
        <w:ind w:right="33"/>
        <w:jc w:val="both"/>
        <w:rPr>
          <w:rFonts w:ascii="Cambria" w:hAnsi="Cambria"/>
          <w:sz w:val="21"/>
          <w:szCs w:val="21"/>
        </w:rPr>
      </w:pPr>
    </w:p>
    <w:p w14:paraId="061EA180" w14:textId="26E066F1" w:rsidR="00B73A90" w:rsidRPr="00CB305F" w:rsidRDefault="00D13A85" w:rsidP="00163DB2">
      <w:pPr>
        <w:ind w:right="33"/>
        <w:jc w:val="both"/>
        <w:rPr>
          <w:rFonts w:ascii="Cambria" w:hAnsi="Cambria"/>
          <w:sz w:val="21"/>
          <w:szCs w:val="21"/>
        </w:rPr>
      </w:pPr>
      <w:r w:rsidRPr="00CB305F">
        <w:rPr>
          <w:rFonts w:ascii="Cambria" w:hAnsi="Cambria"/>
          <w:sz w:val="21"/>
          <w:szCs w:val="21"/>
        </w:rPr>
        <w:t xml:space="preserve">The importance of OTCC </w:t>
      </w:r>
      <w:r w:rsidR="00B73A90" w:rsidRPr="00CB305F">
        <w:rPr>
          <w:rFonts w:ascii="Cambria" w:hAnsi="Cambria"/>
          <w:sz w:val="21"/>
          <w:szCs w:val="21"/>
        </w:rPr>
        <w:t>in</w:t>
      </w:r>
      <w:r w:rsidRPr="00CB305F">
        <w:rPr>
          <w:rFonts w:ascii="Cambria" w:hAnsi="Cambria"/>
          <w:sz w:val="21"/>
          <w:szCs w:val="21"/>
        </w:rPr>
        <w:t xml:space="preserve"> creating greater competition and faster growth in Thailand is underlined by the extent of its cooperation with international organisations.  While bilateral cooperation with Thailand is now relatively modest, OTCC is accessing support from a wide range of multilateral organisations including ASEAN, UNCTAD, </w:t>
      </w:r>
      <w:r w:rsidR="00B73A90" w:rsidRPr="00CB305F">
        <w:rPr>
          <w:rFonts w:ascii="Cambria" w:hAnsi="Cambria"/>
          <w:sz w:val="21"/>
          <w:szCs w:val="21"/>
        </w:rPr>
        <w:t xml:space="preserve">OECD, </w:t>
      </w:r>
      <w:r w:rsidR="00573A2F">
        <w:rPr>
          <w:rFonts w:ascii="Cambria" w:hAnsi="Cambria"/>
          <w:sz w:val="21"/>
          <w:szCs w:val="21"/>
        </w:rPr>
        <w:t xml:space="preserve">multilateral development banks, </w:t>
      </w:r>
      <w:r w:rsidRPr="00CB305F">
        <w:rPr>
          <w:rFonts w:ascii="Cambria" w:hAnsi="Cambria"/>
          <w:sz w:val="21"/>
          <w:szCs w:val="21"/>
        </w:rPr>
        <w:t>the EU and others.  None of this other support is visible in MTRP documents.  The evaluation concludes that it should be, both to ensure that Australian assistance is well</w:t>
      </w:r>
      <w:r w:rsidR="004F3B68">
        <w:rPr>
          <w:rFonts w:ascii="Cambria" w:hAnsi="Cambria"/>
          <w:sz w:val="21"/>
          <w:szCs w:val="21"/>
        </w:rPr>
        <w:t>-</w:t>
      </w:r>
      <w:r w:rsidRPr="00CB305F">
        <w:rPr>
          <w:rFonts w:ascii="Cambria" w:hAnsi="Cambria"/>
          <w:sz w:val="21"/>
          <w:szCs w:val="21"/>
        </w:rPr>
        <w:t>targeted and also to respond to the challenge of a crowded and competitive landscape.</w:t>
      </w:r>
      <w:r w:rsidR="00B73A90" w:rsidRPr="00CB305F">
        <w:rPr>
          <w:rFonts w:ascii="Cambria" w:hAnsi="Cambria"/>
          <w:sz w:val="21"/>
          <w:szCs w:val="21"/>
        </w:rPr>
        <w:t xml:space="preserve">  </w:t>
      </w:r>
    </w:p>
    <w:p w14:paraId="3ACE91BA" w14:textId="77777777" w:rsidR="00B73A90" w:rsidRPr="00CB305F" w:rsidRDefault="00B73A90" w:rsidP="00163DB2">
      <w:pPr>
        <w:ind w:right="33"/>
        <w:jc w:val="both"/>
        <w:rPr>
          <w:rFonts w:ascii="Cambria" w:hAnsi="Cambria"/>
          <w:sz w:val="21"/>
          <w:szCs w:val="21"/>
        </w:rPr>
      </w:pPr>
    </w:p>
    <w:p w14:paraId="112D8863" w14:textId="28C2A159" w:rsidR="00D13A85" w:rsidRPr="00CB305F" w:rsidRDefault="00B73A90" w:rsidP="00163DB2">
      <w:pPr>
        <w:ind w:right="33"/>
        <w:jc w:val="both"/>
        <w:rPr>
          <w:rFonts w:ascii="Cambria" w:hAnsi="Cambria"/>
          <w:sz w:val="21"/>
          <w:szCs w:val="21"/>
        </w:rPr>
      </w:pPr>
      <w:r w:rsidRPr="00CB305F">
        <w:rPr>
          <w:rFonts w:ascii="Cambria" w:hAnsi="Cambria"/>
          <w:sz w:val="21"/>
          <w:szCs w:val="21"/>
        </w:rPr>
        <w:t>In this environment, it becomes even more important that Australian assistance does what others do not – either in what it targets</w:t>
      </w:r>
      <w:r w:rsidR="00187496">
        <w:rPr>
          <w:rFonts w:ascii="Cambria" w:hAnsi="Cambria"/>
          <w:sz w:val="21"/>
          <w:szCs w:val="21"/>
        </w:rPr>
        <w:t>,</w:t>
      </w:r>
      <w:r w:rsidRPr="00CB305F">
        <w:rPr>
          <w:rFonts w:ascii="Cambria" w:hAnsi="Cambria"/>
          <w:sz w:val="21"/>
          <w:szCs w:val="21"/>
        </w:rPr>
        <w:t xml:space="preserve"> or how it does so.  When pressed on this</w:t>
      </w:r>
      <w:r w:rsidR="00187496">
        <w:rPr>
          <w:rFonts w:ascii="Cambria" w:hAnsi="Cambria"/>
          <w:sz w:val="21"/>
          <w:szCs w:val="21"/>
        </w:rPr>
        <w:t>,</w:t>
      </w:r>
      <w:r w:rsidRPr="00CB305F">
        <w:rPr>
          <w:rFonts w:ascii="Cambria" w:hAnsi="Cambria"/>
          <w:sz w:val="21"/>
          <w:szCs w:val="21"/>
        </w:rPr>
        <w:t xml:space="preserve"> OTCC staff acknowledged the different advantages of different partners and in MTRP’s case underlined the value of peer-to-peer cooperation with the Australian Competition and Consumer Affairs Commission.  Examples were given of the Commission adapting rapidly to OTCCs needs and combining coaching with case studies and hand</w:t>
      </w:r>
      <w:r w:rsidR="00573A2F">
        <w:rPr>
          <w:rFonts w:ascii="Cambria" w:hAnsi="Cambria"/>
          <w:sz w:val="21"/>
          <w:szCs w:val="21"/>
        </w:rPr>
        <w:t>s-</w:t>
      </w:r>
      <w:r w:rsidRPr="00CB305F">
        <w:rPr>
          <w:rFonts w:ascii="Cambria" w:hAnsi="Cambria"/>
          <w:sz w:val="21"/>
          <w:szCs w:val="21"/>
        </w:rPr>
        <w:t>on support.  This partner</w:t>
      </w:r>
      <w:r w:rsidR="00580A7E" w:rsidRPr="00CB305F">
        <w:rPr>
          <w:rFonts w:ascii="Cambria" w:hAnsi="Cambria"/>
          <w:sz w:val="21"/>
          <w:szCs w:val="21"/>
        </w:rPr>
        <w:t>-</w:t>
      </w:r>
      <w:r w:rsidRPr="00CB305F">
        <w:rPr>
          <w:rFonts w:ascii="Cambria" w:hAnsi="Cambria"/>
          <w:sz w:val="21"/>
          <w:szCs w:val="21"/>
        </w:rPr>
        <w:t>centred flexibility is a real asset.   Two-way staff exchanges were nominated as an area for future cooperation</w:t>
      </w:r>
      <w:r w:rsidR="00580A7E" w:rsidRPr="00CB305F">
        <w:rPr>
          <w:rFonts w:ascii="Cambria" w:hAnsi="Cambria"/>
          <w:sz w:val="21"/>
          <w:szCs w:val="21"/>
        </w:rPr>
        <w:t xml:space="preserve"> and additional advice on cross border cartels.</w:t>
      </w:r>
    </w:p>
    <w:p w14:paraId="62D35C56" w14:textId="77777777" w:rsidR="00440A1D" w:rsidRPr="00CB305F" w:rsidRDefault="00440A1D" w:rsidP="00163DB2">
      <w:pPr>
        <w:ind w:right="33"/>
        <w:jc w:val="both"/>
        <w:rPr>
          <w:rFonts w:ascii="Cambria" w:hAnsi="Cambria"/>
          <w:b/>
          <w:bCs/>
          <w:sz w:val="21"/>
          <w:szCs w:val="21"/>
        </w:rPr>
      </w:pPr>
    </w:p>
    <w:p w14:paraId="1733BB56" w14:textId="3B73C182" w:rsidR="00662623" w:rsidRPr="00CB305F" w:rsidRDefault="00662623" w:rsidP="00163DB2">
      <w:pPr>
        <w:ind w:left="720" w:right="33"/>
        <w:jc w:val="both"/>
        <w:rPr>
          <w:rFonts w:ascii="Cambria" w:hAnsi="Cambria"/>
          <w:b/>
          <w:bCs/>
          <w:sz w:val="21"/>
          <w:szCs w:val="21"/>
        </w:rPr>
      </w:pPr>
      <w:r w:rsidRPr="00CB305F">
        <w:rPr>
          <w:rFonts w:ascii="Cambria" w:hAnsi="Cambria"/>
          <w:b/>
          <w:bCs/>
          <w:sz w:val="21"/>
          <w:szCs w:val="21"/>
        </w:rPr>
        <w:t>Comments and assessments from stakeholders:</w:t>
      </w:r>
    </w:p>
    <w:p w14:paraId="268C2DAA" w14:textId="36A68498" w:rsidR="008F24FA" w:rsidRPr="00CB305F" w:rsidRDefault="008F24FA" w:rsidP="00163DB2">
      <w:pPr>
        <w:ind w:right="33"/>
        <w:jc w:val="both"/>
        <w:rPr>
          <w:rFonts w:ascii="Cambria" w:hAnsi="Cambria"/>
          <w:sz w:val="21"/>
          <w:szCs w:val="21"/>
        </w:rPr>
      </w:pPr>
    </w:p>
    <w:p w14:paraId="2514E528" w14:textId="2C1EC9F2" w:rsidR="00662623" w:rsidRPr="00CB305F" w:rsidRDefault="008A372D" w:rsidP="00163DB2">
      <w:pPr>
        <w:ind w:left="720" w:right="33"/>
        <w:jc w:val="both"/>
        <w:rPr>
          <w:rFonts w:ascii="Cambria" w:hAnsi="Cambria"/>
          <w:i/>
          <w:iCs/>
          <w:sz w:val="21"/>
          <w:szCs w:val="21"/>
        </w:rPr>
      </w:pPr>
      <w:r w:rsidRPr="00CB305F">
        <w:rPr>
          <w:rFonts w:ascii="Cambria" w:hAnsi="Cambria"/>
          <w:i/>
          <w:iCs/>
          <w:sz w:val="21"/>
          <w:szCs w:val="21"/>
        </w:rPr>
        <w:t>“</w:t>
      </w:r>
      <w:r w:rsidR="001F72A4" w:rsidRPr="00CB305F">
        <w:rPr>
          <w:rFonts w:ascii="Cambria" w:hAnsi="Cambria"/>
          <w:i/>
          <w:iCs/>
          <w:sz w:val="21"/>
          <w:szCs w:val="21"/>
        </w:rPr>
        <w:t>This is</w:t>
      </w:r>
      <w:r w:rsidR="00662623" w:rsidRPr="00CB305F">
        <w:rPr>
          <w:rFonts w:ascii="Cambria" w:hAnsi="Cambria"/>
          <w:i/>
          <w:iCs/>
          <w:sz w:val="21"/>
          <w:szCs w:val="21"/>
        </w:rPr>
        <w:t xml:space="preserve"> a </w:t>
      </w:r>
      <w:r w:rsidR="007A0E08" w:rsidRPr="00CB305F">
        <w:rPr>
          <w:rFonts w:ascii="Cambria" w:hAnsi="Cambria"/>
          <w:i/>
          <w:iCs/>
          <w:sz w:val="21"/>
          <w:szCs w:val="21"/>
        </w:rPr>
        <w:t>positive</w:t>
      </w:r>
      <w:r w:rsidR="00662623" w:rsidRPr="00CB305F">
        <w:rPr>
          <w:rFonts w:ascii="Cambria" w:hAnsi="Cambria"/>
          <w:i/>
          <w:iCs/>
          <w:sz w:val="21"/>
          <w:szCs w:val="21"/>
        </w:rPr>
        <w:t xml:space="preserve"> story showing what you can do with a small amount of money, a just</w:t>
      </w:r>
      <w:r w:rsidR="00573A2F">
        <w:rPr>
          <w:rFonts w:ascii="Cambria" w:hAnsi="Cambria"/>
          <w:i/>
          <w:iCs/>
          <w:sz w:val="21"/>
          <w:szCs w:val="21"/>
        </w:rPr>
        <w:t>-</w:t>
      </w:r>
      <w:r w:rsidR="00662623" w:rsidRPr="00CB305F">
        <w:rPr>
          <w:rFonts w:ascii="Cambria" w:hAnsi="Cambria"/>
          <w:i/>
          <w:iCs/>
          <w:sz w:val="21"/>
          <w:szCs w:val="21"/>
        </w:rPr>
        <w:t>in</w:t>
      </w:r>
      <w:r w:rsidR="00573A2F">
        <w:rPr>
          <w:rFonts w:ascii="Cambria" w:hAnsi="Cambria"/>
          <w:i/>
          <w:iCs/>
          <w:sz w:val="21"/>
          <w:szCs w:val="21"/>
        </w:rPr>
        <w:t>-</w:t>
      </w:r>
      <w:r w:rsidR="00662623" w:rsidRPr="00CB305F">
        <w:rPr>
          <w:rFonts w:ascii="Cambria" w:hAnsi="Cambria"/>
          <w:i/>
          <w:iCs/>
          <w:sz w:val="21"/>
          <w:szCs w:val="21"/>
        </w:rPr>
        <w:t>time approach and a respected, influential implementing partner that can make compelling and persuasive arguments that resonate locally.</w:t>
      </w:r>
      <w:r w:rsidRPr="00CB305F">
        <w:rPr>
          <w:rFonts w:ascii="Cambria" w:hAnsi="Cambria"/>
          <w:i/>
          <w:iCs/>
          <w:sz w:val="21"/>
          <w:szCs w:val="21"/>
        </w:rPr>
        <w:t>”</w:t>
      </w:r>
      <w:r w:rsidR="00662623" w:rsidRPr="00CB305F">
        <w:rPr>
          <w:rFonts w:ascii="Cambria" w:hAnsi="Cambria"/>
          <w:i/>
          <w:iCs/>
          <w:sz w:val="21"/>
          <w:szCs w:val="21"/>
        </w:rPr>
        <w:t xml:space="preserve">  </w:t>
      </w:r>
      <w:r w:rsidR="00662623" w:rsidRPr="00CB305F">
        <w:rPr>
          <w:rFonts w:ascii="Cambria" w:hAnsi="Cambria"/>
          <w:i/>
          <w:iCs/>
          <w:sz w:val="21"/>
          <w:szCs w:val="21"/>
        </w:rPr>
        <w:tab/>
      </w:r>
      <w:r w:rsidR="00662623" w:rsidRPr="00CB305F">
        <w:rPr>
          <w:rFonts w:ascii="Cambria" w:hAnsi="Cambria"/>
          <w:i/>
          <w:iCs/>
          <w:sz w:val="21"/>
          <w:szCs w:val="21"/>
        </w:rPr>
        <w:tab/>
      </w:r>
      <w:r w:rsidR="00662623" w:rsidRPr="00CB305F">
        <w:rPr>
          <w:rFonts w:ascii="Cambria" w:hAnsi="Cambria"/>
          <w:i/>
          <w:iCs/>
          <w:sz w:val="21"/>
          <w:szCs w:val="21"/>
        </w:rPr>
        <w:tab/>
      </w:r>
      <w:r w:rsidR="00662623" w:rsidRPr="00CB305F">
        <w:rPr>
          <w:rFonts w:ascii="Cambria" w:hAnsi="Cambria"/>
          <w:i/>
          <w:iCs/>
          <w:sz w:val="21"/>
          <w:szCs w:val="21"/>
        </w:rPr>
        <w:tab/>
      </w:r>
      <w:r w:rsidR="006D34EB" w:rsidRPr="00CB305F">
        <w:rPr>
          <w:rFonts w:ascii="Cambria" w:hAnsi="Cambria"/>
          <w:b/>
          <w:bCs/>
          <w:i/>
          <w:iCs/>
          <w:sz w:val="21"/>
          <w:szCs w:val="21"/>
        </w:rPr>
        <w:t xml:space="preserve">  </w:t>
      </w:r>
      <w:r w:rsidR="00B73A90" w:rsidRPr="00CB305F">
        <w:rPr>
          <w:rFonts w:ascii="Cambria" w:hAnsi="Cambria"/>
          <w:b/>
          <w:bCs/>
          <w:i/>
          <w:iCs/>
          <w:sz w:val="21"/>
          <w:szCs w:val="21"/>
        </w:rPr>
        <w:t xml:space="preserve">    </w:t>
      </w:r>
      <w:r w:rsidR="006D34EB" w:rsidRPr="00CB305F">
        <w:rPr>
          <w:rFonts w:ascii="Cambria" w:hAnsi="Cambria"/>
          <w:b/>
          <w:bCs/>
          <w:i/>
          <w:iCs/>
          <w:sz w:val="21"/>
          <w:szCs w:val="21"/>
        </w:rPr>
        <w:t xml:space="preserve"> </w:t>
      </w:r>
      <w:r w:rsidR="00A65AFC">
        <w:rPr>
          <w:rFonts w:ascii="Cambria" w:hAnsi="Cambria"/>
          <w:b/>
          <w:bCs/>
          <w:i/>
          <w:iCs/>
          <w:sz w:val="21"/>
          <w:szCs w:val="21"/>
        </w:rPr>
        <w:t xml:space="preserve">                </w:t>
      </w:r>
      <w:r w:rsidR="00187496">
        <w:rPr>
          <w:rFonts w:ascii="Cambria" w:hAnsi="Cambria"/>
          <w:b/>
          <w:bCs/>
          <w:i/>
          <w:iCs/>
          <w:sz w:val="21"/>
          <w:szCs w:val="21"/>
        </w:rPr>
        <w:tab/>
      </w:r>
      <w:r w:rsidR="00187496">
        <w:rPr>
          <w:rFonts w:ascii="Cambria" w:hAnsi="Cambria"/>
          <w:b/>
          <w:bCs/>
          <w:i/>
          <w:iCs/>
          <w:sz w:val="21"/>
          <w:szCs w:val="21"/>
        </w:rPr>
        <w:tab/>
      </w:r>
      <w:r w:rsidR="006D34EB" w:rsidRPr="00CB305F">
        <w:rPr>
          <w:rFonts w:ascii="Cambria" w:hAnsi="Cambria"/>
          <w:b/>
          <w:bCs/>
          <w:i/>
          <w:iCs/>
          <w:sz w:val="21"/>
          <w:szCs w:val="21"/>
        </w:rPr>
        <w:t xml:space="preserve"> </w:t>
      </w:r>
      <w:r w:rsidR="00187496">
        <w:rPr>
          <w:rFonts w:ascii="Cambria" w:hAnsi="Cambria"/>
          <w:b/>
          <w:bCs/>
          <w:i/>
          <w:iCs/>
          <w:sz w:val="21"/>
          <w:szCs w:val="21"/>
        </w:rPr>
        <w:t xml:space="preserve">           </w:t>
      </w:r>
      <w:r w:rsidR="00662623" w:rsidRPr="00CB305F">
        <w:rPr>
          <w:rFonts w:ascii="Cambria" w:hAnsi="Cambria"/>
          <w:b/>
          <w:bCs/>
          <w:i/>
          <w:iCs/>
          <w:sz w:val="21"/>
          <w:szCs w:val="21"/>
        </w:rPr>
        <w:t>DFAT posted officer</w:t>
      </w:r>
    </w:p>
    <w:p w14:paraId="4F55C3D0" w14:textId="2845F4FB" w:rsidR="006D34EB" w:rsidRPr="00CB305F" w:rsidRDefault="006D34EB" w:rsidP="00163DB2">
      <w:pPr>
        <w:ind w:left="720" w:right="33"/>
        <w:jc w:val="both"/>
        <w:rPr>
          <w:rFonts w:ascii="Cambria" w:hAnsi="Cambria"/>
          <w:i/>
          <w:iCs/>
          <w:sz w:val="21"/>
          <w:szCs w:val="21"/>
        </w:rPr>
      </w:pPr>
    </w:p>
    <w:p w14:paraId="1ED402AC" w14:textId="0AD37A8E" w:rsidR="006D34EB" w:rsidRPr="00CB305F" w:rsidRDefault="008A372D" w:rsidP="00163DB2">
      <w:pPr>
        <w:ind w:left="720" w:right="33"/>
        <w:jc w:val="both"/>
        <w:rPr>
          <w:rFonts w:ascii="Cambria" w:hAnsi="Cambria"/>
          <w:i/>
          <w:iCs/>
          <w:sz w:val="21"/>
          <w:szCs w:val="21"/>
        </w:rPr>
      </w:pPr>
      <w:r w:rsidRPr="00CB305F">
        <w:rPr>
          <w:rFonts w:ascii="Cambria" w:hAnsi="Cambria"/>
          <w:i/>
          <w:iCs/>
          <w:sz w:val="21"/>
          <w:szCs w:val="21"/>
        </w:rPr>
        <w:t>“</w:t>
      </w:r>
      <w:r w:rsidR="006D34EB" w:rsidRPr="00CB305F">
        <w:rPr>
          <w:rFonts w:ascii="Cambria" w:hAnsi="Cambria"/>
          <w:i/>
          <w:iCs/>
          <w:sz w:val="21"/>
          <w:szCs w:val="21"/>
        </w:rPr>
        <w:t>Progress has consistently been in line with our expectations</w:t>
      </w:r>
      <w:r w:rsidRPr="00CB305F">
        <w:rPr>
          <w:rFonts w:ascii="Cambria" w:hAnsi="Cambria"/>
          <w:i/>
          <w:iCs/>
          <w:sz w:val="21"/>
          <w:szCs w:val="21"/>
        </w:rPr>
        <w:t>”</w:t>
      </w:r>
      <w:r w:rsidR="006D34EB" w:rsidRPr="00CB305F">
        <w:rPr>
          <w:rFonts w:ascii="Cambria" w:hAnsi="Cambria"/>
          <w:i/>
          <w:iCs/>
          <w:sz w:val="21"/>
          <w:szCs w:val="21"/>
        </w:rPr>
        <w:tab/>
      </w:r>
      <w:r w:rsidR="006D34EB" w:rsidRPr="00CB305F">
        <w:rPr>
          <w:rFonts w:ascii="Cambria" w:hAnsi="Cambria"/>
          <w:b/>
          <w:bCs/>
          <w:i/>
          <w:iCs/>
          <w:sz w:val="21"/>
          <w:szCs w:val="21"/>
        </w:rPr>
        <w:t xml:space="preserve">       </w:t>
      </w:r>
      <w:r w:rsidR="00B73A90" w:rsidRPr="00CB305F">
        <w:rPr>
          <w:rFonts w:ascii="Cambria" w:hAnsi="Cambria"/>
          <w:b/>
          <w:bCs/>
          <w:i/>
          <w:iCs/>
          <w:sz w:val="21"/>
          <w:szCs w:val="21"/>
        </w:rPr>
        <w:t xml:space="preserve"> </w:t>
      </w:r>
      <w:r w:rsidR="00A65AFC">
        <w:rPr>
          <w:rFonts w:ascii="Cambria" w:hAnsi="Cambria"/>
          <w:b/>
          <w:bCs/>
          <w:i/>
          <w:iCs/>
          <w:sz w:val="21"/>
          <w:szCs w:val="21"/>
        </w:rPr>
        <w:t xml:space="preserve">  </w:t>
      </w:r>
      <w:r w:rsidR="00187496">
        <w:rPr>
          <w:rFonts w:ascii="Cambria" w:hAnsi="Cambria"/>
          <w:b/>
          <w:bCs/>
          <w:i/>
          <w:iCs/>
          <w:sz w:val="21"/>
          <w:szCs w:val="21"/>
        </w:rPr>
        <w:t xml:space="preserve">   </w:t>
      </w:r>
      <w:r w:rsidR="006D34EB" w:rsidRPr="00CB305F">
        <w:rPr>
          <w:rFonts w:ascii="Cambria" w:hAnsi="Cambria"/>
          <w:b/>
          <w:bCs/>
          <w:i/>
          <w:iCs/>
          <w:sz w:val="21"/>
          <w:szCs w:val="21"/>
        </w:rPr>
        <w:t>Senior DFAT Posted Officer</w:t>
      </w:r>
    </w:p>
    <w:p w14:paraId="1F4DCE81" w14:textId="06F7DF78" w:rsidR="00C7608A" w:rsidRPr="00CB305F" w:rsidRDefault="00C7608A" w:rsidP="00163DB2">
      <w:pPr>
        <w:ind w:left="720" w:right="33"/>
        <w:jc w:val="both"/>
        <w:rPr>
          <w:rFonts w:ascii="Cambria" w:hAnsi="Cambria"/>
          <w:i/>
          <w:iCs/>
          <w:sz w:val="21"/>
          <w:szCs w:val="21"/>
        </w:rPr>
      </w:pPr>
    </w:p>
    <w:p w14:paraId="0327EEDB" w14:textId="784F072E" w:rsidR="00770DB8" w:rsidRPr="00CB305F" w:rsidRDefault="008A372D" w:rsidP="00163DB2">
      <w:pPr>
        <w:ind w:left="720" w:right="33"/>
        <w:jc w:val="both"/>
        <w:rPr>
          <w:rFonts w:ascii="Cambria" w:hAnsi="Cambria"/>
          <w:i/>
          <w:iCs/>
          <w:sz w:val="21"/>
          <w:szCs w:val="21"/>
        </w:rPr>
      </w:pPr>
      <w:r w:rsidRPr="00CB305F">
        <w:rPr>
          <w:rFonts w:ascii="Cambria" w:hAnsi="Cambria"/>
          <w:i/>
          <w:iCs/>
          <w:sz w:val="21"/>
          <w:szCs w:val="21"/>
        </w:rPr>
        <w:t>“Technical support was reinvented at the end of the cold war.  We need new models now … I was surprised to discover this program.  We were getting stuck.  It arrived just in the nick of time.  We still have lots to do to strengthen staff capacity, respond to market digitalisation and to develop a competition index.  We’ll get there with the help of par</w:t>
      </w:r>
      <w:r w:rsidR="003E36FE" w:rsidRPr="00CB305F">
        <w:rPr>
          <w:rFonts w:ascii="Cambria" w:hAnsi="Cambria"/>
          <w:i/>
          <w:iCs/>
          <w:sz w:val="21"/>
          <w:szCs w:val="21"/>
        </w:rPr>
        <w:t>tners.</w:t>
      </w:r>
      <w:r w:rsidR="003E36FE" w:rsidRPr="00CB305F">
        <w:rPr>
          <w:rFonts w:ascii="Cambria" w:hAnsi="Cambria"/>
          <w:i/>
          <w:iCs/>
          <w:sz w:val="21"/>
          <w:szCs w:val="21"/>
        </w:rPr>
        <w:tab/>
        <w:t xml:space="preserve">     </w:t>
      </w:r>
      <w:r w:rsidR="00A65AFC">
        <w:rPr>
          <w:rFonts w:ascii="Cambria" w:hAnsi="Cambria"/>
          <w:i/>
          <w:iCs/>
          <w:sz w:val="21"/>
          <w:szCs w:val="21"/>
        </w:rPr>
        <w:t xml:space="preserve">                  </w:t>
      </w:r>
      <w:r w:rsidR="003E36FE" w:rsidRPr="00CB305F">
        <w:rPr>
          <w:rFonts w:ascii="Cambria" w:hAnsi="Cambria"/>
          <w:i/>
          <w:iCs/>
          <w:sz w:val="21"/>
          <w:szCs w:val="21"/>
        </w:rPr>
        <w:t xml:space="preserve"> </w:t>
      </w:r>
      <w:r w:rsidR="00187496">
        <w:rPr>
          <w:rFonts w:ascii="Cambria" w:hAnsi="Cambria"/>
          <w:i/>
          <w:iCs/>
          <w:sz w:val="21"/>
          <w:szCs w:val="21"/>
        </w:rPr>
        <w:t xml:space="preserve">  </w:t>
      </w:r>
      <w:r w:rsidR="00C7608A" w:rsidRPr="00CB305F">
        <w:rPr>
          <w:rFonts w:ascii="Cambria" w:hAnsi="Cambria"/>
          <w:b/>
          <w:bCs/>
          <w:i/>
          <w:iCs/>
          <w:sz w:val="21"/>
          <w:szCs w:val="21"/>
        </w:rPr>
        <w:t>OTCC Commissioner</w:t>
      </w:r>
      <w:r w:rsidR="00C7608A" w:rsidRPr="00CB305F">
        <w:rPr>
          <w:rFonts w:ascii="Cambria" w:hAnsi="Cambria"/>
          <w:i/>
          <w:iCs/>
          <w:sz w:val="21"/>
          <w:szCs w:val="21"/>
        </w:rPr>
        <w:t xml:space="preserve"> </w:t>
      </w:r>
    </w:p>
    <w:p w14:paraId="31ED4E9D" w14:textId="77777777" w:rsidR="008A372D" w:rsidRPr="00CB305F" w:rsidRDefault="008A372D" w:rsidP="00163DB2">
      <w:pPr>
        <w:ind w:left="7200" w:right="33"/>
        <w:rPr>
          <w:rFonts w:ascii="Cambria" w:hAnsi="Cambria"/>
          <w:i/>
          <w:iCs/>
          <w:sz w:val="21"/>
          <w:szCs w:val="21"/>
        </w:rPr>
      </w:pPr>
    </w:p>
    <w:p w14:paraId="1C0597F9" w14:textId="3174B3B1" w:rsidR="00683233" w:rsidRDefault="00B73A90" w:rsidP="00163DB2">
      <w:pPr>
        <w:ind w:left="5760" w:right="33" w:firstLine="720"/>
        <w:jc w:val="both"/>
        <w:rPr>
          <w:rFonts w:ascii="Cambria" w:hAnsi="Cambria"/>
        </w:rPr>
      </w:pPr>
      <w:r w:rsidRPr="00CB305F">
        <w:rPr>
          <w:rFonts w:ascii="Cambria" w:hAnsi="Cambria"/>
          <w:b/>
          <w:bCs/>
          <w:sz w:val="21"/>
          <w:szCs w:val="21"/>
        </w:rPr>
        <w:t xml:space="preserve">     </w:t>
      </w:r>
      <w:r w:rsidR="00320A4D" w:rsidRPr="00CB305F">
        <w:rPr>
          <w:rFonts w:ascii="Cambria" w:hAnsi="Cambria"/>
          <w:b/>
          <w:bCs/>
          <w:sz w:val="21"/>
          <w:szCs w:val="21"/>
        </w:rPr>
        <w:t xml:space="preserve">     </w:t>
      </w:r>
      <w:r w:rsidR="00291AE6" w:rsidRPr="00CB305F">
        <w:rPr>
          <w:rFonts w:ascii="Cambria" w:hAnsi="Cambria"/>
          <w:b/>
          <w:bCs/>
          <w:sz w:val="21"/>
          <w:szCs w:val="21"/>
        </w:rPr>
        <w:t xml:space="preserve"> </w:t>
      </w:r>
      <w:r w:rsidR="00A65AFC">
        <w:rPr>
          <w:rFonts w:ascii="Cambria" w:hAnsi="Cambria"/>
          <w:b/>
          <w:bCs/>
          <w:sz w:val="21"/>
          <w:szCs w:val="21"/>
        </w:rPr>
        <w:t xml:space="preserve">      </w:t>
      </w:r>
      <w:r w:rsidR="00770DB8" w:rsidRPr="00CB305F">
        <w:rPr>
          <w:rFonts w:ascii="Cambria" w:hAnsi="Cambria"/>
          <w:b/>
          <w:bCs/>
          <w:sz w:val="21"/>
          <w:szCs w:val="21"/>
        </w:rPr>
        <w:t>Overall rating</w:t>
      </w:r>
      <w:r w:rsidR="00770DB8" w:rsidRPr="00770DB8">
        <w:rPr>
          <w:rFonts w:ascii="Cambria" w:hAnsi="Cambria"/>
          <w:b/>
          <w:bCs/>
          <w:sz w:val="22"/>
          <w:szCs w:val="22"/>
        </w:rPr>
        <w:tab/>
      </w:r>
      <w:r w:rsidR="00B70FBF">
        <w:rPr>
          <w:rFonts w:ascii="Cambria" w:hAnsi="Cambria"/>
          <w:b/>
          <w:bCs/>
          <w:sz w:val="22"/>
          <w:szCs w:val="22"/>
        </w:rPr>
        <w:t xml:space="preserve">   </w:t>
      </w:r>
      <w:r w:rsidR="00E66E02">
        <w:rPr>
          <w:rFonts w:ascii="Cambria" w:hAnsi="Cambria"/>
          <w:b/>
          <w:bCs/>
          <w:sz w:val="22"/>
          <w:szCs w:val="22"/>
        </w:rPr>
        <w:t xml:space="preserve">  </w:t>
      </w:r>
      <w:r>
        <w:rPr>
          <w:rFonts w:ascii="Cambria" w:hAnsi="Cambria"/>
          <w:b/>
          <w:bCs/>
          <w:sz w:val="22"/>
          <w:szCs w:val="22"/>
        </w:rPr>
        <w:t xml:space="preserve">  </w:t>
      </w:r>
      <w:r w:rsidR="00B70FBF">
        <w:rPr>
          <w:rFonts w:ascii="Cambria" w:hAnsi="Cambria"/>
          <w:b/>
          <w:bCs/>
          <w:sz w:val="22"/>
          <w:szCs w:val="22"/>
        </w:rPr>
        <w:t xml:space="preserve"> </w:t>
      </w:r>
      <w:r w:rsidR="00A65AFC">
        <w:rPr>
          <w:rFonts w:ascii="Cambria" w:hAnsi="Cambria"/>
          <w:b/>
          <w:bCs/>
          <w:sz w:val="22"/>
          <w:szCs w:val="22"/>
        </w:rPr>
        <w:t xml:space="preserve">  </w:t>
      </w:r>
      <w:r w:rsidR="00B70FBF">
        <w:rPr>
          <w:rFonts w:ascii="Cambria" w:hAnsi="Cambria"/>
          <w:b/>
          <w:bCs/>
          <w:sz w:val="22"/>
          <w:szCs w:val="22"/>
        </w:rPr>
        <w:t xml:space="preserve"> </w:t>
      </w:r>
      <w:r w:rsidR="00C7140A">
        <w:rPr>
          <w:rFonts w:ascii="Cambria" w:hAnsi="Cambria"/>
          <w:b/>
          <w:bCs/>
          <w:sz w:val="22"/>
          <w:szCs w:val="22"/>
        </w:rPr>
        <w:t xml:space="preserve">  </w:t>
      </w:r>
      <w:r w:rsidR="00B442DD">
        <w:rPr>
          <w:rFonts w:ascii="Cambria" w:hAnsi="Cambria"/>
        </w:rPr>
        <w:t xml:space="preserve"> </w:t>
      </w:r>
      <w:r w:rsidR="00B442DD">
        <w:rPr>
          <w:rFonts w:ascii="Cambria" w:hAnsi="Cambria"/>
          <w:noProof/>
        </w:rPr>
        <w:drawing>
          <wp:inline distT="0" distB="0" distL="0" distR="0" wp14:anchorId="03B983CD" wp14:editId="0DA28D15">
            <wp:extent cx="180000" cy="180000"/>
            <wp:effectExtent l="0" t="0" r="0" b="0"/>
            <wp:docPr id="3" name="Picture 3" descr="Rating Green: fully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ting Green: fully on trac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1BF25FA7" w14:textId="77777777" w:rsidR="00317FAA" w:rsidRDefault="00317FAA" w:rsidP="00163DB2">
      <w:pPr>
        <w:ind w:left="5760" w:right="33" w:firstLine="720"/>
        <w:jc w:val="both"/>
        <w:rPr>
          <w:rFonts w:ascii="Cambria" w:hAnsi="Cambria"/>
        </w:rPr>
      </w:pPr>
    </w:p>
    <w:p w14:paraId="1DAC6ECB" w14:textId="027AF938" w:rsidR="008F24FA" w:rsidRPr="00CB305F" w:rsidRDefault="00187496" w:rsidP="00163DB2">
      <w:pPr>
        <w:pStyle w:val="ListParagraph"/>
        <w:numPr>
          <w:ilvl w:val="0"/>
          <w:numId w:val="5"/>
        </w:numPr>
        <w:ind w:right="33"/>
        <w:jc w:val="both"/>
        <w:rPr>
          <w:rFonts w:ascii="Cambria" w:hAnsi="Cambria"/>
          <w:b/>
          <w:bCs/>
          <w:sz w:val="21"/>
          <w:szCs w:val="21"/>
        </w:rPr>
      </w:pPr>
      <w:r>
        <w:rPr>
          <w:rFonts w:ascii="Cambria" w:hAnsi="Cambria"/>
          <w:b/>
          <w:bCs/>
          <w:sz w:val="21"/>
          <w:szCs w:val="21"/>
        </w:rPr>
        <w:t>Expand</w:t>
      </w:r>
      <w:r w:rsidR="003A7E53" w:rsidRPr="00CB305F">
        <w:rPr>
          <w:rFonts w:ascii="Cambria" w:hAnsi="Cambria"/>
          <w:b/>
          <w:bCs/>
          <w:sz w:val="21"/>
          <w:szCs w:val="21"/>
        </w:rPr>
        <w:t xml:space="preserve"> access to h</w:t>
      </w:r>
      <w:r w:rsidR="009C47CD" w:rsidRPr="00CB305F">
        <w:rPr>
          <w:rFonts w:ascii="Cambria" w:hAnsi="Cambria"/>
          <w:b/>
          <w:bCs/>
          <w:sz w:val="21"/>
          <w:szCs w:val="21"/>
        </w:rPr>
        <w:t>igh skilled labour</w:t>
      </w:r>
    </w:p>
    <w:p w14:paraId="7CD2CB44" w14:textId="0A2E1581" w:rsidR="00770DB8" w:rsidRPr="00270ACB" w:rsidRDefault="00573A2F" w:rsidP="00163DB2">
      <w:pPr>
        <w:ind w:right="33"/>
        <w:jc w:val="both"/>
        <w:rPr>
          <w:rFonts w:ascii="Cambria" w:hAnsi="Cambria"/>
          <w:sz w:val="21"/>
          <w:szCs w:val="21"/>
        </w:rPr>
      </w:pPr>
      <w:r>
        <w:rPr>
          <w:rFonts w:ascii="Cambria" w:hAnsi="Cambria"/>
          <w:sz w:val="21"/>
          <w:szCs w:val="21"/>
        </w:rPr>
        <w:t>A third</w:t>
      </w:r>
      <w:r w:rsidR="00242B09">
        <w:rPr>
          <w:rFonts w:ascii="Cambria" w:hAnsi="Cambria"/>
          <w:sz w:val="21"/>
          <w:szCs w:val="21"/>
        </w:rPr>
        <w:t>,</w:t>
      </w:r>
      <w:r w:rsidR="00C7608A" w:rsidRPr="00CB305F">
        <w:rPr>
          <w:rFonts w:ascii="Cambria" w:hAnsi="Cambria"/>
          <w:sz w:val="21"/>
          <w:szCs w:val="21"/>
        </w:rPr>
        <w:t xml:space="preserve"> </w:t>
      </w:r>
      <w:r w:rsidR="007A5E66" w:rsidRPr="00CB305F">
        <w:rPr>
          <w:rFonts w:ascii="Cambria" w:hAnsi="Cambria"/>
          <w:sz w:val="21"/>
          <w:szCs w:val="21"/>
        </w:rPr>
        <w:t xml:space="preserve">stand-alone </w:t>
      </w:r>
      <w:r w:rsidR="00C7608A" w:rsidRPr="00CB305F">
        <w:rPr>
          <w:rFonts w:ascii="Cambria" w:hAnsi="Cambria"/>
          <w:sz w:val="21"/>
          <w:szCs w:val="21"/>
        </w:rPr>
        <w:t>initiative</w:t>
      </w:r>
      <w:r w:rsidR="007A5E66" w:rsidRPr="00CB305F">
        <w:rPr>
          <w:rFonts w:ascii="Cambria" w:hAnsi="Cambria"/>
          <w:sz w:val="21"/>
          <w:szCs w:val="21"/>
        </w:rPr>
        <w:t xml:space="preserve"> </w:t>
      </w:r>
      <w:r w:rsidR="009A0DE0">
        <w:rPr>
          <w:rFonts w:ascii="Cambria" w:hAnsi="Cambria"/>
          <w:sz w:val="21"/>
          <w:szCs w:val="21"/>
        </w:rPr>
        <w:t>was</w:t>
      </w:r>
      <w:r w:rsidR="007A5E66" w:rsidRPr="00CB305F">
        <w:rPr>
          <w:rFonts w:ascii="Cambria" w:hAnsi="Cambria"/>
          <w:sz w:val="21"/>
          <w:szCs w:val="21"/>
        </w:rPr>
        <w:t xml:space="preserve"> developed by TAF Thailand, aimed at giving the Kingdom access to expanded high-skilled labour by recognising </w:t>
      </w:r>
      <w:r w:rsidR="009C47CD" w:rsidRPr="00CB305F">
        <w:rPr>
          <w:rFonts w:ascii="Cambria" w:hAnsi="Cambria"/>
          <w:sz w:val="21"/>
          <w:szCs w:val="21"/>
        </w:rPr>
        <w:t xml:space="preserve">and regularising the status of skilled workers </w:t>
      </w:r>
      <w:r w:rsidR="007A5E66" w:rsidRPr="00CB305F">
        <w:rPr>
          <w:rFonts w:ascii="Cambria" w:hAnsi="Cambria"/>
          <w:sz w:val="21"/>
          <w:szCs w:val="21"/>
        </w:rPr>
        <w:t xml:space="preserve">already in the country </w:t>
      </w:r>
      <w:r w:rsidR="009C47CD" w:rsidRPr="00CB305F">
        <w:rPr>
          <w:rFonts w:ascii="Cambria" w:hAnsi="Cambria"/>
          <w:sz w:val="21"/>
          <w:szCs w:val="21"/>
        </w:rPr>
        <w:t xml:space="preserve">who are </w:t>
      </w:r>
      <w:r w:rsidR="007A5E66" w:rsidRPr="00CB305F">
        <w:rPr>
          <w:rFonts w:ascii="Cambria" w:hAnsi="Cambria"/>
          <w:sz w:val="21"/>
          <w:szCs w:val="21"/>
        </w:rPr>
        <w:t xml:space="preserve">either </w:t>
      </w:r>
      <w:r w:rsidR="009C47CD" w:rsidRPr="00CB305F">
        <w:rPr>
          <w:rFonts w:ascii="Cambria" w:hAnsi="Cambria"/>
          <w:sz w:val="21"/>
          <w:szCs w:val="21"/>
        </w:rPr>
        <w:t>not in the labour force or who are</w:t>
      </w:r>
      <w:r w:rsidR="007A5E66" w:rsidRPr="00CB305F">
        <w:rPr>
          <w:rFonts w:ascii="Cambria" w:hAnsi="Cambria"/>
          <w:sz w:val="21"/>
          <w:szCs w:val="21"/>
        </w:rPr>
        <w:t xml:space="preserve"> not visible, including for tax purposes.  </w:t>
      </w:r>
      <w:r w:rsidR="00EB062C" w:rsidRPr="00CB305F">
        <w:rPr>
          <w:rFonts w:ascii="Cambria" w:hAnsi="Cambria"/>
          <w:sz w:val="21"/>
          <w:szCs w:val="21"/>
        </w:rPr>
        <w:t>There is a plausible case for the initiative</w:t>
      </w:r>
      <w:r w:rsidR="009A591A" w:rsidRPr="00CB305F">
        <w:rPr>
          <w:rFonts w:ascii="Cambria" w:hAnsi="Cambria"/>
          <w:sz w:val="21"/>
          <w:szCs w:val="21"/>
        </w:rPr>
        <w:t>,</w:t>
      </w:r>
      <w:r w:rsidR="00EB062C" w:rsidRPr="00CB305F">
        <w:rPr>
          <w:rFonts w:ascii="Cambria" w:hAnsi="Cambria"/>
          <w:sz w:val="21"/>
          <w:szCs w:val="21"/>
        </w:rPr>
        <w:t xml:space="preserve"> but it would benefit from enumeration of </w:t>
      </w:r>
      <w:r>
        <w:rPr>
          <w:rFonts w:ascii="Cambria" w:hAnsi="Cambria"/>
          <w:sz w:val="21"/>
          <w:szCs w:val="21"/>
        </w:rPr>
        <w:t>just how many</w:t>
      </w:r>
      <w:r w:rsidR="009A591A" w:rsidRPr="00CB305F">
        <w:rPr>
          <w:rFonts w:ascii="Cambria" w:hAnsi="Cambria"/>
          <w:sz w:val="21"/>
          <w:szCs w:val="21"/>
        </w:rPr>
        <w:t xml:space="preserve"> skilled workers </w:t>
      </w:r>
      <w:r>
        <w:rPr>
          <w:rFonts w:ascii="Cambria" w:hAnsi="Cambria"/>
          <w:sz w:val="21"/>
          <w:szCs w:val="21"/>
        </w:rPr>
        <w:t xml:space="preserve">are </w:t>
      </w:r>
      <w:r w:rsidR="00EB062C" w:rsidRPr="00CB305F">
        <w:rPr>
          <w:rFonts w:ascii="Cambria" w:hAnsi="Cambria"/>
          <w:sz w:val="21"/>
          <w:szCs w:val="21"/>
        </w:rPr>
        <w:t xml:space="preserve">involved and the quantum of benefit that might </w:t>
      </w:r>
      <w:r w:rsidR="009A591A" w:rsidRPr="00CB305F">
        <w:rPr>
          <w:rFonts w:ascii="Cambria" w:hAnsi="Cambria"/>
          <w:sz w:val="21"/>
          <w:szCs w:val="21"/>
        </w:rPr>
        <w:t xml:space="preserve">be </w:t>
      </w:r>
      <w:r w:rsidR="00EB062C" w:rsidRPr="00CB305F">
        <w:rPr>
          <w:rFonts w:ascii="Cambria" w:hAnsi="Cambria"/>
          <w:sz w:val="21"/>
          <w:szCs w:val="21"/>
        </w:rPr>
        <w:t>deliver</w:t>
      </w:r>
      <w:r w:rsidR="009A591A" w:rsidRPr="00CB305F">
        <w:rPr>
          <w:rFonts w:ascii="Cambria" w:hAnsi="Cambria"/>
          <w:sz w:val="21"/>
          <w:szCs w:val="21"/>
        </w:rPr>
        <w:t>ed</w:t>
      </w:r>
      <w:r w:rsidR="00EB062C" w:rsidRPr="00CB305F">
        <w:rPr>
          <w:rFonts w:ascii="Cambria" w:hAnsi="Cambria"/>
          <w:sz w:val="21"/>
          <w:szCs w:val="21"/>
        </w:rPr>
        <w:t>.  I</w:t>
      </w:r>
      <w:r w:rsidR="007A5E66" w:rsidRPr="00CB305F">
        <w:rPr>
          <w:rFonts w:ascii="Cambria" w:hAnsi="Cambria"/>
          <w:sz w:val="21"/>
          <w:szCs w:val="21"/>
        </w:rPr>
        <w:t xml:space="preserve">t has recently been agreed that </w:t>
      </w:r>
      <w:r w:rsidR="002E1A2A">
        <w:rPr>
          <w:rFonts w:ascii="Cambria" w:hAnsi="Cambria"/>
          <w:sz w:val="21"/>
          <w:szCs w:val="21"/>
        </w:rPr>
        <w:t xml:space="preserve">despite a promising start, </w:t>
      </w:r>
      <w:r w:rsidR="007A5E66" w:rsidRPr="00CB305F">
        <w:rPr>
          <w:rFonts w:ascii="Cambria" w:hAnsi="Cambria"/>
          <w:sz w:val="21"/>
          <w:szCs w:val="21"/>
        </w:rPr>
        <w:t xml:space="preserve">in the absence of sufficient </w:t>
      </w:r>
      <w:r w:rsidR="00D70AC6">
        <w:rPr>
          <w:rFonts w:ascii="Cambria" w:hAnsi="Cambria"/>
          <w:sz w:val="21"/>
          <w:szCs w:val="21"/>
        </w:rPr>
        <w:t xml:space="preserve">support </w:t>
      </w:r>
      <w:r w:rsidR="007A5E66" w:rsidRPr="00CB305F">
        <w:rPr>
          <w:rFonts w:ascii="Cambria" w:hAnsi="Cambria"/>
          <w:sz w:val="21"/>
          <w:szCs w:val="21"/>
        </w:rPr>
        <w:t>from senior figures</w:t>
      </w:r>
      <w:r w:rsidR="002E1A2A">
        <w:rPr>
          <w:rFonts w:ascii="Cambria" w:hAnsi="Cambria"/>
          <w:sz w:val="21"/>
          <w:szCs w:val="21"/>
        </w:rPr>
        <w:t xml:space="preserve"> after the 2019 election,</w:t>
      </w:r>
      <w:r w:rsidR="007A5E66" w:rsidRPr="00CB305F">
        <w:rPr>
          <w:rFonts w:ascii="Cambria" w:hAnsi="Cambria"/>
          <w:sz w:val="21"/>
          <w:szCs w:val="21"/>
        </w:rPr>
        <w:t xml:space="preserve"> this matter should remain on the backburner.  The program’s ability to move forward on things that are working well, depends in part on stepping back where they are not. </w:t>
      </w:r>
    </w:p>
    <w:p w14:paraId="4F25C65E" w14:textId="3622A84C" w:rsidR="005D1C61" w:rsidRPr="005D1C61" w:rsidRDefault="00770DB8" w:rsidP="00163DB2">
      <w:pPr>
        <w:ind w:right="33"/>
        <w:jc w:val="both"/>
        <w:rPr>
          <w:rFonts w:ascii="Cambria" w:hAnsi="Cambria"/>
        </w:rPr>
      </w:pPr>
      <w:r w:rsidRPr="00770DB8">
        <w:rPr>
          <w:rFonts w:ascii="Cambria" w:hAnsi="Cambria"/>
          <w:b/>
          <w:bCs/>
          <w:sz w:val="22"/>
          <w:szCs w:val="22"/>
        </w:rPr>
        <w:tab/>
      </w:r>
      <w:r w:rsidR="00B70FBF">
        <w:rPr>
          <w:rFonts w:ascii="Cambria" w:hAnsi="Cambria"/>
          <w:b/>
          <w:bCs/>
          <w:sz w:val="22"/>
          <w:szCs w:val="22"/>
        </w:rPr>
        <w:tab/>
      </w:r>
      <w:r w:rsidR="00B70FBF">
        <w:rPr>
          <w:rFonts w:ascii="Cambria" w:hAnsi="Cambria"/>
          <w:b/>
          <w:bCs/>
          <w:sz w:val="22"/>
          <w:szCs w:val="22"/>
        </w:rPr>
        <w:tab/>
      </w:r>
      <w:r w:rsidR="00B70FBF">
        <w:rPr>
          <w:rFonts w:ascii="Cambria" w:hAnsi="Cambria"/>
          <w:b/>
          <w:bCs/>
          <w:sz w:val="22"/>
          <w:szCs w:val="22"/>
        </w:rPr>
        <w:tab/>
      </w:r>
      <w:r w:rsidR="00B70FBF">
        <w:rPr>
          <w:rFonts w:ascii="Cambria" w:hAnsi="Cambria"/>
          <w:b/>
          <w:bCs/>
          <w:sz w:val="22"/>
          <w:szCs w:val="22"/>
        </w:rPr>
        <w:tab/>
      </w:r>
      <w:r w:rsidR="00B70FBF">
        <w:rPr>
          <w:rFonts w:ascii="Cambria" w:hAnsi="Cambria"/>
          <w:b/>
          <w:bCs/>
          <w:sz w:val="22"/>
          <w:szCs w:val="22"/>
        </w:rPr>
        <w:tab/>
      </w:r>
      <w:r w:rsidR="00B70FBF">
        <w:rPr>
          <w:rFonts w:ascii="Cambria" w:hAnsi="Cambria"/>
          <w:b/>
          <w:bCs/>
          <w:sz w:val="22"/>
          <w:szCs w:val="22"/>
        </w:rPr>
        <w:tab/>
      </w:r>
      <w:r w:rsidR="00B70FBF">
        <w:rPr>
          <w:rFonts w:ascii="Cambria" w:hAnsi="Cambria"/>
          <w:b/>
          <w:bCs/>
          <w:sz w:val="22"/>
          <w:szCs w:val="22"/>
        </w:rPr>
        <w:tab/>
      </w:r>
      <w:r w:rsidR="00D922EB">
        <w:rPr>
          <w:rFonts w:ascii="Cambria" w:hAnsi="Cambria"/>
          <w:b/>
          <w:bCs/>
          <w:sz w:val="22"/>
          <w:szCs w:val="22"/>
        </w:rPr>
        <w:tab/>
      </w:r>
      <w:r w:rsidR="00E47586">
        <w:rPr>
          <w:rFonts w:ascii="Cambria" w:hAnsi="Cambria"/>
          <w:b/>
          <w:bCs/>
          <w:sz w:val="22"/>
          <w:szCs w:val="22"/>
        </w:rPr>
        <w:t xml:space="preserve">  </w:t>
      </w:r>
      <w:r w:rsidR="00291AE6">
        <w:rPr>
          <w:rFonts w:ascii="Cambria" w:hAnsi="Cambria"/>
          <w:b/>
          <w:bCs/>
          <w:sz w:val="22"/>
          <w:szCs w:val="22"/>
        </w:rPr>
        <w:t xml:space="preserve">       </w:t>
      </w:r>
      <w:r w:rsidR="00A65AFC">
        <w:rPr>
          <w:rFonts w:ascii="Cambria" w:hAnsi="Cambria"/>
          <w:b/>
          <w:bCs/>
          <w:sz w:val="22"/>
          <w:szCs w:val="22"/>
        </w:rPr>
        <w:t xml:space="preserve">     </w:t>
      </w:r>
      <w:r w:rsidR="00245CAC">
        <w:rPr>
          <w:rFonts w:ascii="Cambria" w:hAnsi="Cambria"/>
          <w:b/>
          <w:bCs/>
          <w:sz w:val="22"/>
          <w:szCs w:val="22"/>
        </w:rPr>
        <w:t xml:space="preserve">  </w:t>
      </w:r>
      <w:r w:rsidRPr="00770DB8">
        <w:rPr>
          <w:rFonts w:ascii="Cambria" w:hAnsi="Cambria"/>
          <w:b/>
          <w:bCs/>
          <w:sz w:val="22"/>
          <w:szCs w:val="22"/>
        </w:rPr>
        <w:t>Overall</w:t>
      </w:r>
      <w:r w:rsidR="00A65AFC">
        <w:rPr>
          <w:rFonts w:ascii="Cambria" w:hAnsi="Cambria"/>
          <w:b/>
          <w:bCs/>
          <w:sz w:val="22"/>
          <w:szCs w:val="22"/>
        </w:rPr>
        <w:t xml:space="preserve"> </w:t>
      </w:r>
      <w:r w:rsidRPr="00770DB8">
        <w:rPr>
          <w:rFonts w:ascii="Cambria" w:hAnsi="Cambria"/>
          <w:b/>
          <w:bCs/>
          <w:sz w:val="22"/>
          <w:szCs w:val="22"/>
        </w:rPr>
        <w:t>rating</w:t>
      </w:r>
      <w:r w:rsidR="001060A1">
        <w:rPr>
          <w:rFonts w:ascii="Cambria" w:hAnsi="Cambria"/>
          <w:b/>
          <w:bCs/>
          <w:sz w:val="22"/>
          <w:szCs w:val="22"/>
        </w:rPr>
        <w:t xml:space="preserve">        </w:t>
      </w:r>
      <w:r w:rsidR="00B70FBF">
        <w:rPr>
          <w:rFonts w:ascii="Cambria" w:hAnsi="Cambria"/>
          <w:b/>
          <w:bCs/>
          <w:sz w:val="22"/>
          <w:szCs w:val="22"/>
        </w:rPr>
        <w:t xml:space="preserve"> </w:t>
      </w:r>
      <w:r w:rsidR="00E66E02">
        <w:rPr>
          <w:rFonts w:ascii="Cambria" w:hAnsi="Cambria"/>
          <w:b/>
          <w:bCs/>
          <w:sz w:val="22"/>
          <w:szCs w:val="22"/>
        </w:rPr>
        <w:t xml:space="preserve"> </w:t>
      </w:r>
      <w:r w:rsidR="001060A1">
        <w:rPr>
          <w:rFonts w:ascii="Cambria" w:hAnsi="Cambria"/>
          <w:b/>
          <w:bCs/>
          <w:sz w:val="22"/>
          <w:szCs w:val="22"/>
        </w:rPr>
        <w:t xml:space="preserve">   </w:t>
      </w:r>
      <w:r w:rsidR="00E66E02">
        <w:rPr>
          <w:rFonts w:ascii="Cambria" w:hAnsi="Cambria"/>
          <w:b/>
          <w:bCs/>
          <w:sz w:val="22"/>
          <w:szCs w:val="22"/>
        </w:rPr>
        <w:t xml:space="preserve">  </w:t>
      </w:r>
      <w:r w:rsidR="00E47586">
        <w:rPr>
          <w:rFonts w:ascii="Cambria" w:hAnsi="Cambria"/>
          <w:b/>
          <w:bCs/>
          <w:sz w:val="22"/>
          <w:szCs w:val="22"/>
        </w:rPr>
        <w:t xml:space="preserve"> </w:t>
      </w:r>
      <w:r w:rsidR="00E66E02">
        <w:rPr>
          <w:rFonts w:ascii="Cambria" w:hAnsi="Cambria"/>
          <w:b/>
          <w:bCs/>
          <w:sz w:val="22"/>
          <w:szCs w:val="22"/>
        </w:rPr>
        <w:t xml:space="preserve"> </w:t>
      </w:r>
      <w:r w:rsidR="001060A1">
        <w:rPr>
          <w:rFonts w:ascii="Cambria" w:hAnsi="Cambria"/>
          <w:b/>
          <w:bCs/>
          <w:sz w:val="22"/>
          <w:szCs w:val="22"/>
        </w:rPr>
        <w:t xml:space="preserve"> </w:t>
      </w:r>
      <w:r w:rsidR="001060A1">
        <w:rPr>
          <w:rFonts w:ascii="Cambria" w:hAnsi="Cambria"/>
          <w:noProof/>
        </w:rPr>
        <w:drawing>
          <wp:inline distT="0" distB="0" distL="0" distR="0" wp14:anchorId="6BA5235B" wp14:editId="285FEDA7">
            <wp:extent cx="172800" cy="180557"/>
            <wp:effectExtent l="0" t="0" r="5080" b="0"/>
            <wp:docPr id="10" name="Picture 10" descr="Rating Amber: satisfactory at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ating Amber: satisfactory at this ti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800" cy="180557"/>
                    </a:xfrm>
                    <a:prstGeom prst="rect">
                      <a:avLst/>
                    </a:prstGeom>
                  </pic:spPr>
                </pic:pic>
              </a:graphicData>
            </a:graphic>
          </wp:inline>
        </w:drawing>
      </w:r>
    </w:p>
    <w:p w14:paraId="7812024F" w14:textId="77777777" w:rsidR="00163DB2" w:rsidRDefault="00163DB2" w:rsidP="00163DB2">
      <w:pPr>
        <w:pStyle w:val="Heading3"/>
        <w:spacing w:before="0"/>
        <w:ind w:right="34"/>
        <w:rPr>
          <w:b/>
          <w:bCs/>
        </w:rPr>
      </w:pPr>
    </w:p>
    <w:p w14:paraId="33D095A7" w14:textId="00FCA9FD" w:rsidR="005D1C61" w:rsidRPr="005D1C61" w:rsidRDefault="005D1C61" w:rsidP="00163DB2">
      <w:pPr>
        <w:pStyle w:val="Heading3"/>
        <w:spacing w:before="0"/>
        <w:ind w:right="34"/>
        <w:rPr>
          <w:b/>
          <w:bCs/>
        </w:rPr>
      </w:pPr>
      <w:r w:rsidRPr="005D1C61">
        <w:rPr>
          <w:b/>
          <w:bCs/>
        </w:rPr>
        <w:t>Malaysia</w:t>
      </w:r>
    </w:p>
    <w:p w14:paraId="0168D9ED" w14:textId="7737D418" w:rsidR="009A591A" w:rsidRPr="00CB305F" w:rsidRDefault="009A591A" w:rsidP="00163DB2">
      <w:pPr>
        <w:spacing w:before="120"/>
        <w:ind w:right="33"/>
        <w:jc w:val="both"/>
        <w:rPr>
          <w:rFonts w:ascii="Cambria" w:hAnsi="Cambria"/>
          <w:b/>
          <w:bCs/>
          <w:sz w:val="21"/>
          <w:szCs w:val="21"/>
        </w:rPr>
      </w:pPr>
      <w:r w:rsidRPr="00CB305F">
        <w:rPr>
          <w:rFonts w:ascii="Cambria" w:hAnsi="Cambria"/>
          <w:b/>
          <w:bCs/>
          <w:sz w:val="21"/>
          <w:szCs w:val="21"/>
        </w:rPr>
        <w:t xml:space="preserve">Overall reform progress </w:t>
      </w:r>
    </w:p>
    <w:p w14:paraId="04148BFB" w14:textId="52B3DFB4" w:rsidR="004C0A8C" w:rsidRDefault="00AA3874" w:rsidP="00163DB2">
      <w:pPr>
        <w:ind w:right="33"/>
        <w:jc w:val="both"/>
        <w:rPr>
          <w:rFonts w:ascii="Cambria" w:hAnsi="Cambria"/>
          <w:sz w:val="21"/>
          <w:szCs w:val="21"/>
        </w:rPr>
      </w:pPr>
      <w:r w:rsidRPr="00CB305F">
        <w:rPr>
          <w:rFonts w:ascii="Cambria" w:hAnsi="Cambria"/>
          <w:sz w:val="21"/>
          <w:szCs w:val="21"/>
        </w:rPr>
        <w:t>Reform p</w:t>
      </w:r>
      <w:r w:rsidR="001F72A4" w:rsidRPr="00CB305F">
        <w:rPr>
          <w:rFonts w:ascii="Cambria" w:hAnsi="Cambria"/>
          <w:sz w:val="21"/>
          <w:szCs w:val="21"/>
        </w:rPr>
        <w:t>rogress in Malaysia has been slower than Thailand for several reasons</w:t>
      </w:r>
      <w:r w:rsidR="009E6B8A">
        <w:rPr>
          <w:rFonts w:ascii="Cambria" w:hAnsi="Cambria"/>
          <w:sz w:val="21"/>
          <w:szCs w:val="21"/>
        </w:rPr>
        <w:t xml:space="preserve">, including the </w:t>
      </w:r>
      <w:r w:rsidR="004C0A8C">
        <w:rPr>
          <w:rFonts w:ascii="Cambria" w:hAnsi="Cambria"/>
          <w:sz w:val="21"/>
          <w:szCs w:val="21"/>
        </w:rPr>
        <w:t xml:space="preserve">unanticipated </w:t>
      </w:r>
      <w:r w:rsidR="009E6B8A">
        <w:rPr>
          <w:rFonts w:ascii="Cambria" w:hAnsi="Cambria"/>
          <w:sz w:val="21"/>
          <w:szCs w:val="21"/>
        </w:rPr>
        <w:t>change of government in 2020</w:t>
      </w:r>
      <w:r w:rsidR="004C0A8C">
        <w:rPr>
          <w:rFonts w:ascii="Cambria" w:hAnsi="Cambria"/>
          <w:sz w:val="21"/>
          <w:szCs w:val="21"/>
        </w:rPr>
        <w:t xml:space="preserve">.  COVID </w:t>
      </w:r>
      <w:r w:rsidR="0013145F">
        <w:rPr>
          <w:rFonts w:ascii="Cambria" w:hAnsi="Cambria"/>
          <w:sz w:val="21"/>
          <w:szCs w:val="21"/>
        </w:rPr>
        <w:t>is another extraneous factor</w:t>
      </w:r>
      <w:r w:rsidR="00893FEE">
        <w:rPr>
          <w:rFonts w:ascii="Cambria" w:hAnsi="Cambria"/>
          <w:sz w:val="21"/>
          <w:szCs w:val="21"/>
        </w:rPr>
        <w:t xml:space="preserve"> that was highly disruptive</w:t>
      </w:r>
      <w:r w:rsidR="0013145F">
        <w:rPr>
          <w:rFonts w:ascii="Cambria" w:hAnsi="Cambria"/>
          <w:sz w:val="21"/>
          <w:szCs w:val="21"/>
        </w:rPr>
        <w:t xml:space="preserve">.  It </w:t>
      </w:r>
      <w:r w:rsidR="004C0A8C">
        <w:rPr>
          <w:rFonts w:ascii="Cambria" w:hAnsi="Cambria"/>
          <w:sz w:val="21"/>
          <w:szCs w:val="21"/>
        </w:rPr>
        <w:t>has slowed business everywhere</w:t>
      </w:r>
      <w:r w:rsidR="00242B09">
        <w:rPr>
          <w:rFonts w:ascii="Cambria" w:hAnsi="Cambria"/>
          <w:sz w:val="21"/>
          <w:szCs w:val="21"/>
        </w:rPr>
        <w:t>, but</w:t>
      </w:r>
      <w:r w:rsidR="004C0A8C">
        <w:rPr>
          <w:rFonts w:ascii="Cambria" w:hAnsi="Cambria"/>
          <w:sz w:val="21"/>
          <w:szCs w:val="21"/>
        </w:rPr>
        <w:t xml:space="preserve"> it has hit start-up</w:t>
      </w:r>
      <w:r w:rsidR="00242B09">
        <w:rPr>
          <w:rFonts w:ascii="Cambria" w:hAnsi="Cambria"/>
          <w:sz w:val="21"/>
          <w:szCs w:val="21"/>
        </w:rPr>
        <w:t xml:space="preserve">s lacking existing networks </w:t>
      </w:r>
      <w:r w:rsidR="004C0A8C">
        <w:rPr>
          <w:rFonts w:ascii="Cambria" w:hAnsi="Cambria"/>
          <w:sz w:val="21"/>
          <w:szCs w:val="21"/>
        </w:rPr>
        <w:t>particularly hard</w:t>
      </w:r>
      <w:r w:rsidR="0013145F">
        <w:rPr>
          <w:rFonts w:ascii="Cambria" w:hAnsi="Cambria"/>
          <w:sz w:val="21"/>
          <w:szCs w:val="21"/>
        </w:rPr>
        <w:t>.</w:t>
      </w:r>
      <w:r w:rsidR="001F72A4" w:rsidRPr="00CB305F">
        <w:rPr>
          <w:rFonts w:ascii="Cambria" w:hAnsi="Cambria"/>
          <w:sz w:val="21"/>
          <w:szCs w:val="21"/>
        </w:rPr>
        <w:t xml:space="preserve"> </w:t>
      </w:r>
      <w:r w:rsidR="004D3795">
        <w:rPr>
          <w:rFonts w:ascii="Cambria" w:hAnsi="Cambria"/>
          <w:sz w:val="21"/>
          <w:szCs w:val="21"/>
        </w:rPr>
        <w:t xml:space="preserve"> In addition, the </w:t>
      </w:r>
      <w:r w:rsidR="00242B09">
        <w:rPr>
          <w:rFonts w:ascii="Cambria" w:hAnsi="Cambria"/>
          <w:sz w:val="21"/>
          <w:szCs w:val="21"/>
        </w:rPr>
        <w:t xml:space="preserve">TAF </w:t>
      </w:r>
      <w:r w:rsidR="004D3795">
        <w:rPr>
          <w:rFonts w:ascii="Cambria" w:hAnsi="Cambria"/>
          <w:sz w:val="21"/>
          <w:szCs w:val="21"/>
        </w:rPr>
        <w:t xml:space="preserve">Country Representative </w:t>
      </w:r>
      <w:r w:rsidR="00163DB2">
        <w:rPr>
          <w:rFonts w:ascii="Cambria" w:hAnsi="Cambria"/>
          <w:sz w:val="21"/>
          <w:szCs w:val="21"/>
        </w:rPr>
        <w:t>accepted</w:t>
      </w:r>
      <w:r w:rsidR="004D3795">
        <w:rPr>
          <w:rFonts w:ascii="Cambria" w:hAnsi="Cambria"/>
          <w:sz w:val="21"/>
          <w:szCs w:val="21"/>
        </w:rPr>
        <w:t xml:space="preserve"> another position </w:t>
      </w:r>
      <w:r w:rsidR="00513713">
        <w:rPr>
          <w:rFonts w:ascii="Cambria" w:hAnsi="Cambria"/>
          <w:sz w:val="21"/>
          <w:szCs w:val="21"/>
        </w:rPr>
        <w:t>more than</w:t>
      </w:r>
      <w:r w:rsidR="004D3795">
        <w:rPr>
          <w:rFonts w:ascii="Cambria" w:hAnsi="Cambria"/>
          <w:sz w:val="21"/>
          <w:szCs w:val="21"/>
        </w:rPr>
        <w:t xml:space="preserve"> 6 months ago, with oversight now provided remotely from San Francisco.  </w:t>
      </w:r>
    </w:p>
    <w:p w14:paraId="09A2A5D6" w14:textId="77777777" w:rsidR="004C0A8C" w:rsidRDefault="004C0A8C" w:rsidP="00163DB2">
      <w:pPr>
        <w:ind w:right="33"/>
        <w:jc w:val="both"/>
        <w:rPr>
          <w:rFonts w:ascii="Cambria" w:hAnsi="Cambria"/>
          <w:sz w:val="21"/>
          <w:szCs w:val="21"/>
        </w:rPr>
      </w:pPr>
    </w:p>
    <w:p w14:paraId="105B2D6E" w14:textId="628748E5" w:rsidR="002D3D10" w:rsidRPr="00CB305F" w:rsidRDefault="004C0A8C" w:rsidP="00163DB2">
      <w:pPr>
        <w:ind w:right="33"/>
        <w:jc w:val="both"/>
        <w:rPr>
          <w:rFonts w:ascii="Cambria" w:hAnsi="Cambria"/>
          <w:sz w:val="21"/>
          <w:szCs w:val="21"/>
        </w:rPr>
      </w:pPr>
      <w:r>
        <w:rPr>
          <w:rFonts w:ascii="Cambria" w:hAnsi="Cambria"/>
          <w:sz w:val="21"/>
          <w:szCs w:val="21"/>
        </w:rPr>
        <w:lastRenderedPageBreak/>
        <w:t>T</w:t>
      </w:r>
      <w:r w:rsidR="009E6B8A">
        <w:rPr>
          <w:rFonts w:ascii="Cambria" w:hAnsi="Cambria"/>
          <w:sz w:val="21"/>
          <w:szCs w:val="21"/>
        </w:rPr>
        <w:t xml:space="preserve">he </w:t>
      </w:r>
      <w:r w:rsidR="00D4600E">
        <w:rPr>
          <w:rFonts w:ascii="Cambria" w:hAnsi="Cambria"/>
          <w:sz w:val="21"/>
          <w:szCs w:val="21"/>
        </w:rPr>
        <w:t>absence</w:t>
      </w:r>
      <w:r w:rsidR="001F72A4" w:rsidRPr="00CB305F">
        <w:rPr>
          <w:rFonts w:ascii="Cambria" w:hAnsi="Cambria"/>
          <w:sz w:val="21"/>
          <w:szCs w:val="21"/>
        </w:rPr>
        <w:t xml:space="preserve"> of </w:t>
      </w:r>
      <w:r w:rsidR="00D4600E">
        <w:rPr>
          <w:rFonts w:ascii="Cambria" w:hAnsi="Cambria"/>
          <w:sz w:val="21"/>
          <w:szCs w:val="21"/>
        </w:rPr>
        <w:t xml:space="preserve">an </w:t>
      </w:r>
      <w:r w:rsidR="001F72A4" w:rsidRPr="00CB305F">
        <w:rPr>
          <w:rFonts w:ascii="Cambria" w:hAnsi="Cambria"/>
          <w:sz w:val="21"/>
          <w:szCs w:val="21"/>
        </w:rPr>
        <w:t xml:space="preserve">extensive history of </w:t>
      </w:r>
      <w:r w:rsidR="00AA3874" w:rsidRPr="00CB305F">
        <w:rPr>
          <w:rFonts w:ascii="Cambria" w:hAnsi="Cambria"/>
          <w:sz w:val="21"/>
          <w:szCs w:val="21"/>
        </w:rPr>
        <w:t xml:space="preserve">DFAT and TAF </w:t>
      </w:r>
      <w:r w:rsidR="001F72A4" w:rsidRPr="00CB305F">
        <w:rPr>
          <w:rFonts w:ascii="Cambria" w:hAnsi="Cambria"/>
          <w:sz w:val="21"/>
          <w:szCs w:val="21"/>
        </w:rPr>
        <w:t xml:space="preserve">working together </w:t>
      </w:r>
      <w:r>
        <w:rPr>
          <w:rFonts w:ascii="Cambria" w:hAnsi="Cambria"/>
          <w:sz w:val="21"/>
          <w:szCs w:val="21"/>
        </w:rPr>
        <w:t xml:space="preserve">in Malaysia </w:t>
      </w:r>
      <w:r w:rsidR="004D3795">
        <w:rPr>
          <w:rFonts w:ascii="Cambria" w:hAnsi="Cambria"/>
          <w:sz w:val="21"/>
          <w:szCs w:val="21"/>
        </w:rPr>
        <w:t>required</w:t>
      </w:r>
      <w:r>
        <w:rPr>
          <w:rFonts w:ascii="Cambria" w:hAnsi="Cambria"/>
          <w:sz w:val="21"/>
          <w:szCs w:val="21"/>
        </w:rPr>
        <w:t xml:space="preserve"> a confidence building phase</w:t>
      </w:r>
      <w:r w:rsidR="004D3795">
        <w:rPr>
          <w:rFonts w:ascii="Cambria" w:hAnsi="Cambria"/>
          <w:sz w:val="21"/>
          <w:szCs w:val="21"/>
        </w:rPr>
        <w:t>.  T</w:t>
      </w:r>
      <w:r w:rsidR="00D03F40">
        <w:rPr>
          <w:rFonts w:ascii="Cambria" w:hAnsi="Cambria"/>
          <w:sz w:val="21"/>
          <w:szCs w:val="21"/>
        </w:rPr>
        <w:t xml:space="preserve">his </w:t>
      </w:r>
      <w:r>
        <w:rPr>
          <w:rFonts w:ascii="Cambria" w:hAnsi="Cambria"/>
          <w:sz w:val="21"/>
          <w:szCs w:val="21"/>
        </w:rPr>
        <w:t>was d</w:t>
      </w:r>
      <w:r w:rsidR="002D3D10">
        <w:rPr>
          <w:rFonts w:ascii="Cambria" w:hAnsi="Cambria"/>
          <w:sz w:val="21"/>
          <w:szCs w:val="21"/>
        </w:rPr>
        <w:t>erailed</w:t>
      </w:r>
      <w:r>
        <w:rPr>
          <w:rFonts w:ascii="Cambria" w:hAnsi="Cambria"/>
          <w:sz w:val="21"/>
          <w:szCs w:val="21"/>
        </w:rPr>
        <w:t xml:space="preserve"> </w:t>
      </w:r>
      <w:r w:rsidR="00D4600E">
        <w:rPr>
          <w:rFonts w:ascii="Cambria" w:hAnsi="Cambria"/>
          <w:sz w:val="21"/>
          <w:szCs w:val="21"/>
        </w:rPr>
        <w:t>by</w:t>
      </w:r>
      <w:r w:rsidR="004D3795">
        <w:rPr>
          <w:rFonts w:ascii="Cambria" w:hAnsi="Cambria"/>
          <w:sz w:val="21"/>
          <w:szCs w:val="21"/>
        </w:rPr>
        <w:t xml:space="preserve"> the </w:t>
      </w:r>
      <w:r w:rsidR="00D03F40">
        <w:rPr>
          <w:rFonts w:ascii="Cambria" w:hAnsi="Cambria"/>
          <w:sz w:val="21"/>
          <w:szCs w:val="21"/>
        </w:rPr>
        <w:t xml:space="preserve">DFAT </w:t>
      </w:r>
      <w:r w:rsidRPr="00CB305F">
        <w:rPr>
          <w:rFonts w:ascii="Cambria" w:hAnsi="Cambria"/>
          <w:sz w:val="21"/>
          <w:szCs w:val="21"/>
        </w:rPr>
        <w:t>Post</w:t>
      </w:r>
      <w:r w:rsidR="00D03F40">
        <w:rPr>
          <w:rFonts w:ascii="Cambria" w:hAnsi="Cambria"/>
          <w:sz w:val="21"/>
          <w:szCs w:val="21"/>
        </w:rPr>
        <w:t xml:space="preserve"> </w:t>
      </w:r>
      <w:r w:rsidRPr="00CB305F">
        <w:rPr>
          <w:rFonts w:ascii="Cambria" w:hAnsi="Cambria"/>
          <w:sz w:val="21"/>
          <w:szCs w:val="21"/>
        </w:rPr>
        <w:t>and Canberra</w:t>
      </w:r>
      <w:r w:rsidR="004D3795">
        <w:rPr>
          <w:rFonts w:ascii="Cambria" w:hAnsi="Cambria"/>
          <w:sz w:val="21"/>
          <w:szCs w:val="21"/>
        </w:rPr>
        <w:t xml:space="preserve"> needing </w:t>
      </w:r>
      <w:r>
        <w:rPr>
          <w:rFonts w:ascii="Cambria" w:hAnsi="Cambria"/>
          <w:sz w:val="21"/>
          <w:szCs w:val="21"/>
        </w:rPr>
        <w:t xml:space="preserve">to </w:t>
      </w:r>
      <w:r w:rsidR="00D4600E">
        <w:rPr>
          <w:rFonts w:ascii="Cambria" w:hAnsi="Cambria"/>
          <w:sz w:val="21"/>
          <w:szCs w:val="21"/>
        </w:rPr>
        <w:t xml:space="preserve">resolve some </w:t>
      </w:r>
      <w:r w:rsidR="00D70AC6">
        <w:rPr>
          <w:rFonts w:ascii="Cambria" w:hAnsi="Cambria"/>
          <w:sz w:val="21"/>
          <w:szCs w:val="21"/>
        </w:rPr>
        <w:t>funding</w:t>
      </w:r>
      <w:r w:rsidR="006D312A">
        <w:rPr>
          <w:rFonts w:ascii="Cambria" w:hAnsi="Cambria"/>
          <w:sz w:val="21"/>
          <w:szCs w:val="21"/>
        </w:rPr>
        <w:t xml:space="preserve"> and policy</w:t>
      </w:r>
      <w:r w:rsidR="00D70AC6">
        <w:rPr>
          <w:rFonts w:ascii="Cambria" w:hAnsi="Cambria"/>
          <w:sz w:val="21"/>
          <w:szCs w:val="21"/>
        </w:rPr>
        <w:t xml:space="preserve"> </w:t>
      </w:r>
      <w:r w:rsidR="00D4600E">
        <w:rPr>
          <w:rFonts w:ascii="Cambria" w:hAnsi="Cambria"/>
          <w:sz w:val="21"/>
          <w:szCs w:val="21"/>
        </w:rPr>
        <w:t>issues</w:t>
      </w:r>
      <w:r>
        <w:rPr>
          <w:rFonts w:ascii="Cambria" w:hAnsi="Cambria"/>
          <w:sz w:val="21"/>
          <w:szCs w:val="21"/>
        </w:rPr>
        <w:t xml:space="preserve">.  </w:t>
      </w:r>
      <w:r w:rsidR="002D3D10" w:rsidRPr="00CB305F">
        <w:rPr>
          <w:rFonts w:ascii="Cambria" w:hAnsi="Cambria"/>
          <w:sz w:val="21"/>
          <w:szCs w:val="21"/>
        </w:rPr>
        <w:t xml:space="preserve">A compromise resulted in </w:t>
      </w:r>
      <w:r w:rsidR="002D3D10">
        <w:rPr>
          <w:rFonts w:ascii="Cambria" w:hAnsi="Cambria"/>
          <w:sz w:val="21"/>
          <w:szCs w:val="21"/>
        </w:rPr>
        <w:t xml:space="preserve">20% of program funds </w:t>
      </w:r>
      <w:r w:rsidR="002D3D10" w:rsidRPr="00CB305F">
        <w:rPr>
          <w:rFonts w:ascii="Cambria" w:hAnsi="Cambria"/>
          <w:sz w:val="21"/>
          <w:szCs w:val="21"/>
        </w:rPr>
        <w:t>being set aside for the Post to deliver some activities directly</w:t>
      </w:r>
      <w:r w:rsidR="00D03F40">
        <w:rPr>
          <w:rFonts w:ascii="Cambria" w:hAnsi="Cambria"/>
          <w:sz w:val="21"/>
          <w:szCs w:val="21"/>
        </w:rPr>
        <w:t xml:space="preserve">.  </w:t>
      </w:r>
      <w:r>
        <w:rPr>
          <w:rFonts w:ascii="Cambria" w:hAnsi="Cambria"/>
          <w:sz w:val="21"/>
          <w:szCs w:val="21"/>
        </w:rPr>
        <w:t>Th</w:t>
      </w:r>
      <w:r w:rsidR="00394001">
        <w:rPr>
          <w:rFonts w:ascii="Cambria" w:hAnsi="Cambria"/>
          <w:sz w:val="21"/>
          <w:szCs w:val="21"/>
        </w:rPr>
        <w:t xml:space="preserve">is </w:t>
      </w:r>
      <w:r w:rsidRPr="00CB305F">
        <w:rPr>
          <w:rFonts w:ascii="Cambria" w:hAnsi="Cambria"/>
          <w:sz w:val="21"/>
          <w:szCs w:val="21"/>
        </w:rPr>
        <w:t>affected the pace of mobilisation</w:t>
      </w:r>
      <w:r w:rsidR="00394001">
        <w:rPr>
          <w:rFonts w:ascii="Cambria" w:hAnsi="Cambria"/>
          <w:sz w:val="21"/>
          <w:szCs w:val="21"/>
        </w:rPr>
        <w:t xml:space="preserve"> and</w:t>
      </w:r>
      <w:r w:rsidR="00D03F40">
        <w:rPr>
          <w:rFonts w:ascii="Cambria" w:hAnsi="Cambria"/>
          <w:sz w:val="21"/>
          <w:szCs w:val="21"/>
        </w:rPr>
        <w:t xml:space="preserve"> </w:t>
      </w:r>
      <w:r w:rsidRPr="00CB305F">
        <w:rPr>
          <w:rFonts w:ascii="Cambria" w:hAnsi="Cambria"/>
          <w:sz w:val="21"/>
          <w:szCs w:val="21"/>
        </w:rPr>
        <w:t>the</w:t>
      </w:r>
      <w:r>
        <w:rPr>
          <w:rFonts w:ascii="Cambria" w:hAnsi="Cambria"/>
          <w:sz w:val="21"/>
          <w:szCs w:val="21"/>
        </w:rPr>
        <w:t xml:space="preserve"> initial</w:t>
      </w:r>
      <w:r w:rsidRPr="00CB305F">
        <w:rPr>
          <w:rFonts w:ascii="Cambria" w:hAnsi="Cambria"/>
          <w:sz w:val="21"/>
          <w:szCs w:val="21"/>
        </w:rPr>
        <w:t xml:space="preserve"> atmospherics of the partnership</w:t>
      </w:r>
      <w:r w:rsidR="00D03F40">
        <w:rPr>
          <w:rFonts w:ascii="Cambria" w:hAnsi="Cambria"/>
          <w:sz w:val="21"/>
          <w:szCs w:val="21"/>
        </w:rPr>
        <w:t xml:space="preserve"> and </w:t>
      </w:r>
      <w:r w:rsidR="00BC2A8D">
        <w:rPr>
          <w:rFonts w:ascii="Cambria" w:hAnsi="Cambria"/>
          <w:sz w:val="21"/>
          <w:szCs w:val="21"/>
        </w:rPr>
        <w:t xml:space="preserve">in turn </w:t>
      </w:r>
      <w:r w:rsidR="00D03F40">
        <w:rPr>
          <w:rFonts w:ascii="Cambria" w:hAnsi="Cambria"/>
          <w:sz w:val="21"/>
          <w:szCs w:val="21"/>
        </w:rPr>
        <w:t>contributed to mismatched expectations and miscommunications, especially regarding analytical products</w:t>
      </w:r>
      <w:r w:rsidRPr="00CB305F">
        <w:rPr>
          <w:rFonts w:ascii="Cambria" w:hAnsi="Cambria"/>
          <w:sz w:val="21"/>
          <w:szCs w:val="21"/>
        </w:rPr>
        <w:t xml:space="preserve">.  </w:t>
      </w:r>
      <w:r w:rsidR="004D3795">
        <w:rPr>
          <w:rFonts w:ascii="Cambria" w:hAnsi="Cambria"/>
          <w:sz w:val="21"/>
          <w:szCs w:val="21"/>
        </w:rPr>
        <w:t xml:space="preserve">The question of what the office can reasonably be expected to take </w:t>
      </w:r>
      <w:r w:rsidR="000B6B15">
        <w:rPr>
          <w:rFonts w:ascii="Cambria" w:hAnsi="Cambria"/>
          <w:sz w:val="21"/>
          <w:szCs w:val="21"/>
        </w:rPr>
        <w:t xml:space="preserve">on </w:t>
      </w:r>
      <w:r w:rsidR="00513713">
        <w:rPr>
          <w:rFonts w:ascii="Cambria" w:hAnsi="Cambria"/>
          <w:sz w:val="21"/>
          <w:szCs w:val="21"/>
        </w:rPr>
        <w:t>is</w:t>
      </w:r>
      <w:r w:rsidR="004D3795">
        <w:rPr>
          <w:rFonts w:ascii="Cambria" w:hAnsi="Cambria"/>
          <w:sz w:val="21"/>
          <w:szCs w:val="21"/>
        </w:rPr>
        <w:t xml:space="preserve"> a live</w:t>
      </w:r>
      <w:r w:rsidR="0013145F">
        <w:rPr>
          <w:rFonts w:ascii="Cambria" w:hAnsi="Cambria"/>
          <w:sz w:val="21"/>
          <w:szCs w:val="21"/>
        </w:rPr>
        <w:t xml:space="preserve"> </w:t>
      </w:r>
      <w:r w:rsidR="004D3795">
        <w:rPr>
          <w:rFonts w:ascii="Cambria" w:hAnsi="Cambria"/>
          <w:sz w:val="21"/>
          <w:szCs w:val="21"/>
        </w:rPr>
        <w:t>issue</w:t>
      </w:r>
      <w:r w:rsidR="0013145F">
        <w:rPr>
          <w:rFonts w:ascii="Cambria" w:hAnsi="Cambria"/>
          <w:sz w:val="21"/>
          <w:szCs w:val="21"/>
        </w:rPr>
        <w:t xml:space="preserve"> where opinions differ.</w:t>
      </w:r>
    </w:p>
    <w:p w14:paraId="29DBC393" w14:textId="77777777" w:rsidR="004D3795" w:rsidRDefault="004D3795" w:rsidP="00163DB2">
      <w:pPr>
        <w:ind w:right="33"/>
        <w:jc w:val="both"/>
        <w:rPr>
          <w:rFonts w:ascii="Cambria" w:hAnsi="Cambria"/>
          <w:sz w:val="21"/>
          <w:szCs w:val="21"/>
        </w:rPr>
      </w:pPr>
    </w:p>
    <w:p w14:paraId="2144BD70" w14:textId="1133FF77" w:rsidR="004C0A8C" w:rsidRDefault="00BC2A8D" w:rsidP="00163DB2">
      <w:pPr>
        <w:ind w:right="33"/>
        <w:jc w:val="both"/>
        <w:rPr>
          <w:rFonts w:ascii="Cambria" w:hAnsi="Cambria"/>
          <w:sz w:val="21"/>
          <w:szCs w:val="21"/>
        </w:rPr>
      </w:pPr>
      <w:r>
        <w:rPr>
          <w:rFonts w:ascii="Cambria" w:hAnsi="Cambria"/>
          <w:sz w:val="21"/>
          <w:szCs w:val="21"/>
        </w:rPr>
        <w:t>T</w:t>
      </w:r>
      <w:r w:rsidR="001F72A4" w:rsidRPr="00CB305F">
        <w:rPr>
          <w:rFonts w:ascii="Cambria" w:hAnsi="Cambria"/>
          <w:sz w:val="21"/>
          <w:szCs w:val="21"/>
        </w:rPr>
        <w:t xml:space="preserve">he </w:t>
      </w:r>
      <w:r w:rsidR="004C0A8C">
        <w:rPr>
          <w:rFonts w:ascii="Cambria" w:hAnsi="Cambria"/>
          <w:sz w:val="21"/>
          <w:szCs w:val="21"/>
        </w:rPr>
        <w:t xml:space="preserve">TAF </w:t>
      </w:r>
      <w:r w:rsidR="001F72A4" w:rsidRPr="00CB305F">
        <w:rPr>
          <w:rFonts w:ascii="Cambria" w:hAnsi="Cambria"/>
          <w:sz w:val="21"/>
          <w:szCs w:val="21"/>
        </w:rPr>
        <w:t xml:space="preserve">office </w:t>
      </w:r>
      <w:r w:rsidR="004C0A8C">
        <w:rPr>
          <w:rFonts w:ascii="Cambria" w:hAnsi="Cambria"/>
          <w:sz w:val="21"/>
          <w:szCs w:val="21"/>
        </w:rPr>
        <w:t xml:space="preserve">in Kuala Lumpur </w:t>
      </w:r>
      <w:r w:rsidR="001F72A4" w:rsidRPr="00CB305F">
        <w:rPr>
          <w:rFonts w:ascii="Cambria" w:hAnsi="Cambria"/>
          <w:sz w:val="21"/>
          <w:szCs w:val="21"/>
        </w:rPr>
        <w:t xml:space="preserve">is small and </w:t>
      </w:r>
      <w:r w:rsidR="00661D10" w:rsidRPr="00CB305F">
        <w:rPr>
          <w:rFonts w:ascii="Cambria" w:hAnsi="Cambria"/>
          <w:sz w:val="21"/>
          <w:szCs w:val="21"/>
        </w:rPr>
        <w:t xml:space="preserve">staff </w:t>
      </w:r>
      <w:r w:rsidR="001F72A4" w:rsidRPr="00CB305F">
        <w:rPr>
          <w:rFonts w:ascii="Cambria" w:hAnsi="Cambria"/>
          <w:sz w:val="21"/>
          <w:szCs w:val="21"/>
        </w:rPr>
        <w:t>ha</w:t>
      </w:r>
      <w:r w:rsidR="00661D10" w:rsidRPr="00CB305F">
        <w:rPr>
          <w:rFonts w:ascii="Cambria" w:hAnsi="Cambria"/>
          <w:sz w:val="21"/>
          <w:szCs w:val="21"/>
        </w:rPr>
        <w:t>ve</w:t>
      </w:r>
      <w:r w:rsidR="001F72A4" w:rsidRPr="00CB305F">
        <w:rPr>
          <w:rFonts w:ascii="Cambria" w:hAnsi="Cambria"/>
          <w:sz w:val="21"/>
          <w:szCs w:val="21"/>
        </w:rPr>
        <w:t xml:space="preserve"> to be very agile across a wide variety of specialist areas.  </w:t>
      </w:r>
      <w:r w:rsidR="009E6B8A">
        <w:rPr>
          <w:rFonts w:ascii="Cambria" w:hAnsi="Cambria"/>
          <w:sz w:val="21"/>
          <w:szCs w:val="21"/>
        </w:rPr>
        <w:t>It</w:t>
      </w:r>
      <w:r w:rsidR="001F72A4" w:rsidRPr="00CB305F">
        <w:rPr>
          <w:rFonts w:ascii="Cambria" w:hAnsi="Cambria"/>
          <w:sz w:val="21"/>
          <w:szCs w:val="21"/>
        </w:rPr>
        <w:t xml:space="preserve"> does not have the in-depth, in-house skills </w:t>
      </w:r>
      <w:r w:rsidR="004C0A8C">
        <w:rPr>
          <w:rFonts w:ascii="Cambria" w:hAnsi="Cambria"/>
          <w:sz w:val="21"/>
          <w:szCs w:val="21"/>
        </w:rPr>
        <w:t>available to Bangkok</w:t>
      </w:r>
      <w:r w:rsidR="0013145F">
        <w:rPr>
          <w:rFonts w:ascii="Cambria" w:hAnsi="Cambria"/>
          <w:sz w:val="21"/>
          <w:szCs w:val="21"/>
        </w:rPr>
        <w:t xml:space="preserve"> and so the </w:t>
      </w:r>
      <w:r w:rsidR="00E756D6">
        <w:rPr>
          <w:rFonts w:ascii="Cambria" w:hAnsi="Cambria"/>
          <w:sz w:val="21"/>
          <w:szCs w:val="21"/>
        </w:rPr>
        <w:t xml:space="preserve">evaluation </w:t>
      </w:r>
      <w:r w:rsidR="00FA0503">
        <w:rPr>
          <w:rFonts w:ascii="Cambria" w:hAnsi="Cambria"/>
          <w:sz w:val="21"/>
          <w:szCs w:val="21"/>
        </w:rPr>
        <w:t>concludes</w:t>
      </w:r>
      <w:r w:rsidR="00E756D6">
        <w:rPr>
          <w:rFonts w:ascii="Cambria" w:hAnsi="Cambria"/>
          <w:sz w:val="21"/>
          <w:szCs w:val="21"/>
        </w:rPr>
        <w:t xml:space="preserve"> that the </w:t>
      </w:r>
      <w:r w:rsidR="0013145F">
        <w:rPr>
          <w:rFonts w:ascii="Cambria" w:hAnsi="Cambria"/>
          <w:sz w:val="21"/>
          <w:szCs w:val="21"/>
        </w:rPr>
        <w:t>same outputs cannot be expected of it</w:t>
      </w:r>
      <w:r w:rsidR="004C0A8C">
        <w:rPr>
          <w:rFonts w:ascii="Cambria" w:hAnsi="Cambria"/>
          <w:sz w:val="21"/>
          <w:szCs w:val="21"/>
        </w:rPr>
        <w:t>.</w:t>
      </w:r>
      <w:r w:rsidR="00394001">
        <w:rPr>
          <w:rFonts w:ascii="Cambria" w:hAnsi="Cambria"/>
          <w:sz w:val="21"/>
          <w:szCs w:val="21"/>
        </w:rPr>
        <w:t xml:space="preserve"> </w:t>
      </w:r>
      <w:r>
        <w:rPr>
          <w:rFonts w:ascii="Cambria" w:hAnsi="Cambria"/>
          <w:sz w:val="21"/>
          <w:szCs w:val="21"/>
        </w:rPr>
        <w:t xml:space="preserve"> </w:t>
      </w:r>
      <w:r w:rsidR="004C0A8C">
        <w:rPr>
          <w:rFonts w:ascii="Cambria" w:hAnsi="Cambria"/>
          <w:sz w:val="21"/>
          <w:szCs w:val="21"/>
        </w:rPr>
        <w:t xml:space="preserve">While TAF’s business model is based on </w:t>
      </w:r>
      <w:r w:rsidR="004C0A8C" w:rsidRPr="00CB305F">
        <w:rPr>
          <w:rFonts w:ascii="Cambria" w:hAnsi="Cambria"/>
          <w:sz w:val="21"/>
          <w:szCs w:val="21"/>
        </w:rPr>
        <w:t>work</w:t>
      </w:r>
      <w:r w:rsidR="004C0A8C">
        <w:rPr>
          <w:rFonts w:ascii="Cambria" w:hAnsi="Cambria"/>
          <w:sz w:val="21"/>
          <w:szCs w:val="21"/>
        </w:rPr>
        <w:t>ing</w:t>
      </w:r>
      <w:r w:rsidR="004C0A8C" w:rsidRPr="00CB305F">
        <w:rPr>
          <w:rFonts w:ascii="Cambria" w:hAnsi="Cambria"/>
          <w:sz w:val="21"/>
          <w:szCs w:val="21"/>
        </w:rPr>
        <w:t xml:space="preserve"> across multiple</w:t>
      </w:r>
      <w:r w:rsidR="004C0A8C">
        <w:rPr>
          <w:rFonts w:ascii="Cambria" w:hAnsi="Cambria"/>
          <w:sz w:val="21"/>
          <w:szCs w:val="21"/>
        </w:rPr>
        <w:t>,</w:t>
      </w:r>
      <w:r w:rsidR="004C0A8C" w:rsidRPr="00CB305F">
        <w:rPr>
          <w:rFonts w:ascii="Cambria" w:hAnsi="Cambria"/>
          <w:sz w:val="21"/>
          <w:szCs w:val="21"/>
        </w:rPr>
        <w:t xml:space="preserve"> </w:t>
      </w:r>
      <w:r w:rsidR="004C0A8C">
        <w:rPr>
          <w:rFonts w:ascii="Cambria" w:hAnsi="Cambria"/>
          <w:sz w:val="21"/>
          <w:szCs w:val="21"/>
        </w:rPr>
        <w:t>externally</w:t>
      </w:r>
      <w:r w:rsidR="002D3D10">
        <w:rPr>
          <w:rFonts w:ascii="Cambria" w:hAnsi="Cambria"/>
          <w:sz w:val="21"/>
          <w:szCs w:val="21"/>
        </w:rPr>
        <w:t>-</w:t>
      </w:r>
      <w:r w:rsidR="004C0A8C" w:rsidRPr="00CB305F">
        <w:rPr>
          <w:rFonts w:ascii="Cambria" w:hAnsi="Cambria"/>
          <w:sz w:val="21"/>
          <w:szCs w:val="21"/>
        </w:rPr>
        <w:t>funded programs by recruiting expert consultants and working with effective local organisations</w:t>
      </w:r>
      <w:r w:rsidR="00E465FF">
        <w:rPr>
          <w:rFonts w:ascii="Cambria" w:hAnsi="Cambria"/>
          <w:sz w:val="21"/>
          <w:szCs w:val="21"/>
        </w:rPr>
        <w:t>,</w:t>
      </w:r>
      <w:r w:rsidR="004C0A8C">
        <w:rPr>
          <w:rFonts w:ascii="Cambria" w:hAnsi="Cambria"/>
          <w:sz w:val="21"/>
          <w:szCs w:val="21"/>
        </w:rPr>
        <w:t xml:space="preserve"> this in</w:t>
      </w:r>
      <w:r w:rsidR="004C0A8C" w:rsidRPr="00CB305F">
        <w:rPr>
          <w:rFonts w:ascii="Cambria" w:hAnsi="Cambria"/>
          <w:sz w:val="21"/>
          <w:szCs w:val="21"/>
        </w:rPr>
        <w:t xml:space="preserve"> itself </w:t>
      </w:r>
      <w:r w:rsidR="002D3D10">
        <w:rPr>
          <w:rFonts w:ascii="Cambria" w:hAnsi="Cambria"/>
          <w:sz w:val="21"/>
          <w:szCs w:val="21"/>
        </w:rPr>
        <w:t xml:space="preserve">is influenced </w:t>
      </w:r>
      <w:r w:rsidR="004C0A8C" w:rsidRPr="00CB305F">
        <w:rPr>
          <w:rFonts w:ascii="Cambria" w:hAnsi="Cambria"/>
          <w:sz w:val="21"/>
          <w:szCs w:val="21"/>
        </w:rPr>
        <w:t xml:space="preserve"> </w:t>
      </w:r>
      <w:r w:rsidR="002D3D10">
        <w:rPr>
          <w:rFonts w:ascii="Cambria" w:hAnsi="Cambria"/>
          <w:sz w:val="21"/>
          <w:szCs w:val="21"/>
        </w:rPr>
        <w:t xml:space="preserve">by </w:t>
      </w:r>
      <w:r w:rsidR="004C0A8C" w:rsidRPr="00CB305F">
        <w:rPr>
          <w:rFonts w:ascii="Cambria" w:hAnsi="Cambria"/>
          <w:sz w:val="21"/>
          <w:szCs w:val="21"/>
        </w:rPr>
        <w:t xml:space="preserve">internal </w:t>
      </w:r>
      <w:r w:rsidR="002D3D10">
        <w:rPr>
          <w:rFonts w:ascii="Cambria" w:hAnsi="Cambria"/>
          <w:sz w:val="21"/>
          <w:szCs w:val="21"/>
        </w:rPr>
        <w:t xml:space="preserve">resources.  The evaluation </w:t>
      </w:r>
      <w:r w:rsidR="00D03F40">
        <w:rPr>
          <w:rFonts w:ascii="Cambria" w:hAnsi="Cambria"/>
          <w:sz w:val="21"/>
          <w:szCs w:val="21"/>
        </w:rPr>
        <w:t>judges that the KL office experiences</w:t>
      </w:r>
      <w:r w:rsidR="004C0A8C" w:rsidRPr="00CB305F">
        <w:rPr>
          <w:rFonts w:ascii="Cambria" w:hAnsi="Cambria"/>
          <w:sz w:val="21"/>
          <w:szCs w:val="21"/>
        </w:rPr>
        <w:t xml:space="preserve"> </w:t>
      </w:r>
      <w:r w:rsidR="002D3D10">
        <w:rPr>
          <w:rFonts w:ascii="Cambria" w:hAnsi="Cambria"/>
          <w:sz w:val="21"/>
          <w:szCs w:val="21"/>
        </w:rPr>
        <w:t>dis-</w:t>
      </w:r>
      <w:r w:rsidR="004C0A8C" w:rsidRPr="00CB305F">
        <w:rPr>
          <w:rFonts w:ascii="Cambria" w:hAnsi="Cambria"/>
          <w:sz w:val="21"/>
          <w:szCs w:val="21"/>
        </w:rPr>
        <w:t xml:space="preserve">economies of scale and </w:t>
      </w:r>
      <w:r w:rsidR="002D3D10">
        <w:rPr>
          <w:rFonts w:ascii="Cambria" w:hAnsi="Cambria"/>
          <w:sz w:val="21"/>
          <w:szCs w:val="21"/>
        </w:rPr>
        <w:t>dis</w:t>
      </w:r>
      <w:r w:rsidR="004C0A8C">
        <w:rPr>
          <w:rFonts w:ascii="Cambria" w:hAnsi="Cambria"/>
          <w:sz w:val="21"/>
          <w:szCs w:val="21"/>
        </w:rPr>
        <w:t xml:space="preserve">advantages </w:t>
      </w:r>
      <w:r w:rsidR="004C0A8C" w:rsidRPr="00CB305F">
        <w:rPr>
          <w:rFonts w:ascii="Cambria" w:hAnsi="Cambria"/>
          <w:sz w:val="21"/>
          <w:szCs w:val="21"/>
        </w:rPr>
        <w:t xml:space="preserve">of working in fields </w:t>
      </w:r>
      <w:r w:rsidR="002D3D10">
        <w:rPr>
          <w:rFonts w:ascii="Cambria" w:hAnsi="Cambria"/>
          <w:sz w:val="21"/>
          <w:szCs w:val="21"/>
        </w:rPr>
        <w:t xml:space="preserve">where </w:t>
      </w:r>
      <w:r w:rsidR="00D03F40">
        <w:rPr>
          <w:rFonts w:ascii="Cambria" w:hAnsi="Cambria"/>
          <w:sz w:val="21"/>
          <w:szCs w:val="21"/>
        </w:rPr>
        <w:t>it</w:t>
      </w:r>
      <w:r w:rsidR="004C0A8C" w:rsidRPr="00CB305F">
        <w:rPr>
          <w:rFonts w:ascii="Cambria" w:hAnsi="Cambria"/>
          <w:sz w:val="21"/>
          <w:szCs w:val="21"/>
        </w:rPr>
        <w:t xml:space="preserve"> has </w:t>
      </w:r>
      <w:r w:rsidR="002D3D10">
        <w:rPr>
          <w:rFonts w:ascii="Cambria" w:hAnsi="Cambria"/>
          <w:sz w:val="21"/>
          <w:szCs w:val="21"/>
        </w:rPr>
        <w:t xml:space="preserve">little </w:t>
      </w:r>
      <w:r w:rsidR="004C0A8C" w:rsidRPr="00CB305F">
        <w:rPr>
          <w:rFonts w:ascii="Cambria" w:hAnsi="Cambria"/>
          <w:sz w:val="21"/>
          <w:szCs w:val="21"/>
        </w:rPr>
        <w:t xml:space="preserve">prior experience and </w:t>
      </w:r>
      <w:r w:rsidR="00D03F40">
        <w:rPr>
          <w:rFonts w:ascii="Cambria" w:hAnsi="Cambria"/>
          <w:sz w:val="21"/>
          <w:szCs w:val="21"/>
        </w:rPr>
        <w:t>pre-</w:t>
      </w:r>
      <w:r w:rsidR="004C0A8C" w:rsidRPr="00CB305F">
        <w:rPr>
          <w:rFonts w:ascii="Cambria" w:hAnsi="Cambria"/>
          <w:sz w:val="21"/>
          <w:szCs w:val="21"/>
        </w:rPr>
        <w:t xml:space="preserve">existing networks.  </w:t>
      </w:r>
      <w:r w:rsidR="002D3D10">
        <w:rPr>
          <w:rFonts w:ascii="Cambria" w:hAnsi="Cambria"/>
          <w:sz w:val="21"/>
          <w:szCs w:val="21"/>
        </w:rPr>
        <w:t xml:space="preserve">That is not to say that such areas should be avoided, but rather that they may </w:t>
      </w:r>
      <w:r w:rsidR="004D3795">
        <w:rPr>
          <w:rFonts w:ascii="Cambria" w:hAnsi="Cambria"/>
          <w:sz w:val="21"/>
          <w:szCs w:val="21"/>
        </w:rPr>
        <w:t>require greater investments</w:t>
      </w:r>
      <w:r w:rsidR="0013145F">
        <w:rPr>
          <w:rFonts w:ascii="Cambria" w:hAnsi="Cambria"/>
          <w:sz w:val="21"/>
          <w:szCs w:val="21"/>
        </w:rPr>
        <w:t>,</w:t>
      </w:r>
      <w:r w:rsidR="004D3795">
        <w:rPr>
          <w:rFonts w:ascii="Cambria" w:hAnsi="Cambria"/>
          <w:sz w:val="21"/>
          <w:szCs w:val="21"/>
        </w:rPr>
        <w:t xml:space="preserve"> over a </w:t>
      </w:r>
      <w:r w:rsidR="002D3D10">
        <w:rPr>
          <w:rFonts w:ascii="Cambria" w:hAnsi="Cambria"/>
          <w:sz w:val="21"/>
          <w:szCs w:val="21"/>
        </w:rPr>
        <w:t xml:space="preserve"> longer </w:t>
      </w:r>
      <w:r w:rsidR="004D3795">
        <w:rPr>
          <w:rFonts w:ascii="Cambria" w:hAnsi="Cambria"/>
          <w:sz w:val="21"/>
          <w:szCs w:val="21"/>
        </w:rPr>
        <w:t xml:space="preserve">period </w:t>
      </w:r>
      <w:r w:rsidR="002D3D10">
        <w:rPr>
          <w:rFonts w:ascii="Cambria" w:hAnsi="Cambria"/>
          <w:sz w:val="21"/>
          <w:szCs w:val="21"/>
        </w:rPr>
        <w:t>to yield results.</w:t>
      </w:r>
    </w:p>
    <w:p w14:paraId="12DC36F3" w14:textId="2534BD07" w:rsidR="006D312A" w:rsidRDefault="006D312A" w:rsidP="00163DB2">
      <w:pPr>
        <w:ind w:right="33"/>
        <w:jc w:val="both"/>
        <w:rPr>
          <w:rFonts w:ascii="Cambria" w:hAnsi="Cambria"/>
          <w:sz w:val="21"/>
          <w:szCs w:val="21"/>
        </w:rPr>
      </w:pPr>
    </w:p>
    <w:p w14:paraId="73448A95" w14:textId="4F64B46B" w:rsidR="006D312A" w:rsidRPr="00CB305F" w:rsidRDefault="006D312A" w:rsidP="00163DB2">
      <w:pPr>
        <w:ind w:right="33"/>
        <w:jc w:val="both"/>
        <w:rPr>
          <w:rFonts w:ascii="Cambria" w:hAnsi="Cambria"/>
          <w:sz w:val="21"/>
          <w:szCs w:val="21"/>
        </w:rPr>
      </w:pPr>
      <w:r>
        <w:rPr>
          <w:rFonts w:ascii="Cambria" w:hAnsi="Cambria"/>
          <w:sz w:val="21"/>
          <w:szCs w:val="21"/>
        </w:rPr>
        <w:t xml:space="preserve">On the DFAT side there was not a history of working on development issues in Malaysia and therefore a need to build up experience, especially in thinking through what practical measures would achieve Australian goals.  </w:t>
      </w:r>
      <w:r w:rsidR="00E35564">
        <w:rPr>
          <w:rFonts w:ascii="Cambria" w:hAnsi="Cambria"/>
          <w:sz w:val="21"/>
          <w:szCs w:val="21"/>
        </w:rPr>
        <w:t xml:space="preserve">As the former </w:t>
      </w:r>
      <w:r w:rsidR="004A6251">
        <w:rPr>
          <w:rFonts w:ascii="Cambria" w:hAnsi="Cambria"/>
          <w:sz w:val="21"/>
          <w:szCs w:val="21"/>
        </w:rPr>
        <w:t xml:space="preserve">TAF </w:t>
      </w:r>
      <w:r w:rsidR="00E35564">
        <w:rPr>
          <w:rFonts w:ascii="Cambria" w:hAnsi="Cambria"/>
          <w:sz w:val="21"/>
          <w:szCs w:val="21"/>
        </w:rPr>
        <w:t>CR observed, t</w:t>
      </w:r>
      <w:r>
        <w:rPr>
          <w:rFonts w:ascii="Cambria" w:hAnsi="Cambria"/>
          <w:sz w:val="21"/>
          <w:szCs w:val="21"/>
        </w:rPr>
        <w:t xml:space="preserve">his is particularly challenging in an environment where national authorities are confident and well equipped with existing policy </w:t>
      </w:r>
      <w:r w:rsidR="004A6251">
        <w:rPr>
          <w:rFonts w:ascii="Cambria" w:hAnsi="Cambria"/>
          <w:sz w:val="21"/>
          <w:szCs w:val="21"/>
        </w:rPr>
        <w:t xml:space="preserve">and research </w:t>
      </w:r>
      <w:r>
        <w:rPr>
          <w:rFonts w:ascii="Cambria" w:hAnsi="Cambria"/>
          <w:sz w:val="21"/>
          <w:szCs w:val="21"/>
        </w:rPr>
        <w:t>products.   Likewise working with TAF on development was a new experience</w:t>
      </w:r>
      <w:r w:rsidR="00E35564">
        <w:rPr>
          <w:rFonts w:ascii="Cambria" w:hAnsi="Cambria"/>
          <w:sz w:val="21"/>
          <w:szCs w:val="21"/>
        </w:rPr>
        <w:t xml:space="preserve"> for DFAT and the ‘non-project’, partnership model no doubt took a bit of getting used to.</w:t>
      </w:r>
    </w:p>
    <w:p w14:paraId="1BF3DB7C" w14:textId="77777777" w:rsidR="00E47586" w:rsidRPr="00CB305F" w:rsidRDefault="00E47586" w:rsidP="00163DB2">
      <w:pPr>
        <w:ind w:right="33"/>
        <w:jc w:val="both"/>
        <w:rPr>
          <w:rFonts w:ascii="Cambria" w:hAnsi="Cambria"/>
          <w:sz w:val="21"/>
          <w:szCs w:val="21"/>
        </w:rPr>
      </w:pPr>
    </w:p>
    <w:p w14:paraId="0C49DE2D" w14:textId="5C55DCBE" w:rsidR="00CB2B46" w:rsidRPr="00CB305F" w:rsidRDefault="000041E9" w:rsidP="00163DB2">
      <w:pPr>
        <w:ind w:right="33"/>
        <w:jc w:val="both"/>
        <w:rPr>
          <w:rFonts w:ascii="Cambria" w:hAnsi="Cambria"/>
          <w:sz w:val="21"/>
          <w:szCs w:val="21"/>
        </w:rPr>
      </w:pPr>
      <w:r w:rsidRPr="00CB305F">
        <w:rPr>
          <w:rFonts w:ascii="Cambria" w:hAnsi="Cambria"/>
          <w:sz w:val="21"/>
          <w:szCs w:val="21"/>
        </w:rPr>
        <w:t>All-in-all</w:t>
      </w:r>
      <w:r w:rsidR="00661D10" w:rsidRPr="00CB305F">
        <w:rPr>
          <w:rFonts w:ascii="Cambria" w:hAnsi="Cambria"/>
          <w:sz w:val="21"/>
          <w:szCs w:val="21"/>
        </w:rPr>
        <w:t>,</w:t>
      </w:r>
      <w:r w:rsidRPr="00CB305F">
        <w:rPr>
          <w:rFonts w:ascii="Cambria" w:hAnsi="Cambria"/>
          <w:sz w:val="21"/>
          <w:szCs w:val="21"/>
        </w:rPr>
        <w:t xml:space="preserve"> </w:t>
      </w:r>
      <w:r w:rsidR="009E6B8A">
        <w:rPr>
          <w:rFonts w:ascii="Cambria" w:hAnsi="Cambria"/>
          <w:sz w:val="21"/>
          <w:szCs w:val="21"/>
        </w:rPr>
        <w:t xml:space="preserve">the evaluation concludes that </w:t>
      </w:r>
      <w:r w:rsidRPr="00CB305F">
        <w:rPr>
          <w:rFonts w:ascii="Cambria" w:hAnsi="Cambria"/>
          <w:sz w:val="21"/>
          <w:szCs w:val="21"/>
        </w:rPr>
        <w:t>a</w:t>
      </w:r>
      <w:r w:rsidR="002D3D10" w:rsidRPr="00CB305F">
        <w:rPr>
          <w:rFonts w:ascii="Cambria" w:hAnsi="Cambria"/>
          <w:sz w:val="21"/>
          <w:szCs w:val="21"/>
        </w:rPr>
        <w:t xml:space="preserve"> longer inception phase</w:t>
      </w:r>
      <w:r w:rsidR="002D3D10">
        <w:rPr>
          <w:rFonts w:ascii="Cambria" w:hAnsi="Cambria"/>
          <w:sz w:val="21"/>
          <w:szCs w:val="21"/>
        </w:rPr>
        <w:t xml:space="preserve"> than was planned would have been appropriate</w:t>
      </w:r>
      <w:r w:rsidR="004D3795">
        <w:rPr>
          <w:rFonts w:ascii="Cambria" w:hAnsi="Cambria"/>
          <w:sz w:val="21"/>
          <w:szCs w:val="21"/>
        </w:rPr>
        <w:t xml:space="preserve"> in Malaysia</w:t>
      </w:r>
      <w:r w:rsidR="009A0DE0">
        <w:rPr>
          <w:rFonts w:ascii="Cambria" w:hAnsi="Cambria"/>
          <w:sz w:val="21"/>
          <w:szCs w:val="21"/>
        </w:rPr>
        <w:t>, perhaps starting with just one initiative</w:t>
      </w:r>
      <w:r w:rsidR="002D3D10">
        <w:rPr>
          <w:rFonts w:ascii="Cambria" w:hAnsi="Cambria"/>
          <w:sz w:val="21"/>
          <w:szCs w:val="21"/>
        </w:rPr>
        <w:t xml:space="preserve">.  </w:t>
      </w:r>
      <w:r w:rsidR="00D03F40">
        <w:rPr>
          <w:rFonts w:ascii="Cambria" w:hAnsi="Cambria"/>
          <w:sz w:val="21"/>
          <w:szCs w:val="21"/>
        </w:rPr>
        <w:t xml:space="preserve"> </w:t>
      </w:r>
      <w:r w:rsidR="00AA3874" w:rsidRPr="00CB305F">
        <w:rPr>
          <w:rFonts w:ascii="Cambria" w:hAnsi="Cambria"/>
          <w:sz w:val="21"/>
          <w:szCs w:val="21"/>
        </w:rPr>
        <w:t xml:space="preserve">The </w:t>
      </w:r>
      <w:r w:rsidR="008362A6" w:rsidRPr="00CB305F">
        <w:rPr>
          <w:rFonts w:ascii="Cambria" w:hAnsi="Cambria"/>
          <w:sz w:val="21"/>
          <w:szCs w:val="21"/>
        </w:rPr>
        <w:t>good</w:t>
      </w:r>
      <w:r w:rsidR="00AA3874" w:rsidRPr="00CB305F">
        <w:rPr>
          <w:rFonts w:ascii="Cambria" w:hAnsi="Cambria"/>
          <w:sz w:val="21"/>
          <w:szCs w:val="21"/>
        </w:rPr>
        <w:t xml:space="preserve"> news is that all DFAT officers interviewed judge that </w:t>
      </w:r>
      <w:r w:rsidR="00FE5EA5">
        <w:rPr>
          <w:rFonts w:ascii="Cambria" w:hAnsi="Cambria"/>
          <w:sz w:val="21"/>
          <w:szCs w:val="21"/>
        </w:rPr>
        <w:t xml:space="preserve">the </w:t>
      </w:r>
      <w:r w:rsidR="00AA3874" w:rsidRPr="00CB305F">
        <w:rPr>
          <w:rFonts w:ascii="Cambria" w:hAnsi="Cambria"/>
          <w:sz w:val="21"/>
          <w:szCs w:val="21"/>
        </w:rPr>
        <w:t>various issues and problems that emerged have been rectified</w:t>
      </w:r>
      <w:r w:rsidR="0013145F">
        <w:rPr>
          <w:rFonts w:ascii="Cambria" w:hAnsi="Cambria"/>
          <w:sz w:val="21"/>
          <w:szCs w:val="21"/>
        </w:rPr>
        <w:t>.  In fact, the change of sentiment is remarkable</w:t>
      </w:r>
      <w:r w:rsidR="00AA3874" w:rsidRPr="00CB305F">
        <w:rPr>
          <w:rFonts w:ascii="Cambria" w:hAnsi="Cambria"/>
          <w:sz w:val="21"/>
          <w:szCs w:val="21"/>
        </w:rPr>
        <w:t xml:space="preserve">. </w:t>
      </w:r>
      <w:r w:rsidR="008362A6" w:rsidRPr="00CB305F">
        <w:rPr>
          <w:rFonts w:ascii="Cambria" w:hAnsi="Cambria"/>
          <w:sz w:val="21"/>
          <w:szCs w:val="21"/>
        </w:rPr>
        <w:t xml:space="preserve"> With the TVET initiative coming on stream and new staff in DFAT and TAF, there is the opportunity for a reset and greater progress in the second half</w:t>
      </w:r>
      <w:r w:rsidR="00E35564">
        <w:rPr>
          <w:rFonts w:ascii="Cambria" w:hAnsi="Cambria"/>
          <w:sz w:val="21"/>
          <w:szCs w:val="21"/>
        </w:rPr>
        <w:t xml:space="preserve"> of the program</w:t>
      </w:r>
      <w:r w:rsidR="008362A6" w:rsidRPr="00CB305F">
        <w:rPr>
          <w:rFonts w:ascii="Cambria" w:hAnsi="Cambria"/>
          <w:sz w:val="21"/>
          <w:szCs w:val="21"/>
        </w:rPr>
        <w:t>.</w:t>
      </w:r>
      <w:r w:rsidR="007001E3" w:rsidRPr="00CB305F">
        <w:rPr>
          <w:rFonts w:ascii="Cambria" w:hAnsi="Cambria"/>
          <w:sz w:val="21"/>
          <w:szCs w:val="21"/>
        </w:rPr>
        <w:t xml:space="preserve">  The trick will be to ensure adequate oversight and support – particularly in the absence of a TAF Country Representative </w:t>
      </w:r>
      <w:r w:rsidR="00CD2123" w:rsidRPr="00CB305F">
        <w:rPr>
          <w:rFonts w:ascii="Cambria" w:hAnsi="Cambria"/>
          <w:sz w:val="21"/>
          <w:szCs w:val="21"/>
        </w:rPr>
        <w:t>– without stifling initiative</w:t>
      </w:r>
      <w:r w:rsidR="002D3D10">
        <w:rPr>
          <w:rFonts w:ascii="Cambria" w:hAnsi="Cambria"/>
          <w:sz w:val="21"/>
          <w:szCs w:val="21"/>
        </w:rPr>
        <w:t xml:space="preserve"> </w:t>
      </w:r>
      <w:r w:rsidR="009A0DE0">
        <w:rPr>
          <w:rFonts w:ascii="Cambria" w:hAnsi="Cambria"/>
          <w:sz w:val="21"/>
          <w:szCs w:val="21"/>
        </w:rPr>
        <w:t xml:space="preserve">and morale </w:t>
      </w:r>
      <w:r w:rsidR="002D3D10">
        <w:rPr>
          <w:rFonts w:ascii="Cambria" w:hAnsi="Cambria"/>
          <w:sz w:val="21"/>
          <w:szCs w:val="21"/>
        </w:rPr>
        <w:t>in the office</w:t>
      </w:r>
      <w:r w:rsidR="00CD2123" w:rsidRPr="00CB305F">
        <w:rPr>
          <w:rFonts w:ascii="Cambria" w:hAnsi="Cambria"/>
          <w:sz w:val="21"/>
          <w:szCs w:val="21"/>
        </w:rPr>
        <w:t>.</w:t>
      </w:r>
    </w:p>
    <w:p w14:paraId="21113C1B" w14:textId="2D3B9015" w:rsidR="008C5D96" w:rsidRPr="00CB305F" w:rsidRDefault="008C5D96" w:rsidP="00163DB2">
      <w:pPr>
        <w:ind w:right="33"/>
        <w:jc w:val="both"/>
        <w:rPr>
          <w:rFonts w:ascii="Cambria" w:hAnsi="Cambria"/>
          <w:sz w:val="21"/>
          <w:szCs w:val="21"/>
        </w:rPr>
      </w:pPr>
    </w:p>
    <w:p w14:paraId="611338EA" w14:textId="2ED45B19" w:rsidR="008C5D96" w:rsidRDefault="004D3795" w:rsidP="00163DB2">
      <w:pPr>
        <w:ind w:right="33"/>
        <w:jc w:val="both"/>
        <w:rPr>
          <w:rFonts w:ascii="Cambria" w:hAnsi="Cambria"/>
          <w:sz w:val="21"/>
          <w:szCs w:val="21"/>
        </w:rPr>
      </w:pPr>
      <w:r>
        <w:rPr>
          <w:rFonts w:ascii="Cambria" w:hAnsi="Cambria"/>
          <w:sz w:val="21"/>
          <w:szCs w:val="21"/>
        </w:rPr>
        <w:t>T</w:t>
      </w:r>
      <w:r w:rsidR="008C5D96" w:rsidRPr="00CB305F">
        <w:rPr>
          <w:rFonts w:ascii="Cambria" w:hAnsi="Cambria"/>
          <w:sz w:val="21"/>
          <w:szCs w:val="21"/>
        </w:rPr>
        <w:t xml:space="preserve">he </w:t>
      </w:r>
      <w:r w:rsidR="004474F3" w:rsidRPr="00CB305F">
        <w:rPr>
          <w:rFonts w:ascii="Cambria" w:hAnsi="Cambria"/>
          <w:sz w:val="21"/>
          <w:szCs w:val="21"/>
        </w:rPr>
        <w:t xml:space="preserve">upgrade of the </w:t>
      </w:r>
      <w:r w:rsidR="008C5D96" w:rsidRPr="00CB305F">
        <w:rPr>
          <w:rFonts w:ascii="Cambria" w:hAnsi="Cambria"/>
          <w:sz w:val="21"/>
          <w:szCs w:val="21"/>
        </w:rPr>
        <w:t>Malaysia</w:t>
      </w:r>
      <w:r w:rsidR="004F3B68">
        <w:rPr>
          <w:rFonts w:ascii="Cambria" w:hAnsi="Cambria"/>
          <w:sz w:val="21"/>
          <w:szCs w:val="21"/>
        </w:rPr>
        <w:t>-</w:t>
      </w:r>
      <w:r w:rsidR="008C5D96" w:rsidRPr="00CB305F">
        <w:rPr>
          <w:rFonts w:ascii="Cambria" w:hAnsi="Cambria"/>
          <w:sz w:val="21"/>
          <w:szCs w:val="21"/>
        </w:rPr>
        <w:t>Australi</w:t>
      </w:r>
      <w:r w:rsidR="004474F3" w:rsidRPr="00CB305F">
        <w:rPr>
          <w:rFonts w:ascii="Cambria" w:hAnsi="Cambria"/>
          <w:sz w:val="21"/>
          <w:szCs w:val="21"/>
        </w:rPr>
        <w:t>a</w:t>
      </w:r>
      <w:r w:rsidR="008C5D96" w:rsidRPr="00CB305F">
        <w:rPr>
          <w:rFonts w:ascii="Cambria" w:hAnsi="Cambria"/>
          <w:sz w:val="21"/>
          <w:szCs w:val="21"/>
        </w:rPr>
        <w:t xml:space="preserve"> </w:t>
      </w:r>
      <w:r w:rsidR="004474F3" w:rsidRPr="00CB305F">
        <w:rPr>
          <w:rFonts w:ascii="Cambria" w:hAnsi="Cambria"/>
          <w:sz w:val="21"/>
          <w:szCs w:val="21"/>
        </w:rPr>
        <w:t xml:space="preserve">relationship to </w:t>
      </w:r>
      <w:r w:rsidR="008C5D96" w:rsidRPr="00CB305F">
        <w:rPr>
          <w:rFonts w:ascii="Cambria" w:hAnsi="Cambria"/>
          <w:sz w:val="21"/>
          <w:szCs w:val="21"/>
        </w:rPr>
        <w:t>a Comprehensive Strategic Partnership</w:t>
      </w:r>
      <w:r>
        <w:rPr>
          <w:rFonts w:ascii="Cambria" w:hAnsi="Cambria"/>
          <w:sz w:val="21"/>
          <w:szCs w:val="21"/>
        </w:rPr>
        <w:t xml:space="preserve"> </w:t>
      </w:r>
      <w:r w:rsidR="004474F3" w:rsidRPr="00CB305F">
        <w:rPr>
          <w:rFonts w:ascii="Cambria" w:hAnsi="Cambria"/>
          <w:sz w:val="21"/>
          <w:szCs w:val="21"/>
        </w:rPr>
        <w:t xml:space="preserve">will </w:t>
      </w:r>
      <w:r w:rsidR="008C5D96" w:rsidRPr="00CB305F">
        <w:rPr>
          <w:rFonts w:ascii="Cambria" w:hAnsi="Cambria"/>
          <w:sz w:val="21"/>
          <w:szCs w:val="21"/>
        </w:rPr>
        <w:t>present addition</w:t>
      </w:r>
      <w:r w:rsidR="004474F3" w:rsidRPr="00CB305F">
        <w:rPr>
          <w:rFonts w:ascii="Cambria" w:hAnsi="Cambria"/>
          <w:sz w:val="21"/>
          <w:szCs w:val="21"/>
        </w:rPr>
        <w:t>a</w:t>
      </w:r>
      <w:r w:rsidR="008C5D96" w:rsidRPr="00CB305F">
        <w:rPr>
          <w:rFonts w:ascii="Cambria" w:hAnsi="Cambria"/>
          <w:sz w:val="21"/>
          <w:szCs w:val="21"/>
        </w:rPr>
        <w:t xml:space="preserve">l opportunities for </w:t>
      </w:r>
      <w:r w:rsidR="004474F3" w:rsidRPr="00CB305F">
        <w:rPr>
          <w:rFonts w:ascii="Cambria" w:hAnsi="Cambria"/>
          <w:sz w:val="21"/>
          <w:szCs w:val="21"/>
        </w:rPr>
        <w:t xml:space="preserve">high-level bilateral dialogue that could secure buy-in from </w:t>
      </w:r>
      <w:r w:rsidR="00E35564">
        <w:rPr>
          <w:rFonts w:ascii="Cambria" w:hAnsi="Cambria"/>
          <w:sz w:val="21"/>
          <w:szCs w:val="21"/>
        </w:rPr>
        <w:t xml:space="preserve">senior figures </w:t>
      </w:r>
      <w:r w:rsidR="004474F3" w:rsidRPr="00CB305F">
        <w:rPr>
          <w:rFonts w:ascii="Cambria" w:hAnsi="Cambria"/>
          <w:sz w:val="21"/>
          <w:szCs w:val="21"/>
        </w:rPr>
        <w:t xml:space="preserve">for cooperation on shared priorities.  </w:t>
      </w:r>
      <w:r>
        <w:rPr>
          <w:rFonts w:ascii="Cambria" w:hAnsi="Cambria"/>
          <w:sz w:val="21"/>
          <w:szCs w:val="21"/>
        </w:rPr>
        <w:t xml:space="preserve">It may be difficult to match </w:t>
      </w:r>
      <w:r w:rsidR="004474F3" w:rsidRPr="00CB305F">
        <w:rPr>
          <w:rFonts w:ascii="Cambria" w:hAnsi="Cambria"/>
          <w:sz w:val="21"/>
          <w:szCs w:val="21"/>
        </w:rPr>
        <w:t>that opportunity with the modest resources available</w:t>
      </w:r>
      <w:r w:rsidR="00E35564">
        <w:rPr>
          <w:rFonts w:ascii="Cambria" w:hAnsi="Cambria"/>
          <w:sz w:val="21"/>
          <w:szCs w:val="21"/>
        </w:rPr>
        <w:t>, even if</w:t>
      </w:r>
      <w:r w:rsidR="00513713">
        <w:rPr>
          <w:rFonts w:ascii="Cambria" w:hAnsi="Cambria"/>
          <w:sz w:val="21"/>
          <w:szCs w:val="21"/>
        </w:rPr>
        <w:t xml:space="preserve"> </w:t>
      </w:r>
      <w:r w:rsidR="00E35564">
        <w:rPr>
          <w:rFonts w:ascii="Cambria" w:hAnsi="Cambria"/>
          <w:sz w:val="21"/>
          <w:szCs w:val="21"/>
        </w:rPr>
        <w:t>they are supplemented</w:t>
      </w:r>
      <w:r>
        <w:rPr>
          <w:rFonts w:ascii="Cambria" w:hAnsi="Cambria"/>
          <w:sz w:val="21"/>
          <w:szCs w:val="21"/>
        </w:rPr>
        <w:t xml:space="preserve">.  Post </w:t>
      </w:r>
      <w:r w:rsidR="0013145F">
        <w:rPr>
          <w:rFonts w:ascii="Cambria" w:hAnsi="Cambria"/>
          <w:sz w:val="21"/>
          <w:szCs w:val="21"/>
        </w:rPr>
        <w:t xml:space="preserve">and TAF </w:t>
      </w:r>
      <w:r>
        <w:rPr>
          <w:rFonts w:ascii="Cambria" w:hAnsi="Cambria"/>
          <w:sz w:val="21"/>
          <w:szCs w:val="21"/>
        </w:rPr>
        <w:t>will need to manage the risk of</w:t>
      </w:r>
      <w:r w:rsidR="004474F3" w:rsidRPr="00CB305F">
        <w:rPr>
          <w:rFonts w:ascii="Cambria" w:hAnsi="Cambria"/>
          <w:sz w:val="21"/>
          <w:szCs w:val="21"/>
        </w:rPr>
        <w:t xml:space="preserve"> a plethora of</w:t>
      </w:r>
      <w:r>
        <w:rPr>
          <w:rFonts w:ascii="Cambria" w:hAnsi="Cambria"/>
          <w:sz w:val="21"/>
          <w:szCs w:val="21"/>
        </w:rPr>
        <w:t xml:space="preserve"> </w:t>
      </w:r>
      <w:r w:rsidR="004474F3" w:rsidRPr="00CB305F">
        <w:rPr>
          <w:rFonts w:ascii="Cambria" w:hAnsi="Cambria"/>
          <w:sz w:val="21"/>
          <w:szCs w:val="21"/>
        </w:rPr>
        <w:t>small initiatives</w:t>
      </w:r>
      <w:r>
        <w:rPr>
          <w:rFonts w:ascii="Cambria" w:hAnsi="Cambria"/>
          <w:sz w:val="21"/>
          <w:szCs w:val="21"/>
        </w:rPr>
        <w:t>,</w:t>
      </w:r>
      <w:r w:rsidR="004474F3" w:rsidRPr="00CB305F">
        <w:rPr>
          <w:rFonts w:ascii="Cambria" w:hAnsi="Cambria"/>
          <w:sz w:val="21"/>
          <w:szCs w:val="21"/>
        </w:rPr>
        <w:t xml:space="preserve"> unable to </w:t>
      </w:r>
      <w:r w:rsidR="00954EC7">
        <w:rPr>
          <w:rFonts w:ascii="Cambria" w:hAnsi="Cambria"/>
          <w:sz w:val="21"/>
          <w:szCs w:val="21"/>
        </w:rPr>
        <w:t>achieve much.</w:t>
      </w:r>
      <w:r w:rsidR="00E35564">
        <w:rPr>
          <w:rFonts w:ascii="Cambria" w:hAnsi="Cambria"/>
          <w:sz w:val="21"/>
          <w:szCs w:val="21"/>
        </w:rPr>
        <w:t xml:space="preserve">  Partners will need to stay focussed on the highest priorities.</w:t>
      </w:r>
    </w:p>
    <w:p w14:paraId="00DB8328" w14:textId="274562AD" w:rsidR="00513713" w:rsidRPr="00513713" w:rsidRDefault="00513713" w:rsidP="00513713">
      <w:pPr>
        <w:spacing w:before="80"/>
        <w:ind w:right="34"/>
        <w:jc w:val="both"/>
        <w:rPr>
          <w:rFonts w:ascii="Cambria" w:hAnsi="Cambria"/>
        </w:rPr>
      </w:pPr>
      <w:r>
        <w:rPr>
          <w:rFonts w:ascii="Cambria" w:hAnsi="Cambria"/>
          <w:b/>
          <w:bCs/>
          <w:sz w:val="22"/>
          <w:szCs w:val="22"/>
        </w:rPr>
        <w:t xml:space="preserve">                </w:t>
      </w:r>
      <w:r>
        <w:rPr>
          <w:rFonts w:ascii="Cambria" w:hAnsi="Cambria"/>
          <w:sz w:val="22"/>
          <w:szCs w:val="22"/>
        </w:rPr>
        <w:t xml:space="preserve">                           </w:t>
      </w:r>
      <w:r w:rsidRPr="00F60B7D">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 xml:space="preserve">  </w:t>
      </w:r>
      <w:r w:rsidRPr="00F60B7D">
        <w:rPr>
          <w:rFonts w:ascii="Cambria" w:hAnsi="Cambria"/>
          <w:b/>
          <w:bCs/>
          <w:sz w:val="22"/>
          <w:szCs w:val="22"/>
        </w:rPr>
        <w:t>Overall rating</w:t>
      </w:r>
      <w:r>
        <w:rPr>
          <w:rFonts w:ascii="Cambria" w:hAnsi="Cambria"/>
          <w:b/>
          <w:bCs/>
          <w:sz w:val="22"/>
          <w:szCs w:val="22"/>
        </w:rPr>
        <w:t xml:space="preserve">               </w:t>
      </w:r>
      <w:r>
        <w:rPr>
          <w:rFonts w:ascii="Cambria" w:hAnsi="Cambria"/>
          <w:noProof/>
          <w:sz w:val="22"/>
          <w:szCs w:val="22"/>
        </w:rPr>
        <w:drawing>
          <wp:inline distT="0" distB="0" distL="0" distR="0" wp14:anchorId="4812C323" wp14:editId="5FD72B80">
            <wp:extent cx="172800" cy="180373"/>
            <wp:effectExtent l="0" t="0" r="5080" b="0"/>
            <wp:docPr id="18" name="Picture 18" descr="Rating Red Circle with white centre: Inadequate evidence, looking off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ating Red Circle with white centre: Inadequate evidence, looking off track"/>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2800" cy="180373"/>
                    </a:xfrm>
                    <a:prstGeom prst="rect">
                      <a:avLst/>
                    </a:prstGeom>
                  </pic:spPr>
                </pic:pic>
              </a:graphicData>
            </a:graphic>
          </wp:inline>
        </w:drawing>
      </w:r>
    </w:p>
    <w:p w14:paraId="42F6C618" w14:textId="77777777" w:rsidR="008C5D96" w:rsidRPr="00CB305F" w:rsidRDefault="008C5D96" w:rsidP="00163DB2">
      <w:pPr>
        <w:ind w:right="33"/>
        <w:jc w:val="both"/>
        <w:rPr>
          <w:rFonts w:ascii="Cambria" w:hAnsi="Cambria"/>
          <w:b/>
          <w:bCs/>
          <w:sz w:val="21"/>
          <w:szCs w:val="21"/>
        </w:rPr>
      </w:pPr>
    </w:p>
    <w:p w14:paraId="08271F85" w14:textId="58E0CBC9" w:rsidR="00CB2B46" w:rsidRPr="00CB305F" w:rsidRDefault="00CB2B46" w:rsidP="00163DB2">
      <w:pPr>
        <w:ind w:right="33"/>
        <w:jc w:val="both"/>
        <w:rPr>
          <w:rFonts w:ascii="Cambria" w:hAnsi="Cambria"/>
          <w:b/>
          <w:bCs/>
          <w:sz w:val="21"/>
          <w:szCs w:val="21"/>
        </w:rPr>
      </w:pPr>
      <w:r w:rsidRPr="00CB305F">
        <w:rPr>
          <w:rFonts w:ascii="Cambria" w:hAnsi="Cambria"/>
          <w:b/>
          <w:bCs/>
          <w:sz w:val="21"/>
          <w:szCs w:val="21"/>
        </w:rPr>
        <w:t>Reform initiatives</w:t>
      </w:r>
    </w:p>
    <w:p w14:paraId="14F1C6A0" w14:textId="1A5DAC16" w:rsidR="00CB2B46" w:rsidRPr="00CB305F" w:rsidRDefault="00CB2B46" w:rsidP="00163DB2">
      <w:pPr>
        <w:ind w:right="33"/>
        <w:jc w:val="both"/>
        <w:rPr>
          <w:rFonts w:ascii="Cambria" w:hAnsi="Cambria"/>
          <w:sz w:val="21"/>
          <w:szCs w:val="21"/>
        </w:rPr>
      </w:pPr>
    </w:p>
    <w:p w14:paraId="169F982B" w14:textId="3DBD34BC" w:rsidR="00CB2B46" w:rsidRPr="00CB305F" w:rsidRDefault="00CB2B46" w:rsidP="00163DB2">
      <w:pPr>
        <w:pStyle w:val="ListParagraph"/>
        <w:numPr>
          <w:ilvl w:val="0"/>
          <w:numId w:val="6"/>
        </w:numPr>
        <w:ind w:right="33"/>
        <w:jc w:val="both"/>
        <w:rPr>
          <w:rFonts w:ascii="Cambria" w:hAnsi="Cambria"/>
          <w:b/>
          <w:bCs/>
          <w:sz w:val="21"/>
          <w:szCs w:val="21"/>
        </w:rPr>
      </w:pPr>
      <w:r w:rsidRPr="00CB305F">
        <w:rPr>
          <w:rFonts w:ascii="Cambria" w:hAnsi="Cambria"/>
          <w:b/>
          <w:bCs/>
          <w:sz w:val="21"/>
          <w:szCs w:val="21"/>
        </w:rPr>
        <w:t xml:space="preserve">Retaining </w:t>
      </w:r>
      <w:r w:rsidR="00E756D6">
        <w:rPr>
          <w:rFonts w:ascii="Cambria" w:hAnsi="Cambria"/>
          <w:b/>
          <w:bCs/>
          <w:sz w:val="21"/>
          <w:szCs w:val="21"/>
        </w:rPr>
        <w:t>h</w:t>
      </w:r>
      <w:r w:rsidRPr="00CB305F">
        <w:rPr>
          <w:rFonts w:ascii="Cambria" w:hAnsi="Cambria"/>
          <w:b/>
          <w:bCs/>
          <w:sz w:val="21"/>
          <w:szCs w:val="21"/>
        </w:rPr>
        <w:t>igh</w:t>
      </w:r>
      <w:r w:rsidR="00E756D6">
        <w:rPr>
          <w:rFonts w:ascii="Cambria" w:hAnsi="Cambria"/>
          <w:b/>
          <w:bCs/>
          <w:sz w:val="21"/>
          <w:szCs w:val="21"/>
        </w:rPr>
        <w:t>-s</w:t>
      </w:r>
      <w:r w:rsidRPr="00CB305F">
        <w:rPr>
          <w:rFonts w:ascii="Cambria" w:hAnsi="Cambria"/>
          <w:b/>
          <w:bCs/>
          <w:sz w:val="21"/>
          <w:szCs w:val="21"/>
        </w:rPr>
        <w:t xml:space="preserve">killed </w:t>
      </w:r>
      <w:r w:rsidR="00E756D6">
        <w:rPr>
          <w:rFonts w:ascii="Cambria" w:hAnsi="Cambria"/>
          <w:b/>
          <w:bCs/>
          <w:sz w:val="21"/>
          <w:szCs w:val="21"/>
        </w:rPr>
        <w:t>w</w:t>
      </w:r>
      <w:r w:rsidRPr="00CB305F">
        <w:rPr>
          <w:rFonts w:ascii="Cambria" w:hAnsi="Cambria"/>
          <w:b/>
          <w:bCs/>
          <w:sz w:val="21"/>
          <w:szCs w:val="21"/>
        </w:rPr>
        <w:t xml:space="preserve">omen in the </w:t>
      </w:r>
      <w:r w:rsidR="00954EC7">
        <w:rPr>
          <w:rFonts w:ascii="Cambria" w:hAnsi="Cambria"/>
          <w:b/>
          <w:bCs/>
          <w:sz w:val="21"/>
          <w:szCs w:val="21"/>
        </w:rPr>
        <w:t xml:space="preserve">Malaysian </w:t>
      </w:r>
      <w:r w:rsidR="00E756D6">
        <w:rPr>
          <w:rFonts w:ascii="Cambria" w:hAnsi="Cambria"/>
          <w:b/>
          <w:bCs/>
          <w:sz w:val="21"/>
          <w:szCs w:val="21"/>
        </w:rPr>
        <w:t>w</w:t>
      </w:r>
      <w:r w:rsidRPr="00CB305F">
        <w:rPr>
          <w:rFonts w:ascii="Cambria" w:hAnsi="Cambria"/>
          <w:b/>
          <w:bCs/>
          <w:sz w:val="21"/>
          <w:szCs w:val="21"/>
        </w:rPr>
        <w:t>orkforce</w:t>
      </w:r>
    </w:p>
    <w:p w14:paraId="1343D5C8" w14:textId="396F2DFC" w:rsidR="00CB2B46" w:rsidRPr="00CB305F" w:rsidRDefault="00CB2B46" w:rsidP="00163DB2">
      <w:pPr>
        <w:ind w:right="33"/>
        <w:jc w:val="both"/>
        <w:rPr>
          <w:rFonts w:ascii="Cambria" w:hAnsi="Cambria"/>
          <w:sz w:val="21"/>
          <w:szCs w:val="21"/>
        </w:rPr>
      </w:pPr>
    </w:p>
    <w:p w14:paraId="7943F33C" w14:textId="018930C1" w:rsidR="00CB2B46" w:rsidRPr="00CB305F" w:rsidRDefault="00CB2B46" w:rsidP="00163DB2">
      <w:pPr>
        <w:ind w:right="33"/>
        <w:jc w:val="both"/>
        <w:rPr>
          <w:rFonts w:ascii="Cambria" w:hAnsi="Cambria"/>
          <w:b/>
          <w:bCs/>
          <w:sz w:val="21"/>
          <w:szCs w:val="21"/>
        </w:rPr>
      </w:pPr>
      <w:r w:rsidRPr="00CB305F">
        <w:rPr>
          <w:rFonts w:ascii="Cambria" w:hAnsi="Cambria"/>
          <w:b/>
          <w:bCs/>
          <w:sz w:val="21"/>
          <w:szCs w:val="21"/>
        </w:rPr>
        <w:t>Relevance for DFAT’s mission and goals</w:t>
      </w:r>
    </w:p>
    <w:p w14:paraId="07200900" w14:textId="7305F0E8" w:rsidR="00CB2B46" w:rsidRPr="00CB305F" w:rsidRDefault="00CB2B46" w:rsidP="00163DB2">
      <w:pPr>
        <w:ind w:right="33"/>
        <w:jc w:val="both"/>
        <w:rPr>
          <w:rFonts w:ascii="Cambria" w:hAnsi="Cambria"/>
          <w:sz w:val="21"/>
          <w:szCs w:val="21"/>
        </w:rPr>
      </w:pPr>
    </w:p>
    <w:p w14:paraId="45F7EA8E" w14:textId="52A0A4E7" w:rsidR="00CB2B46" w:rsidRPr="00CB305F" w:rsidRDefault="00B54022" w:rsidP="00163DB2">
      <w:pPr>
        <w:ind w:left="720" w:right="33"/>
        <w:jc w:val="both"/>
        <w:rPr>
          <w:rFonts w:ascii="Cambria" w:hAnsi="Cambria"/>
          <w:i/>
          <w:iCs/>
          <w:sz w:val="21"/>
          <w:szCs w:val="21"/>
        </w:rPr>
      </w:pPr>
      <w:r w:rsidRPr="00CB305F">
        <w:rPr>
          <w:rFonts w:ascii="Cambria" w:hAnsi="Cambria"/>
          <w:i/>
          <w:iCs/>
          <w:sz w:val="21"/>
          <w:szCs w:val="21"/>
        </w:rPr>
        <w:t>“</w:t>
      </w:r>
      <w:r w:rsidR="00CB2B46" w:rsidRPr="00CB305F">
        <w:rPr>
          <w:rFonts w:ascii="Cambria" w:hAnsi="Cambria"/>
          <w:i/>
          <w:iCs/>
          <w:sz w:val="21"/>
          <w:szCs w:val="21"/>
        </w:rPr>
        <w:t xml:space="preserve">The initiative has massive potential.  It was a smart strategy to pivot to the state level following the </w:t>
      </w:r>
      <w:r w:rsidR="00954EC7">
        <w:rPr>
          <w:rFonts w:ascii="Cambria" w:hAnsi="Cambria"/>
          <w:i/>
          <w:iCs/>
          <w:sz w:val="21"/>
          <w:szCs w:val="21"/>
        </w:rPr>
        <w:t xml:space="preserve">national </w:t>
      </w:r>
      <w:r w:rsidR="00CB2B46" w:rsidRPr="00CB305F">
        <w:rPr>
          <w:rFonts w:ascii="Cambria" w:hAnsi="Cambria"/>
          <w:i/>
          <w:iCs/>
          <w:sz w:val="21"/>
          <w:szCs w:val="21"/>
        </w:rPr>
        <w:t>change of government.</w:t>
      </w:r>
      <w:r w:rsidRPr="00CB305F">
        <w:rPr>
          <w:rFonts w:ascii="Cambria" w:hAnsi="Cambria"/>
          <w:i/>
          <w:iCs/>
          <w:sz w:val="21"/>
          <w:szCs w:val="21"/>
        </w:rPr>
        <w:t>”</w:t>
      </w:r>
      <w:r w:rsidR="00CB2B46" w:rsidRPr="00CB305F">
        <w:rPr>
          <w:rFonts w:ascii="Cambria" w:hAnsi="Cambria"/>
          <w:i/>
          <w:iCs/>
          <w:sz w:val="21"/>
          <w:szCs w:val="21"/>
        </w:rPr>
        <w:tab/>
      </w:r>
      <w:r w:rsidR="00CB2B46" w:rsidRPr="00CB305F">
        <w:rPr>
          <w:rFonts w:ascii="Cambria" w:hAnsi="Cambria"/>
          <w:i/>
          <w:iCs/>
          <w:sz w:val="21"/>
          <w:szCs w:val="21"/>
        </w:rPr>
        <w:tab/>
      </w:r>
      <w:r w:rsidR="00CB2B46" w:rsidRPr="00CB305F">
        <w:rPr>
          <w:rFonts w:ascii="Cambria" w:hAnsi="Cambria"/>
          <w:i/>
          <w:iCs/>
          <w:sz w:val="21"/>
          <w:szCs w:val="21"/>
        </w:rPr>
        <w:tab/>
      </w:r>
      <w:r w:rsidR="00CB2B46" w:rsidRPr="00CB305F">
        <w:rPr>
          <w:rFonts w:ascii="Cambria" w:hAnsi="Cambria"/>
          <w:i/>
          <w:iCs/>
          <w:sz w:val="21"/>
          <w:szCs w:val="21"/>
        </w:rPr>
        <w:tab/>
      </w:r>
      <w:r w:rsidR="00CB2B46" w:rsidRPr="00CB305F">
        <w:rPr>
          <w:rFonts w:ascii="Cambria" w:hAnsi="Cambria"/>
          <w:i/>
          <w:iCs/>
          <w:sz w:val="21"/>
          <w:szCs w:val="21"/>
        </w:rPr>
        <w:tab/>
      </w:r>
      <w:r w:rsidR="007A0E08" w:rsidRPr="00CB305F">
        <w:rPr>
          <w:rFonts w:ascii="Cambria" w:hAnsi="Cambria"/>
          <w:b/>
          <w:bCs/>
          <w:i/>
          <w:iCs/>
          <w:sz w:val="21"/>
          <w:szCs w:val="21"/>
        </w:rPr>
        <w:t xml:space="preserve">    </w:t>
      </w:r>
      <w:r w:rsidR="00270ACB">
        <w:rPr>
          <w:rFonts w:ascii="Cambria" w:hAnsi="Cambria"/>
          <w:b/>
          <w:bCs/>
          <w:i/>
          <w:iCs/>
          <w:sz w:val="21"/>
          <w:szCs w:val="21"/>
        </w:rPr>
        <w:t xml:space="preserve">                 </w:t>
      </w:r>
      <w:r w:rsidR="007A0E08" w:rsidRPr="00CB305F">
        <w:rPr>
          <w:rFonts w:ascii="Cambria" w:hAnsi="Cambria"/>
          <w:b/>
          <w:bCs/>
          <w:i/>
          <w:iCs/>
          <w:sz w:val="21"/>
          <w:szCs w:val="21"/>
        </w:rPr>
        <w:t xml:space="preserve">   </w:t>
      </w:r>
      <w:r w:rsidR="00954EC7">
        <w:rPr>
          <w:rFonts w:ascii="Cambria" w:hAnsi="Cambria"/>
          <w:b/>
          <w:bCs/>
          <w:i/>
          <w:iCs/>
          <w:sz w:val="21"/>
          <w:szCs w:val="21"/>
        </w:rPr>
        <w:t xml:space="preserve">   </w:t>
      </w:r>
      <w:r w:rsidR="00CB2B46" w:rsidRPr="00CB305F">
        <w:rPr>
          <w:rFonts w:ascii="Cambria" w:hAnsi="Cambria"/>
          <w:b/>
          <w:bCs/>
          <w:i/>
          <w:iCs/>
          <w:sz w:val="21"/>
          <w:szCs w:val="21"/>
        </w:rPr>
        <w:t>DFAT Posted Officer</w:t>
      </w:r>
    </w:p>
    <w:p w14:paraId="752EE1D8" w14:textId="229B1F6B" w:rsidR="00CB2B46" w:rsidRPr="00CB305F" w:rsidRDefault="00CB2B46" w:rsidP="00163DB2">
      <w:pPr>
        <w:ind w:left="720" w:right="33"/>
        <w:jc w:val="both"/>
        <w:rPr>
          <w:rFonts w:ascii="Cambria" w:hAnsi="Cambria"/>
          <w:i/>
          <w:iCs/>
          <w:sz w:val="21"/>
          <w:szCs w:val="21"/>
        </w:rPr>
      </w:pPr>
    </w:p>
    <w:p w14:paraId="341120C4" w14:textId="7F2B34EA" w:rsidR="00CB2B46" w:rsidRPr="00CB305F" w:rsidRDefault="00B54022" w:rsidP="00163DB2">
      <w:pPr>
        <w:ind w:left="720" w:right="33"/>
        <w:jc w:val="both"/>
        <w:rPr>
          <w:rFonts w:ascii="Cambria" w:hAnsi="Cambria"/>
          <w:i/>
          <w:iCs/>
          <w:sz w:val="21"/>
          <w:szCs w:val="21"/>
        </w:rPr>
      </w:pPr>
      <w:r w:rsidRPr="00CB305F">
        <w:rPr>
          <w:rFonts w:ascii="Cambria" w:hAnsi="Cambria"/>
          <w:i/>
          <w:iCs/>
          <w:sz w:val="21"/>
          <w:szCs w:val="21"/>
        </w:rPr>
        <w:t>“</w:t>
      </w:r>
      <w:r w:rsidR="00CB2B46" w:rsidRPr="00CB305F">
        <w:rPr>
          <w:rFonts w:ascii="Cambria" w:hAnsi="Cambria"/>
          <w:i/>
          <w:iCs/>
          <w:sz w:val="21"/>
          <w:szCs w:val="21"/>
        </w:rPr>
        <w:t xml:space="preserve">This is the right activity, </w:t>
      </w:r>
      <w:r w:rsidR="00E465FF">
        <w:rPr>
          <w:rFonts w:ascii="Cambria" w:hAnsi="Cambria"/>
          <w:i/>
          <w:iCs/>
          <w:sz w:val="21"/>
          <w:szCs w:val="21"/>
        </w:rPr>
        <w:t>in</w:t>
      </w:r>
      <w:r w:rsidR="00CB2B46" w:rsidRPr="00CB305F">
        <w:rPr>
          <w:rFonts w:ascii="Cambria" w:hAnsi="Cambria"/>
          <w:i/>
          <w:iCs/>
          <w:sz w:val="21"/>
          <w:szCs w:val="21"/>
        </w:rPr>
        <w:t xml:space="preserve"> the right place, at the right time.</w:t>
      </w:r>
      <w:r w:rsidRPr="00CB305F">
        <w:rPr>
          <w:rFonts w:ascii="Cambria" w:hAnsi="Cambria"/>
          <w:i/>
          <w:iCs/>
          <w:sz w:val="21"/>
          <w:szCs w:val="21"/>
        </w:rPr>
        <w:t>”</w:t>
      </w:r>
      <w:r w:rsidR="00CB2B46" w:rsidRPr="00CB305F">
        <w:rPr>
          <w:rFonts w:ascii="Cambria" w:hAnsi="Cambria"/>
          <w:i/>
          <w:iCs/>
          <w:sz w:val="21"/>
          <w:szCs w:val="21"/>
        </w:rPr>
        <w:tab/>
        <w:t xml:space="preserve">      </w:t>
      </w:r>
      <w:r w:rsidR="00270ACB">
        <w:rPr>
          <w:rFonts w:ascii="Cambria" w:hAnsi="Cambria"/>
          <w:i/>
          <w:iCs/>
          <w:sz w:val="21"/>
          <w:szCs w:val="21"/>
        </w:rPr>
        <w:t xml:space="preserve">   </w:t>
      </w:r>
      <w:r w:rsidR="00954EC7">
        <w:rPr>
          <w:rFonts w:ascii="Cambria" w:hAnsi="Cambria"/>
          <w:i/>
          <w:iCs/>
          <w:sz w:val="21"/>
          <w:szCs w:val="21"/>
        </w:rPr>
        <w:t xml:space="preserve">   </w:t>
      </w:r>
      <w:r w:rsidR="00CB2B46" w:rsidRPr="00CB305F">
        <w:rPr>
          <w:rFonts w:ascii="Cambria" w:hAnsi="Cambria"/>
          <w:b/>
          <w:bCs/>
          <w:i/>
          <w:iCs/>
          <w:sz w:val="21"/>
          <w:szCs w:val="21"/>
        </w:rPr>
        <w:t>Senior DFAT Posted Officer</w:t>
      </w:r>
    </w:p>
    <w:p w14:paraId="1B2954CA" w14:textId="0E333A6A" w:rsidR="00CB2B46" w:rsidRPr="00CB305F" w:rsidRDefault="00CB2B46" w:rsidP="00163DB2">
      <w:pPr>
        <w:ind w:right="33"/>
        <w:jc w:val="both"/>
        <w:rPr>
          <w:rFonts w:ascii="Cambria" w:hAnsi="Cambria"/>
          <w:i/>
          <w:iCs/>
          <w:sz w:val="21"/>
          <w:szCs w:val="21"/>
        </w:rPr>
      </w:pPr>
    </w:p>
    <w:p w14:paraId="285383D0" w14:textId="4FEE1DC3" w:rsidR="00C848CF" w:rsidRPr="00CB305F" w:rsidRDefault="00CB2B46" w:rsidP="00163DB2">
      <w:pPr>
        <w:ind w:right="33"/>
        <w:jc w:val="both"/>
        <w:rPr>
          <w:rFonts w:ascii="Cambria" w:hAnsi="Cambria"/>
          <w:sz w:val="21"/>
          <w:szCs w:val="21"/>
        </w:rPr>
      </w:pPr>
      <w:r w:rsidRPr="00CB305F">
        <w:rPr>
          <w:rFonts w:ascii="Cambria" w:hAnsi="Cambria"/>
          <w:sz w:val="21"/>
          <w:szCs w:val="21"/>
        </w:rPr>
        <w:t>All partners confirmed the importance of finding ways to allow highly skilled and educated women to stay in or return to the labour market after having children.</w:t>
      </w:r>
      <w:r w:rsidR="00C848CF" w:rsidRPr="00CB305F">
        <w:rPr>
          <w:rFonts w:ascii="Cambria" w:hAnsi="Cambria"/>
          <w:sz w:val="21"/>
          <w:szCs w:val="21"/>
        </w:rPr>
        <w:t xml:space="preserve">  This would give Malaysia access to </w:t>
      </w:r>
      <w:r w:rsidR="00CD2123" w:rsidRPr="00CB305F">
        <w:rPr>
          <w:rFonts w:ascii="Cambria" w:hAnsi="Cambria"/>
          <w:sz w:val="21"/>
          <w:szCs w:val="21"/>
        </w:rPr>
        <w:t xml:space="preserve">the considerable </w:t>
      </w:r>
      <w:r w:rsidR="00C848CF" w:rsidRPr="00CB305F">
        <w:rPr>
          <w:rFonts w:ascii="Cambria" w:hAnsi="Cambria"/>
          <w:sz w:val="21"/>
          <w:szCs w:val="21"/>
        </w:rPr>
        <w:t xml:space="preserve">skills </w:t>
      </w:r>
      <w:r w:rsidR="00CD2123" w:rsidRPr="00CB305F">
        <w:rPr>
          <w:rFonts w:ascii="Cambria" w:hAnsi="Cambria"/>
          <w:sz w:val="21"/>
          <w:szCs w:val="21"/>
        </w:rPr>
        <w:t>of several hundred thousand women</w:t>
      </w:r>
      <w:r w:rsidR="00C848CF" w:rsidRPr="00CB305F">
        <w:rPr>
          <w:rFonts w:ascii="Cambria" w:hAnsi="Cambria"/>
          <w:sz w:val="21"/>
          <w:szCs w:val="21"/>
        </w:rPr>
        <w:t>, offsetting major national skill shortages.</w:t>
      </w:r>
    </w:p>
    <w:p w14:paraId="2D232AD0" w14:textId="77777777" w:rsidR="00E35564" w:rsidRDefault="00E35564" w:rsidP="00163DB2">
      <w:pPr>
        <w:ind w:right="33"/>
        <w:jc w:val="both"/>
        <w:rPr>
          <w:rFonts w:ascii="Cambria" w:hAnsi="Cambria"/>
          <w:b/>
          <w:bCs/>
          <w:sz w:val="21"/>
          <w:szCs w:val="21"/>
        </w:rPr>
      </w:pPr>
    </w:p>
    <w:p w14:paraId="025580B3" w14:textId="5CCFDB76" w:rsidR="00C848CF" w:rsidRPr="00CB305F" w:rsidRDefault="009A591A" w:rsidP="00163DB2">
      <w:pPr>
        <w:ind w:right="33"/>
        <w:jc w:val="both"/>
        <w:rPr>
          <w:rFonts w:ascii="Cambria" w:hAnsi="Cambria"/>
          <w:b/>
          <w:bCs/>
          <w:sz w:val="21"/>
          <w:szCs w:val="21"/>
        </w:rPr>
      </w:pPr>
      <w:r w:rsidRPr="00CB305F">
        <w:rPr>
          <w:rFonts w:ascii="Cambria" w:hAnsi="Cambria"/>
          <w:b/>
          <w:bCs/>
          <w:sz w:val="21"/>
          <w:szCs w:val="21"/>
        </w:rPr>
        <w:t>Initiative</w:t>
      </w:r>
      <w:r w:rsidR="00C848CF" w:rsidRPr="00CB305F">
        <w:rPr>
          <w:rFonts w:ascii="Cambria" w:hAnsi="Cambria"/>
          <w:b/>
          <w:bCs/>
          <w:sz w:val="21"/>
          <w:szCs w:val="21"/>
        </w:rPr>
        <w:t xml:space="preserve"> progress</w:t>
      </w:r>
    </w:p>
    <w:p w14:paraId="2E58B5C2" w14:textId="77777777" w:rsidR="00082AFF" w:rsidRDefault="00C848CF" w:rsidP="00163DB2">
      <w:pPr>
        <w:ind w:right="33"/>
        <w:jc w:val="both"/>
        <w:rPr>
          <w:rFonts w:ascii="Cambria" w:hAnsi="Cambria"/>
          <w:sz w:val="21"/>
          <w:szCs w:val="21"/>
        </w:rPr>
      </w:pPr>
      <w:r w:rsidRPr="00CB305F">
        <w:rPr>
          <w:rFonts w:ascii="Cambria" w:hAnsi="Cambria"/>
          <w:sz w:val="21"/>
          <w:szCs w:val="21"/>
        </w:rPr>
        <w:t xml:space="preserve">There are encouraging signs of </w:t>
      </w:r>
      <w:r w:rsidR="008B6735">
        <w:rPr>
          <w:rFonts w:ascii="Cambria" w:hAnsi="Cambria"/>
          <w:sz w:val="21"/>
          <w:szCs w:val="21"/>
        </w:rPr>
        <w:t xml:space="preserve">‘meaningful </w:t>
      </w:r>
      <w:r w:rsidRPr="00CB305F">
        <w:rPr>
          <w:rFonts w:ascii="Cambria" w:hAnsi="Cambria"/>
          <w:sz w:val="21"/>
          <w:szCs w:val="21"/>
        </w:rPr>
        <w:t>progress</w:t>
      </w:r>
      <w:r w:rsidR="008B6735">
        <w:rPr>
          <w:rFonts w:ascii="Cambria" w:hAnsi="Cambria"/>
          <w:sz w:val="21"/>
          <w:szCs w:val="21"/>
        </w:rPr>
        <w:t>’</w:t>
      </w:r>
      <w:r w:rsidR="00D11809" w:rsidRPr="00CB305F">
        <w:rPr>
          <w:rFonts w:ascii="Cambria" w:hAnsi="Cambria"/>
          <w:sz w:val="21"/>
          <w:szCs w:val="21"/>
        </w:rPr>
        <w:t>,</w:t>
      </w:r>
      <w:r w:rsidRPr="00CB305F">
        <w:rPr>
          <w:rFonts w:ascii="Cambria" w:hAnsi="Cambria"/>
          <w:sz w:val="21"/>
          <w:szCs w:val="21"/>
        </w:rPr>
        <w:t xml:space="preserve"> </w:t>
      </w:r>
      <w:r w:rsidR="003B5C27" w:rsidRPr="00CB305F">
        <w:rPr>
          <w:rFonts w:ascii="Cambria" w:hAnsi="Cambria"/>
          <w:sz w:val="21"/>
          <w:szCs w:val="21"/>
        </w:rPr>
        <w:t>including the development of a policy paper for the national and state governments</w:t>
      </w:r>
      <w:r w:rsidRPr="00CB305F">
        <w:rPr>
          <w:rFonts w:ascii="Cambria" w:hAnsi="Cambria"/>
          <w:sz w:val="21"/>
          <w:szCs w:val="21"/>
        </w:rPr>
        <w:t xml:space="preserve"> and alliances with </w:t>
      </w:r>
      <w:r w:rsidR="003B5C27" w:rsidRPr="00CB305F">
        <w:rPr>
          <w:rFonts w:ascii="Cambria" w:hAnsi="Cambria"/>
          <w:sz w:val="21"/>
          <w:szCs w:val="21"/>
        </w:rPr>
        <w:t>decision makers who</w:t>
      </w:r>
      <w:r w:rsidRPr="00CB305F">
        <w:rPr>
          <w:rFonts w:ascii="Cambria" w:hAnsi="Cambria"/>
          <w:sz w:val="21"/>
          <w:szCs w:val="21"/>
        </w:rPr>
        <w:t xml:space="preserve"> have an appetite to undertake </w:t>
      </w:r>
    </w:p>
    <w:p w14:paraId="1BCB8ED2" w14:textId="77777777" w:rsidR="00082AFF" w:rsidRDefault="00082AFF" w:rsidP="00163DB2">
      <w:pPr>
        <w:ind w:right="33"/>
        <w:jc w:val="both"/>
        <w:rPr>
          <w:rFonts w:ascii="Cambria" w:hAnsi="Cambria"/>
          <w:sz w:val="21"/>
          <w:szCs w:val="21"/>
        </w:rPr>
      </w:pPr>
    </w:p>
    <w:p w14:paraId="075E9A1D" w14:textId="1C419A5C" w:rsidR="00D11809" w:rsidRPr="00CB305F" w:rsidRDefault="00C848CF" w:rsidP="00163DB2">
      <w:pPr>
        <w:ind w:right="33"/>
        <w:jc w:val="both"/>
        <w:rPr>
          <w:rFonts w:ascii="Cambria" w:hAnsi="Cambria"/>
          <w:sz w:val="21"/>
          <w:szCs w:val="21"/>
        </w:rPr>
      </w:pPr>
      <w:r w:rsidRPr="00CB305F">
        <w:rPr>
          <w:rFonts w:ascii="Cambria" w:hAnsi="Cambria"/>
          <w:sz w:val="21"/>
          <w:szCs w:val="21"/>
        </w:rPr>
        <w:lastRenderedPageBreak/>
        <w:t xml:space="preserve">reforms.  </w:t>
      </w:r>
      <w:r w:rsidR="003B5C27" w:rsidRPr="00CB305F">
        <w:rPr>
          <w:rFonts w:ascii="Cambria" w:hAnsi="Cambria"/>
          <w:sz w:val="21"/>
          <w:szCs w:val="21"/>
        </w:rPr>
        <w:t>However, t</w:t>
      </w:r>
      <w:r w:rsidRPr="00CB305F">
        <w:rPr>
          <w:rFonts w:ascii="Cambria" w:hAnsi="Cambria"/>
          <w:sz w:val="21"/>
          <w:szCs w:val="21"/>
        </w:rPr>
        <w:t xml:space="preserve">he evaluation was unable to corroborate the extent of </w:t>
      </w:r>
      <w:r w:rsidR="00D11809" w:rsidRPr="00CB305F">
        <w:rPr>
          <w:rFonts w:ascii="Cambria" w:hAnsi="Cambria"/>
          <w:sz w:val="21"/>
          <w:szCs w:val="21"/>
        </w:rPr>
        <w:t xml:space="preserve">reform </w:t>
      </w:r>
      <w:r w:rsidRPr="00CB305F">
        <w:rPr>
          <w:rFonts w:ascii="Cambria" w:hAnsi="Cambria"/>
          <w:sz w:val="21"/>
          <w:szCs w:val="21"/>
        </w:rPr>
        <w:t xml:space="preserve">progress as the </w:t>
      </w:r>
      <w:r w:rsidR="003B5C27" w:rsidRPr="00CB305F">
        <w:rPr>
          <w:rFonts w:ascii="Cambria" w:hAnsi="Cambria"/>
          <w:sz w:val="21"/>
          <w:szCs w:val="21"/>
        </w:rPr>
        <w:t xml:space="preserve">policy paper </w:t>
      </w:r>
      <w:r w:rsidRPr="00CB305F">
        <w:rPr>
          <w:rFonts w:ascii="Cambria" w:hAnsi="Cambria"/>
          <w:sz w:val="21"/>
          <w:szCs w:val="21"/>
        </w:rPr>
        <w:t>has not yet been finalised</w:t>
      </w:r>
      <w:r w:rsidR="002C3F44">
        <w:rPr>
          <w:rFonts w:ascii="Cambria" w:hAnsi="Cambria"/>
          <w:sz w:val="21"/>
          <w:szCs w:val="21"/>
        </w:rPr>
        <w:t>.</w:t>
      </w:r>
      <w:r w:rsidR="008B6735">
        <w:rPr>
          <w:rFonts w:ascii="Cambria" w:hAnsi="Cambria"/>
          <w:sz w:val="21"/>
          <w:szCs w:val="21"/>
        </w:rPr>
        <w:t xml:space="preserve"> </w:t>
      </w:r>
      <w:r w:rsidR="002C3F44">
        <w:rPr>
          <w:rFonts w:ascii="Cambria" w:hAnsi="Cambria"/>
          <w:sz w:val="21"/>
          <w:szCs w:val="21"/>
        </w:rPr>
        <w:t xml:space="preserve"> T</w:t>
      </w:r>
      <w:r w:rsidR="008B6735">
        <w:rPr>
          <w:rFonts w:ascii="Cambria" w:hAnsi="Cambria"/>
          <w:sz w:val="21"/>
          <w:szCs w:val="21"/>
        </w:rPr>
        <w:t>he real test will be the willingness of decision makers to implement it</w:t>
      </w:r>
      <w:r w:rsidRPr="00CB305F">
        <w:rPr>
          <w:rFonts w:ascii="Cambria" w:hAnsi="Cambria"/>
          <w:sz w:val="21"/>
          <w:szCs w:val="21"/>
        </w:rPr>
        <w:t xml:space="preserve">.  </w:t>
      </w:r>
    </w:p>
    <w:p w14:paraId="7C9C87D7" w14:textId="1C14336D" w:rsidR="003B5C27" w:rsidRPr="00CB305F" w:rsidRDefault="003B5C27" w:rsidP="00163DB2">
      <w:pPr>
        <w:ind w:right="33"/>
        <w:jc w:val="both"/>
        <w:rPr>
          <w:rFonts w:ascii="Cambria" w:hAnsi="Cambria"/>
          <w:sz w:val="21"/>
          <w:szCs w:val="21"/>
        </w:rPr>
      </w:pPr>
    </w:p>
    <w:p w14:paraId="4E059ADD" w14:textId="1E9CD71B" w:rsidR="003B5C27" w:rsidRPr="00CB305F" w:rsidRDefault="003B5C27" w:rsidP="00163DB2">
      <w:pPr>
        <w:ind w:right="33"/>
        <w:jc w:val="both"/>
        <w:rPr>
          <w:rFonts w:ascii="Cambria" w:hAnsi="Cambria"/>
          <w:sz w:val="21"/>
          <w:szCs w:val="21"/>
        </w:rPr>
      </w:pPr>
      <w:r w:rsidRPr="00CB305F">
        <w:rPr>
          <w:rFonts w:ascii="Cambria" w:hAnsi="Cambria"/>
          <w:sz w:val="21"/>
          <w:szCs w:val="21"/>
        </w:rPr>
        <w:t xml:space="preserve">An earlier piece of research on country case studies </w:t>
      </w:r>
      <w:r w:rsidR="007001E3" w:rsidRPr="00CB305F">
        <w:rPr>
          <w:rFonts w:ascii="Cambria" w:hAnsi="Cambria"/>
          <w:sz w:val="21"/>
          <w:szCs w:val="21"/>
        </w:rPr>
        <w:t xml:space="preserve">covering Japan, Sweden, Singapore, France and the UK </w:t>
      </w:r>
      <w:r w:rsidRPr="00CB305F">
        <w:rPr>
          <w:rFonts w:ascii="Cambria" w:hAnsi="Cambria"/>
          <w:sz w:val="21"/>
          <w:szCs w:val="21"/>
        </w:rPr>
        <w:t xml:space="preserve">was well </w:t>
      </w:r>
      <w:r w:rsidR="007001E3" w:rsidRPr="00CB305F">
        <w:rPr>
          <w:rFonts w:ascii="Cambria" w:hAnsi="Cambria"/>
          <w:sz w:val="21"/>
          <w:szCs w:val="21"/>
        </w:rPr>
        <w:t>conducted</w:t>
      </w:r>
      <w:r w:rsidR="00394001">
        <w:rPr>
          <w:rFonts w:ascii="Cambria" w:hAnsi="Cambria"/>
          <w:sz w:val="21"/>
          <w:szCs w:val="21"/>
        </w:rPr>
        <w:t xml:space="preserve"> and useful</w:t>
      </w:r>
      <w:r w:rsidR="007001E3" w:rsidRPr="00CB305F">
        <w:rPr>
          <w:rFonts w:ascii="Cambria" w:hAnsi="Cambria"/>
          <w:sz w:val="21"/>
          <w:szCs w:val="21"/>
        </w:rPr>
        <w:t>,</w:t>
      </w:r>
      <w:r w:rsidRPr="00CB305F">
        <w:rPr>
          <w:rFonts w:ascii="Cambria" w:hAnsi="Cambria"/>
          <w:sz w:val="21"/>
          <w:szCs w:val="21"/>
        </w:rPr>
        <w:t xml:space="preserve"> but might have benefitted from the inclusion of countries at a similar level of development to Malaysia</w:t>
      </w:r>
      <w:r w:rsidR="008B6735">
        <w:rPr>
          <w:rFonts w:ascii="Cambria" w:hAnsi="Cambria"/>
          <w:sz w:val="21"/>
          <w:szCs w:val="21"/>
        </w:rPr>
        <w:t>, even though</w:t>
      </w:r>
      <w:r w:rsidR="002C3F44">
        <w:rPr>
          <w:rFonts w:ascii="Cambria" w:hAnsi="Cambria"/>
          <w:sz w:val="21"/>
          <w:szCs w:val="21"/>
        </w:rPr>
        <w:t xml:space="preserve"> such</w:t>
      </w:r>
      <w:r w:rsidR="008B6735">
        <w:rPr>
          <w:rFonts w:ascii="Cambria" w:hAnsi="Cambria"/>
          <w:sz w:val="21"/>
          <w:szCs w:val="21"/>
        </w:rPr>
        <w:t xml:space="preserve"> </w:t>
      </w:r>
      <w:r w:rsidR="002C3F44">
        <w:rPr>
          <w:rFonts w:ascii="Cambria" w:hAnsi="Cambria"/>
          <w:sz w:val="21"/>
          <w:szCs w:val="21"/>
        </w:rPr>
        <w:t>examples reportedly highlight problems</w:t>
      </w:r>
      <w:r w:rsidR="00E756D6">
        <w:rPr>
          <w:rFonts w:ascii="Cambria" w:hAnsi="Cambria"/>
          <w:sz w:val="21"/>
          <w:szCs w:val="21"/>
        </w:rPr>
        <w:t>,</w:t>
      </w:r>
      <w:r w:rsidR="002C3F44">
        <w:rPr>
          <w:rFonts w:ascii="Cambria" w:hAnsi="Cambria"/>
          <w:sz w:val="21"/>
          <w:szCs w:val="21"/>
        </w:rPr>
        <w:t xml:space="preserve"> more than solutions</w:t>
      </w:r>
      <w:r w:rsidR="008B6735">
        <w:rPr>
          <w:rFonts w:ascii="Cambria" w:hAnsi="Cambria"/>
          <w:sz w:val="21"/>
          <w:szCs w:val="21"/>
        </w:rPr>
        <w:t xml:space="preserve">.  It would also have been useful for the case studies to have included </w:t>
      </w:r>
      <w:r w:rsidRPr="00CB305F">
        <w:rPr>
          <w:rFonts w:ascii="Cambria" w:hAnsi="Cambria"/>
          <w:sz w:val="21"/>
          <w:szCs w:val="21"/>
        </w:rPr>
        <w:t xml:space="preserve">Australia, </w:t>
      </w:r>
      <w:r w:rsidR="008B6735">
        <w:rPr>
          <w:rFonts w:ascii="Cambria" w:hAnsi="Cambria"/>
          <w:sz w:val="21"/>
          <w:szCs w:val="21"/>
        </w:rPr>
        <w:t xml:space="preserve">as a regional country </w:t>
      </w:r>
      <w:r w:rsidRPr="00CB305F">
        <w:rPr>
          <w:rFonts w:ascii="Cambria" w:hAnsi="Cambria"/>
          <w:sz w:val="21"/>
          <w:szCs w:val="21"/>
        </w:rPr>
        <w:t xml:space="preserve">which has an extensive </w:t>
      </w:r>
      <w:r w:rsidR="007001E3" w:rsidRPr="00CB305F">
        <w:rPr>
          <w:rFonts w:ascii="Cambria" w:hAnsi="Cambria"/>
          <w:sz w:val="21"/>
          <w:szCs w:val="21"/>
        </w:rPr>
        <w:t xml:space="preserve">high-quality </w:t>
      </w:r>
      <w:r w:rsidRPr="00CB305F">
        <w:rPr>
          <w:rFonts w:ascii="Cambria" w:hAnsi="Cambria"/>
          <w:sz w:val="21"/>
          <w:szCs w:val="21"/>
        </w:rPr>
        <w:t>system in place</w:t>
      </w:r>
      <w:r w:rsidR="008B6735">
        <w:rPr>
          <w:rFonts w:ascii="Cambria" w:hAnsi="Cambria"/>
          <w:sz w:val="21"/>
          <w:szCs w:val="21"/>
        </w:rPr>
        <w:t xml:space="preserve"> and also as a means of advancing bilateral knowledge and relations</w:t>
      </w:r>
      <w:r w:rsidRPr="00CB305F">
        <w:rPr>
          <w:rFonts w:ascii="Cambria" w:hAnsi="Cambria"/>
          <w:sz w:val="21"/>
          <w:szCs w:val="21"/>
        </w:rPr>
        <w:t xml:space="preserve">.  The report </w:t>
      </w:r>
      <w:r w:rsidR="008B6735">
        <w:rPr>
          <w:rFonts w:ascii="Cambria" w:hAnsi="Cambria"/>
          <w:sz w:val="21"/>
          <w:szCs w:val="21"/>
        </w:rPr>
        <w:t xml:space="preserve">acknowledged </w:t>
      </w:r>
      <w:r w:rsidRPr="00CB305F">
        <w:rPr>
          <w:rFonts w:ascii="Cambria" w:hAnsi="Cambria"/>
          <w:sz w:val="21"/>
          <w:szCs w:val="21"/>
        </w:rPr>
        <w:t>TAF’s involvement</w:t>
      </w:r>
      <w:r w:rsidR="008B6735">
        <w:rPr>
          <w:rFonts w:ascii="Cambria" w:hAnsi="Cambria"/>
          <w:sz w:val="21"/>
          <w:szCs w:val="21"/>
        </w:rPr>
        <w:t xml:space="preserve">, </w:t>
      </w:r>
      <w:r w:rsidRPr="00CB305F">
        <w:rPr>
          <w:rFonts w:ascii="Cambria" w:hAnsi="Cambria"/>
          <w:sz w:val="21"/>
          <w:szCs w:val="21"/>
        </w:rPr>
        <w:t>but not Australia’s</w:t>
      </w:r>
      <w:r w:rsidR="002C3F44">
        <w:rPr>
          <w:rFonts w:ascii="Cambria" w:hAnsi="Cambria"/>
          <w:sz w:val="21"/>
          <w:szCs w:val="21"/>
        </w:rPr>
        <w:t xml:space="preserve">, due to uncertainty about the visibility Australia sought, again highlighting communication issues.  </w:t>
      </w:r>
      <w:r w:rsidR="008C651B">
        <w:rPr>
          <w:rFonts w:ascii="Cambria" w:hAnsi="Cambria"/>
          <w:sz w:val="21"/>
          <w:szCs w:val="21"/>
        </w:rPr>
        <w:t>TAF</w:t>
      </w:r>
      <w:r w:rsidR="002C3F44">
        <w:rPr>
          <w:rFonts w:ascii="Cambria" w:hAnsi="Cambria"/>
          <w:sz w:val="21"/>
          <w:szCs w:val="21"/>
        </w:rPr>
        <w:t xml:space="preserve"> report</w:t>
      </w:r>
      <w:r w:rsidR="008C651B">
        <w:rPr>
          <w:rFonts w:ascii="Cambria" w:hAnsi="Cambria"/>
          <w:sz w:val="21"/>
          <w:szCs w:val="21"/>
        </w:rPr>
        <w:t>s</w:t>
      </w:r>
      <w:r w:rsidR="002C3F44">
        <w:rPr>
          <w:rFonts w:ascii="Cambria" w:hAnsi="Cambria"/>
          <w:sz w:val="21"/>
          <w:szCs w:val="21"/>
        </w:rPr>
        <w:t xml:space="preserve"> more consistent efforts are now being applied to lift Australia’s profile.</w:t>
      </w:r>
    </w:p>
    <w:p w14:paraId="6121A945" w14:textId="77777777" w:rsidR="00DC3F81" w:rsidRDefault="00DC3F81" w:rsidP="00163DB2">
      <w:pPr>
        <w:ind w:right="33"/>
        <w:jc w:val="both"/>
        <w:rPr>
          <w:rFonts w:ascii="Cambria" w:hAnsi="Cambria"/>
          <w:sz w:val="21"/>
          <w:szCs w:val="21"/>
        </w:rPr>
      </w:pPr>
    </w:p>
    <w:p w14:paraId="19A9B011" w14:textId="67A286FE" w:rsidR="00683233" w:rsidRPr="008B6735" w:rsidRDefault="007001E3" w:rsidP="00163DB2">
      <w:pPr>
        <w:ind w:right="33"/>
        <w:jc w:val="both"/>
        <w:rPr>
          <w:rFonts w:ascii="Cambria" w:hAnsi="Cambria"/>
          <w:sz w:val="21"/>
          <w:szCs w:val="21"/>
        </w:rPr>
      </w:pPr>
      <w:r w:rsidRPr="00CB305F">
        <w:rPr>
          <w:rFonts w:ascii="Cambria" w:hAnsi="Cambria"/>
          <w:sz w:val="21"/>
          <w:szCs w:val="21"/>
        </w:rPr>
        <w:t>W</w:t>
      </w:r>
      <w:r w:rsidR="00C848CF" w:rsidRPr="00CB305F">
        <w:rPr>
          <w:rFonts w:ascii="Cambria" w:hAnsi="Cambria"/>
          <w:sz w:val="21"/>
          <w:szCs w:val="21"/>
        </w:rPr>
        <w:t xml:space="preserve">hile DFAT has reported a pick-up in momentum and satisfaction with </w:t>
      </w:r>
      <w:r w:rsidR="00D11809" w:rsidRPr="00CB305F">
        <w:rPr>
          <w:rFonts w:ascii="Cambria" w:hAnsi="Cambria"/>
          <w:sz w:val="21"/>
          <w:szCs w:val="21"/>
        </w:rPr>
        <w:t>progress</w:t>
      </w:r>
      <w:r w:rsidR="00FE5EA5">
        <w:rPr>
          <w:rFonts w:ascii="Cambria" w:hAnsi="Cambria"/>
          <w:sz w:val="21"/>
          <w:szCs w:val="21"/>
        </w:rPr>
        <w:t>,</w:t>
      </w:r>
      <w:r w:rsidR="00C848CF" w:rsidRPr="00CB305F">
        <w:rPr>
          <w:rFonts w:ascii="Cambria" w:hAnsi="Cambria"/>
          <w:sz w:val="21"/>
          <w:szCs w:val="21"/>
        </w:rPr>
        <w:t xml:space="preserve"> the evaluation cannot </w:t>
      </w:r>
      <w:r w:rsidRPr="00CB305F">
        <w:rPr>
          <w:rFonts w:ascii="Cambria" w:hAnsi="Cambria"/>
          <w:sz w:val="21"/>
          <w:szCs w:val="21"/>
        </w:rPr>
        <w:t xml:space="preserve">independently </w:t>
      </w:r>
      <w:r w:rsidR="00C848CF" w:rsidRPr="00CB305F">
        <w:rPr>
          <w:rFonts w:ascii="Cambria" w:hAnsi="Cambria"/>
          <w:sz w:val="21"/>
          <w:szCs w:val="21"/>
        </w:rPr>
        <w:t>validate those judgements</w:t>
      </w:r>
      <w:r w:rsidR="002C3F44">
        <w:rPr>
          <w:rFonts w:ascii="Cambria" w:hAnsi="Cambria"/>
          <w:sz w:val="21"/>
          <w:szCs w:val="21"/>
        </w:rPr>
        <w:t xml:space="preserve"> including because it was </w:t>
      </w:r>
      <w:r w:rsidR="002C3F44" w:rsidRPr="00CB305F">
        <w:rPr>
          <w:rFonts w:ascii="Cambria" w:hAnsi="Cambria"/>
          <w:sz w:val="21"/>
          <w:szCs w:val="21"/>
        </w:rPr>
        <w:t xml:space="preserve">judged it too early to talk with counterparts, resulting in </w:t>
      </w:r>
      <w:r w:rsidR="002C3F44">
        <w:rPr>
          <w:rFonts w:ascii="Cambria" w:hAnsi="Cambria"/>
          <w:sz w:val="21"/>
          <w:szCs w:val="21"/>
        </w:rPr>
        <w:t xml:space="preserve">a lack of </w:t>
      </w:r>
      <w:r w:rsidR="002C3F44" w:rsidRPr="00CB305F">
        <w:rPr>
          <w:rFonts w:ascii="Cambria" w:hAnsi="Cambria"/>
          <w:sz w:val="21"/>
          <w:szCs w:val="21"/>
        </w:rPr>
        <w:t>third</w:t>
      </w:r>
      <w:r w:rsidR="002C3F44">
        <w:rPr>
          <w:rFonts w:ascii="Cambria" w:hAnsi="Cambria"/>
          <w:sz w:val="21"/>
          <w:szCs w:val="21"/>
        </w:rPr>
        <w:t>-</w:t>
      </w:r>
      <w:r w:rsidR="002C3F44" w:rsidRPr="00CB305F">
        <w:rPr>
          <w:rFonts w:ascii="Cambria" w:hAnsi="Cambria"/>
          <w:sz w:val="21"/>
          <w:szCs w:val="21"/>
        </w:rPr>
        <w:t>party validation</w:t>
      </w:r>
      <w:r w:rsidR="00D11809" w:rsidRPr="00CB305F">
        <w:rPr>
          <w:rFonts w:ascii="Cambria" w:hAnsi="Cambria"/>
          <w:sz w:val="21"/>
          <w:szCs w:val="21"/>
        </w:rPr>
        <w:t xml:space="preserve">.  </w:t>
      </w:r>
      <w:r w:rsidR="00AF1C0E" w:rsidRPr="00CB305F">
        <w:rPr>
          <w:rFonts w:ascii="Cambria" w:hAnsi="Cambria"/>
          <w:sz w:val="21"/>
          <w:szCs w:val="21"/>
        </w:rPr>
        <w:t xml:space="preserve">As </w:t>
      </w:r>
      <w:r w:rsidRPr="00CB305F">
        <w:rPr>
          <w:rFonts w:ascii="Cambria" w:hAnsi="Cambria"/>
          <w:sz w:val="21"/>
          <w:szCs w:val="21"/>
        </w:rPr>
        <w:t>two</w:t>
      </w:r>
      <w:r w:rsidR="00794532" w:rsidRPr="00CB305F">
        <w:rPr>
          <w:rFonts w:ascii="Cambria" w:hAnsi="Cambria"/>
          <w:sz w:val="21"/>
          <w:szCs w:val="21"/>
        </w:rPr>
        <w:t xml:space="preserve"> </w:t>
      </w:r>
      <w:r w:rsidR="00AF1C0E" w:rsidRPr="00CB305F">
        <w:rPr>
          <w:rFonts w:ascii="Cambria" w:hAnsi="Cambria"/>
          <w:sz w:val="21"/>
          <w:szCs w:val="21"/>
        </w:rPr>
        <w:t>senior D</w:t>
      </w:r>
      <w:r w:rsidR="004031E0" w:rsidRPr="00CB305F">
        <w:rPr>
          <w:rFonts w:ascii="Cambria" w:hAnsi="Cambria"/>
          <w:sz w:val="21"/>
          <w:szCs w:val="21"/>
        </w:rPr>
        <w:t>FAT</w:t>
      </w:r>
      <w:r w:rsidR="00AF1C0E" w:rsidRPr="00CB305F">
        <w:rPr>
          <w:rFonts w:ascii="Cambria" w:hAnsi="Cambria"/>
          <w:sz w:val="21"/>
          <w:szCs w:val="21"/>
        </w:rPr>
        <w:t xml:space="preserve"> staff </w:t>
      </w:r>
      <w:r w:rsidRPr="00CB305F">
        <w:rPr>
          <w:rFonts w:ascii="Cambria" w:hAnsi="Cambria"/>
          <w:sz w:val="21"/>
          <w:szCs w:val="21"/>
        </w:rPr>
        <w:t xml:space="preserve">members separately </w:t>
      </w:r>
      <w:r w:rsidR="00AF1C0E" w:rsidRPr="00CB305F">
        <w:rPr>
          <w:rFonts w:ascii="Cambria" w:hAnsi="Cambria"/>
          <w:sz w:val="21"/>
          <w:szCs w:val="21"/>
        </w:rPr>
        <w:t>said</w:t>
      </w:r>
      <w:r w:rsidR="00FE5EA5">
        <w:rPr>
          <w:rFonts w:ascii="Cambria" w:hAnsi="Cambria"/>
          <w:sz w:val="21"/>
          <w:szCs w:val="21"/>
        </w:rPr>
        <w:t>,</w:t>
      </w:r>
      <w:r w:rsidR="008B6735">
        <w:rPr>
          <w:rFonts w:ascii="Cambria" w:hAnsi="Cambria"/>
          <w:sz w:val="21"/>
          <w:szCs w:val="21"/>
        </w:rPr>
        <w:t xml:space="preserve"> using almost identical words</w:t>
      </w:r>
      <w:r w:rsidR="00AF1C0E" w:rsidRPr="00CB305F">
        <w:rPr>
          <w:rFonts w:ascii="Cambria" w:hAnsi="Cambria"/>
          <w:sz w:val="21"/>
          <w:szCs w:val="21"/>
        </w:rPr>
        <w:t xml:space="preserve">, </w:t>
      </w:r>
      <w:r w:rsidRPr="00CB305F">
        <w:rPr>
          <w:rFonts w:ascii="Cambria" w:hAnsi="Cambria"/>
          <w:sz w:val="21"/>
          <w:szCs w:val="21"/>
        </w:rPr>
        <w:t>“</w:t>
      </w:r>
      <w:r w:rsidR="00794532" w:rsidRPr="00CB305F">
        <w:rPr>
          <w:rFonts w:ascii="Cambria" w:hAnsi="Cambria"/>
          <w:sz w:val="21"/>
          <w:szCs w:val="21"/>
        </w:rPr>
        <w:t>we just haven’t got the results yet</w:t>
      </w:r>
      <w:r w:rsidRPr="00CB305F">
        <w:rPr>
          <w:rFonts w:ascii="Cambria" w:hAnsi="Cambria"/>
          <w:sz w:val="21"/>
          <w:szCs w:val="21"/>
        </w:rPr>
        <w:t>”.  Others</w:t>
      </w:r>
      <w:r w:rsidR="00794532" w:rsidRPr="00CB305F">
        <w:rPr>
          <w:rFonts w:ascii="Cambria" w:hAnsi="Cambria"/>
          <w:sz w:val="21"/>
          <w:szCs w:val="21"/>
        </w:rPr>
        <w:t xml:space="preserve"> pointed </w:t>
      </w:r>
      <w:r w:rsidR="00CD2123" w:rsidRPr="00CB305F">
        <w:rPr>
          <w:rFonts w:ascii="Cambria" w:hAnsi="Cambria"/>
          <w:sz w:val="21"/>
          <w:szCs w:val="21"/>
        </w:rPr>
        <w:t xml:space="preserve">optimistically </w:t>
      </w:r>
      <w:r w:rsidR="00794532" w:rsidRPr="00CB305F">
        <w:rPr>
          <w:rFonts w:ascii="Cambria" w:hAnsi="Cambria"/>
          <w:sz w:val="21"/>
          <w:szCs w:val="21"/>
        </w:rPr>
        <w:t xml:space="preserve">to ‘the opportunity to get things back on track’.  </w:t>
      </w:r>
      <w:r w:rsidR="004D70AB">
        <w:rPr>
          <w:rFonts w:ascii="Cambria" w:hAnsi="Cambria"/>
          <w:sz w:val="21"/>
          <w:szCs w:val="21"/>
        </w:rPr>
        <w:t>T</w:t>
      </w:r>
      <w:r w:rsidRPr="00CB305F">
        <w:rPr>
          <w:rFonts w:ascii="Cambria" w:hAnsi="Cambria"/>
          <w:sz w:val="21"/>
          <w:szCs w:val="21"/>
        </w:rPr>
        <w:t>he available evidence suggest</w:t>
      </w:r>
      <w:r w:rsidR="00CD2123" w:rsidRPr="00CB305F">
        <w:rPr>
          <w:rFonts w:ascii="Cambria" w:hAnsi="Cambria"/>
          <w:sz w:val="21"/>
          <w:szCs w:val="21"/>
        </w:rPr>
        <w:t>s</w:t>
      </w:r>
      <w:r w:rsidRPr="00CB305F">
        <w:rPr>
          <w:rFonts w:ascii="Cambria" w:hAnsi="Cambria"/>
          <w:sz w:val="21"/>
          <w:szCs w:val="21"/>
        </w:rPr>
        <w:t xml:space="preserve"> the activity </w:t>
      </w:r>
      <w:r w:rsidR="00394001">
        <w:rPr>
          <w:rFonts w:ascii="Cambria" w:hAnsi="Cambria"/>
          <w:sz w:val="21"/>
          <w:szCs w:val="21"/>
        </w:rPr>
        <w:t>may well be</w:t>
      </w:r>
      <w:r w:rsidRPr="00CB305F">
        <w:rPr>
          <w:rFonts w:ascii="Cambria" w:hAnsi="Cambria"/>
          <w:sz w:val="21"/>
          <w:szCs w:val="21"/>
        </w:rPr>
        <w:t xml:space="preserve"> on track, but </w:t>
      </w:r>
      <w:r w:rsidR="00CD2123" w:rsidRPr="00CB305F">
        <w:rPr>
          <w:rFonts w:ascii="Cambria" w:hAnsi="Cambria"/>
          <w:sz w:val="21"/>
          <w:szCs w:val="21"/>
        </w:rPr>
        <w:t xml:space="preserve">that evidence </w:t>
      </w:r>
      <w:r w:rsidRPr="00CB305F">
        <w:rPr>
          <w:rFonts w:ascii="Cambria" w:hAnsi="Cambria"/>
          <w:sz w:val="21"/>
          <w:szCs w:val="21"/>
        </w:rPr>
        <w:t>is insufficient to be</w:t>
      </w:r>
      <w:r w:rsidR="00CD2123" w:rsidRPr="00CB305F">
        <w:rPr>
          <w:rFonts w:ascii="Cambria" w:hAnsi="Cambria"/>
          <w:sz w:val="21"/>
          <w:szCs w:val="21"/>
        </w:rPr>
        <w:t xml:space="preserve"> fully confident</w:t>
      </w:r>
      <w:r w:rsidRPr="00CB305F">
        <w:rPr>
          <w:rFonts w:ascii="Cambria" w:hAnsi="Cambria"/>
          <w:sz w:val="21"/>
          <w:szCs w:val="21"/>
        </w:rPr>
        <w:t>.  Consequently</w:t>
      </w:r>
      <w:r w:rsidR="00CD2123" w:rsidRPr="00CB305F">
        <w:rPr>
          <w:rFonts w:ascii="Cambria" w:hAnsi="Cambria"/>
          <w:sz w:val="21"/>
          <w:szCs w:val="21"/>
        </w:rPr>
        <w:t>,</w:t>
      </w:r>
      <w:r w:rsidRPr="00CB305F">
        <w:rPr>
          <w:rFonts w:ascii="Cambria" w:hAnsi="Cambria"/>
          <w:sz w:val="21"/>
          <w:szCs w:val="21"/>
        </w:rPr>
        <w:t xml:space="preserve"> progress is depicted by a green bordered circle, indicating an expectation that when the policy paper is published that it will confirm progress. </w:t>
      </w:r>
    </w:p>
    <w:p w14:paraId="71B4E104" w14:textId="4A6260EC" w:rsidR="00A51FB2" w:rsidRPr="00CB305F" w:rsidRDefault="009046C7" w:rsidP="00082AFF">
      <w:pPr>
        <w:spacing w:before="80"/>
        <w:ind w:left="6481" w:right="34" w:firstLine="720"/>
        <w:jc w:val="both"/>
        <w:rPr>
          <w:rFonts w:ascii="Cambria" w:hAnsi="Cambria"/>
          <w:sz w:val="21"/>
          <w:szCs w:val="21"/>
        </w:rPr>
      </w:pPr>
      <w:r w:rsidRPr="00CB305F">
        <w:rPr>
          <w:rFonts w:ascii="Cambria" w:hAnsi="Cambria"/>
          <w:b/>
          <w:bCs/>
          <w:sz w:val="21"/>
          <w:szCs w:val="21"/>
        </w:rPr>
        <w:t xml:space="preserve">    </w:t>
      </w:r>
      <w:r w:rsidR="00394001">
        <w:rPr>
          <w:rFonts w:ascii="Cambria" w:hAnsi="Cambria"/>
          <w:b/>
          <w:bCs/>
          <w:sz w:val="21"/>
          <w:szCs w:val="21"/>
        </w:rPr>
        <w:t xml:space="preserve"> </w:t>
      </w:r>
      <w:r w:rsidR="004031E0" w:rsidRPr="00CB305F">
        <w:rPr>
          <w:rFonts w:ascii="Cambria" w:hAnsi="Cambria"/>
          <w:b/>
          <w:bCs/>
          <w:sz w:val="21"/>
          <w:szCs w:val="21"/>
        </w:rPr>
        <w:t>Overall rating</w:t>
      </w:r>
      <w:r w:rsidR="00683233" w:rsidRPr="00CB305F">
        <w:rPr>
          <w:rFonts w:ascii="Cambria" w:hAnsi="Cambria"/>
          <w:sz w:val="21"/>
          <w:szCs w:val="21"/>
        </w:rPr>
        <w:t xml:space="preserve">   </w:t>
      </w:r>
      <w:r w:rsidR="00B70FBF" w:rsidRPr="00CB305F">
        <w:rPr>
          <w:rFonts w:ascii="Cambria" w:hAnsi="Cambria"/>
          <w:sz w:val="21"/>
          <w:szCs w:val="21"/>
        </w:rPr>
        <w:t xml:space="preserve">  </w:t>
      </w:r>
      <w:r w:rsidR="00683233" w:rsidRPr="00CB305F">
        <w:rPr>
          <w:rFonts w:ascii="Cambria" w:hAnsi="Cambria"/>
          <w:sz w:val="21"/>
          <w:szCs w:val="21"/>
        </w:rPr>
        <w:t xml:space="preserve"> </w:t>
      </w:r>
      <w:r w:rsidR="00394001">
        <w:rPr>
          <w:rFonts w:ascii="Cambria" w:hAnsi="Cambria"/>
          <w:sz w:val="21"/>
          <w:szCs w:val="21"/>
        </w:rPr>
        <w:t xml:space="preserve"> </w:t>
      </w:r>
      <w:r w:rsidR="004D70AB">
        <w:rPr>
          <w:rFonts w:ascii="Cambria" w:hAnsi="Cambria"/>
          <w:sz w:val="21"/>
          <w:szCs w:val="21"/>
        </w:rPr>
        <w:t xml:space="preserve">   </w:t>
      </w:r>
      <w:r w:rsidR="00E66E02" w:rsidRPr="00CB305F">
        <w:rPr>
          <w:rFonts w:ascii="Cambria" w:hAnsi="Cambria"/>
          <w:sz w:val="21"/>
          <w:szCs w:val="21"/>
        </w:rPr>
        <w:t xml:space="preserve">  </w:t>
      </w:r>
      <w:r w:rsidR="00683233" w:rsidRPr="00CB305F">
        <w:rPr>
          <w:rFonts w:ascii="Cambria" w:hAnsi="Cambria"/>
          <w:sz w:val="21"/>
          <w:szCs w:val="21"/>
        </w:rPr>
        <w:t xml:space="preserve"> </w:t>
      </w:r>
      <w:r w:rsidR="007001E3" w:rsidRPr="00CB305F">
        <w:rPr>
          <w:rFonts w:ascii="Cambria" w:hAnsi="Cambria"/>
          <w:b/>
          <w:bCs/>
          <w:noProof/>
          <w:sz w:val="21"/>
          <w:szCs w:val="21"/>
        </w:rPr>
        <w:drawing>
          <wp:inline distT="0" distB="0" distL="0" distR="0" wp14:anchorId="1CC73787" wp14:editId="034E46AF">
            <wp:extent cx="142407" cy="142407"/>
            <wp:effectExtent l="0" t="0" r="0" b="0"/>
            <wp:docPr id="28" name="Picture 28" descr="Rating Green Circle with white centre: inadequate evidence, looking hope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Rating Green Circle with white centre: inadequate evidence, looking hopeful"/>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44711" cy="144711"/>
                    </a:xfrm>
                    <a:prstGeom prst="rect">
                      <a:avLst/>
                    </a:prstGeom>
                  </pic:spPr>
                </pic:pic>
              </a:graphicData>
            </a:graphic>
          </wp:inline>
        </w:drawing>
      </w:r>
    </w:p>
    <w:p w14:paraId="7FB96B4B" w14:textId="22CE16C4" w:rsidR="0096137E" w:rsidRPr="00CB305F" w:rsidRDefault="0096137E" w:rsidP="00163DB2">
      <w:pPr>
        <w:ind w:right="33"/>
        <w:jc w:val="both"/>
        <w:rPr>
          <w:rFonts w:ascii="Cambria" w:hAnsi="Cambria"/>
          <w:sz w:val="21"/>
          <w:szCs w:val="21"/>
        </w:rPr>
      </w:pPr>
      <w:r w:rsidRPr="00CB305F">
        <w:rPr>
          <w:rFonts w:ascii="Cambria" w:hAnsi="Cambria"/>
          <w:sz w:val="21"/>
          <w:szCs w:val="21"/>
        </w:rPr>
        <w:tab/>
      </w:r>
      <w:r w:rsidRPr="00CB305F">
        <w:rPr>
          <w:rFonts w:ascii="Cambria" w:hAnsi="Cambria"/>
          <w:sz w:val="21"/>
          <w:szCs w:val="21"/>
        </w:rPr>
        <w:tab/>
      </w:r>
      <w:r w:rsidRPr="00CB305F">
        <w:rPr>
          <w:rFonts w:ascii="Cambria" w:hAnsi="Cambria"/>
          <w:sz w:val="21"/>
          <w:szCs w:val="21"/>
        </w:rPr>
        <w:tab/>
      </w:r>
      <w:r w:rsidRPr="00CB305F">
        <w:rPr>
          <w:rFonts w:ascii="Cambria" w:hAnsi="Cambria"/>
          <w:sz w:val="21"/>
          <w:szCs w:val="21"/>
        </w:rPr>
        <w:tab/>
      </w:r>
      <w:r w:rsidRPr="00CB305F">
        <w:rPr>
          <w:rFonts w:ascii="Cambria" w:hAnsi="Cambria"/>
          <w:sz w:val="21"/>
          <w:szCs w:val="21"/>
        </w:rPr>
        <w:tab/>
      </w:r>
      <w:r w:rsidRPr="00CB305F">
        <w:rPr>
          <w:rFonts w:ascii="Cambria" w:hAnsi="Cambria"/>
          <w:sz w:val="21"/>
          <w:szCs w:val="21"/>
        </w:rPr>
        <w:tab/>
      </w:r>
      <w:r w:rsidRPr="00CB305F">
        <w:rPr>
          <w:rFonts w:ascii="Cambria" w:hAnsi="Cambria"/>
          <w:sz w:val="21"/>
          <w:szCs w:val="21"/>
        </w:rPr>
        <w:tab/>
      </w:r>
    </w:p>
    <w:p w14:paraId="308B73C1" w14:textId="038DE03F" w:rsidR="00D11809" w:rsidRPr="00CB305F" w:rsidRDefault="0096137E" w:rsidP="00163DB2">
      <w:pPr>
        <w:pStyle w:val="ListParagraph"/>
        <w:numPr>
          <w:ilvl w:val="0"/>
          <w:numId w:val="6"/>
        </w:numPr>
        <w:ind w:right="33"/>
        <w:jc w:val="both"/>
        <w:rPr>
          <w:rFonts w:ascii="Cambria" w:hAnsi="Cambria"/>
          <w:b/>
          <w:bCs/>
          <w:sz w:val="21"/>
          <w:szCs w:val="21"/>
        </w:rPr>
      </w:pPr>
      <w:r w:rsidRPr="00CB305F">
        <w:rPr>
          <w:rFonts w:ascii="Cambria" w:hAnsi="Cambria"/>
          <w:b/>
          <w:bCs/>
          <w:sz w:val="21"/>
          <w:szCs w:val="21"/>
        </w:rPr>
        <w:t>S</w:t>
      </w:r>
      <w:r w:rsidR="00E465FF">
        <w:rPr>
          <w:rFonts w:ascii="Cambria" w:hAnsi="Cambria"/>
          <w:b/>
          <w:bCs/>
          <w:sz w:val="21"/>
          <w:szCs w:val="21"/>
        </w:rPr>
        <w:t>upporting the growth and improvement of</w:t>
      </w:r>
      <w:r w:rsidRPr="00CB305F">
        <w:rPr>
          <w:rFonts w:ascii="Cambria" w:hAnsi="Cambria"/>
          <w:b/>
          <w:bCs/>
          <w:sz w:val="21"/>
          <w:szCs w:val="21"/>
        </w:rPr>
        <w:t xml:space="preserve"> Malaysia’s Technical and Vocational Education and Training (TVET)</w:t>
      </w:r>
    </w:p>
    <w:p w14:paraId="07B32457" w14:textId="7E85C098" w:rsidR="00D11809" w:rsidRPr="00CB305F" w:rsidRDefault="00D11809" w:rsidP="00163DB2">
      <w:pPr>
        <w:ind w:right="33"/>
        <w:jc w:val="both"/>
        <w:rPr>
          <w:rFonts w:ascii="Cambria" w:hAnsi="Cambria"/>
          <w:sz w:val="21"/>
          <w:szCs w:val="21"/>
        </w:rPr>
      </w:pPr>
    </w:p>
    <w:p w14:paraId="6C3A80C0" w14:textId="2840D966" w:rsidR="00D11809" w:rsidRPr="00CB305F" w:rsidRDefault="00AF1C0E" w:rsidP="00163DB2">
      <w:pPr>
        <w:ind w:right="33"/>
        <w:jc w:val="both"/>
        <w:rPr>
          <w:rFonts w:ascii="Cambria" w:hAnsi="Cambria"/>
          <w:b/>
          <w:bCs/>
          <w:sz w:val="21"/>
          <w:szCs w:val="21"/>
        </w:rPr>
      </w:pPr>
      <w:r w:rsidRPr="00CB305F">
        <w:rPr>
          <w:rFonts w:ascii="Cambria" w:hAnsi="Cambria"/>
          <w:b/>
          <w:bCs/>
          <w:sz w:val="21"/>
          <w:szCs w:val="21"/>
        </w:rPr>
        <w:t>Relevance for DFAT’s mission and goals</w:t>
      </w:r>
    </w:p>
    <w:p w14:paraId="50C96E2C" w14:textId="2C285783" w:rsidR="00AF1C0E" w:rsidRDefault="00AF1C0E" w:rsidP="00163DB2">
      <w:pPr>
        <w:ind w:right="33"/>
        <w:jc w:val="both"/>
        <w:rPr>
          <w:rFonts w:ascii="Cambria" w:hAnsi="Cambria"/>
          <w:sz w:val="21"/>
          <w:szCs w:val="21"/>
        </w:rPr>
      </w:pPr>
      <w:r w:rsidRPr="00CB305F">
        <w:rPr>
          <w:rFonts w:ascii="Cambria" w:hAnsi="Cambria"/>
          <w:sz w:val="21"/>
          <w:szCs w:val="21"/>
        </w:rPr>
        <w:t xml:space="preserve">A national shortfall of a quarter of a million high-skilled, technical and vocational workers is a critical constraint holding back Malaysia’s growth.  </w:t>
      </w:r>
      <w:r w:rsidR="00912DE3" w:rsidRPr="00CB305F">
        <w:rPr>
          <w:rFonts w:ascii="Cambria" w:hAnsi="Cambria"/>
          <w:sz w:val="21"/>
          <w:szCs w:val="21"/>
        </w:rPr>
        <w:t xml:space="preserve">The clear link to national economic performance is agreed by all.  Notwithstanding this, several DFAT </w:t>
      </w:r>
      <w:r w:rsidR="00EC7051">
        <w:rPr>
          <w:rFonts w:ascii="Cambria" w:hAnsi="Cambria"/>
          <w:sz w:val="21"/>
          <w:szCs w:val="21"/>
        </w:rPr>
        <w:t xml:space="preserve">and TAF </w:t>
      </w:r>
      <w:r w:rsidR="00912DE3" w:rsidRPr="00CB305F">
        <w:rPr>
          <w:rFonts w:ascii="Cambria" w:hAnsi="Cambria"/>
          <w:sz w:val="21"/>
          <w:szCs w:val="21"/>
        </w:rPr>
        <w:t xml:space="preserve">senior staff pointed to the complex web of actors and interests and </w:t>
      </w:r>
      <w:r w:rsidR="00EC7051">
        <w:rPr>
          <w:rFonts w:ascii="Cambria" w:hAnsi="Cambria"/>
          <w:sz w:val="21"/>
          <w:szCs w:val="21"/>
        </w:rPr>
        <w:t xml:space="preserve">some </w:t>
      </w:r>
      <w:r w:rsidR="00912DE3" w:rsidRPr="00CB305F">
        <w:rPr>
          <w:rFonts w:ascii="Cambria" w:hAnsi="Cambria"/>
          <w:sz w:val="21"/>
          <w:szCs w:val="21"/>
        </w:rPr>
        <w:t xml:space="preserve">wondered </w:t>
      </w:r>
      <w:r w:rsidR="00CD2123" w:rsidRPr="00CB305F">
        <w:rPr>
          <w:rFonts w:ascii="Cambria" w:hAnsi="Cambria"/>
          <w:sz w:val="21"/>
          <w:szCs w:val="21"/>
        </w:rPr>
        <w:t xml:space="preserve">just </w:t>
      </w:r>
      <w:r w:rsidR="007A0E08" w:rsidRPr="00CB305F">
        <w:rPr>
          <w:rFonts w:ascii="Cambria" w:hAnsi="Cambria"/>
          <w:sz w:val="21"/>
          <w:szCs w:val="21"/>
        </w:rPr>
        <w:t>how well</w:t>
      </w:r>
      <w:r w:rsidR="00912DE3" w:rsidRPr="00CB305F">
        <w:rPr>
          <w:rFonts w:ascii="Cambria" w:hAnsi="Cambria"/>
          <w:sz w:val="21"/>
          <w:szCs w:val="21"/>
        </w:rPr>
        <w:t xml:space="preserve"> the partnership was placed in this field.</w:t>
      </w:r>
      <w:r w:rsidR="00555124">
        <w:rPr>
          <w:rFonts w:ascii="Cambria" w:hAnsi="Cambria"/>
          <w:sz w:val="21"/>
          <w:szCs w:val="21"/>
        </w:rPr>
        <w:t xml:space="preserve">  This is a very valid question for each and every initiative</w:t>
      </w:r>
      <w:r w:rsidR="00E465FF">
        <w:rPr>
          <w:rFonts w:ascii="Cambria" w:hAnsi="Cambria"/>
          <w:sz w:val="21"/>
          <w:szCs w:val="21"/>
        </w:rPr>
        <w:t xml:space="preserve">.  Thinking and working politically requires every initiative to </w:t>
      </w:r>
      <w:r w:rsidR="00DC0858">
        <w:rPr>
          <w:rFonts w:ascii="Cambria" w:hAnsi="Cambria"/>
          <w:sz w:val="21"/>
          <w:szCs w:val="21"/>
        </w:rPr>
        <w:t>have a plausible pathway for achieving reforms that are</w:t>
      </w:r>
      <w:r w:rsidR="00E465FF">
        <w:rPr>
          <w:rFonts w:ascii="Cambria" w:hAnsi="Cambria"/>
          <w:sz w:val="21"/>
          <w:szCs w:val="21"/>
        </w:rPr>
        <w:t xml:space="preserve"> ‘technically sound and politically feasible’</w:t>
      </w:r>
      <w:r w:rsidR="00DC0858">
        <w:rPr>
          <w:rFonts w:ascii="Cambria" w:hAnsi="Cambria"/>
          <w:sz w:val="21"/>
          <w:szCs w:val="21"/>
        </w:rPr>
        <w:t>.  The strategy testing process should assess this</w:t>
      </w:r>
      <w:r w:rsidR="00394001">
        <w:rPr>
          <w:rFonts w:ascii="Cambria" w:hAnsi="Cambria"/>
          <w:sz w:val="21"/>
          <w:szCs w:val="21"/>
        </w:rPr>
        <w:t xml:space="preserve"> and in doing so </w:t>
      </w:r>
      <w:r w:rsidR="00DC0858">
        <w:rPr>
          <w:rFonts w:ascii="Cambria" w:hAnsi="Cambria"/>
          <w:sz w:val="21"/>
          <w:szCs w:val="21"/>
        </w:rPr>
        <w:t>test</w:t>
      </w:r>
      <w:r w:rsidR="00E465FF">
        <w:rPr>
          <w:rFonts w:ascii="Cambria" w:hAnsi="Cambria"/>
          <w:sz w:val="21"/>
          <w:szCs w:val="21"/>
        </w:rPr>
        <w:t xml:space="preserve"> TAF</w:t>
      </w:r>
      <w:r w:rsidR="00DC0858">
        <w:rPr>
          <w:rFonts w:ascii="Cambria" w:hAnsi="Cambria"/>
          <w:sz w:val="21"/>
          <w:szCs w:val="21"/>
        </w:rPr>
        <w:t xml:space="preserve"> and DFAT’s</w:t>
      </w:r>
      <w:r w:rsidR="00E465FF">
        <w:rPr>
          <w:rFonts w:ascii="Cambria" w:hAnsi="Cambria"/>
          <w:sz w:val="21"/>
          <w:szCs w:val="21"/>
        </w:rPr>
        <w:t xml:space="preserve"> ability to </w:t>
      </w:r>
      <w:r w:rsidR="00DC0858">
        <w:rPr>
          <w:rFonts w:ascii="Cambria" w:hAnsi="Cambria"/>
          <w:sz w:val="21"/>
          <w:szCs w:val="21"/>
        </w:rPr>
        <w:t>navigate the space</w:t>
      </w:r>
      <w:r w:rsidR="00394001">
        <w:rPr>
          <w:rFonts w:ascii="Cambria" w:hAnsi="Cambria"/>
          <w:sz w:val="21"/>
          <w:szCs w:val="21"/>
        </w:rPr>
        <w:t xml:space="preserve"> in question</w:t>
      </w:r>
      <w:r w:rsidR="00DC0858">
        <w:rPr>
          <w:rFonts w:ascii="Cambria" w:hAnsi="Cambria"/>
          <w:sz w:val="21"/>
          <w:szCs w:val="21"/>
        </w:rPr>
        <w:t xml:space="preserve">.  The evaluator did not see as much evidence of this </w:t>
      </w:r>
      <w:r w:rsidR="008C651B">
        <w:rPr>
          <w:rFonts w:ascii="Cambria" w:hAnsi="Cambria"/>
          <w:sz w:val="21"/>
          <w:szCs w:val="21"/>
        </w:rPr>
        <w:t xml:space="preserve">during the strategy testing process </w:t>
      </w:r>
      <w:r w:rsidR="00DC0858">
        <w:rPr>
          <w:rFonts w:ascii="Cambria" w:hAnsi="Cambria"/>
          <w:sz w:val="21"/>
          <w:szCs w:val="21"/>
        </w:rPr>
        <w:t>as expected.</w:t>
      </w:r>
      <w:r w:rsidR="00EC7051">
        <w:rPr>
          <w:rFonts w:ascii="Cambria" w:hAnsi="Cambria"/>
          <w:sz w:val="21"/>
          <w:szCs w:val="21"/>
        </w:rPr>
        <w:t xml:space="preserve">  While the desire to tackle TVET reforms is understandable, it is less clear that the pre-requisites for success are in place.</w:t>
      </w:r>
    </w:p>
    <w:p w14:paraId="4BCF2B7E" w14:textId="77777777" w:rsidR="00320A4D" w:rsidRPr="00CB305F" w:rsidRDefault="00320A4D" w:rsidP="00163DB2">
      <w:pPr>
        <w:ind w:right="33"/>
        <w:jc w:val="both"/>
        <w:rPr>
          <w:rFonts w:ascii="Cambria" w:hAnsi="Cambria"/>
          <w:b/>
          <w:bCs/>
          <w:sz w:val="21"/>
          <w:szCs w:val="21"/>
        </w:rPr>
      </w:pPr>
    </w:p>
    <w:p w14:paraId="730D7C53" w14:textId="0E5AC89F" w:rsidR="00D11809" w:rsidRPr="00CB305F" w:rsidRDefault="00912DE3" w:rsidP="00163DB2">
      <w:pPr>
        <w:ind w:right="33"/>
        <w:jc w:val="both"/>
        <w:rPr>
          <w:rFonts w:ascii="Cambria" w:hAnsi="Cambria"/>
          <w:b/>
          <w:bCs/>
          <w:sz w:val="21"/>
          <w:szCs w:val="21"/>
        </w:rPr>
      </w:pPr>
      <w:r w:rsidRPr="00CB305F">
        <w:rPr>
          <w:rFonts w:ascii="Cambria" w:hAnsi="Cambria"/>
          <w:b/>
          <w:bCs/>
          <w:sz w:val="21"/>
          <w:szCs w:val="21"/>
        </w:rPr>
        <w:t>Reform progress</w:t>
      </w:r>
    </w:p>
    <w:p w14:paraId="212C9FEB" w14:textId="4C2B1480" w:rsidR="00912DE3" w:rsidRPr="00CB305F" w:rsidRDefault="00912DE3" w:rsidP="00163DB2">
      <w:pPr>
        <w:ind w:right="33"/>
        <w:jc w:val="both"/>
        <w:rPr>
          <w:rFonts w:ascii="Cambria" w:hAnsi="Cambria"/>
          <w:sz w:val="21"/>
          <w:szCs w:val="21"/>
        </w:rPr>
      </w:pPr>
      <w:r w:rsidRPr="00CB305F">
        <w:rPr>
          <w:rFonts w:ascii="Cambria" w:hAnsi="Cambria"/>
          <w:sz w:val="21"/>
          <w:szCs w:val="21"/>
        </w:rPr>
        <w:t xml:space="preserve">The </w:t>
      </w:r>
      <w:r w:rsidR="008368A6" w:rsidRPr="00CB305F">
        <w:rPr>
          <w:rFonts w:ascii="Cambria" w:hAnsi="Cambria"/>
          <w:sz w:val="21"/>
          <w:szCs w:val="21"/>
        </w:rPr>
        <w:t xml:space="preserve">TVET </w:t>
      </w:r>
      <w:r w:rsidRPr="00CB305F">
        <w:rPr>
          <w:rFonts w:ascii="Cambria" w:hAnsi="Cambria"/>
          <w:sz w:val="21"/>
          <w:szCs w:val="21"/>
        </w:rPr>
        <w:t>initiative did not formally commence until 2021</w:t>
      </w:r>
      <w:r w:rsidR="008368A6" w:rsidRPr="00CB305F">
        <w:rPr>
          <w:rFonts w:ascii="Cambria" w:hAnsi="Cambria"/>
          <w:sz w:val="21"/>
          <w:szCs w:val="21"/>
        </w:rPr>
        <w:t>,</w:t>
      </w:r>
      <w:r w:rsidRPr="00CB305F">
        <w:rPr>
          <w:rFonts w:ascii="Cambria" w:hAnsi="Cambria"/>
          <w:sz w:val="21"/>
          <w:szCs w:val="21"/>
        </w:rPr>
        <w:t xml:space="preserve"> meaning that it will only have about 18 months to produce results.  In the mid-term it aspires to clarify the problems and constraints, bring stakeholders together around achievable reforms and illuminate ways in which Australia a</w:t>
      </w:r>
      <w:r w:rsidR="008368A6" w:rsidRPr="00CB305F">
        <w:rPr>
          <w:rFonts w:ascii="Cambria" w:hAnsi="Cambria"/>
          <w:sz w:val="21"/>
          <w:szCs w:val="21"/>
        </w:rPr>
        <w:t>n</w:t>
      </w:r>
      <w:r w:rsidRPr="00CB305F">
        <w:rPr>
          <w:rFonts w:ascii="Cambria" w:hAnsi="Cambria"/>
          <w:sz w:val="21"/>
          <w:szCs w:val="21"/>
        </w:rPr>
        <w:t xml:space="preserve">d Malaysia may undertake more extensive cooperation in the sector.  These should be achievable goals.  Whether the ultimate outcome of catalysing reforms that lead to a significant reduction in the skills gap can be achieved is a moot point.  It seems very ambitious from here.  </w:t>
      </w:r>
      <w:r w:rsidR="008368A6" w:rsidRPr="00CB305F">
        <w:rPr>
          <w:rFonts w:ascii="Cambria" w:hAnsi="Cambria"/>
          <w:sz w:val="21"/>
          <w:szCs w:val="21"/>
        </w:rPr>
        <w:t>The strategy of working with 2-4 TVET centres will no doubt deepen understanding</w:t>
      </w:r>
      <w:r w:rsidR="00683233" w:rsidRPr="00CB305F">
        <w:rPr>
          <w:rFonts w:ascii="Cambria" w:hAnsi="Cambria"/>
          <w:sz w:val="21"/>
          <w:szCs w:val="21"/>
        </w:rPr>
        <w:t xml:space="preserve"> of the sector,</w:t>
      </w:r>
      <w:r w:rsidR="008368A6" w:rsidRPr="00CB305F">
        <w:rPr>
          <w:rFonts w:ascii="Cambria" w:hAnsi="Cambria"/>
          <w:sz w:val="21"/>
          <w:szCs w:val="21"/>
        </w:rPr>
        <w:t xml:space="preserve"> but if</w:t>
      </w:r>
      <w:r w:rsidR="00683233" w:rsidRPr="00CB305F">
        <w:rPr>
          <w:rFonts w:ascii="Cambria" w:hAnsi="Cambria"/>
          <w:sz w:val="21"/>
          <w:szCs w:val="21"/>
        </w:rPr>
        <w:t>,</w:t>
      </w:r>
      <w:r w:rsidR="008368A6" w:rsidRPr="00CB305F">
        <w:rPr>
          <w:rFonts w:ascii="Cambria" w:hAnsi="Cambria"/>
          <w:sz w:val="21"/>
          <w:szCs w:val="21"/>
        </w:rPr>
        <w:t xml:space="preserve"> as suggested</w:t>
      </w:r>
      <w:r w:rsidR="00683233" w:rsidRPr="00CB305F">
        <w:rPr>
          <w:rFonts w:ascii="Cambria" w:hAnsi="Cambria"/>
          <w:sz w:val="21"/>
          <w:szCs w:val="21"/>
        </w:rPr>
        <w:t>,</w:t>
      </w:r>
      <w:r w:rsidR="008368A6" w:rsidRPr="00CB305F">
        <w:rPr>
          <w:rFonts w:ascii="Cambria" w:hAnsi="Cambria"/>
          <w:sz w:val="21"/>
          <w:szCs w:val="21"/>
        </w:rPr>
        <w:t xml:space="preserve"> the key problem</w:t>
      </w:r>
      <w:r w:rsidR="00683233" w:rsidRPr="00CB305F">
        <w:rPr>
          <w:rFonts w:ascii="Cambria" w:hAnsi="Cambria"/>
          <w:sz w:val="21"/>
          <w:szCs w:val="21"/>
        </w:rPr>
        <w:t>s</w:t>
      </w:r>
      <w:r w:rsidR="008368A6" w:rsidRPr="00CB305F">
        <w:rPr>
          <w:rFonts w:ascii="Cambria" w:hAnsi="Cambria"/>
          <w:sz w:val="21"/>
          <w:szCs w:val="21"/>
        </w:rPr>
        <w:t xml:space="preserve"> in attracting students are cultural</w:t>
      </w:r>
      <w:r w:rsidR="00CD2123" w:rsidRPr="00CB305F">
        <w:rPr>
          <w:rFonts w:ascii="Cambria" w:hAnsi="Cambria"/>
          <w:sz w:val="21"/>
          <w:szCs w:val="21"/>
        </w:rPr>
        <w:t xml:space="preserve"> and national</w:t>
      </w:r>
      <w:r w:rsidR="008368A6" w:rsidRPr="00CB305F">
        <w:rPr>
          <w:rFonts w:ascii="Cambria" w:hAnsi="Cambria"/>
          <w:sz w:val="21"/>
          <w:szCs w:val="21"/>
        </w:rPr>
        <w:t xml:space="preserve">, it is not clear that centre-based efforts will be able to counteract this. </w:t>
      </w:r>
      <w:r w:rsidR="00CD2123" w:rsidRPr="00CB305F">
        <w:rPr>
          <w:rFonts w:ascii="Cambria" w:hAnsi="Cambria"/>
          <w:sz w:val="21"/>
          <w:szCs w:val="21"/>
        </w:rPr>
        <w:t xml:space="preserve"> </w:t>
      </w:r>
      <w:r w:rsidR="00DC0858">
        <w:rPr>
          <w:rFonts w:ascii="Cambria" w:hAnsi="Cambria"/>
          <w:sz w:val="21"/>
          <w:szCs w:val="21"/>
        </w:rPr>
        <w:t>The evaluation concludes that t</w:t>
      </w:r>
      <w:r w:rsidR="00CD2123" w:rsidRPr="00CB305F">
        <w:rPr>
          <w:rFonts w:ascii="Cambria" w:hAnsi="Cambria"/>
          <w:sz w:val="21"/>
          <w:szCs w:val="21"/>
        </w:rPr>
        <w:t xml:space="preserve">he logic </w:t>
      </w:r>
      <w:r w:rsidR="00DC0858">
        <w:rPr>
          <w:rFonts w:ascii="Cambria" w:hAnsi="Cambria"/>
          <w:sz w:val="21"/>
          <w:szCs w:val="21"/>
        </w:rPr>
        <w:t>may hold up</w:t>
      </w:r>
      <w:r w:rsidR="00394001">
        <w:rPr>
          <w:rFonts w:ascii="Cambria" w:hAnsi="Cambria"/>
          <w:sz w:val="21"/>
          <w:szCs w:val="21"/>
        </w:rPr>
        <w:t>,</w:t>
      </w:r>
      <w:r w:rsidR="00DC0858">
        <w:rPr>
          <w:rFonts w:ascii="Cambria" w:hAnsi="Cambria"/>
          <w:sz w:val="21"/>
          <w:szCs w:val="21"/>
        </w:rPr>
        <w:t xml:space="preserve"> but </w:t>
      </w:r>
      <w:r w:rsidR="00CD2123" w:rsidRPr="00CB305F">
        <w:rPr>
          <w:rFonts w:ascii="Cambria" w:hAnsi="Cambria"/>
          <w:sz w:val="21"/>
          <w:szCs w:val="21"/>
        </w:rPr>
        <w:t>need</w:t>
      </w:r>
      <w:r w:rsidR="00DC0858">
        <w:rPr>
          <w:rFonts w:ascii="Cambria" w:hAnsi="Cambria"/>
          <w:sz w:val="21"/>
          <w:szCs w:val="21"/>
        </w:rPr>
        <w:t>s</w:t>
      </w:r>
      <w:r w:rsidR="00CD2123" w:rsidRPr="00CB305F">
        <w:rPr>
          <w:rFonts w:ascii="Cambria" w:hAnsi="Cambria"/>
          <w:sz w:val="21"/>
          <w:szCs w:val="21"/>
        </w:rPr>
        <w:t xml:space="preserve"> more intense testing.</w:t>
      </w:r>
    </w:p>
    <w:p w14:paraId="5B012B80" w14:textId="56EEA7F0" w:rsidR="008368A6" w:rsidRPr="00CB305F" w:rsidRDefault="008368A6" w:rsidP="00163DB2">
      <w:pPr>
        <w:ind w:right="33"/>
        <w:jc w:val="both"/>
        <w:rPr>
          <w:rFonts w:ascii="Cambria" w:hAnsi="Cambria"/>
          <w:sz w:val="21"/>
          <w:szCs w:val="21"/>
        </w:rPr>
      </w:pPr>
    </w:p>
    <w:p w14:paraId="14A377EA" w14:textId="23A404A7" w:rsidR="00D11809" w:rsidRPr="00CB305F" w:rsidRDefault="008368A6" w:rsidP="00163DB2">
      <w:pPr>
        <w:ind w:right="33"/>
        <w:jc w:val="both"/>
        <w:rPr>
          <w:rFonts w:ascii="Cambria" w:hAnsi="Cambria"/>
          <w:sz w:val="21"/>
          <w:szCs w:val="21"/>
        </w:rPr>
      </w:pPr>
      <w:r w:rsidRPr="00CB305F">
        <w:rPr>
          <w:rFonts w:ascii="Cambria" w:hAnsi="Cambria"/>
          <w:sz w:val="21"/>
          <w:szCs w:val="21"/>
        </w:rPr>
        <w:t>As in the case of retaining high skill</w:t>
      </w:r>
      <w:r w:rsidR="009046C7" w:rsidRPr="00CB305F">
        <w:rPr>
          <w:rFonts w:ascii="Cambria" w:hAnsi="Cambria"/>
          <w:sz w:val="21"/>
          <w:szCs w:val="21"/>
        </w:rPr>
        <w:t>ed</w:t>
      </w:r>
      <w:r w:rsidRPr="00CB305F">
        <w:rPr>
          <w:rFonts w:ascii="Cambria" w:hAnsi="Cambria"/>
          <w:sz w:val="21"/>
          <w:szCs w:val="21"/>
        </w:rPr>
        <w:t xml:space="preserve"> women in the workforce, a major report is about to be produced provid</w:t>
      </w:r>
      <w:r w:rsidR="00D41C50">
        <w:rPr>
          <w:rFonts w:ascii="Cambria" w:hAnsi="Cambria"/>
          <w:sz w:val="21"/>
          <w:szCs w:val="21"/>
        </w:rPr>
        <w:t>ing</w:t>
      </w:r>
      <w:r w:rsidRPr="00CB305F">
        <w:rPr>
          <w:rFonts w:ascii="Cambria" w:hAnsi="Cambria"/>
          <w:sz w:val="21"/>
          <w:szCs w:val="21"/>
        </w:rPr>
        <w:t xml:space="preserve"> strong</w:t>
      </w:r>
      <w:r w:rsidR="00DC0858">
        <w:rPr>
          <w:rFonts w:ascii="Cambria" w:hAnsi="Cambria"/>
          <w:sz w:val="21"/>
          <w:szCs w:val="21"/>
        </w:rPr>
        <w:t>er</w:t>
      </w:r>
      <w:r w:rsidRPr="00CB305F">
        <w:rPr>
          <w:rFonts w:ascii="Cambria" w:hAnsi="Cambria"/>
          <w:sz w:val="21"/>
          <w:szCs w:val="21"/>
        </w:rPr>
        <w:t xml:space="preserve"> evidence on how far the program has progressed.  In the absence of that report, the evaluation is unable to determine performance with confidence.  </w:t>
      </w:r>
      <w:r w:rsidR="00CD2123" w:rsidRPr="00CB305F">
        <w:rPr>
          <w:rFonts w:ascii="Cambria" w:hAnsi="Cambria"/>
          <w:sz w:val="21"/>
          <w:szCs w:val="21"/>
        </w:rPr>
        <w:t>Given the initiative was very delayed and the original theory of change incorrectly assumed systems problems were primarily on the supply side</w:t>
      </w:r>
      <w:r w:rsidRPr="00CB305F">
        <w:rPr>
          <w:rFonts w:ascii="Cambria" w:hAnsi="Cambria"/>
          <w:sz w:val="21"/>
          <w:szCs w:val="21"/>
        </w:rPr>
        <w:t xml:space="preserve">, </w:t>
      </w:r>
      <w:r w:rsidR="00CD2123" w:rsidRPr="00CB305F">
        <w:rPr>
          <w:rFonts w:ascii="Cambria" w:hAnsi="Cambria"/>
          <w:sz w:val="21"/>
          <w:szCs w:val="21"/>
        </w:rPr>
        <w:t xml:space="preserve">there </w:t>
      </w:r>
      <w:r w:rsidR="00D41C50">
        <w:rPr>
          <w:rFonts w:ascii="Cambria" w:hAnsi="Cambria"/>
          <w:sz w:val="21"/>
          <w:szCs w:val="21"/>
        </w:rPr>
        <w:t xml:space="preserve">is </w:t>
      </w:r>
      <w:r w:rsidR="00CD2123" w:rsidRPr="00CB305F">
        <w:rPr>
          <w:rFonts w:ascii="Cambria" w:hAnsi="Cambria"/>
          <w:sz w:val="21"/>
          <w:szCs w:val="21"/>
        </w:rPr>
        <w:t xml:space="preserve">considerable ground to make up.  At this stage </w:t>
      </w:r>
      <w:r w:rsidR="00683233" w:rsidRPr="00CB305F">
        <w:rPr>
          <w:rFonts w:ascii="Cambria" w:hAnsi="Cambria"/>
          <w:sz w:val="21"/>
          <w:szCs w:val="21"/>
        </w:rPr>
        <w:t xml:space="preserve">a </w:t>
      </w:r>
      <w:r w:rsidRPr="00CB305F">
        <w:rPr>
          <w:rFonts w:ascii="Cambria" w:hAnsi="Cambria"/>
          <w:sz w:val="21"/>
          <w:szCs w:val="21"/>
        </w:rPr>
        <w:t>red</w:t>
      </w:r>
      <w:r w:rsidR="009046C7" w:rsidRPr="00CB305F">
        <w:rPr>
          <w:rFonts w:ascii="Cambria" w:hAnsi="Cambria"/>
          <w:sz w:val="21"/>
          <w:szCs w:val="21"/>
        </w:rPr>
        <w:t>-</w:t>
      </w:r>
      <w:r w:rsidRPr="00CB305F">
        <w:rPr>
          <w:rFonts w:ascii="Cambria" w:hAnsi="Cambria"/>
          <w:sz w:val="21"/>
          <w:szCs w:val="21"/>
        </w:rPr>
        <w:t>bordered empty circle signals a lack of evidence that progress is on track.</w:t>
      </w:r>
      <w:r w:rsidR="00CD2123" w:rsidRPr="00CB305F">
        <w:rPr>
          <w:rFonts w:ascii="Cambria" w:hAnsi="Cambria"/>
          <w:sz w:val="21"/>
          <w:szCs w:val="21"/>
        </w:rPr>
        <w:t xml:space="preserve">  The forthcoming diagnostic study may </w:t>
      </w:r>
      <w:r w:rsidR="00DC0858">
        <w:rPr>
          <w:rFonts w:ascii="Cambria" w:hAnsi="Cambria"/>
          <w:sz w:val="21"/>
          <w:szCs w:val="21"/>
        </w:rPr>
        <w:t>change this assessment.</w:t>
      </w:r>
    </w:p>
    <w:p w14:paraId="130D3468" w14:textId="656A5638" w:rsidR="00683233" w:rsidRPr="004A6251" w:rsidRDefault="00D11809" w:rsidP="00082AFF">
      <w:pPr>
        <w:spacing w:before="80"/>
        <w:ind w:right="34"/>
        <w:jc w:val="both"/>
        <w:rPr>
          <w:rFonts w:ascii="Cambria" w:hAnsi="Cambria"/>
          <w:b/>
          <w:bCs/>
          <w:sz w:val="22"/>
          <w:szCs w:val="22"/>
        </w:rPr>
      </w:pPr>
      <w:r w:rsidRPr="00CB305F">
        <w:rPr>
          <w:rFonts w:ascii="Cambria" w:hAnsi="Cambria"/>
          <w:sz w:val="21"/>
          <w:szCs w:val="21"/>
        </w:rPr>
        <w:tab/>
      </w:r>
      <w:r w:rsidRPr="00CB305F">
        <w:rPr>
          <w:rFonts w:ascii="Cambria" w:hAnsi="Cambria"/>
          <w:sz w:val="21"/>
          <w:szCs w:val="21"/>
        </w:rPr>
        <w:tab/>
      </w:r>
      <w:r w:rsidRPr="00CB305F">
        <w:rPr>
          <w:rFonts w:ascii="Cambria" w:hAnsi="Cambria"/>
          <w:sz w:val="21"/>
          <w:szCs w:val="21"/>
        </w:rPr>
        <w:tab/>
      </w:r>
      <w:r w:rsidRPr="00CB305F">
        <w:rPr>
          <w:rFonts w:ascii="Cambria" w:hAnsi="Cambria"/>
          <w:sz w:val="21"/>
          <w:szCs w:val="21"/>
        </w:rPr>
        <w:tab/>
      </w:r>
      <w:r w:rsidRPr="00CB305F">
        <w:rPr>
          <w:rFonts w:ascii="Cambria" w:hAnsi="Cambria"/>
          <w:sz w:val="21"/>
          <w:szCs w:val="21"/>
        </w:rPr>
        <w:tab/>
      </w:r>
      <w:r w:rsidRPr="00CB305F">
        <w:rPr>
          <w:rFonts w:ascii="Cambria" w:hAnsi="Cambria"/>
          <w:sz w:val="21"/>
          <w:szCs w:val="21"/>
        </w:rPr>
        <w:tab/>
      </w:r>
      <w:r>
        <w:rPr>
          <w:rFonts w:ascii="Cambria" w:hAnsi="Cambria"/>
          <w:sz w:val="22"/>
          <w:szCs w:val="22"/>
        </w:rPr>
        <w:tab/>
      </w:r>
      <w:r>
        <w:rPr>
          <w:rFonts w:ascii="Cambria" w:hAnsi="Cambria"/>
          <w:sz w:val="22"/>
          <w:szCs w:val="22"/>
        </w:rPr>
        <w:tab/>
      </w:r>
      <w:r w:rsidR="00B70FBF">
        <w:rPr>
          <w:rFonts w:ascii="Cambria" w:hAnsi="Cambria"/>
          <w:sz w:val="22"/>
          <w:szCs w:val="22"/>
        </w:rPr>
        <w:t xml:space="preserve">                           </w:t>
      </w:r>
      <w:r w:rsidR="00794532" w:rsidRPr="00F60B7D">
        <w:rPr>
          <w:rFonts w:ascii="Cambria" w:hAnsi="Cambria"/>
          <w:b/>
          <w:bCs/>
          <w:sz w:val="22"/>
          <w:szCs w:val="22"/>
        </w:rPr>
        <w:t xml:space="preserve"> </w:t>
      </w:r>
      <w:r w:rsidR="00E756D6">
        <w:rPr>
          <w:rFonts w:ascii="Cambria" w:hAnsi="Cambria"/>
          <w:b/>
          <w:bCs/>
          <w:sz w:val="22"/>
          <w:szCs w:val="22"/>
        </w:rPr>
        <w:t xml:space="preserve">  </w:t>
      </w:r>
      <w:r w:rsidRPr="00F60B7D">
        <w:rPr>
          <w:rFonts w:ascii="Cambria" w:hAnsi="Cambria"/>
          <w:b/>
          <w:bCs/>
          <w:sz w:val="22"/>
          <w:szCs w:val="22"/>
        </w:rPr>
        <w:t>Overall rating</w:t>
      </w:r>
      <w:r w:rsidR="004031E0">
        <w:rPr>
          <w:rFonts w:ascii="Cambria" w:hAnsi="Cambria"/>
          <w:b/>
          <w:bCs/>
          <w:sz w:val="22"/>
          <w:szCs w:val="22"/>
        </w:rPr>
        <w:t xml:space="preserve">     </w:t>
      </w:r>
      <w:r w:rsidR="007A0E08">
        <w:rPr>
          <w:rFonts w:ascii="Cambria" w:hAnsi="Cambria"/>
          <w:b/>
          <w:bCs/>
          <w:sz w:val="22"/>
          <w:szCs w:val="22"/>
        </w:rPr>
        <w:t xml:space="preserve">    </w:t>
      </w:r>
      <w:r w:rsidR="00A65AFC">
        <w:rPr>
          <w:rFonts w:ascii="Cambria" w:hAnsi="Cambria"/>
          <w:b/>
          <w:bCs/>
          <w:sz w:val="22"/>
          <w:szCs w:val="22"/>
        </w:rPr>
        <w:t xml:space="preserve">     </w:t>
      </w:r>
      <w:r w:rsidR="004031E0">
        <w:rPr>
          <w:rFonts w:ascii="Cambria" w:hAnsi="Cambria"/>
          <w:b/>
          <w:bCs/>
          <w:sz w:val="22"/>
          <w:szCs w:val="22"/>
        </w:rPr>
        <w:t xml:space="preserve"> </w:t>
      </w:r>
      <w:r w:rsidR="00683233">
        <w:rPr>
          <w:rFonts w:ascii="Cambria" w:hAnsi="Cambria"/>
          <w:noProof/>
          <w:sz w:val="22"/>
          <w:szCs w:val="22"/>
        </w:rPr>
        <w:drawing>
          <wp:inline distT="0" distB="0" distL="0" distR="0" wp14:anchorId="44538C9F" wp14:editId="25EEEB74">
            <wp:extent cx="172800" cy="180373"/>
            <wp:effectExtent l="0" t="0" r="5080" b="0"/>
            <wp:docPr id="1" name="Picture 1" descr="Rating Red Circle with white centre: inadequate evidence, looking off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ating Red Circle with white centre: inadequate evidence, looking off track"/>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2800" cy="180373"/>
                    </a:xfrm>
                    <a:prstGeom prst="rect">
                      <a:avLst/>
                    </a:prstGeom>
                  </pic:spPr>
                </pic:pic>
              </a:graphicData>
            </a:graphic>
          </wp:inline>
        </w:drawing>
      </w:r>
    </w:p>
    <w:p w14:paraId="6D0B6877" w14:textId="70ADE0AC" w:rsidR="00683233" w:rsidRPr="00CF6306" w:rsidRDefault="00F60B7D" w:rsidP="00163DB2">
      <w:pPr>
        <w:pStyle w:val="Heading2"/>
        <w:ind w:right="33"/>
        <w:jc w:val="both"/>
        <w:rPr>
          <w:b/>
          <w:bCs/>
        </w:rPr>
      </w:pPr>
      <w:r w:rsidRPr="00CF6306">
        <w:rPr>
          <w:b/>
          <w:bCs/>
        </w:rPr>
        <w:lastRenderedPageBreak/>
        <w:t xml:space="preserve">Objective 2:  Australia’s bilateral relationships with Malaysia and Thailand are strengthened by reinforcing Australia’s track record as a pragmatic </w:t>
      </w:r>
      <w:r w:rsidR="00CF6306">
        <w:rPr>
          <w:b/>
          <w:bCs/>
        </w:rPr>
        <w:t>and</w:t>
      </w:r>
      <w:r w:rsidRPr="00CF6306">
        <w:rPr>
          <w:b/>
          <w:bCs/>
        </w:rPr>
        <w:t xml:space="preserve"> resourceful partner</w:t>
      </w:r>
    </w:p>
    <w:p w14:paraId="31B4A0D2" w14:textId="08236A16" w:rsidR="009C47CD" w:rsidRPr="00CB305F" w:rsidRDefault="00F60B7D" w:rsidP="00163DB2">
      <w:pPr>
        <w:spacing w:before="80"/>
        <w:ind w:right="33"/>
        <w:jc w:val="both"/>
        <w:rPr>
          <w:rFonts w:ascii="Cambria" w:hAnsi="Cambria"/>
          <w:sz w:val="21"/>
          <w:szCs w:val="21"/>
        </w:rPr>
      </w:pPr>
      <w:r w:rsidRPr="00CB305F">
        <w:rPr>
          <w:rFonts w:ascii="Cambria" w:hAnsi="Cambria"/>
          <w:sz w:val="21"/>
          <w:szCs w:val="21"/>
        </w:rPr>
        <w:t xml:space="preserve">The reputational benefits of the program are likely to build up slowly and are </w:t>
      </w:r>
      <w:r w:rsidR="00BD3873" w:rsidRPr="00CB305F">
        <w:rPr>
          <w:rFonts w:ascii="Cambria" w:hAnsi="Cambria"/>
          <w:sz w:val="21"/>
          <w:szCs w:val="21"/>
        </w:rPr>
        <w:t xml:space="preserve">dependent on progressing reforms.  The evaluator was struck by DFAT officers </w:t>
      </w:r>
      <w:r w:rsidR="00D363E0">
        <w:rPr>
          <w:rFonts w:ascii="Cambria" w:hAnsi="Cambria"/>
          <w:sz w:val="21"/>
          <w:szCs w:val="21"/>
        </w:rPr>
        <w:t xml:space="preserve">recognising this and </w:t>
      </w:r>
      <w:r w:rsidR="00BD3873" w:rsidRPr="00CB305F">
        <w:rPr>
          <w:rFonts w:ascii="Cambria" w:hAnsi="Cambria"/>
          <w:sz w:val="21"/>
          <w:szCs w:val="21"/>
        </w:rPr>
        <w:t>having a long-term and sophisticated view of ‘influence through impact’.  Officers were very alert to the need to tread carefully, ensure that local actors are seen as driving and owning reforms and position Australia as a country that wants to help, but not to impose.</w:t>
      </w:r>
    </w:p>
    <w:p w14:paraId="1BCE1A00" w14:textId="4CC82134" w:rsidR="00BD3873" w:rsidRPr="00CB305F" w:rsidRDefault="00BD3873" w:rsidP="00163DB2">
      <w:pPr>
        <w:ind w:right="33"/>
        <w:jc w:val="both"/>
        <w:rPr>
          <w:rFonts w:ascii="Cambria" w:hAnsi="Cambria"/>
          <w:sz w:val="21"/>
          <w:szCs w:val="21"/>
        </w:rPr>
      </w:pPr>
    </w:p>
    <w:p w14:paraId="42D91F96" w14:textId="3857D45B" w:rsidR="00E23947" w:rsidRDefault="00D363E0" w:rsidP="00163DB2">
      <w:pPr>
        <w:ind w:right="33"/>
        <w:jc w:val="both"/>
        <w:rPr>
          <w:rFonts w:ascii="Cambria" w:hAnsi="Cambria"/>
          <w:sz w:val="21"/>
          <w:szCs w:val="21"/>
        </w:rPr>
      </w:pPr>
      <w:r>
        <w:rPr>
          <w:rFonts w:ascii="Cambria" w:hAnsi="Cambria"/>
          <w:sz w:val="21"/>
          <w:szCs w:val="21"/>
        </w:rPr>
        <w:t xml:space="preserve">Objective 2 is clearly subsidiary to </w:t>
      </w:r>
      <w:r w:rsidR="00937B18">
        <w:rPr>
          <w:rFonts w:ascii="Cambria" w:hAnsi="Cambria"/>
          <w:sz w:val="21"/>
          <w:szCs w:val="21"/>
        </w:rPr>
        <w:t xml:space="preserve">- </w:t>
      </w:r>
      <w:r>
        <w:rPr>
          <w:rFonts w:ascii="Cambria" w:hAnsi="Cambria"/>
          <w:sz w:val="21"/>
          <w:szCs w:val="21"/>
        </w:rPr>
        <w:t xml:space="preserve">and dependent on </w:t>
      </w:r>
      <w:r w:rsidR="00937B18">
        <w:rPr>
          <w:rFonts w:ascii="Cambria" w:hAnsi="Cambria"/>
          <w:sz w:val="21"/>
          <w:szCs w:val="21"/>
        </w:rPr>
        <w:t xml:space="preserve">- </w:t>
      </w:r>
      <w:r>
        <w:rPr>
          <w:rFonts w:ascii="Cambria" w:hAnsi="Cambria"/>
          <w:sz w:val="21"/>
          <w:szCs w:val="21"/>
        </w:rPr>
        <w:t xml:space="preserve">progress against Objective 1.  </w:t>
      </w:r>
      <w:r w:rsidR="00BD3873" w:rsidRPr="00CB305F">
        <w:rPr>
          <w:rFonts w:ascii="Cambria" w:hAnsi="Cambria"/>
          <w:sz w:val="21"/>
          <w:szCs w:val="21"/>
        </w:rPr>
        <w:t>That said</w:t>
      </w:r>
      <w:r w:rsidR="00493095" w:rsidRPr="00CB305F">
        <w:rPr>
          <w:rFonts w:ascii="Cambria" w:hAnsi="Cambria"/>
          <w:sz w:val="21"/>
          <w:szCs w:val="21"/>
        </w:rPr>
        <w:t>,</w:t>
      </w:r>
      <w:r w:rsidR="00BD3873" w:rsidRPr="00CB305F">
        <w:rPr>
          <w:rFonts w:ascii="Cambria" w:hAnsi="Cambria"/>
          <w:sz w:val="21"/>
          <w:szCs w:val="21"/>
        </w:rPr>
        <w:t xml:space="preserve"> </w:t>
      </w:r>
      <w:r w:rsidR="00937B18">
        <w:rPr>
          <w:rFonts w:ascii="Cambria" w:hAnsi="Cambria"/>
          <w:sz w:val="21"/>
          <w:szCs w:val="21"/>
        </w:rPr>
        <w:t xml:space="preserve">potential </w:t>
      </w:r>
      <w:r w:rsidR="0006503D">
        <w:rPr>
          <w:rFonts w:ascii="Cambria" w:hAnsi="Cambria"/>
          <w:sz w:val="21"/>
          <w:szCs w:val="21"/>
        </w:rPr>
        <w:t xml:space="preserve">diplomatic </w:t>
      </w:r>
      <w:r w:rsidR="00937B18">
        <w:rPr>
          <w:rFonts w:ascii="Cambria" w:hAnsi="Cambria"/>
          <w:sz w:val="21"/>
          <w:szCs w:val="21"/>
        </w:rPr>
        <w:t xml:space="preserve">gains need to be realised, rather than regarded just as by-products of reform efforts.  The Program </w:t>
      </w:r>
      <w:r w:rsidR="00BD3873" w:rsidRPr="00CB305F">
        <w:rPr>
          <w:rFonts w:ascii="Cambria" w:hAnsi="Cambria"/>
          <w:sz w:val="21"/>
          <w:szCs w:val="21"/>
        </w:rPr>
        <w:t xml:space="preserve">provides a platform for diplomats to engage </w:t>
      </w:r>
      <w:r w:rsidR="00E471DD" w:rsidRPr="00CB305F">
        <w:rPr>
          <w:rFonts w:ascii="Cambria" w:hAnsi="Cambria"/>
          <w:sz w:val="21"/>
          <w:szCs w:val="21"/>
        </w:rPr>
        <w:t>on reform issues</w:t>
      </w:r>
      <w:r w:rsidR="0006503D">
        <w:rPr>
          <w:rFonts w:ascii="Cambria" w:hAnsi="Cambria"/>
          <w:sz w:val="21"/>
          <w:szCs w:val="21"/>
        </w:rPr>
        <w:t>,</w:t>
      </w:r>
      <w:r w:rsidR="00E471DD" w:rsidRPr="00CB305F">
        <w:rPr>
          <w:rFonts w:ascii="Cambria" w:hAnsi="Cambria"/>
          <w:sz w:val="21"/>
          <w:szCs w:val="21"/>
        </w:rPr>
        <w:t xml:space="preserve"> either directly</w:t>
      </w:r>
      <w:r w:rsidR="00493095" w:rsidRPr="00CB305F">
        <w:rPr>
          <w:rFonts w:ascii="Cambria" w:hAnsi="Cambria"/>
          <w:sz w:val="21"/>
          <w:szCs w:val="21"/>
        </w:rPr>
        <w:t xml:space="preserve"> as program opportunities allow</w:t>
      </w:r>
      <w:r w:rsidR="00E471DD" w:rsidRPr="00CB305F">
        <w:rPr>
          <w:rFonts w:ascii="Cambria" w:hAnsi="Cambria"/>
          <w:sz w:val="21"/>
          <w:szCs w:val="21"/>
        </w:rPr>
        <w:t xml:space="preserve">, or by developing complementary lines of dialogue.  By engaging closely with TAF, DFAT Posts can make informed choices about when to attend meetings, when to underline support, </w:t>
      </w:r>
      <w:r w:rsidR="00493095" w:rsidRPr="00CB305F">
        <w:rPr>
          <w:rFonts w:ascii="Cambria" w:hAnsi="Cambria"/>
          <w:sz w:val="21"/>
          <w:szCs w:val="21"/>
        </w:rPr>
        <w:t>and</w:t>
      </w:r>
      <w:r w:rsidR="00E471DD" w:rsidRPr="00CB305F">
        <w:rPr>
          <w:rFonts w:ascii="Cambria" w:hAnsi="Cambria"/>
          <w:sz w:val="21"/>
          <w:szCs w:val="21"/>
        </w:rPr>
        <w:t xml:space="preserve"> when to take a back seat.  This more proactive approach is </w:t>
      </w:r>
      <w:r w:rsidR="00E471DD" w:rsidRPr="0006503D">
        <w:rPr>
          <w:rFonts w:ascii="Cambria" w:hAnsi="Cambria"/>
          <w:sz w:val="21"/>
          <w:szCs w:val="21"/>
        </w:rPr>
        <w:t>behind DFAT’s September 2020 request</w:t>
      </w:r>
      <w:r w:rsidR="00E471DD" w:rsidRPr="00CB305F">
        <w:rPr>
          <w:rFonts w:ascii="Cambria" w:hAnsi="Cambria"/>
          <w:sz w:val="21"/>
          <w:szCs w:val="21"/>
        </w:rPr>
        <w:t xml:space="preserve"> to TAF that it develop ideas and options</w:t>
      </w:r>
      <w:r w:rsidR="00254CE8">
        <w:rPr>
          <w:rFonts w:ascii="Cambria" w:hAnsi="Cambria"/>
          <w:sz w:val="21"/>
          <w:szCs w:val="21"/>
        </w:rPr>
        <w:t xml:space="preserve"> on achieving Objective 2</w:t>
      </w:r>
      <w:r w:rsidR="00E471DD" w:rsidRPr="00CB305F">
        <w:rPr>
          <w:rFonts w:ascii="Cambria" w:hAnsi="Cambria"/>
          <w:sz w:val="21"/>
          <w:szCs w:val="21"/>
        </w:rPr>
        <w:t xml:space="preserve"> so that opportunities are thoughtfully developed and considered.    </w:t>
      </w:r>
    </w:p>
    <w:p w14:paraId="08CB6722" w14:textId="77777777" w:rsidR="00937B18" w:rsidRDefault="00937B18" w:rsidP="00163DB2">
      <w:pPr>
        <w:ind w:right="33"/>
        <w:jc w:val="both"/>
        <w:rPr>
          <w:rFonts w:ascii="Cambria" w:hAnsi="Cambria"/>
          <w:sz w:val="21"/>
          <w:szCs w:val="21"/>
        </w:rPr>
      </w:pPr>
    </w:p>
    <w:p w14:paraId="34AEB25D" w14:textId="1CDDECA0" w:rsidR="00BD3873" w:rsidRPr="00CB305F" w:rsidRDefault="007467AE" w:rsidP="00163DB2">
      <w:pPr>
        <w:ind w:right="33"/>
        <w:jc w:val="both"/>
        <w:rPr>
          <w:rFonts w:ascii="Cambria" w:hAnsi="Cambria"/>
          <w:sz w:val="21"/>
          <w:szCs w:val="21"/>
        </w:rPr>
      </w:pPr>
      <w:r w:rsidRPr="00CB305F">
        <w:rPr>
          <w:rFonts w:ascii="Cambria" w:hAnsi="Cambria"/>
          <w:sz w:val="21"/>
          <w:szCs w:val="21"/>
        </w:rPr>
        <w:t xml:space="preserve">Subsequently, </w:t>
      </w:r>
      <w:r w:rsidR="00ED713E">
        <w:rPr>
          <w:rFonts w:ascii="Cambria" w:hAnsi="Cambria"/>
          <w:sz w:val="21"/>
          <w:szCs w:val="21"/>
        </w:rPr>
        <w:t xml:space="preserve">in February 2021, </w:t>
      </w:r>
      <w:r w:rsidR="00E471DD" w:rsidRPr="00CB305F">
        <w:rPr>
          <w:rFonts w:ascii="Cambria" w:hAnsi="Cambria"/>
          <w:sz w:val="21"/>
          <w:szCs w:val="21"/>
        </w:rPr>
        <w:t xml:space="preserve">the Joint Working Group </w:t>
      </w:r>
      <w:r w:rsidR="002C3F44">
        <w:rPr>
          <w:rFonts w:ascii="Cambria" w:hAnsi="Cambria"/>
          <w:sz w:val="21"/>
          <w:szCs w:val="21"/>
        </w:rPr>
        <w:t>endorsed</w:t>
      </w:r>
      <w:r w:rsidR="005B2C0C" w:rsidRPr="00CB305F">
        <w:rPr>
          <w:rFonts w:ascii="Cambria" w:hAnsi="Cambria"/>
          <w:sz w:val="21"/>
          <w:szCs w:val="21"/>
        </w:rPr>
        <w:t xml:space="preserve"> </w:t>
      </w:r>
      <w:r w:rsidR="00ED713E">
        <w:rPr>
          <w:rFonts w:ascii="Cambria" w:hAnsi="Cambria"/>
          <w:sz w:val="21"/>
          <w:szCs w:val="21"/>
        </w:rPr>
        <w:t xml:space="preserve">an </w:t>
      </w:r>
      <w:r w:rsidR="005B2C0C" w:rsidRPr="00CB305F">
        <w:rPr>
          <w:rFonts w:ascii="Cambria" w:hAnsi="Cambria"/>
          <w:sz w:val="21"/>
          <w:szCs w:val="21"/>
        </w:rPr>
        <w:t>approach consist</w:t>
      </w:r>
      <w:r w:rsidR="00ED713E">
        <w:rPr>
          <w:rFonts w:ascii="Cambria" w:hAnsi="Cambria"/>
          <w:sz w:val="21"/>
          <w:szCs w:val="21"/>
        </w:rPr>
        <w:t>ing</w:t>
      </w:r>
      <w:r w:rsidR="005B2C0C" w:rsidRPr="00CB305F">
        <w:rPr>
          <w:rFonts w:ascii="Cambria" w:hAnsi="Cambria"/>
          <w:sz w:val="21"/>
          <w:szCs w:val="21"/>
        </w:rPr>
        <w:t xml:space="preserve"> of </w:t>
      </w:r>
      <w:r w:rsidR="009046C7" w:rsidRPr="00CB305F">
        <w:rPr>
          <w:rFonts w:ascii="Cambria" w:hAnsi="Cambria"/>
          <w:sz w:val="21"/>
          <w:szCs w:val="21"/>
        </w:rPr>
        <w:t>3</w:t>
      </w:r>
      <w:r w:rsidR="005B2C0C" w:rsidRPr="00CB305F">
        <w:rPr>
          <w:rFonts w:ascii="Cambria" w:hAnsi="Cambria"/>
          <w:sz w:val="21"/>
          <w:szCs w:val="21"/>
        </w:rPr>
        <w:t xml:space="preserve"> strategies: 1) Find appropriate ways to draw attention to Australia as the program funder; 2) Use Australian examples and expertise where relevant; and 3) </w:t>
      </w:r>
      <w:r w:rsidR="00B54022" w:rsidRPr="00CB305F">
        <w:rPr>
          <w:rFonts w:ascii="Cambria" w:hAnsi="Cambria"/>
          <w:sz w:val="21"/>
          <w:szCs w:val="21"/>
        </w:rPr>
        <w:t>F</w:t>
      </w:r>
      <w:r w:rsidR="005B2C0C" w:rsidRPr="00CB305F">
        <w:rPr>
          <w:rFonts w:ascii="Cambria" w:hAnsi="Cambria"/>
          <w:sz w:val="21"/>
          <w:szCs w:val="21"/>
        </w:rPr>
        <w:t>acilitate Posts engaging separately whe</w:t>
      </w:r>
      <w:r w:rsidR="00FA44C8">
        <w:rPr>
          <w:rFonts w:ascii="Cambria" w:hAnsi="Cambria"/>
          <w:sz w:val="21"/>
          <w:szCs w:val="21"/>
        </w:rPr>
        <w:t>re</w:t>
      </w:r>
      <w:r w:rsidR="005B2C0C" w:rsidRPr="00CB305F">
        <w:rPr>
          <w:rFonts w:ascii="Cambria" w:hAnsi="Cambria"/>
          <w:sz w:val="21"/>
          <w:szCs w:val="21"/>
        </w:rPr>
        <w:t xml:space="preserve"> prudent and productive, especially where interventions can accelerate program reforms.  </w:t>
      </w:r>
    </w:p>
    <w:p w14:paraId="67A9B479" w14:textId="747D79CB" w:rsidR="005B2C0C" w:rsidRPr="00CB305F" w:rsidRDefault="005B2C0C" w:rsidP="00163DB2">
      <w:pPr>
        <w:ind w:right="33"/>
        <w:jc w:val="both"/>
        <w:rPr>
          <w:rFonts w:ascii="Cambria" w:hAnsi="Cambria"/>
          <w:sz w:val="21"/>
          <w:szCs w:val="21"/>
        </w:rPr>
      </w:pPr>
    </w:p>
    <w:p w14:paraId="0C74A411" w14:textId="1C7A6C38" w:rsidR="00CF6306" w:rsidRDefault="005B2C0C" w:rsidP="00163DB2">
      <w:pPr>
        <w:ind w:right="33"/>
        <w:jc w:val="both"/>
        <w:rPr>
          <w:rFonts w:ascii="Cambria" w:hAnsi="Cambria"/>
          <w:sz w:val="21"/>
          <w:szCs w:val="21"/>
        </w:rPr>
      </w:pPr>
      <w:r w:rsidRPr="00CB305F">
        <w:rPr>
          <w:rFonts w:ascii="Cambria" w:hAnsi="Cambria"/>
          <w:sz w:val="21"/>
          <w:szCs w:val="21"/>
        </w:rPr>
        <w:t xml:space="preserve">Effectively this strategy has already been deployed in Thailand.  The HOM has been directly involved in senior outreach to OTCC, has been interviewed on education issues and policy and is considering hosting a seminar with Thai education leaders.  The ACCC has </w:t>
      </w:r>
      <w:r w:rsidR="00CF6306">
        <w:rPr>
          <w:rFonts w:ascii="Cambria" w:hAnsi="Cambria"/>
          <w:sz w:val="21"/>
          <w:szCs w:val="21"/>
        </w:rPr>
        <w:t xml:space="preserve">also </w:t>
      </w:r>
      <w:r w:rsidRPr="00CB305F">
        <w:rPr>
          <w:rFonts w:ascii="Cambria" w:hAnsi="Cambria"/>
          <w:sz w:val="21"/>
          <w:szCs w:val="21"/>
        </w:rPr>
        <w:t>played a critical role in assisting OTCC and in doing so has reinforced Australian competency in the field</w:t>
      </w:r>
      <w:r w:rsidR="00493095" w:rsidRPr="00CB305F">
        <w:rPr>
          <w:rFonts w:ascii="Cambria" w:hAnsi="Cambria"/>
          <w:sz w:val="21"/>
          <w:szCs w:val="21"/>
        </w:rPr>
        <w:t>s</w:t>
      </w:r>
      <w:r w:rsidRPr="00CB305F">
        <w:rPr>
          <w:rFonts w:ascii="Cambria" w:hAnsi="Cambria"/>
          <w:sz w:val="21"/>
          <w:szCs w:val="21"/>
        </w:rPr>
        <w:t xml:space="preserve"> of competition policy and consumer protection.  In Malaysia</w:t>
      </w:r>
      <w:r w:rsidR="0006503D">
        <w:rPr>
          <w:rFonts w:ascii="Cambria" w:hAnsi="Cambria"/>
          <w:sz w:val="21"/>
          <w:szCs w:val="21"/>
        </w:rPr>
        <w:t>,</w:t>
      </w:r>
      <w:r w:rsidRPr="00CB305F">
        <w:rPr>
          <w:rFonts w:ascii="Cambria" w:hAnsi="Cambria"/>
          <w:sz w:val="21"/>
          <w:szCs w:val="21"/>
        </w:rPr>
        <w:t xml:space="preserve"> there are plans to make great</w:t>
      </w:r>
      <w:r w:rsidR="008D19BA" w:rsidRPr="00CB305F">
        <w:rPr>
          <w:rFonts w:ascii="Cambria" w:hAnsi="Cambria"/>
          <w:sz w:val="21"/>
          <w:szCs w:val="21"/>
        </w:rPr>
        <w:t>er</w:t>
      </w:r>
      <w:r w:rsidRPr="00CB305F">
        <w:rPr>
          <w:rFonts w:ascii="Cambria" w:hAnsi="Cambria"/>
          <w:sz w:val="21"/>
          <w:szCs w:val="21"/>
        </w:rPr>
        <w:t xml:space="preserve"> use of Australia’s </w:t>
      </w:r>
      <w:r w:rsidR="00493095" w:rsidRPr="00CB305F">
        <w:rPr>
          <w:rFonts w:ascii="Cambria" w:hAnsi="Cambria"/>
          <w:sz w:val="21"/>
          <w:szCs w:val="21"/>
        </w:rPr>
        <w:t>child care and TVET experience.</w:t>
      </w:r>
      <w:r w:rsidR="00555124">
        <w:rPr>
          <w:rFonts w:ascii="Cambria" w:hAnsi="Cambria"/>
          <w:sz w:val="21"/>
          <w:szCs w:val="21"/>
        </w:rPr>
        <w:t xml:space="preserve">  </w:t>
      </w:r>
      <w:r w:rsidR="00493095" w:rsidRPr="00CB305F">
        <w:rPr>
          <w:rFonts w:ascii="Cambria" w:hAnsi="Cambria"/>
          <w:sz w:val="21"/>
          <w:szCs w:val="21"/>
        </w:rPr>
        <w:t>The evaluation concludes that th</w:t>
      </w:r>
      <w:r w:rsidR="00555124">
        <w:rPr>
          <w:rFonts w:ascii="Cambria" w:hAnsi="Cambria"/>
          <w:sz w:val="21"/>
          <w:szCs w:val="21"/>
        </w:rPr>
        <w:t>e</w:t>
      </w:r>
      <w:r w:rsidR="00937B18">
        <w:rPr>
          <w:rFonts w:ascii="Cambria" w:hAnsi="Cambria"/>
          <w:sz w:val="21"/>
          <w:szCs w:val="21"/>
        </w:rPr>
        <w:t>se</w:t>
      </w:r>
      <w:r w:rsidR="00493095" w:rsidRPr="00CB305F">
        <w:rPr>
          <w:rFonts w:ascii="Cambria" w:hAnsi="Cambria"/>
          <w:sz w:val="21"/>
          <w:szCs w:val="21"/>
        </w:rPr>
        <w:t xml:space="preserve"> </w:t>
      </w:r>
      <w:r w:rsidR="00937B18">
        <w:rPr>
          <w:rFonts w:ascii="Cambria" w:hAnsi="Cambria"/>
          <w:sz w:val="21"/>
          <w:szCs w:val="21"/>
        </w:rPr>
        <w:t xml:space="preserve">measures </w:t>
      </w:r>
      <w:r w:rsidR="00493095" w:rsidRPr="00CB305F">
        <w:rPr>
          <w:rFonts w:ascii="Cambria" w:hAnsi="Cambria"/>
          <w:sz w:val="21"/>
          <w:szCs w:val="21"/>
        </w:rPr>
        <w:t xml:space="preserve">should be tracked and reported systematically as part of management processes.  </w:t>
      </w:r>
    </w:p>
    <w:p w14:paraId="227A962F" w14:textId="53E03C19" w:rsidR="00493095" w:rsidRPr="00CB305F" w:rsidRDefault="00493095" w:rsidP="00163DB2">
      <w:pPr>
        <w:ind w:right="33"/>
        <w:jc w:val="both"/>
        <w:rPr>
          <w:rFonts w:ascii="Cambria" w:hAnsi="Cambria"/>
          <w:sz w:val="21"/>
          <w:szCs w:val="21"/>
        </w:rPr>
      </w:pPr>
    </w:p>
    <w:p w14:paraId="19B18408" w14:textId="0220D53B" w:rsidR="00D70AC6" w:rsidRDefault="008D19BA" w:rsidP="00163DB2">
      <w:pPr>
        <w:ind w:right="33"/>
        <w:jc w:val="both"/>
        <w:rPr>
          <w:rFonts w:ascii="Cambria" w:hAnsi="Cambria"/>
          <w:sz w:val="21"/>
          <w:szCs w:val="21"/>
        </w:rPr>
      </w:pPr>
      <w:r w:rsidRPr="00CB305F">
        <w:rPr>
          <w:rFonts w:ascii="Cambria" w:hAnsi="Cambria"/>
          <w:sz w:val="21"/>
          <w:szCs w:val="21"/>
        </w:rPr>
        <w:t>A senior DFAT officer in Bangkok reported to the Joint Working Group that he was ‘much less concerned now’ about issues of profile.  He noted that as activities matured the Post role would become more prominent.</w:t>
      </w:r>
      <w:r w:rsidR="00B54022" w:rsidRPr="00CB305F">
        <w:rPr>
          <w:rFonts w:ascii="Cambria" w:hAnsi="Cambria"/>
          <w:sz w:val="21"/>
          <w:szCs w:val="21"/>
        </w:rPr>
        <w:t xml:space="preserve">   Given that there were concerns about this objective, that have since been allayed, but that performance evidence won’t be </w:t>
      </w:r>
      <w:r w:rsidR="00937B18">
        <w:rPr>
          <w:rFonts w:ascii="Cambria" w:hAnsi="Cambria"/>
          <w:sz w:val="21"/>
          <w:szCs w:val="21"/>
        </w:rPr>
        <w:t xml:space="preserve">fully </w:t>
      </w:r>
      <w:r w:rsidR="00B54022" w:rsidRPr="00CB305F">
        <w:rPr>
          <w:rFonts w:ascii="Cambria" w:hAnsi="Cambria"/>
          <w:sz w:val="21"/>
          <w:szCs w:val="21"/>
        </w:rPr>
        <w:t xml:space="preserve">visible until the end of program evaluation </w:t>
      </w:r>
      <w:r w:rsidR="00937B18">
        <w:rPr>
          <w:rFonts w:ascii="Cambria" w:hAnsi="Cambria"/>
          <w:sz w:val="21"/>
          <w:szCs w:val="21"/>
        </w:rPr>
        <w:t xml:space="preserve">its </w:t>
      </w:r>
      <w:r w:rsidR="00B54022" w:rsidRPr="00CB305F">
        <w:rPr>
          <w:rFonts w:ascii="Cambria" w:hAnsi="Cambria"/>
          <w:sz w:val="21"/>
          <w:szCs w:val="21"/>
        </w:rPr>
        <w:t xml:space="preserve">current status </w:t>
      </w:r>
      <w:r w:rsidR="00CF6306">
        <w:rPr>
          <w:rFonts w:ascii="Cambria" w:hAnsi="Cambria"/>
          <w:sz w:val="21"/>
          <w:szCs w:val="21"/>
        </w:rPr>
        <w:t>is</w:t>
      </w:r>
      <w:r w:rsidR="00B54022" w:rsidRPr="00CB305F">
        <w:rPr>
          <w:rFonts w:ascii="Cambria" w:hAnsi="Cambria"/>
          <w:sz w:val="21"/>
          <w:szCs w:val="21"/>
        </w:rPr>
        <w:t xml:space="preserve"> </w:t>
      </w:r>
      <w:r w:rsidR="00761430">
        <w:rPr>
          <w:rFonts w:ascii="Cambria" w:hAnsi="Cambria"/>
          <w:sz w:val="21"/>
          <w:szCs w:val="21"/>
        </w:rPr>
        <w:t xml:space="preserve">assessed as </w:t>
      </w:r>
      <w:r w:rsidR="00B54022" w:rsidRPr="00CB305F">
        <w:rPr>
          <w:rFonts w:ascii="Cambria" w:hAnsi="Cambria"/>
          <w:sz w:val="21"/>
          <w:szCs w:val="21"/>
        </w:rPr>
        <w:t>amber.</w:t>
      </w:r>
    </w:p>
    <w:p w14:paraId="41EC841F" w14:textId="4068E3AF" w:rsidR="00D70AC6" w:rsidRDefault="00D70AC6" w:rsidP="00163DB2">
      <w:pPr>
        <w:ind w:right="33"/>
        <w:jc w:val="both"/>
        <w:rPr>
          <w:rFonts w:ascii="Cambria" w:hAnsi="Cambria"/>
          <w:sz w:val="21"/>
          <w:szCs w:val="21"/>
        </w:rPr>
      </w:pPr>
    </w:p>
    <w:p w14:paraId="12F38446" w14:textId="61FABC12" w:rsidR="00D70AC6" w:rsidRPr="00F0642C" w:rsidRDefault="00D70AC6" w:rsidP="00163DB2">
      <w:pPr>
        <w:ind w:right="33"/>
        <w:jc w:val="both"/>
        <w:rPr>
          <w:rFonts w:ascii="Cambria" w:hAnsi="Cambria"/>
          <w:sz w:val="21"/>
          <w:szCs w:val="21"/>
        </w:rPr>
      </w:pPr>
      <w:r w:rsidRPr="00F0642C">
        <w:rPr>
          <w:rFonts w:ascii="Cambria" w:hAnsi="Cambria"/>
          <w:sz w:val="21"/>
          <w:szCs w:val="21"/>
        </w:rPr>
        <w:t>The evaluator notes that the Australian government highly values direct feedback on its assistance during senior meetings.  While Posts can endeavour to encourage such feedback, both sides need to be careful of getting caught in an old</w:t>
      </w:r>
      <w:r w:rsidR="004A6251">
        <w:rPr>
          <w:rFonts w:ascii="Cambria" w:hAnsi="Cambria"/>
          <w:sz w:val="21"/>
          <w:szCs w:val="21"/>
        </w:rPr>
        <w:t>-</w:t>
      </w:r>
      <w:r w:rsidRPr="00F0642C">
        <w:rPr>
          <w:rFonts w:ascii="Cambria" w:hAnsi="Cambria"/>
          <w:sz w:val="21"/>
          <w:szCs w:val="21"/>
        </w:rPr>
        <w:t>fashioned</w:t>
      </w:r>
      <w:r w:rsidR="004A6251">
        <w:rPr>
          <w:rFonts w:ascii="Cambria" w:hAnsi="Cambria"/>
          <w:sz w:val="21"/>
          <w:szCs w:val="21"/>
        </w:rPr>
        <w:t>,</w:t>
      </w:r>
      <w:r w:rsidRPr="00F0642C">
        <w:rPr>
          <w:rFonts w:ascii="Cambria" w:hAnsi="Cambria"/>
          <w:sz w:val="21"/>
          <w:szCs w:val="21"/>
        </w:rPr>
        <w:t xml:space="preserve"> ‘gratitude trap’.  If Australian assistance is well</w:t>
      </w:r>
      <w:r w:rsidR="00937B18">
        <w:rPr>
          <w:rFonts w:ascii="Cambria" w:hAnsi="Cambria"/>
          <w:sz w:val="21"/>
          <w:szCs w:val="21"/>
        </w:rPr>
        <w:t>-</w:t>
      </w:r>
      <w:r w:rsidRPr="00F0642C">
        <w:rPr>
          <w:rFonts w:ascii="Cambria" w:hAnsi="Cambria"/>
          <w:sz w:val="21"/>
          <w:szCs w:val="21"/>
        </w:rPr>
        <w:t>targeted and effective it will deliver direct national interest benefits.  Sometimes Australia can hope and expect that the issues will be sufficiently important and front of mind for Ministers that they will be eager to convey their enthusiasm for our cooperation, but that will not always be the case and pushing for it can be counter-productive, especially if we are stressing mature, post-aid relations that are mutually beneficial.</w:t>
      </w:r>
    </w:p>
    <w:p w14:paraId="38E6B355" w14:textId="77777777" w:rsidR="00D70AC6" w:rsidRDefault="00D70AC6" w:rsidP="00163DB2">
      <w:pPr>
        <w:ind w:right="33"/>
        <w:jc w:val="both"/>
        <w:rPr>
          <w:rFonts w:ascii="Cambria" w:hAnsi="Cambria"/>
          <w:sz w:val="21"/>
          <w:szCs w:val="21"/>
        </w:rPr>
      </w:pPr>
    </w:p>
    <w:p w14:paraId="2A89FA6C" w14:textId="68DD65A2" w:rsidR="00FA44C8" w:rsidRPr="00163DB2" w:rsidRDefault="005D1C61" w:rsidP="00163DB2">
      <w:pPr>
        <w:ind w:right="33"/>
        <w:jc w:val="both"/>
        <w:rPr>
          <w:rFonts w:ascii="Cambria" w:hAnsi="Cambria"/>
          <w:sz w:val="21"/>
          <w:szCs w:val="21"/>
        </w:rPr>
      </w:pPr>
      <w:r>
        <w:rPr>
          <w:rFonts w:ascii="Cambria" w:hAnsi="Cambria"/>
          <w:sz w:val="21"/>
          <w:szCs w:val="21"/>
        </w:rPr>
        <w:t>At the program’s conclusion</w:t>
      </w:r>
      <w:r w:rsidRPr="00CB305F">
        <w:rPr>
          <w:rFonts w:ascii="Cambria" w:hAnsi="Cambria"/>
          <w:sz w:val="21"/>
          <w:szCs w:val="21"/>
        </w:rPr>
        <w:t xml:space="preserve"> </w:t>
      </w:r>
      <w:r w:rsidR="000E7210">
        <w:rPr>
          <w:rFonts w:ascii="Cambria" w:hAnsi="Cambria"/>
          <w:sz w:val="21"/>
          <w:szCs w:val="21"/>
        </w:rPr>
        <w:t xml:space="preserve">it </w:t>
      </w:r>
      <w:r w:rsidRPr="00CB305F">
        <w:rPr>
          <w:rFonts w:ascii="Cambria" w:hAnsi="Cambria"/>
          <w:sz w:val="21"/>
          <w:szCs w:val="21"/>
        </w:rPr>
        <w:t>will be particularly important to test with counterparts how their view</w:t>
      </w:r>
      <w:r w:rsidR="009A0DE0">
        <w:rPr>
          <w:rFonts w:ascii="Cambria" w:hAnsi="Cambria"/>
          <w:sz w:val="21"/>
          <w:szCs w:val="21"/>
        </w:rPr>
        <w:t>s</w:t>
      </w:r>
      <w:r w:rsidRPr="00CB305F">
        <w:rPr>
          <w:rFonts w:ascii="Cambria" w:hAnsi="Cambria"/>
          <w:sz w:val="21"/>
          <w:szCs w:val="21"/>
        </w:rPr>
        <w:t xml:space="preserve"> of Australia have been influenced by it.  </w:t>
      </w:r>
      <w:r w:rsidR="003D3468">
        <w:rPr>
          <w:rFonts w:ascii="Cambria" w:hAnsi="Cambria"/>
          <w:sz w:val="21"/>
          <w:szCs w:val="21"/>
        </w:rPr>
        <w:t xml:space="preserve">While it is tempting </w:t>
      </w:r>
      <w:r w:rsidRPr="00CB305F">
        <w:rPr>
          <w:rFonts w:ascii="Cambria" w:hAnsi="Cambria"/>
          <w:sz w:val="21"/>
          <w:szCs w:val="21"/>
        </w:rPr>
        <w:t xml:space="preserve">to </w:t>
      </w:r>
      <w:r w:rsidR="003D3468">
        <w:rPr>
          <w:rFonts w:ascii="Cambria" w:hAnsi="Cambria"/>
          <w:sz w:val="21"/>
          <w:szCs w:val="21"/>
        </w:rPr>
        <w:t xml:space="preserve">want to </w:t>
      </w:r>
      <w:r w:rsidRPr="00CB305F">
        <w:rPr>
          <w:rFonts w:ascii="Cambria" w:hAnsi="Cambria"/>
          <w:sz w:val="21"/>
          <w:szCs w:val="21"/>
        </w:rPr>
        <w:t>go beyond counterparts, to assess whether program successes have been communicated more widely</w:t>
      </w:r>
      <w:r w:rsidR="003D3468">
        <w:rPr>
          <w:rFonts w:ascii="Cambria" w:hAnsi="Cambria"/>
          <w:sz w:val="21"/>
          <w:szCs w:val="21"/>
        </w:rPr>
        <w:t>, it is hard to envisage a reliable methodology given the limited scale of the program.</w:t>
      </w:r>
      <w:r w:rsidR="00937B18">
        <w:rPr>
          <w:rFonts w:ascii="Cambria" w:hAnsi="Cambria"/>
          <w:sz w:val="21"/>
          <w:szCs w:val="21"/>
        </w:rPr>
        <w:t xml:space="preserve">  No-one should expect th</w:t>
      </w:r>
      <w:r w:rsidR="004A6251">
        <w:rPr>
          <w:rFonts w:ascii="Cambria" w:hAnsi="Cambria"/>
          <w:sz w:val="21"/>
          <w:szCs w:val="21"/>
        </w:rPr>
        <w:t>e MTRP</w:t>
      </w:r>
      <w:r w:rsidR="00937B18">
        <w:rPr>
          <w:rFonts w:ascii="Cambria" w:hAnsi="Cambria"/>
          <w:sz w:val="21"/>
          <w:szCs w:val="21"/>
        </w:rPr>
        <w:t xml:space="preserve"> program</w:t>
      </w:r>
      <w:r w:rsidR="004A6251">
        <w:rPr>
          <w:rFonts w:ascii="Cambria" w:hAnsi="Cambria"/>
          <w:sz w:val="21"/>
          <w:szCs w:val="21"/>
        </w:rPr>
        <w:t>,</w:t>
      </w:r>
      <w:r w:rsidR="00937B18">
        <w:rPr>
          <w:rFonts w:ascii="Cambria" w:hAnsi="Cambria"/>
          <w:sz w:val="21"/>
          <w:szCs w:val="21"/>
        </w:rPr>
        <w:t xml:space="preserve"> in and of itself</w:t>
      </w:r>
      <w:r w:rsidR="004A6251">
        <w:rPr>
          <w:rFonts w:ascii="Cambria" w:hAnsi="Cambria"/>
          <w:sz w:val="21"/>
          <w:szCs w:val="21"/>
        </w:rPr>
        <w:t>,</w:t>
      </w:r>
      <w:r w:rsidR="00937B18">
        <w:rPr>
          <w:rFonts w:ascii="Cambria" w:hAnsi="Cambria"/>
          <w:sz w:val="21"/>
          <w:szCs w:val="21"/>
        </w:rPr>
        <w:t xml:space="preserve"> to change relations between the countries concerned, but it might be </w:t>
      </w:r>
      <w:r w:rsidR="0006503D">
        <w:rPr>
          <w:rFonts w:ascii="Cambria" w:hAnsi="Cambria"/>
          <w:sz w:val="21"/>
          <w:szCs w:val="21"/>
        </w:rPr>
        <w:t xml:space="preserve">a </w:t>
      </w:r>
      <w:r w:rsidR="00937B18">
        <w:rPr>
          <w:rFonts w:ascii="Cambria" w:hAnsi="Cambria"/>
          <w:sz w:val="21"/>
          <w:szCs w:val="21"/>
        </w:rPr>
        <w:t xml:space="preserve">stepping stone to other actions that over many years could help to </w:t>
      </w:r>
      <w:r w:rsidR="004A6251">
        <w:rPr>
          <w:rFonts w:ascii="Cambria" w:hAnsi="Cambria"/>
          <w:sz w:val="21"/>
          <w:szCs w:val="21"/>
        </w:rPr>
        <w:t>d</w:t>
      </w:r>
      <w:r w:rsidR="00937B18">
        <w:rPr>
          <w:rFonts w:ascii="Cambria" w:hAnsi="Cambria"/>
          <w:sz w:val="21"/>
          <w:szCs w:val="21"/>
        </w:rPr>
        <w:t>o so.</w:t>
      </w:r>
      <w:r w:rsidR="003D3468">
        <w:rPr>
          <w:rFonts w:ascii="Cambria" w:hAnsi="Cambria"/>
          <w:sz w:val="21"/>
          <w:szCs w:val="21"/>
        </w:rPr>
        <w:t xml:space="preserve">  </w:t>
      </w:r>
      <w:r w:rsidR="00FA44C8">
        <w:rPr>
          <w:rFonts w:ascii="Cambria" w:hAnsi="Cambria"/>
          <w:sz w:val="21"/>
          <w:szCs w:val="21"/>
        </w:rPr>
        <w:tab/>
      </w:r>
      <w:r w:rsidR="00FA44C8">
        <w:rPr>
          <w:rFonts w:ascii="Cambria" w:hAnsi="Cambria"/>
          <w:sz w:val="21"/>
          <w:szCs w:val="21"/>
        </w:rPr>
        <w:tab/>
      </w:r>
      <w:r w:rsidR="00FA44C8">
        <w:rPr>
          <w:rFonts w:ascii="Cambria" w:hAnsi="Cambria"/>
          <w:sz w:val="21"/>
          <w:szCs w:val="21"/>
        </w:rPr>
        <w:tab/>
      </w:r>
      <w:r w:rsidR="00FA44C8">
        <w:rPr>
          <w:rFonts w:ascii="Cambria" w:hAnsi="Cambria"/>
          <w:sz w:val="21"/>
          <w:szCs w:val="21"/>
        </w:rPr>
        <w:tab/>
      </w:r>
      <w:r w:rsidR="00FA44C8">
        <w:rPr>
          <w:rFonts w:ascii="Cambria" w:hAnsi="Cambria"/>
          <w:sz w:val="21"/>
          <w:szCs w:val="21"/>
        </w:rPr>
        <w:tab/>
      </w:r>
      <w:r w:rsidR="007467AE">
        <w:rPr>
          <w:rFonts w:ascii="Cambria" w:hAnsi="Cambria"/>
          <w:b/>
          <w:bCs/>
        </w:rPr>
        <w:t xml:space="preserve"> </w:t>
      </w:r>
    </w:p>
    <w:p w14:paraId="14949690" w14:textId="3BAAC726" w:rsidR="009C47CD" w:rsidRPr="00FA44C8" w:rsidRDefault="00245CAC" w:rsidP="00163DB2">
      <w:pPr>
        <w:ind w:left="6480" w:right="33"/>
        <w:jc w:val="both"/>
        <w:rPr>
          <w:rFonts w:ascii="Cambria" w:hAnsi="Cambria"/>
          <w:sz w:val="21"/>
          <w:szCs w:val="21"/>
        </w:rPr>
      </w:pPr>
      <w:r>
        <w:rPr>
          <w:rFonts w:ascii="Cambria" w:hAnsi="Cambria"/>
          <w:b/>
          <w:bCs/>
        </w:rPr>
        <w:t xml:space="preserve">    </w:t>
      </w:r>
      <w:r w:rsidR="000349CA">
        <w:rPr>
          <w:rFonts w:ascii="Cambria" w:hAnsi="Cambria"/>
          <w:b/>
          <w:bCs/>
        </w:rPr>
        <w:t xml:space="preserve">  </w:t>
      </w:r>
      <w:r>
        <w:rPr>
          <w:rFonts w:ascii="Cambria" w:hAnsi="Cambria"/>
          <w:b/>
          <w:bCs/>
        </w:rPr>
        <w:t xml:space="preserve"> </w:t>
      </w:r>
      <w:r w:rsidR="001060A1" w:rsidRPr="00B70FBF">
        <w:rPr>
          <w:rFonts w:ascii="Cambria" w:hAnsi="Cambria"/>
          <w:b/>
          <w:bCs/>
        </w:rPr>
        <w:t xml:space="preserve">Overall </w:t>
      </w:r>
      <w:r w:rsidR="004031E0">
        <w:rPr>
          <w:rFonts w:ascii="Cambria" w:hAnsi="Cambria"/>
          <w:b/>
          <w:bCs/>
        </w:rPr>
        <w:t>rating</w:t>
      </w:r>
      <w:r w:rsidR="001060A1" w:rsidRPr="00B70FBF">
        <w:rPr>
          <w:rFonts w:ascii="Cambria" w:hAnsi="Cambria"/>
          <w:b/>
          <w:bCs/>
        </w:rPr>
        <w:t xml:space="preserve"> </w:t>
      </w:r>
      <w:r w:rsidR="001060A1" w:rsidRPr="00B70FBF">
        <w:rPr>
          <w:rFonts w:ascii="Cambria" w:hAnsi="Cambria"/>
          <w:b/>
          <w:bCs/>
        </w:rPr>
        <w:tab/>
      </w:r>
      <w:r w:rsidR="00B70FBF">
        <w:rPr>
          <w:rFonts w:ascii="Cambria" w:hAnsi="Cambria"/>
          <w:b/>
          <w:bCs/>
        </w:rPr>
        <w:t xml:space="preserve">  </w:t>
      </w:r>
      <w:r w:rsidR="007467AE">
        <w:rPr>
          <w:rFonts w:ascii="Cambria" w:hAnsi="Cambria"/>
          <w:b/>
          <w:bCs/>
        </w:rPr>
        <w:t xml:space="preserve">  </w:t>
      </w:r>
      <w:r w:rsidR="000349CA">
        <w:rPr>
          <w:rFonts w:ascii="Cambria" w:hAnsi="Cambria"/>
          <w:b/>
          <w:bCs/>
        </w:rPr>
        <w:t xml:space="preserve">   </w:t>
      </w:r>
      <w:r w:rsidR="007467AE">
        <w:rPr>
          <w:rFonts w:ascii="Cambria" w:hAnsi="Cambria"/>
          <w:b/>
          <w:bCs/>
        </w:rPr>
        <w:t xml:space="preserve"> </w:t>
      </w:r>
      <w:r w:rsidR="00B70FBF">
        <w:rPr>
          <w:rFonts w:ascii="Cambria" w:hAnsi="Cambria"/>
          <w:b/>
          <w:bCs/>
        </w:rPr>
        <w:t xml:space="preserve">  </w:t>
      </w:r>
      <w:r>
        <w:rPr>
          <w:rFonts w:ascii="Cambria" w:hAnsi="Cambria"/>
          <w:b/>
          <w:bCs/>
        </w:rPr>
        <w:t xml:space="preserve">  </w:t>
      </w:r>
      <w:r w:rsidR="00B70FBF">
        <w:rPr>
          <w:rFonts w:ascii="Cambria" w:hAnsi="Cambria"/>
          <w:b/>
          <w:bCs/>
        </w:rPr>
        <w:t xml:space="preserve"> </w:t>
      </w:r>
      <w:r w:rsidR="001060A1" w:rsidRPr="00B70FBF">
        <w:rPr>
          <w:rFonts w:ascii="Cambria" w:hAnsi="Cambria"/>
          <w:b/>
          <w:bCs/>
          <w:noProof/>
        </w:rPr>
        <w:drawing>
          <wp:inline distT="0" distB="0" distL="0" distR="0" wp14:anchorId="34486359" wp14:editId="442507BC">
            <wp:extent cx="172720" cy="180474"/>
            <wp:effectExtent l="0" t="0" r="5080" b="0"/>
            <wp:docPr id="9" name="Picture 9" descr="Rating Amber: satisfactory at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ating Amber: satisfactory at this ti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587" cy="183469"/>
                    </a:xfrm>
                    <a:prstGeom prst="rect">
                      <a:avLst/>
                    </a:prstGeom>
                  </pic:spPr>
                </pic:pic>
              </a:graphicData>
            </a:graphic>
          </wp:inline>
        </w:drawing>
      </w:r>
    </w:p>
    <w:p w14:paraId="7E357F6E" w14:textId="77777777" w:rsidR="00163DB2" w:rsidRDefault="00163DB2" w:rsidP="00163DB2">
      <w:pPr>
        <w:pStyle w:val="Heading2"/>
        <w:spacing w:before="0"/>
        <w:ind w:right="34"/>
        <w:jc w:val="both"/>
        <w:rPr>
          <w:b/>
          <w:bCs/>
        </w:rPr>
      </w:pPr>
    </w:p>
    <w:p w14:paraId="3AE69B63" w14:textId="04990A87" w:rsidR="009C47CD" w:rsidRPr="00CF6306" w:rsidRDefault="00B70FBF" w:rsidP="00163DB2">
      <w:pPr>
        <w:pStyle w:val="Heading2"/>
        <w:spacing w:before="0"/>
        <w:ind w:right="34"/>
        <w:jc w:val="both"/>
        <w:rPr>
          <w:b/>
          <w:bCs/>
        </w:rPr>
      </w:pPr>
      <w:r w:rsidRPr="00CF6306">
        <w:rPr>
          <w:b/>
          <w:bCs/>
        </w:rPr>
        <w:t xml:space="preserve">Objective 3:  </w:t>
      </w:r>
      <w:r w:rsidR="00D922EB" w:rsidRPr="00CF6306">
        <w:rPr>
          <w:b/>
          <w:bCs/>
        </w:rPr>
        <w:tab/>
        <w:t>Strategic analysis provides a foundation for long</w:t>
      </w:r>
      <w:r w:rsidR="007467AE" w:rsidRPr="00CF6306">
        <w:rPr>
          <w:b/>
          <w:bCs/>
        </w:rPr>
        <w:t>-</w:t>
      </w:r>
      <w:r w:rsidR="00D922EB" w:rsidRPr="00CF6306">
        <w:rPr>
          <w:b/>
          <w:bCs/>
        </w:rPr>
        <w:t>term bilateral cooperation to advance critical reforms in the mutual benefit of Australia and Malaysia/Thailand</w:t>
      </w:r>
    </w:p>
    <w:p w14:paraId="148927C7" w14:textId="378B6398" w:rsidR="00156E56" w:rsidRDefault="0093655F" w:rsidP="00163DB2">
      <w:pPr>
        <w:spacing w:before="80"/>
        <w:ind w:right="33"/>
        <w:jc w:val="both"/>
        <w:rPr>
          <w:rFonts w:ascii="Cambria" w:hAnsi="Cambria"/>
          <w:sz w:val="21"/>
          <w:szCs w:val="21"/>
        </w:rPr>
      </w:pPr>
      <w:r>
        <w:rPr>
          <w:rFonts w:ascii="Cambria" w:hAnsi="Cambria"/>
          <w:sz w:val="21"/>
          <w:szCs w:val="21"/>
        </w:rPr>
        <w:t>According to the f</w:t>
      </w:r>
      <w:r w:rsidR="00430636">
        <w:rPr>
          <w:rFonts w:ascii="Cambria" w:hAnsi="Cambria"/>
          <w:sz w:val="21"/>
          <w:szCs w:val="21"/>
        </w:rPr>
        <w:t>ull</w:t>
      </w:r>
      <w:r>
        <w:rPr>
          <w:rFonts w:ascii="Cambria" w:hAnsi="Cambria"/>
          <w:sz w:val="21"/>
          <w:szCs w:val="21"/>
        </w:rPr>
        <w:t xml:space="preserve"> articulation of Objective 3 </w:t>
      </w:r>
      <w:r w:rsidR="005F03E4">
        <w:rPr>
          <w:rFonts w:ascii="Cambria" w:hAnsi="Cambria"/>
          <w:sz w:val="21"/>
          <w:szCs w:val="21"/>
        </w:rPr>
        <w:t xml:space="preserve">incorporated in the </w:t>
      </w:r>
      <w:r w:rsidR="00430636">
        <w:rPr>
          <w:rFonts w:ascii="Cambria" w:hAnsi="Cambria"/>
          <w:sz w:val="21"/>
          <w:szCs w:val="21"/>
        </w:rPr>
        <w:t xml:space="preserve">MTRP </w:t>
      </w:r>
      <w:r w:rsidR="005F03E4">
        <w:rPr>
          <w:rFonts w:ascii="Cambria" w:hAnsi="Cambria"/>
          <w:sz w:val="21"/>
          <w:szCs w:val="21"/>
        </w:rPr>
        <w:t xml:space="preserve">M&amp;E Plan, strategic analysis </w:t>
      </w:r>
      <w:r w:rsidR="00FB3ECB">
        <w:rPr>
          <w:rFonts w:ascii="Cambria" w:hAnsi="Cambria"/>
          <w:sz w:val="21"/>
          <w:szCs w:val="21"/>
        </w:rPr>
        <w:t xml:space="preserve">was to </w:t>
      </w:r>
      <w:r w:rsidR="005F03E4">
        <w:rPr>
          <w:rFonts w:ascii="Cambria" w:hAnsi="Cambria"/>
          <w:sz w:val="21"/>
          <w:szCs w:val="21"/>
        </w:rPr>
        <w:t>inform Post thinking and programs in the longer term</w:t>
      </w:r>
      <w:r w:rsidR="00FB3ECB">
        <w:rPr>
          <w:rFonts w:ascii="Cambria" w:hAnsi="Cambria"/>
          <w:sz w:val="21"/>
          <w:szCs w:val="21"/>
        </w:rPr>
        <w:t xml:space="preserve">, but also to </w:t>
      </w:r>
      <w:r w:rsidR="005F03E4">
        <w:rPr>
          <w:rFonts w:ascii="Cambria" w:hAnsi="Cambria"/>
          <w:sz w:val="21"/>
          <w:szCs w:val="21"/>
        </w:rPr>
        <w:t>“</w:t>
      </w:r>
      <w:r>
        <w:rPr>
          <w:rFonts w:ascii="Cambria" w:hAnsi="Cambria"/>
          <w:sz w:val="21"/>
          <w:szCs w:val="21"/>
        </w:rPr>
        <w:t>provide the basis for choice of the most critical reform initiatives</w:t>
      </w:r>
      <w:r w:rsidR="005F03E4">
        <w:rPr>
          <w:rFonts w:ascii="Cambria" w:hAnsi="Cambria"/>
          <w:sz w:val="21"/>
          <w:szCs w:val="21"/>
        </w:rPr>
        <w:t>”</w:t>
      </w:r>
      <w:r>
        <w:rPr>
          <w:rFonts w:ascii="Cambria" w:hAnsi="Cambria"/>
          <w:sz w:val="21"/>
          <w:szCs w:val="21"/>
        </w:rPr>
        <w:t xml:space="preserve">.  </w:t>
      </w:r>
      <w:r w:rsidR="00E763AA">
        <w:rPr>
          <w:rFonts w:ascii="Cambria" w:hAnsi="Cambria"/>
          <w:sz w:val="21"/>
          <w:szCs w:val="21"/>
        </w:rPr>
        <w:t xml:space="preserve">TAF contends that this second component was not </w:t>
      </w:r>
      <w:r w:rsidR="00937B18">
        <w:rPr>
          <w:rFonts w:ascii="Cambria" w:hAnsi="Cambria"/>
          <w:sz w:val="21"/>
          <w:szCs w:val="21"/>
        </w:rPr>
        <w:t xml:space="preserve">initially </w:t>
      </w:r>
      <w:r w:rsidR="00E763AA">
        <w:rPr>
          <w:rFonts w:ascii="Cambria" w:hAnsi="Cambria"/>
          <w:sz w:val="21"/>
          <w:szCs w:val="21"/>
        </w:rPr>
        <w:t>a principal purpose</w:t>
      </w:r>
      <w:r w:rsidR="007B6F97">
        <w:rPr>
          <w:rFonts w:ascii="Cambria" w:hAnsi="Cambria"/>
          <w:sz w:val="21"/>
          <w:szCs w:val="21"/>
        </w:rPr>
        <w:t xml:space="preserve">.  </w:t>
      </w:r>
    </w:p>
    <w:p w14:paraId="43E3A697" w14:textId="77777777" w:rsidR="00156E56" w:rsidRDefault="00156E56" w:rsidP="00163DB2">
      <w:pPr>
        <w:ind w:right="33"/>
        <w:jc w:val="both"/>
        <w:rPr>
          <w:rFonts w:ascii="Cambria" w:hAnsi="Cambria"/>
          <w:sz w:val="21"/>
          <w:szCs w:val="21"/>
        </w:rPr>
      </w:pPr>
    </w:p>
    <w:p w14:paraId="71E7D7D8" w14:textId="08342D13" w:rsidR="003455DA" w:rsidRDefault="000349CA" w:rsidP="00FA0230">
      <w:pPr>
        <w:jc w:val="both"/>
        <w:rPr>
          <w:rFonts w:ascii="Cambria" w:hAnsi="Cambria"/>
          <w:sz w:val="21"/>
          <w:szCs w:val="21"/>
        </w:rPr>
      </w:pPr>
      <w:r>
        <w:rPr>
          <w:rFonts w:ascii="Cambria" w:hAnsi="Cambria"/>
          <w:sz w:val="21"/>
          <w:szCs w:val="21"/>
        </w:rPr>
        <w:lastRenderedPageBreak/>
        <w:t xml:space="preserve">It is agreed that </w:t>
      </w:r>
      <w:r w:rsidR="00937B18">
        <w:rPr>
          <w:rFonts w:ascii="Cambria" w:hAnsi="Cambria"/>
          <w:sz w:val="21"/>
          <w:szCs w:val="21"/>
        </w:rPr>
        <w:t>at the outset</w:t>
      </w:r>
      <w:r w:rsidR="00F0642C">
        <w:rPr>
          <w:rFonts w:ascii="Cambria" w:hAnsi="Cambria"/>
          <w:sz w:val="21"/>
          <w:szCs w:val="21"/>
        </w:rPr>
        <w:t xml:space="preserve"> </w:t>
      </w:r>
      <w:r w:rsidR="00156E56">
        <w:rPr>
          <w:rFonts w:ascii="Cambria" w:hAnsi="Cambria"/>
          <w:sz w:val="21"/>
          <w:szCs w:val="21"/>
        </w:rPr>
        <w:t>the clear emphasis</w:t>
      </w:r>
      <w:r w:rsidR="00430636">
        <w:rPr>
          <w:rFonts w:ascii="Cambria" w:hAnsi="Cambria"/>
          <w:sz w:val="21"/>
          <w:szCs w:val="21"/>
        </w:rPr>
        <w:t xml:space="preserve"> </w:t>
      </w:r>
      <w:r w:rsidR="00156E56">
        <w:rPr>
          <w:rFonts w:ascii="Cambria" w:hAnsi="Cambria"/>
          <w:sz w:val="21"/>
          <w:szCs w:val="21"/>
        </w:rPr>
        <w:t>was on producing a ‘diagnostic of constraints to future growth and stability’</w:t>
      </w:r>
      <w:r w:rsidR="00F0642C">
        <w:rPr>
          <w:rStyle w:val="EndnoteReference"/>
          <w:rFonts w:ascii="Cambria" w:hAnsi="Cambria"/>
          <w:sz w:val="21"/>
          <w:szCs w:val="21"/>
        </w:rPr>
        <w:endnoteReference w:id="9"/>
      </w:r>
      <w:r w:rsidR="00156E56">
        <w:rPr>
          <w:rFonts w:ascii="Cambria" w:hAnsi="Cambria"/>
          <w:sz w:val="21"/>
          <w:szCs w:val="21"/>
        </w:rPr>
        <w:t xml:space="preserve"> with a long-term, big-picture focus.  In neither </w:t>
      </w:r>
      <w:r w:rsidR="003455DA">
        <w:rPr>
          <w:rFonts w:ascii="Cambria" w:hAnsi="Cambria"/>
          <w:sz w:val="21"/>
          <w:szCs w:val="21"/>
        </w:rPr>
        <w:t xml:space="preserve">the original proposal, nor the design </w:t>
      </w:r>
      <w:r w:rsidR="00156E56">
        <w:rPr>
          <w:rFonts w:ascii="Cambria" w:hAnsi="Cambria"/>
          <w:sz w:val="21"/>
          <w:szCs w:val="21"/>
        </w:rPr>
        <w:t>document</w:t>
      </w:r>
      <w:r w:rsidR="00430636">
        <w:rPr>
          <w:rFonts w:ascii="Cambria" w:hAnsi="Cambria"/>
          <w:sz w:val="21"/>
          <w:szCs w:val="21"/>
        </w:rPr>
        <w:t>,</w:t>
      </w:r>
      <w:r w:rsidR="003455DA">
        <w:rPr>
          <w:rFonts w:ascii="Cambria" w:hAnsi="Cambria"/>
          <w:sz w:val="21"/>
          <w:szCs w:val="21"/>
        </w:rPr>
        <w:t xml:space="preserve"> </w:t>
      </w:r>
      <w:r w:rsidR="00430636">
        <w:rPr>
          <w:rFonts w:ascii="Cambria" w:hAnsi="Cambria"/>
          <w:sz w:val="21"/>
          <w:szCs w:val="21"/>
        </w:rPr>
        <w:t>for example,</w:t>
      </w:r>
      <w:r w:rsidR="00156E56">
        <w:rPr>
          <w:rFonts w:ascii="Cambria" w:hAnsi="Cambria"/>
          <w:sz w:val="21"/>
          <w:szCs w:val="21"/>
        </w:rPr>
        <w:t xml:space="preserve"> did activity selection appear as part of the </w:t>
      </w:r>
      <w:r w:rsidR="00152B14">
        <w:rPr>
          <w:rFonts w:ascii="Cambria" w:hAnsi="Cambria"/>
          <w:sz w:val="21"/>
          <w:szCs w:val="21"/>
        </w:rPr>
        <w:t xml:space="preserve">headline </w:t>
      </w:r>
      <w:r w:rsidR="00156E56">
        <w:rPr>
          <w:rFonts w:ascii="Cambria" w:hAnsi="Cambria"/>
          <w:sz w:val="21"/>
          <w:szCs w:val="21"/>
        </w:rPr>
        <w:t>objective.  That said, the original TAF proposal stated that, “An important output of the report will be identification of core issue areas where … the limited support that the Post might be able to offer could make a meaningful difference.”</w:t>
      </w:r>
      <w:r w:rsidR="00F0642C">
        <w:rPr>
          <w:rStyle w:val="EndnoteReference"/>
          <w:rFonts w:ascii="Cambria" w:hAnsi="Cambria"/>
          <w:sz w:val="21"/>
          <w:szCs w:val="21"/>
        </w:rPr>
        <w:endnoteReference w:id="10"/>
      </w:r>
      <w:r w:rsidR="00156E56">
        <w:rPr>
          <w:rFonts w:ascii="Cambria" w:hAnsi="Cambria"/>
          <w:sz w:val="21"/>
          <w:szCs w:val="21"/>
        </w:rPr>
        <w:t xml:space="preserve">  I</w:t>
      </w:r>
      <w:r>
        <w:rPr>
          <w:rFonts w:ascii="Cambria" w:hAnsi="Cambria"/>
          <w:sz w:val="21"/>
          <w:szCs w:val="21"/>
        </w:rPr>
        <w:t xml:space="preserve">t </w:t>
      </w:r>
      <w:r w:rsidR="00F0642C">
        <w:rPr>
          <w:rFonts w:ascii="Cambria" w:hAnsi="Cambria"/>
          <w:sz w:val="21"/>
          <w:szCs w:val="21"/>
        </w:rPr>
        <w:t xml:space="preserve">continued </w:t>
      </w:r>
      <w:r w:rsidR="00156E56">
        <w:rPr>
          <w:rFonts w:ascii="Cambria" w:hAnsi="Cambria"/>
          <w:sz w:val="21"/>
          <w:szCs w:val="21"/>
        </w:rPr>
        <w:t xml:space="preserve">that </w:t>
      </w:r>
      <w:r w:rsidR="00F0642C">
        <w:rPr>
          <w:rFonts w:ascii="Cambria" w:hAnsi="Cambria"/>
          <w:sz w:val="21"/>
          <w:szCs w:val="21"/>
        </w:rPr>
        <w:t>“</w:t>
      </w:r>
      <w:r w:rsidR="00156E56">
        <w:rPr>
          <w:rFonts w:ascii="Cambria" w:hAnsi="Cambria"/>
          <w:sz w:val="21"/>
          <w:szCs w:val="21"/>
        </w:rPr>
        <w:t>the primary audience for this diagnostic will be the Post, to identify possible options for future engagement on reform</w:t>
      </w:r>
      <w:r w:rsidR="00F0642C">
        <w:rPr>
          <w:rFonts w:ascii="Cambria" w:hAnsi="Cambria"/>
          <w:sz w:val="21"/>
          <w:szCs w:val="21"/>
        </w:rPr>
        <w:t>.</w:t>
      </w:r>
      <w:r w:rsidR="00156E56">
        <w:rPr>
          <w:rFonts w:ascii="Cambria" w:hAnsi="Cambria"/>
          <w:sz w:val="21"/>
          <w:szCs w:val="21"/>
        </w:rPr>
        <w:t>”</w:t>
      </w:r>
      <w:r w:rsidR="00F0642C">
        <w:rPr>
          <w:rStyle w:val="EndnoteReference"/>
          <w:rFonts w:ascii="Cambria" w:hAnsi="Cambria"/>
          <w:sz w:val="21"/>
          <w:szCs w:val="21"/>
        </w:rPr>
        <w:endnoteReference w:id="11"/>
      </w:r>
      <w:r w:rsidR="00F0642C">
        <w:rPr>
          <w:rFonts w:ascii="Cambria" w:hAnsi="Cambria"/>
          <w:sz w:val="21"/>
          <w:szCs w:val="21"/>
        </w:rPr>
        <w:t xml:space="preserve"> </w:t>
      </w:r>
      <w:r w:rsidR="00804EC3">
        <w:rPr>
          <w:rFonts w:ascii="Cambria" w:hAnsi="Cambria"/>
          <w:sz w:val="21"/>
          <w:szCs w:val="21"/>
        </w:rPr>
        <w:t xml:space="preserve"> </w:t>
      </w:r>
      <w:r w:rsidR="00C27DE2">
        <w:rPr>
          <w:rFonts w:ascii="Cambria" w:hAnsi="Cambria"/>
          <w:sz w:val="21"/>
          <w:szCs w:val="21"/>
        </w:rPr>
        <w:t xml:space="preserve">One reading of this is that the intent was </w:t>
      </w:r>
      <w:r w:rsidR="007B6F97">
        <w:rPr>
          <w:rFonts w:ascii="Cambria" w:hAnsi="Cambria"/>
          <w:sz w:val="21"/>
          <w:szCs w:val="21"/>
        </w:rPr>
        <w:t xml:space="preserve">solely </w:t>
      </w:r>
      <w:r w:rsidR="00C27DE2">
        <w:rPr>
          <w:rFonts w:ascii="Cambria" w:hAnsi="Cambria"/>
          <w:sz w:val="21"/>
          <w:szCs w:val="21"/>
        </w:rPr>
        <w:t>to inform long</w:t>
      </w:r>
      <w:r w:rsidR="003455DA">
        <w:rPr>
          <w:rFonts w:ascii="Cambria" w:hAnsi="Cambria"/>
          <w:sz w:val="21"/>
          <w:szCs w:val="21"/>
        </w:rPr>
        <w:t>er</w:t>
      </w:r>
      <w:r w:rsidR="00C27DE2">
        <w:rPr>
          <w:rFonts w:ascii="Cambria" w:hAnsi="Cambria"/>
          <w:sz w:val="21"/>
          <w:szCs w:val="21"/>
        </w:rPr>
        <w:t xml:space="preserve">-term thinking and </w:t>
      </w:r>
      <w:r w:rsidR="003455DA">
        <w:rPr>
          <w:rFonts w:ascii="Cambria" w:hAnsi="Cambria"/>
          <w:sz w:val="21"/>
          <w:szCs w:val="21"/>
        </w:rPr>
        <w:t xml:space="preserve">broad </w:t>
      </w:r>
      <w:r w:rsidR="00C27DE2">
        <w:rPr>
          <w:rFonts w:ascii="Cambria" w:hAnsi="Cambria"/>
          <w:sz w:val="21"/>
          <w:szCs w:val="21"/>
        </w:rPr>
        <w:t>future engagement</w:t>
      </w:r>
      <w:r w:rsidR="003455DA">
        <w:rPr>
          <w:rFonts w:ascii="Cambria" w:hAnsi="Cambria"/>
          <w:sz w:val="21"/>
          <w:szCs w:val="21"/>
        </w:rPr>
        <w:t>,</w:t>
      </w:r>
      <w:r w:rsidR="00C27DE2">
        <w:rPr>
          <w:rFonts w:ascii="Cambria" w:hAnsi="Cambria"/>
          <w:sz w:val="21"/>
          <w:szCs w:val="21"/>
        </w:rPr>
        <w:t xml:space="preserve"> rather t</w:t>
      </w:r>
      <w:r w:rsidR="003455DA">
        <w:rPr>
          <w:rFonts w:ascii="Cambria" w:hAnsi="Cambria"/>
          <w:sz w:val="21"/>
          <w:szCs w:val="21"/>
        </w:rPr>
        <w:t>h</w:t>
      </w:r>
      <w:r w:rsidR="00C27DE2">
        <w:rPr>
          <w:rFonts w:ascii="Cambria" w:hAnsi="Cambria"/>
          <w:sz w:val="21"/>
          <w:szCs w:val="21"/>
        </w:rPr>
        <w:t xml:space="preserve">an </w:t>
      </w:r>
      <w:r w:rsidR="007B6F97">
        <w:rPr>
          <w:rFonts w:ascii="Cambria" w:hAnsi="Cambria"/>
          <w:sz w:val="21"/>
          <w:szCs w:val="21"/>
        </w:rPr>
        <w:t xml:space="preserve">inform selection of </w:t>
      </w:r>
      <w:r w:rsidR="00C27DE2">
        <w:rPr>
          <w:rFonts w:ascii="Cambria" w:hAnsi="Cambria"/>
          <w:sz w:val="21"/>
          <w:szCs w:val="21"/>
        </w:rPr>
        <w:t xml:space="preserve">MTRP activities.  </w:t>
      </w:r>
      <w:r w:rsidR="003455DA">
        <w:rPr>
          <w:rFonts w:ascii="Cambria" w:hAnsi="Cambria"/>
          <w:sz w:val="21"/>
          <w:szCs w:val="21"/>
        </w:rPr>
        <w:t>The two</w:t>
      </w:r>
      <w:r w:rsidR="004A6251">
        <w:rPr>
          <w:rFonts w:ascii="Cambria" w:hAnsi="Cambria"/>
          <w:sz w:val="21"/>
          <w:szCs w:val="21"/>
        </w:rPr>
        <w:t>,</w:t>
      </w:r>
      <w:r w:rsidR="003455DA">
        <w:rPr>
          <w:rFonts w:ascii="Cambria" w:hAnsi="Cambria"/>
          <w:sz w:val="21"/>
          <w:szCs w:val="21"/>
        </w:rPr>
        <w:t xml:space="preserve"> of course</w:t>
      </w:r>
      <w:r w:rsidR="004A6251">
        <w:rPr>
          <w:rFonts w:ascii="Cambria" w:hAnsi="Cambria"/>
          <w:sz w:val="21"/>
          <w:szCs w:val="21"/>
        </w:rPr>
        <w:t>,</w:t>
      </w:r>
      <w:r w:rsidR="003455DA">
        <w:rPr>
          <w:rFonts w:ascii="Cambria" w:hAnsi="Cambria"/>
          <w:sz w:val="21"/>
          <w:szCs w:val="21"/>
        </w:rPr>
        <w:t xml:space="preserve"> are not mutually exclusive, which might help explain </w:t>
      </w:r>
      <w:r w:rsidR="00686067">
        <w:rPr>
          <w:rFonts w:ascii="Cambria" w:hAnsi="Cambria"/>
          <w:sz w:val="21"/>
          <w:szCs w:val="21"/>
        </w:rPr>
        <w:t xml:space="preserve">the broad language which allows for both immediate contributions to the MTRP program and also to longer term positioning.  The problem is that it also allows for different readings </w:t>
      </w:r>
      <w:r w:rsidR="00FA0230">
        <w:rPr>
          <w:rFonts w:ascii="Cambria" w:hAnsi="Cambria"/>
          <w:sz w:val="21"/>
          <w:szCs w:val="21"/>
        </w:rPr>
        <w:t>that</w:t>
      </w:r>
      <w:r w:rsidR="00686067">
        <w:rPr>
          <w:rFonts w:ascii="Cambria" w:hAnsi="Cambria"/>
          <w:sz w:val="21"/>
          <w:szCs w:val="21"/>
        </w:rPr>
        <w:t xml:space="preserve"> need to be revealed and reconciled</w:t>
      </w:r>
      <w:r w:rsidR="007A50D4">
        <w:rPr>
          <w:rFonts w:ascii="Cambria" w:hAnsi="Cambria"/>
          <w:sz w:val="21"/>
          <w:szCs w:val="21"/>
        </w:rPr>
        <w:t xml:space="preserve"> especially as the program alters over time.</w:t>
      </w:r>
    </w:p>
    <w:p w14:paraId="3508934F" w14:textId="08A5DA90" w:rsidR="003455DA" w:rsidRDefault="003455DA" w:rsidP="00FA0230">
      <w:pPr>
        <w:jc w:val="both"/>
        <w:rPr>
          <w:rFonts w:ascii="Cambria" w:hAnsi="Cambria"/>
          <w:sz w:val="21"/>
          <w:szCs w:val="21"/>
        </w:rPr>
      </w:pPr>
    </w:p>
    <w:p w14:paraId="5DBE6AF3" w14:textId="2E1B785E" w:rsidR="00686067" w:rsidRDefault="00FA0230" w:rsidP="00FA0230">
      <w:pPr>
        <w:ind w:right="33"/>
        <w:jc w:val="both"/>
        <w:rPr>
          <w:rFonts w:ascii="Cambria" w:hAnsi="Cambria"/>
          <w:sz w:val="21"/>
          <w:szCs w:val="21"/>
        </w:rPr>
      </w:pPr>
      <w:r>
        <w:rPr>
          <w:rFonts w:ascii="Cambria" w:hAnsi="Cambria"/>
          <w:sz w:val="21"/>
          <w:szCs w:val="21"/>
        </w:rPr>
        <w:t>Pursuit</w:t>
      </w:r>
      <w:r w:rsidR="00686067">
        <w:rPr>
          <w:rFonts w:ascii="Cambria" w:hAnsi="Cambria"/>
          <w:sz w:val="21"/>
          <w:szCs w:val="21"/>
        </w:rPr>
        <w:t xml:space="preserve"> of the objective played out differently in Thailand and Malaysia.  </w:t>
      </w:r>
      <w:r>
        <w:rPr>
          <w:rFonts w:ascii="Cambria" w:hAnsi="Cambria"/>
          <w:sz w:val="21"/>
          <w:szCs w:val="21"/>
        </w:rPr>
        <w:t>P</w:t>
      </w:r>
      <w:r w:rsidR="00686067">
        <w:rPr>
          <w:rFonts w:ascii="Cambria" w:hAnsi="Cambria"/>
          <w:sz w:val="21"/>
          <w:szCs w:val="21"/>
        </w:rPr>
        <w:t>r</w:t>
      </w:r>
      <w:r w:rsidR="0006503D">
        <w:rPr>
          <w:rFonts w:ascii="Cambria" w:hAnsi="Cambria"/>
          <w:sz w:val="21"/>
          <w:szCs w:val="21"/>
        </w:rPr>
        <w:t>ior</w:t>
      </w:r>
      <w:r w:rsidR="00686067">
        <w:rPr>
          <w:rFonts w:ascii="Cambria" w:hAnsi="Cambria"/>
          <w:sz w:val="21"/>
          <w:szCs w:val="21"/>
        </w:rPr>
        <w:t xml:space="preserve"> </w:t>
      </w:r>
      <w:r>
        <w:rPr>
          <w:rFonts w:ascii="Cambria" w:hAnsi="Cambria"/>
          <w:sz w:val="21"/>
          <w:szCs w:val="21"/>
        </w:rPr>
        <w:t xml:space="preserve">collaboration </w:t>
      </w:r>
      <w:r w:rsidR="00686067">
        <w:rPr>
          <w:rFonts w:ascii="Cambria" w:hAnsi="Cambria"/>
          <w:sz w:val="21"/>
          <w:szCs w:val="21"/>
        </w:rPr>
        <w:t>in Thailand provided a firm basis for areas of focus and TAF-Post agreement on activity selection.  This allowed the diagnostic work to be more long</w:t>
      </w:r>
      <w:r w:rsidR="00EC7051">
        <w:rPr>
          <w:rFonts w:ascii="Cambria" w:hAnsi="Cambria"/>
          <w:sz w:val="21"/>
          <w:szCs w:val="21"/>
        </w:rPr>
        <w:t>-</w:t>
      </w:r>
      <w:r w:rsidR="00686067">
        <w:rPr>
          <w:rFonts w:ascii="Cambria" w:hAnsi="Cambria"/>
          <w:sz w:val="21"/>
          <w:szCs w:val="21"/>
        </w:rPr>
        <w:t xml:space="preserve">term and strategic.  In Malaysia’s case, the </w:t>
      </w:r>
      <w:r w:rsidR="007B6F97">
        <w:rPr>
          <w:rFonts w:ascii="Cambria" w:hAnsi="Cambria"/>
          <w:sz w:val="21"/>
          <w:szCs w:val="21"/>
        </w:rPr>
        <w:t xml:space="preserve">‘sector study’ </w:t>
      </w:r>
      <w:r w:rsidR="00686067">
        <w:rPr>
          <w:rFonts w:ascii="Cambria" w:hAnsi="Cambria"/>
          <w:sz w:val="21"/>
          <w:szCs w:val="21"/>
        </w:rPr>
        <w:t xml:space="preserve">work was configured to make a more immediate and practical contribution to activity </w:t>
      </w:r>
      <w:r w:rsidR="00EC7051">
        <w:rPr>
          <w:rFonts w:ascii="Cambria" w:hAnsi="Cambria"/>
          <w:sz w:val="21"/>
          <w:szCs w:val="21"/>
        </w:rPr>
        <w:t>definition</w:t>
      </w:r>
      <w:r w:rsidR="007B6F97">
        <w:rPr>
          <w:rFonts w:ascii="Cambria" w:hAnsi="Cambria"/>
          <w:sz w:val="21"/>
          <w:szCs w:val="21"/>
        </w:rPr>
        <w:t>.</w:t>
      </w:r>
      <w:r w:rsidR="00686067">
        <w:rPr>
          <w:rFonts w:ascii="Cambria" w:hAnsi="Cambria"/>
          <w:sz w:val="21"/>
          <w:szCs w:val="21"/>
        </w:rPr>
        <w:t xml:space="preserve"> </w:t>
      </w:r>
      <w:r w:rsidR="004A6251">
        <w:rPr>
          <w:rFonts w:ascii="Cambria" w:hAnsi="Cambria"/>
          <w:sz w:val="21"/>
          <w:szCs w:val="21"/>
        </w:rPr>
        <w:t xml:space="preserve">  </w:t>
      </w:r>
      <w:r w:rsidR="00EC7051">
        <w:rPr>
          <w:rFonts w:ascii="Cambria" w:hAnsi="Cambria"/>
          <w:sz w:val="21"/>
          <w:szCs w:val="21"/>
        </w:rPr>
        <w:t>Given these deliberate differences</w:t>
      </w:r>
      <w:r w:rsidR="007B6F97">
        <w:rPr>
          <w:rFonts w:ascii="Cambria" w:hAnsi="Cambria"/>
          <w:sz w:val="21"/>
          <w:szCs w:val="21"/>
        </w:rPr>
        <w:t>, a</w:t>
      </w:r>
      <w:r w:rsidR="00686067">
        <w:rPr>
          <w:rFonts w:ascii="Cambria" w:hAnsi="Cambria"/>
          <w:sz w:val="21"/>
          <w:szCs w:val="21"/>
        </w:rPr>
        <w:t xml:space="preserve"> singular </w:t>
      </w:r>
      <w:r w:rsidR="00937B18">
        <w:rPr>
          <w:rFonts w:ascii="Cambria" w:hAnsi="Cambria"/>
          <w:sz w:val="21"/>
          <w:szCs w:val="21"/>
        </w:rPr>
        <w:t xml:space="preserve">and precise </w:t>
      </w:r>
      <w:r w:rsidR="00686067">
        <w:rPr>
          <w:rFonts w:ascii="Cambria" w:hAnsi="Cambria"/>
          <w:sz w:val="21"/>
          <w:szCs w:val="21"/>
        </w:rPr>
        <w:t xml:space="preserve">rendering of the objective is </w:t>
      </w:r>
      <w:r w:rsidR="00EC7051">
        <w:rPr>
          <w:rFonts w:ascii="Cambria" w:hAnsi="Cambria"/>
          <w:sz w:val="21"/>
          <w:szCs w:val="21"/>
        </w:rPr>
        <w:t xml:space="preserve">perhaps </w:t>
      </w:r>
      <w:r w:rsidR="007B6F97">
        <w:rPr>
          <w:rFonts w:ascii="Cambria" w:hAnsi="Cambria"/>
          <w:sz w:val="21"/>
          <w:szCs w:val="21"/>
        </w:rPr>
        <w:t>ina</w:t>
      </w:r>
      <w:r w:rsidR="00686067">
        <w:rPr>
          <w:rFonts w:ascii="Cambria" w:hAnsi="Cambria"/>
          <w:sz w:val="21"/>
          <w:szCs w:val="21"/>
        </w:rPr>
        <w:t>d</w:t>
      </w:r>
      <w:r w:rsidR="00937B18">
        <w:rPr>
          <w:rFonts w:ascii="Cambria" w:hAnsi="Cambria"/>
          <w:sz w:val="21"/>
          <w:szCs w:val="21"/>
        </w:rPr>
        <w:t>visable</w:t>
      </w:r>
      <w:r w:rsidR="00686067">
        <w:rPr>
          <w:rFonts w:ascii="Cambria" w:hAnsi="Cambria"/>
          <w:sz w:val="21"/>
          <w:szCs w:val="21"/>
        </w:rPr>
        <w:t xml:space="preserve">.  </w:t>
      </w:r>
      <w:r w:rsidR="007B6F97">
        <w:rPr>
          <w:rFonts w:ascii="Cambria" w:hAnsi="Cambria"/>
          <w:sz w:val="21"/>
          <w:szCs w:val="21"/>
        </w:rPr>
        <w:t xml:space="preserve"> The evaluation suggests a return to the original language </w:t>
      </w:r>
      <w:r>
        <w:rPr>
          <w:rFonts w:ascii="Cambria" w:hAnsi="Cambria"/>
          <w:sz w:val="21"/>
          <w:szCs w:val="21"/>
        </w:rPr>
        <w:t xml:space="preserve">for the objective </w:t>
      </w:r>
      <w:r w:rsidR="004A42A4">
        <w:rPr>
          <w:rFonts w:ascii="Cambria" w:hAnsi="Cambria"/>
          <w:sz w:val="21"/>
          <w:szCs w:val="21"/>
        </w:rPr>
        <w:t xml:space="preserve">that </w:t>
      </w:r>
      <w:r w:rsidR="0006503D">
        <w:rPr>
          <w:rFonts w:ascii="Cambria" w:hAnsi="Cambria"/>
          <w:sz w:val="21"/>
          <w:szCs w:val="21"/>
        </w:rPr>
        <w:t>neither requires, nor precludes, the strategic</w:t>
      </w:r>
      <w:r>
        <w:rPr>
          <w:rFonts w:ascii="Cambria" w:hAnsi="Cambria"/>
          <w:sz w:val="21"/>
          <w:szCs w:val="21"/>
        </w:rPr>
        <w:t xml:space="preserve"> </w:t>
      </w:r>
      <w:r w:rsidR="0006503D">
        <w:rPr>
          <w:rFonts w:ascii="Cambria" w:hAnsi="Cambria"/>
          <w:sz w:val="21"/>
          <w:szCs w:val="21"/>
        </w:rPr>
        <w:t xml:space="preserve">research </w:t>
      </w:r>
      <w:r>
        <w:rPr>
          <w:rFonts w:ascii="Cambria" w:hAnsi="Cambria"/>
          <w:sz w:val="21"/>
          <w:szCs w:val="21"/>
        </w:rPr>
        <w:t>contributin</w:t>
      </w:r>
      <w:r w:rsidR="0006503D">
        <w:rPr>
          <w:rFonts w:ascii="Cambria" w:hAnsi="Cambria"/>
          <w:sz w:val="21"/>
          <w:szCs w:val="21"/>
        </w:rPr>
        <w:t xml:space="preserve">g </w:t>
      </w:r>
      <w:r>
        <w:rPr>
          <w:rFonts w:ascii="Cambria" w:hAnsi="Cambria"/>
          <w:sz w:val="21"/>
          <w:szCs w:val="21"/>
        </w:rPr>
        <w:t>to</w:t>
      </w:r>
      <w:r w:rsidR="007B6F97">
        <w:rPr>
          <w:rFonts w:ascii="Cambria" w:hAnsi="Cambria"/>
          <w:sz w:val="21"/>
          <w:szCs w:val="21"/>
        </w:rPr>
        <w:t xml:space="preserve"> activity selection.</w:t>
      </w:r>
    </w:p>
    <w:p w14:paraId="0929B0FE" w14:textId="77777777" w:rsidR="000349CA" w:rsidRDefault="000349CA" w:rsidP="00163DB2">
      <w:pPr>
        <w:ind w:right="33"/>
        <w:jc w:val="both"/>
        <w:rPr>
          <w:rFonts w:ascii="Cambria" w:hAnsi="Cambria"/>
          <w:sz w:val="21"/>
          <w:szCs w:val="21"/>
        </w:rPr>
      </w:pPr>
    </w:p>
    <w:p w14:paraId="61963E3F" w14:textId="739C693D" w:rsidR="005D1C61" w:rsidRDefault="0006503D" w:rsidP="00163DB2">
      <w:pPr>
        <w:ind w:right="33"/>
        <w:jc w:val="both"/>
        <w:rPr>
          <w:rFonts w:ascii="Cambria" w:hAnsi="Cambria"/>
          <w:sz w:val="21"/>
          <w:szCs w:val="21"/>
        </w:rPr>
      </w:pPr>
      <w:r>
        <w:rPr>
          <w:rFonts w:ascii="Cambria" w:hAnsi="Cambria"/>
          <w:sz w:val="21"/>
          <w:szCs w:val="21"/>
        </w:rPr>
        <w:t xml:space="preserve">Assessed in this way, progress to date has been </w:t>
      </w:r>
      <w:r w:rsidR="00082AFF">
        <w:rPr>
          <w:rFonts w:ascii="Cambria" w:hAnsi="Cambria"/>
          <w:sz w:val="21"/>
          <w:szCs w:val="21"/>
        </w:rPr>
        <w:t>un</w:t>
      </w:r>
      <w:r>
        <w:rPr>
          <w:rFonts w:ascii="Cambria" w:hAnsi="Cambria"/>
          <w:sz w:val="21"/>
          <w:szCs w:val="21"/>
        </w:rPr>
        <w:t xml:space="preserve">even.  </w:t>
      </w:r>
      <w:r w:rsidR="008D3B2E" w:rsidRPr="00CB305F">
        <w:rPr>
          <w:rFonts w:ascii="Cambria" w:hAnsi="Cambria"/>
          <w:sz w:val="21"/>
          <w:szCs w:val="21"/>
        </w:rPr>
        <w:t xml:space="preserve">In Thailand’s case, </w:t>
      </w:r>
      <w:r w:rsidR="004B02E2" w:rsidRPr="00CB305F">
        <w:rPr>
          <w:rFonts w:ascii="Cambria" w:hAnsi="Cambria"/>
          <w:sz w:val="21"/>
          <w:szCs w:val="21"/>
        </w:rPr>
        <w:t xml:space="preserve">TAF understood </w:t>
      </w:r>
      <w:r w:rsidR="00FA0230">
        <w:rPr>
          <w:rFonts w:ascii="Cambria" w:hAnsi="Cambria"/>
          <w:sz w:val="21"/>
          <w:szCs w:val="21"/>
        </w:rPr>
        <w:t xml:space="preserve">the strategic intent of </w:t>
      </w:r>
      <w:r w:rsidR="004B02E2" w:rsidRPr="00CB305F">
        <w:rPr>
          <w:rFonts w:ascii="Cambria" w:hAnsi="Cambria"/>
          <w:sz w:val="21"/>
          <w:szCs w:val="21"/>
        </w:rPr>
        <w:t>what DFAT wanted</w:t>
      </w:r>
      <w:r w:rsidR="007467AE" w:rsidRPr="00CB305F">
        <w:rPr>
          <w:rFonts w:ascii="Cambria" w:hAnsi="Cambria"/>
          <w:sz w:val="21"/>
          <w:szCs w:val="21"/>
        </w:rPr>
        <w:t>,</w:t>
      </w:r>
      <w:r w:rsidR="004B02E2" w:rsidRPr="00CB305F">
        <w:rPr>
          <w:rFonts w:ascii="Cambria" w:hAnsi="Cambria"/>
          <w:sz w:val="21"/>
          <w:szCs w:val="21"/>
        </w:rPr>
        <w:t xml:space="preserve"> but </w:t>
      </w:r>
      <w:r w:rsidR="007B6F97">
        <w:rPr>
          <w:rFonts w:ascii="Cambria" w:hAnsi="Cambria"/>
          <w:sz w:val="21"/>
          <w:szCs w:val="21"/>
        </w:rPr>
        <w:t xml:space="preserve">has </w:t>
      </w:r>
      <w:r w:rsidR="004B02E2" w:rsidRPr="00CB305F">
        <w:rPr>
          <w:rFonts w:ascii="Cambria" w:hAnsi="Cambria"/>
          <w:sz w:val="21"/>
          <w:szCs w:val="21"/>
        </w:rPr>
        <w:t>struggled to produce it, with a comprehensive diagnostic report needing to be sep</w:t>
      </w:r>
      <w:r w:rsidR="00CF6306">
        <w:rPr>
          <w:rFonts w:ascii="Cambria" w:hAnsi="Cambria"/>
          <w:sz w:val="21"/>
          <w:szCs w:val="21"/>
        </w:rPr>
        <w:t>a</w:t>
      </w:r>
      <w:r w:rsidR="004B02E2" w:rsidRPr="00CB305F">
        <w:rPr>
          <w:rFonts w:ascii="Cambria" w:hAnsi="Cambria"/>
          <w:sz w:val="21"/>
          <w:szCs w:val="21"/>
        </w:rPr>
        <w:t>rated into different products and go through multiple rounds of refinement that were not originally envisaged.  The product is reported</w:t>
      </w:r>
      <w:r w:rsidR="003E47CB" w:rsidRPr="00CB305F">
        <w:rPr>
          <w:rFonts w:ascii="Cambria" w:hAnsi="Cambria"/>
          <w:sz w:val="21"/>
          <w:szCs w:val="21"/>
        </w:rPr>
        <w:t>ly</w:t>
      </w:r>
      <w:r w:rsidR="004B02E2" w:rsidRPr="00CB305F">
        <w:rPr>
          <w:rFonts w:ascii="Cambria" w:hAnsi="Cambria"/>
          <w:sz w:val="21"/>
          <w:szCs w:val="21"/>
        </w:rPr>
        <w:t xml:space="preserve"> nearing completion</w:t>
      </w:r>
      <w:r w:rsidR="00E37067" w:rsidRPr="00CB305F">
        <w:rPr>
          <w:rFonts w:ascii="Cambria" w:hAnsi="Cambria"/>
          <w:sz w:val="21"/>
          <w:szCs w:val="21"/>
        </w:rPr>
        <w:t>.  It may play a useful role in</w:t>
      </w:r>
      <w:r w:rsidR="00A00BED" w:rsidRPr="00CB305F">
        <w:rPr>
          <w:rFonts w:ascii="Cambria" w:hAnsi="Cambria"/>
          <w:sz w:val="21"/>
          <w:szCs w:val="21"/>
        </w:rPr>
        <w:t xml:space="preserve"> </w:t>
      </w:r>
      <w:r w:rsidR="00E37067" w:rsidRPr="00CB305F">
        <w:rPr>
          <w:rFonts w:ascii="Cambria" w:hAnsi="Cambria"/>
          <w:sz w:val="21"/>
          <w:szCs w:val="21"/>
        </w:rPr>
        <w:t>looking at Thailand’s</w:t>
      </w:r>
      <w:r w:rsidR="006777F1">
        <w:rPr>
          <w:rFonts w:ascii="Cambria" w:hAnsi="Cambria"/>
          <w:sz w:val="21"/>
          <w:szCs w:val="21"/>
        </w:rPr>
        <w:t xml:space="preserve"> </w:t>
      </w:r>
      <w:r w:rsidR="00E37067" w:rsidRPr="00CB305F">
        <w:rPr>
          <w:rFonts w:ascii="Cambria" w:hAnsi="Cambria"/>
          <w:sz w:val="21"/>
          <w:szCs w:val="21"/>
        </w:rPr>
        <w:t>development trajectory, post-</w:t>
      </w:r>
      <w:r w:rsidR="00254CE8">
        <w:rPr>
          <w:rFonts w:ascii="Cambria" w:hAnsi="Cambria"/>
          <w:sz w:val="21"/>
          <w:szCs w:val="21"/>
        </w:rPr>
        <w:t>C</w:t>
      </w:r>
      <w:r w:rsidR="00254CE8" w:rsidRPr="00CB305F">
        <w:rPr>
          <w:rFonts w:ascii="Cambria" w:hAnsi="Cambria"/>
          <w:sz w:val="21"/>
          <w:szCs w:val="21"/>
        </w:rPr>
        <w:t>ovid</w:t>
      </w:r>
      <w:r w:rsidR="00254CE8">
        <w:rPr>
          <w:rFonts w:ascii="Cambria" w:hAnsi="Cambria"/>
          <w:sz w:val="21"/>
          <w:szCs w:val="21"/>
        </w:rPr>
        <w:t xml:space="preserve"> </w:t>
      </w:r>
      <w:r w:rsidR="006777F1">
        <w:rPr>
          <w:rFonts w:ascii="Cambria" w:hAnsi="Cambria"/>
          <w:sz w:val="21"/>
          <w:szCs w:val="21"/>
        </w:rPr>
        <w:t>and open-up new opportunities for policy dialogue</w:t>
      </w:r>
      <w:r w:rsidR="007B6F97">
        <w:rPr>
          <w:rFonts w:ascii="Cambria" w:hAnsi="Cambria"/>
          <w:sz w:val="21"/>
          <w:szCs w:val="21"/>
        </w:rPr>
        <w:t xml:space="preserve">.  While currently </w:t>
      </w:r>
      <w:r>
        <w:rPr>
          <w:rFonts w:ascii="Cambria" w:hAnsi="Cambria"/>
          <w:sz w:val="21"/>
          <w:szCs w:val="21"/>
        </w:rPr>
        <w:t xml:space="preserve">performance is </w:t>
      </w:r>
      <w:r w:rsidR="007B6F97">
        <w:rPr>
          <w:rFonts w:ascii="Cambria" w:hAnsi="Cambria"/>
          <w:sz w:val="21"/>
          <w:szCs w:val="21"/>
        </w:rPr>
        <w:t>rated red, the original objective may be fully realised by the end of the program.</w:t>
      </w:r>
    </w:p>
    <w:p w14:paraId="0DE79220" w14:textId="77777777" w:rsidR="005D1C61" w:rsidRDefault="005D1C61" w:rsidP="00163DB2">
      <w:pPr>
        <w:ind w:right="33"/>
        <w:jc w:val="both"/>
        <w:rPr>
          <w:rFonts w:ascii="Cambria" w:hAnsi="Cambria"/>
          <w:sz w:val="21"/>
          <w:szCs w:val="21"/>
        </w:rPr>
      </w:pPr>
    </w:p>
    <w:p w14:paraId="013DEFC4" w14:textId="3712F404" w:rsidR="00653C91" w:rsidRPr="00CB305F" w:rsidRDefault="00653C91" w:rsidP="00653C91">
      <w:pPr>
        <w:ind w:right="33"/>
        <w:jc w:val="both"/>
        <w:rPr>
          <w:rFonts w:ascii="Cambria" w:hAnsi="Cambria"/>
          <w:sz w:val="21"/>
          <w:szCs w:val="21"/>
        </w:rPr>
      </w:pPr>
      <w:r w:rsidRPr="00CB305F">
        <w:rPr>
          <w:rFonts w:ascii="Cambria" w:hAnsi="Cambria"/>
          <w:sz w:val="21"/>
          <w:szCs w:val="21"/>
        </w:rPr>
        <w:t>In retrospect, the evaluation wonders whether for such a small, short program, t</w:t>
      </w:r>
      <w:r>
        <w:rPr>
          <w:rFonts w:ascii="Cambria" w:hAnsi="Cambria"/>
          <w:sz w:val="21"/>
          <w:szCs w:val="21"/>
        </w:rPr>
        <w:t xml:space="preserve">he strategic element of the </w:t>
      </w:r>
      <w:r w:rsidRPr="00CB305F">
        <w:rPr>
          <w:rFonts w:ascii="Cambria" w:hAnsi="Cambria"/>
          <w:sz w:val="21"/>
          <w:szCs w:val="21"/>
        </w:rPr>
        <w:t xml:space="preserve">objective </w:t>
      </w:r>
      <w:r>
        <w:rPr>
          <w:rFonts w:ascii="Cambria" w:hAnsi="Cambria"/>
          <w:sz w:val="21"/>
          <w:szCs w:val="21"/>
        </w:rPr>
        <w:t>was</w:t>
      </w:r>
      <w:r w:rsidRPr="00CB305F">
        <w:rPr>
          <w:rFonts w:ascii="Cambria" w:hAnsi="Cambria"/>
          <w:sz w:val="21"/>
          <w:szCs w:val="21"/>
        </w:rPr>
        <w:t xml:space="preserve"> too ambitious</w:t>
      </w:r>
      <w:r>
        <w:rPr>
          <w:rFonts w:ascii="Cambria" w:hAnsi="Cambria"/>
          <w:sz w:val="21"/>
          <w:szCs w:val="21"/>
        </w:rPr>
        <w:t xml:space="preserve">. </w:t>
      </w:r>
      <w:r w:rsidR="00FA0230">
        <w:rPr>
          <w:rFonts w:ascii="Cambria" w:hAnsi="Cambria"/>
          <w:sz w:val="21"/>
          <w:szCs w:val="21"/>
        </w:rPr>
        <w:t xml:space="preserve"> </w:t>
      </w:r>
      <w:r w:rsidRPr="00CB305F">
        <w:rPr>
          <w:rFonts w:ascii="Cambria" w:hAnsi="Cambria"/>
          <w:sz w:val="21"/>
          <w:szCs w:val="21"/>
        </w:rPr>
        <w:t>Done properly, to provide the sort of wide and deep intellectual base envisaged</w:t>
      </w:r>
      <w:r w:rsidR="004A42A4">
        <w:rPr>
          <w:rFonts w:ascii="Cambria" w:hAnsi="Cambria"/>
          <w:sz w:val="21"/>
          <w:szCs w:val="21"/>
        </w:rPr>
        <w:t xml:space="preserve"> in Thailand</w:t>
      </w:r>
      <w:r w:rsidRPr="00CB305F">
        <w:rPr>
          <w:rFonts w:ascii="Cambria" w:hAnsi="Cambria"/>
          <w:sz w:val="21"/>
          <w:szCs w:val="21"/>
        </w:rPr>
        <w:t xml:space="preserve">, the diagnostic work would have required several months work by a team of excellent analysts with deep understanding at the country level and an appreciation of Australian policies and interests.  These requirements were not </w:t>
      </w:r>
      <w:r>
        <w:rPr>
          <w:rFonts w:ascii="Cambria" w:hAnsi="Cambria"/>
          <w:sz w:val="21"/>
          <w:szCs w:val="21"/>
        </w:rPr>
        <w:t xml:space="preserve">clearly </w:t>
      </w:r>
      <w:r w:rsidRPr="00CB305F">
        <w:rPr>
          <w:rFonts w:ascii="Cambria" w:hAnsi="Cambria"/>
          <w:sz w:val="21"/>
          <w:szCs w:val="21"/>
        </w:rPr>
        <w:t>specified</w:t>
      </w:r>
      <w:r>
        <w:rPr>
          <w:rFonts w:ascii="Cambria" w:hAnsi="Cambria"/>
          <w:sz w:val="21"/>
          <w:szCs w:val="21"/>
        </w:rPr>
        <w:t xml:space="preserve"> or </w:t>
      </w:r>
      <w:r w:rsidRPr="00CB305F">
        <w:rPr>
          <w:rFonts w:ascii="Cambria" w:hAnsi="Cambria"/>
          <w:sz w:val="21"/>
          <w:szCs w:val="21"/>
        </w:rPr>
        <w:t>resourced.  A more pragmatic approach might have been to produce shorter, strategic assessments</w:t>
      </w:r>
      <w:r>
        <w:rPr>
          <w:rFonts w:ascii="Cambria" w:hAnsi="Cambria"/>
          <w:sz w:val="21"/>
          <w:szCs w:val="21"/>
        </w:rPr>
        <w:t>,</w:t>
      </w:r>
      <w:r w:rsidRPr="00CB305F">
        <w:rPr>
          <w:rFonts w:ascii="Cambria" w:hAnsi="Cambria"/>
          <w:sz w:val="21"/>
          <w:szCs w:val="21"/>
        </w:rPr>
        <w:t xml:space="preserve"> using existing, secondary sources.</w:t>
      </w:r>
      <w:r>
        <w:rPr>
          <w:rFonts w:ascii="Cambria" w:hAnsi="Cambria"/>
          <w:sz w:val="21"/>
          <w:szCs w:val="21"/>
        </w:rPr>
        <w:t xml:space="preserve">  </w:t>
      </w:r>
      <w:r w:rsidRPr="00CB305F">
        <w:rPr>
          <w:rFonts w:ascii="Cambria" w:hAnsi="Cambria"/>
          <w:sz w:val="21"/>
          <w:szCs w:val="21"/>
        </w:rPr>
        <w:t xml:space="preserve"> </w:t>
      </w:r>
      <w:r>
        <w:rPr>
          <w:rFonts w:ascii="Cambria" w:hAnsi="Cambria"/>
          <w:sz w:val="21"/>
          <w:szCs w:val="21"/>
        </w:rPr>
        <w:t>This was DFAT’s inten</w:t>
      </w:r>
      <w:r w:rsidR="00FA0230">
        <w:rPr>
          <w:rFonts w:ascii="Cambria" w:hAnsi="Cambria"/>
          <w:sz w:val="21"/>
          <w:szCs w:val="21"/>
        </w:rPr>
        <w:t>ded approach</w:t>
      </w:r>
      <w:r>
        <w:rPr>
          <w:rFonts w:ascii="Cambria" w:hAnsi="Cambria"/>
          <w:sz w:val="21"/>
          <w:szCs w:val="21"/>
        </w:rPr>
        <w:t xml:space="preserve"> in Malaysia.</w:t>
      </w:r>
      <w:r w:rsidRPr="00CB305F">
        <w:rPr>
          <w:rFonts w:ascii="Cambria" w:hAnsi="Cambria"/>
          <w:sz w:val="21"/>
          <w:szCs w:val="21"/>
        </w:rPr>
        <w:t xml:space="preserve"> </w:t>
      </w:r>
    </w:p>
    <w:p w14:paraId="280920D9" w14:textId="77777777" w:rsidR="00653C91" w:rsidRDefault="00653C91" w:rsidP="00163DB2">
      <w:pPr>
        <w:ind w:right="33"/>
        <w:jc w:val="both"/>
        <w:rPr>
          <w:rFonts w:ascii="Cambria" w:hAnsi="Cambria"/>
          <w:sz w:val="21"/>
          <w:szCs w:val="21"/>
        </w:rPr>
      </w:pPr>
    </w:p>
    <w:p w14:paraId="50FD7FCA" w14:textId="735644D3" w:rsidR="007467AE" w:rsidRDefault="003E47CB" w:rsidP="00163DB2">
      <w:pPr>
        <w:ind w:right="33"/>
        <w:jc w:val="both"/>
        <w:rPr>
          <w:rFonts w:ascii="Cambria" w:hAnsi="Cambria"/>
          <w:sz w:val="21"/>
          <w:szCs w:val="21"/>
        </w:rPr>
      </w:pPr>
      <w:r w:rsidRPr="00CB305F">
        <w:rPr>
          <w:rFonts w:ascii="Cambria" w:hAnsi="Cambria"/>
          <w:sz w:val="21"/>
          <w:szCs w:val="21"/>
        </w:rPr>
        <w:t>DFAT expect</w:t>
      </w:r>
      <w:r w:rsidR="00653C91">
        <w:rPr>
          <w:rFonts w:ascii="Cambria" w:hAnsi="Cambria"/>
          <w:sz w:val="21"/>
          <w:szCs w:val="21"/>
        </w:rPr>
        <w:t>ed</w:t>
      </w:r>
      <w:r w:rsidRPr="00CB305F">
        <w:rPr>
          <w:rFonts w:ascii="Cambria" w:hAnsi="Cambria"/>
          <w:sz w:val="21"/>
          <w:szCs w:val="21"/>
        </w:rPr>
        <w:t xml:space="preserve"> wide and deep surveying of the areas already identified as prospective for MTRP initiatives</w:t>
      </w:r>
      <w:r w:rsidR="00FA0230">
        <w:rPr>
          <w:rFonts w:ascii="Cambria" w:hAnsi="Cambria"/>
          <w:sz w:val="21"/>
          <w:szCs w:val="21"/>
        </w:rPr>
        <w:t xml:space="preserve"> in Malaysia</w:t>
      </w:r>
      <w:r w:rsidRPr="00CB305F">
        <w:rPr>
          <w:rFonts w:ascii="Cambria" w:hAnsi="Cambria"/>
          <w:sz w:val="21"/>
          <w:szCs w:val="21"/>
        </w:rPr>
        <w:t xml:space="preserve">.  TAF </w:t>
      </w:r>
      <w:r w:rsidR="00152B14">
        <w:rPr>
          <w:rFonts w:ascii="Cambria" w:hAnsi="Cambria"/>
          <w:sz w:val="21"/>
          <w:szCs w:val="21"/>
        </w:rPr>
        <w:t xml:space="preserve">KL </w:t>
      </w:r>
      <w:r w:rsidRPr="00CB305F">
        <w:rPr>
          <w:rFonts w:ascii="Cambria" w:hAnsi="Cambria"/>
          <w:sz w:val="21"/>
          <w:szCs w:val="21"/>
        </w:rPr>
        <w:t xml:space="preserve">on the other hand </w:t>
      </w:r>
      <w:r w:rsidR="002D5078">
        <w:rPr>
          <w:rFonts w:ascii="Cambria" w:hAnsi="Cambria"/>
          <w:sz w:val="21"/>
          <w:szCs w:val="21"/>
        </w:rPr>
        <w:t>judged</w:t>
      </w:r>
      <w:r w:rsidR="00EC7051">
        <w:rPr>
          <w:rFonts w:ascii="Cambria" w:hAnsi="Cambria"/>
          <w:sz w:val="21"/>
          <w:szCs w:val="21"/>
        </w:rPr>
        <w:t xml:space="preserve"> that that there was no shortage of diagnostic products and that they needed to move forward quickly to </w:t>
      </w:r>
      <w:r w:rsidRPr="00CB305F">
        <w:rPr>
          <w:rFonts w:ascii="Cambria" w:hAnsi="Cambria"/>
          <w:sz w:val="21"/>
          <w:szCs w:val="21"/>
        </w:rPr>
        <w:t>scop</w:t>
      </w:r>
      <w:r w:rsidR="00EC7051">
        <w:rPr>
          <w:rFonts w:ascii="Cambria" w:hAnsi="Cambria"/>
          <w:sz w:val="21"/>
          <w:szCs w:val="21"/>
        </w:rPr>
        <w:t xml:space="preserve">e </w:t>
      </w:r>
      <w:r w:rsidR="00CF6306">
        <w:rPr>
          <w:rFonts w:ascii="Cambria" w:hAnsi="Cambria"/>
          <w:sz w:val="21"/>
          <w:szCs w:val="21"/>
        </w:rPr>
        <w:t xml:space="preserve">particular </w:t>
      </w:r>
      <w:r w:rsidRPr="00CB305F">
        <w:rPr>
          <w:rFonts w:ascii="Cambria" w:hAnsi="Cambria"/>
          <w:sz w:val="21"/>
          <w:szCs w:val="21"/>
        </w:rPr>
        <w:t xml:space="preserve">initiatives. </w:t>
      </w:r>
      <w:r w:rsidR="00653C91">
        <w:rPr>
          <w:rFonts w:ascii="Cambria" w:hAnsi="Cambria"/>
          <w:sz w:val="21"/>
          <w:szCs w:val="21"/>
        </w:rPr>
        <w:t xml:space="preserve">It is not clear why </w:t>
      </w:r>
      <w:r w:rsidR="00FA0230">
        <w:rPr>
          <w:rFonts w:ascii="Cambria" w:hAnsi="Cambria"/>
          <w:sz w:val="21"/>
          <w:szCs w:val="21"/>
        </w:rPr>
        <w:t>such</w:t>
      </w:r>
      <w:r w:rsidR="00653C91">
        <w:rPr>
          <w:rFonts w:ascii="Cambria" w:hAnsi="Cambria"/>
          <w:sz w:val="21"/>
          <w:szCs w:val="21"/>
        </w:rPr>
        <w:t xml:space="preserve"> different expectations persisted</w:t>
      </w:r>
      <w:r w:rsidR="004A42A4">
        <w:rPr>
          <w:rFonts w:ascii="Cambria" w:hAnsi="Cambria"/>
          <w:sz w:val="21"/>
          <w:szCs w:val="21"/>
        </w:rPr>
        <w:t xml:space="preserve">, but it does point to communication issues, </w:t>
      </w:r>
      <w:r w:rsidR="0006503D">
        <w:rPr>
          <w:rFonts w:ascii="Cambria" w:hAnsi="Cambria"/>
          <w:sz w:val="21"/>
          <w:szCs w:val="21"/>
        </w:rPr>
        <w:t>particularly on the ground</w:t>
      </w:r>
      <w:r w:rsidR="00653C91">
        <w:rPr>
          <w:rFonts w:ascii="Cambria" w:hAnsi="Cambria"/>
          <w:sz w:val="21"/>
          <w:szCs w:val="21"/>
        </w:rPr>
        <w:t xml:space="preserve">.  </w:t>
      </w:r>
      <w:r w:rsidRPr="00CB305F">
        <w:rPr>
          <w:rFonts w:ascii="Cambria" w:hAnsi="Cambria"/>
          <w:sz w:val="21"/>
          <w:szCs w:val="21"/>
        </w:rPr>
        <w:t xml:space="preserve">The mismatch ultimately led to DFAT </w:t>
      </w:r>
      <w:r w:rsidR="00D70AC6">
        <w:rPr>
          <w:rFonts w:ascii="Cambria" w:hAnsi="Cambria"/>
          <w:sz w:val="21"/>
          <w:szCs w:val="21"/>
        </w:rPr>
        <w:t>pausing</w:t>
      </w:r>
      <w:r w:rsidRPr="00CB305F">
        <w:rPr>
          <w:rFonts w:ascii="Cambria" w:hAnsi="Cambria"/>
          <w:sz w:val="21"/>
          <w:szCs w:val="21"/>
        </w:rPr>
        <w:t xml:space="preserve"> the ‘sector studies</w:t>
      </w:r>
      <w:r w:rsidR="00701858">
        <w:rPr>
          <w:rFonts w:ascii="Cambria" w:hAnsi="Cambria"/>
          <w:sz w:val="21"/>
          <w:szCs w:val="21"/>
        </w:rPr>
        <w:t>’</w:t>
      </w:r>
      <w:r w:rsidR="00653C91">
        <w:rPr>
          <w:rFonts w:ascii="Cambria" w:hAnsi="Cambria"/>
          <w:sz w:val="21"/>
          <w:szCs w:val="21"/>
        </w:rPr>
        <w:t xml:space="preserve"> while flagging a possible </w:t>
      </w:r>
      <w:r w:rsidR="00D70AC6">
        <w:rPr>
          <w:rFonts w:ascii="Cambria" w:hAnsi="Cambria"/>
          <w:sz w:val="21"/>
          <w:szCs w:val="21"/>
        </w:rPr>
        <w:t xml:space="preserve">return to </w:t>
      </w:r>
      <w:r w:rsidR="00701858">
        <w:rPr>
          <w:rFonts w:ascii="Cambria" w:hAnsi="Cambria"/>
          <w:sz w:val="21"/>
          <w:szCs w:val="21"/>
        </w:rPr>
        <w:t xml:space="preserve">diagnostic work </w:t>
      </w:r>
      <w:r w:rsidR="002D5078">
        <w:rPr>
          <w:rFonts w:ascii="Cambria" w:hAnsi="Cambria"/>
          <w:sz w:val="21"/>
          <w:szCs w:val="21"/>
        </w:rPr>
        <w:t>in future</w:t>
      </w:r>
      <w:r w:rsidR="00701858">
        <w:rPr>
          <w:rFonts w:ascii="Cambria" w:hAnsi="Cambria"/>
          <w:sz w:val="21"/>
          <w:szCs w:val="21"/>
        </w:rPr>
        <w:t>.</w:t>
      </w:r>
      <w:r w:rsidRPr="00CB305F">
        <w:rPr>
          <w:rFonts w:ascii="Cambria" w:hAnsi="Cambria"/>
          <w:sz w:val="21"/>
          <w:szCs w:val="21"/>
        </w:rPr>
        <w:t xml:space="preserve">  </w:t>
      </w:r>
      <w:r w:rsidR="00653C91">
        <w:rPr>
          <w:rFonts w:ascii="Cambria" w:hAnsi="Cambria"/>
          <w:sz w:val="21"/>
          <w:szCs w:val="21"/>
        </w:rPr>
        <w:t xml:space="preserve">As </w:t>
      </w:r>
      <w:r w:rsidR="00EC7051">
        <w:rPr>
          <w:rFonts w:ascii="Cambria" w:hAnsi="Cambria"/>
          <w:sz w:val="21"/>
          <w:szCs w:val="21"/>
        </w:rPr>
        <w:t>DFAT’s</w:t>
      </w:r>
      <w:r w:rsidR="00653C91">
        <w:rPr>
          <w:rFonts w:ascii="Cambria" w:hAnsi="Cambria"/>
          <w:sz w:val="21"/>
          <w:szCs w:val="21"/>
        </w:rPr>
        <w:t xml:space="preserve"> original intent has not been </w:t>
      </w:r>
      <w:r w:rsidR="004A42A4">
        <w:rPr>
          <w:rFonts w:ascii="Cambria" w:hAnsi="Cambria"/>
          <w:sz w:val="21"/>
          <w:szCs w:val="21"/>
        </w:rPr>
        <w:t xml:space="preserve">- </w:t>
      </w:r>
      <w:r w:rsidR="00653C91">
        <w:rPr>
          <w:rFonts w:ascii="Cambria" w:hAnsi="Cambria"/>
          <w:sz w:val="21"/>
          <w:szCs w:val="21"/>
        </w:rPr>
        <w:t>and will not be realised</w:t>
      </w:r>
      <w:r w:rsidR="004A42A4">
        <w:rPr>
          <w:rFonts w:ascii="Cambria" w:hAnsi="Cambria"/>
          <w:sz w:val="21"/>
          <w:szCs w:val="21"/>
        </w:rPr>
        <w:t xml:space="preserve"> - </w:t>
      </w:r>
      <w:r w:rsidR="00653C91">
        <w:rPr>
          <w:rFonts w:ascii="Cambria" w:hAnsi="Cambria"/>
          <w:sz w:val="21"/>
          <w:szCs w:val="21"/>
        </w:rPr>
        <w:t xml:space="preserve">the assessment is red.   However, </w:t>
      </w:r>
      <w:r w:rsidR="0006503D">
        <w:rPr>
          <w:rFonts w:ascii="Cambria" w:hAnsi="Cambria"/>
          <w:sz w:val="21"/>
          <w:szCs w:val="21"/>
        </w:rPr>
        <w:t>other</w:t>
      </w:r>
      <w:r w:rsidR="00653C91">
        <w:rPr>
          <w:rFonts w:ascii="Cambria" w:hAnsi="Cambria"/>
          <w:sz w:val="21"/>
          <w:szCs w:val="21"/>
        </w:rPr>
        <w:t xml:space="preserve"> w</w:t>
      </w:r>
      <w:r w:rsidR="00653C91" w:rsidRPr="00CB305F">
        <w:rPr>
          <w:rFonts w:ascii="Cambria" w:hAnsi="Cambria"/>
          <w:sz w:val="21"/>
          <w:szCs w:val="21"/>
        </w:rPr>
        <w:t xml:space="preserve">ork has continued </w:t>
      </w:r>
      <w:r w:rsidR="004A42A4">
        <w:rPr>
          <w:rFonts w:ascii="Cambria" w:hAnsi="Cambria"/>
          <w:sz w:val="21"/>
          <w:szCs w:val="21"/>
        </w:rPr>
        <w:t xml:space="preserve">to </w:t>
      </w:r>
      <w:r w:rsidR="00BD6C7E">
        <w:rPr>
          <w:rFonts w:ascii="Cambria" w:hAnsi="Cambria"/>
          <w:sz w:val="21"/>
          <w:szCs w:val="21"/>
        </w:rPr>
        <w:t xml:space="preserve">try to </w:t>
      </w:r>
      <w:r w:rsidR="00653C91" w:rsidRPr="00CB305F">
        <w:rPr>
          <w:rFonts w:ascii="Cambria" w:hAnsi="Cambria"/>
          <w:sz w:val="21"/>
          <w:szCs w:val="21"/>
        </w:rPr>
        <w:t xml:space="preserve">provide a sound foundation for the initiatives.  A major child care country case study has already been produced and an in-depth study of the TVET sector is about to be produced.  </w:t>
      </w:r>
      <w:r w:rsidR="00653C91">
        <w:rPr>
          <w:rFonts w:ascii="Cambria" w:hAnsi="Cambria"/>
          <w:sz w:val="21"/>
          <w:szCs w:val="21"/>
        </w:rPr>
        <w:t xml:space="preserve">These </w:t>
      </w:r>
      <w:r w:rsidR="0006503D">
        <w:rPr>
          <w:rFonts w:ascii="Cambria" w:hAnsi="Cambria"/>
          <w:sz w:val="21"/>
          <w:szCs w:val="21"/>
        </w:rPr>
        <w:t xml:space="preserve">and other </w:t>
      </w:r>
      <w:r w:rsidR="00653C91">
        <w:rPr>
          <w:rFonts w:ascii="Cambria" w:hAnsi="Cambria"/>
          <w:sz w:val="21"/>
          <w:szCs w:val="21"/>
        </w:rPr>
        <w:t>materials may improve performance against this objective by the end of the program.</w:t>
      </w:r>
    </w:p>
    <w:p w14:paraId="5DD7E561" w14:textId="77777777" w:rsidR="007467AE" w:rsidRPr="00CB305F" w:rsidRDefault="007467AE" w:rsidP="00163DB2">
      <w:pPr>
        <w:ind w:right="33"/>
        <w:jc w:val="both"/>
        <w:rPr>
          <w:rFonts w:ascii="Cambria" w:hAnsi="Cambria"/>
          <w:sz w:val="21"/>
          <w:szCs w:val="21"/>
        </w:rPr>
      </w:pPr>
    </w:p>
    <w:p w14:paraId="1691A0D0" w14:textId="3AA0A3BB" w:rsidR="002D5078" w:rsidRDefault="002D5078" w:rsidP="002D5078">
      <w:pPr>
        <w:ind w:right="33"/>
        <w:jc w:val="both"/>
        <w:rPr>
          <w:rFonts w:ascii="Cambria" w:hAnsi="Cambria"/>
          <w:sz w:val="21"/>
          <w:szCs w:val="21"/>
        </w:rPr>
      </w:pPr>
      <w:r>
        <w:rPr>
          <w:rFonts w:ascii="Cambria" w:hAnsi="Cambria"/>
          <w:sz w:val="21"/>
          <w:szCs w:val="21"/>
        </w:rPr>
        <w:t>O</w:t>
      </w:r>
      <w:r w:rsidR="00653C91">
        <w:rPr>
          <w:rFonts w:ascii="Cambria" w:hAnsi="Cambria"/>
          <w:sz w:val="21"/>
          <w:szCs w:val="21"/>
        </w:rPr>
        <w:t>verall</w:t>
      </w:r>
      <w:r w:rsidR="007467AE" w:rsidRPr="00CB305F">
        <w:rPr>
          <w:rFonts w:ascii="Cambria" w:hAnsi="Cambria"/>
          <w:sz w:val="21"/>
          <w:szCs w:val="21"/>
        </w:rPr>
        <w:t xml:space="preserve"> </w:t>
      </w:r>
      <w:r w:rsidR="00EC7051">
        <w:rPr>
          <w:rFonts w:ascii="Cambria" w:hAnsi="Cambria"/>
          <w:sz w:val="21"/>
          <w:szCs w:val="21"/>
        </w:rPr>
        <w:t xml:space="preserve">program </w:t>
      </w:r>
      <w:r w:rsidR="007467AE" w:rsidRPr="00CB305F">
        <w:rPr>
          <w:rFonts w:ascii="Cambria" w:hAnsi="Cambria"/>
          <w:sz w:val="21"/>
          <w:szCs w:val="21"/>
        </w:rPr>
        <w:t xml:space="preserve">performance is </w:t>
      </w:r>
      <w:r>
        <w:rPr>
          <w:rFonts w:ascii="Cambria" w:hAnsi="Cambria"/>
          <w:sz w:val="21"/>
          <w:szCs w:val="21"/>
        </w:rPr>
        <w:t xml:space="preserve">currently </w:t>
      </w:r>
      <w:r w:rsidR="007467AE" w:rsidRPr="00CB305F">
        <w:rPr>
          <w:rFonts w:ascii="Cambria" w:hAnsi="Cambria"/>
          <w:sz w:val="21"/>
          <w:szCs w:val="21"/>
        </w:rPr>
        <w:t xml:space="preserve">red.  It is unlikely to become green by the end of the program, but if </w:t>
      </w:r>
      <w:r>
        <w:rPr>
          <w:rFonts w:ascii="Cambria" w:hAnsi="Cambria"/>
          <w:sz w:val="21"/>
          <w:szCs w:val="21"/>
        </w:rPr>
        <w:t xml:space="preserve">pipeline </w:t>
      </w:r>
      <w:r w:rsidR="007467AE" w:rsidRPr="00CB305F">
        <w:rPr>
          <w:rFonts w:ascii="Cambria" w:hAnsi="Cambria"/>
          <w:sz w:val="21"/>
          <w:szCs w:val="21"/>
        </w:rPr>
        <w:t xml:space="preserve">products are high quality and useful for broader purposes, </w:t>
      </w:r>
      <w:r w:rsidR="00653C91">
        <w:rPr>
          <w:rFonts w:ascii="Cambria" w:hAnsi="Cambria"/>
          <w:sz w:val="21"/>
          <w:szCs w:val="21"/>
        </w:rPr>
        <w:t xml:space="preserve">an </w:t>
      </w:r>
      <w:r w:rsidR="005D1C61">
        <w:rPr>
          <w:rFonts w:ascii="Cambria" w:hAnsi="Cambria"/>
          <w:sz w:val="21"/>
          <w:szCs w:val="21"/>
        </w:rPr>
        <w:t xml:space="preserve">amber </w:t>
      </w:r>
      <w:r w:rsidR="00653C91">
        <w:rPr>
          <w:rFonts w:ascii="Cambria" w:hAnsi="Cambria"/>
          <w:sz w:val="21"/>
          <w:szCs w:val="21"/>
        </w:rPr>
        <w:t xml:space="preserve">rating </w:t>
      </w:r>
      <w:r w:rsidR="005D1C61">
        <w:rPr>
          <w:rFonts w:ascii="Cambria" w:hAnsi="Cambria"/>
          <w:sz w:val="21"/>
          <w:szCs w:val="21"/>
        </w:rPr>
        <w:t>may be achiev</w:t>
      </w:r>
      <w:r w:rsidR="00653C91">
        <w:rPr>
          <w:rFonts w:ascii="Cambria" w:hAnsi="Cambria"/>
          <w:sz w:val="21"/>
          <w:szCs w:val="21"/>
        </w:rPr>
        <w:t>able</w:t>
      </w:r>
      <w:r w:rsidR="005D1C61">
        <w:rPr>
          <w:rFonts w:ascii="Cambria" w:hAnsi="Cambria"/>
          <w:sz w:val="21"/>
          <w:szCs w:val="21"/>
        </w:rPr>
        <w:t>.</w:t>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t xml:space="preserve">          </w:t>
      </w:r>
    </w:p>
    <w:p w14:paraId="779D10E0" w14:textId="11FFF279" w:rsidR="007A3FE0" w:rsidRPr="002D5078" w:rsidRDefault="002D5078" w:rsidP="002D5078">
      <w:pPr>
        <w:ind w:left="6480" w:right="33"/>
        <w:jc w:val="both"/>
        <w:rPr>
          <w:rFonts w:ascii="Cambria" w:hAnsi="Cambria"/>
          <w:sz w:val="21"/>
          <w:szCs w:val="21"/>
        </w:rPr>
      </w:pPr>
      <w:r>
        <w:rPr>
          <w:rFonts w:ascii="Cambria" w:hAnsi="Cambria"/>
          <w:sz w:val="21"/>
          <w:szCs w:val="21"/>
        </w:rPr>
        <w:t xml:space="preserve">          </w:t>
      </w:r>
      <w:r w:rsidR="00FC7C74" w:rsidRPr="004031E0">
        <w:rPr>
          <w:rFonts w:ascii="Cambria" w:hAnsi="Cambria"/>
          <w:b/>
          <w:bCs/>
        </w:rPr>
        <w:t>Overall rating</w:t>
      </w:r>
      <w:r w:rsidR="00FC7C74">
        <w:rPr>
          <w:rFonts w:ascii="Cambria" w:hAnsi="Cambria"/>
        </w:rPr>
        <w:t xml:space="preserve">    </w:t>
      </w:r>
      <w:r w:rsidR="00CA3A5B">
        <w:rPr>
          <w:rFonts w:ascii="Cambria" w:hAnsi="Cambria"/>
        </w:rPr>
        <w:t xml:space="preserve">  </w:t>
      </w:r>
      <w:r w:rsidR="00FC7C74">
        <w:rPr>
          <w:rFonts w:ascii="Cambria" w:hAnsi="Cambria"/>
        </w:rPr>
        <w:t xml:space="preserve">          </w:t>
      </w:r>
      <w:r w:rsidR="00FC7C74">
        <w:rPr>
          <w:rFonts w:ascii="Cambria" w:hAnsi="Cambria"/>
          <w:noProof/>
        </w:rPr>
        <w:t xml:space="preserve"> </w:t>
      </w:r>
      <w:r w:rsidR="00FC7C74">
        <w:rPr>
          <w:rFonts w:ascii="Cambria" w:hAnsi="Cambria"/>
          <w:noProof/>
        </w:rPr>
        <w:drawing>
          <wp:inline distT="0" distB="0" distL="0" distR="0" wp14:anchorId="621B4FDC" wp14:editId="3FF45499">
            <wp:extent cx="180000" cy="180000"/>
            <wp:effectExtent l="0" t="0" r="0" b="0"/>
            <wp:docPr id="4" name="Picture 4" descr="Rating Red: Progress less than exp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ating Red: Progress less than expec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04B8A3F1" w14:textId="77777777" w:rsidR="00163DB2" w:rsidRDefault="00163DB2" w:rsidP="00163DB2">
      <w:pPr>
        <w:pStyle w:val="Heading2"/>
        <w:spacing w:before="0"/>
        <w:ind w:right="34"/>
        <w:rPr>
          <w:b/>
          <w:bCs/>
          <w:sz w:val="28"/>
          <w:szCs w:val="28"/>
        </w:rPr>
      </w:pPr>
    </w:p>
    <w:p w14:paraId="4E3FD32A" w14:textId="4A1E3A8A" w:rsidR="009046C7" w:rsidRPr="00CF6306" w:rsidRDefault="00CA3A5B" w:rsidP="00163DB2">
      <w:pPr>
        <w:pStyle w:val="Heading2"/>
        <w:spacing w:before="0"/>
        <w:ind w:right="34"/>
        <w:rPr>
          <w:b/>
          <w:bCs/>
          <w:sz w:val="28"/>
          <w:szCs w:val="28"/>
        </w:rPr>
      </w:pPr>
      <w:r>
        <w:rPr>
          <w:b/>
          <w:bCs/>
          <w:sz w:val="28"/>
          <w:szCs w:val="28"/>
        </w:rPr>
        <w:t xml:space="preserve">Evaluation Question 2:  </w:t>
      </w:r>
      <w:r w:rsidR="00A90F20">
        <w:rPr>
          <w:b/>
          <w:bCs/>
          <w:sz w:val="28"/>
          <w:szCs w:val="28"/>
        </w:rPr>
        <w:t xml:space="preserve">How </w:t>
      </w:r>
      <w:r>
        <w:rPr>
          <w:b/>
          <w:bCs/>
          <w:sz w:val="28"/>
          <w:szCs w:val="28"/>
        </w:rPr>
        <w:t>effective</w:t>
      </w:r>
      <w:r w:rsidR="00A90F20">
        <w:rPr>
          <w:b/>
          <w:bCs/>
          <w:sz w:val="28"/>
          <w:szCs w:val="28"/>
        </w:rPr>
        <w:t xml:space="preserve"> are</w:t>
      </w:r>
      <w:r>
        <w:rPr>
          <w:b/>
          <w:bCs/>
          <w:sz w:val="28"/>
          <w:szCs w:val="28"/>
        </w:rPr>
        <w:t xml:space="preserve"> ma</w:t>
      </w:r>
      <w:r w:rsidR="00980AA5" w:rsidRPr="00CF6306">
        <w:rPr>
          <w:b/>
          <w:bCs/>
          <w:sz w:val="28"/>
          <w:szCs w:val="28"/>
        </w:rPr>
        <w:t>nagement arrangements</w:t>
      </w:r>
      <w:r w:rsidR="00A90F20">
        <w:rPr>
          <w:b/>
          <w:bCs/>
          <w:sz w:val="28"/>
          <w:szCs w:val="28"/>
        </w:rPr>
        <w:t>?</w:t>
      </w:r>
    </w:p>
    <w:p w14:paraId="0E89B1C8" w14:textId="3FB60CE3" w:rsidR="00706775" w:rsidRPr="00CB305F" w:rsidRDefault="008B619A" w:rsidP="002D5078">
      <w:pPr>
        <w:spacing w:before="80"/>
        <w:ind w:right="33"/>
        <w:jc w:val="both"/>
        <w:rPr>
          <w:rFonts w:ascii="Cambria" w:hAnsi="Cambria"/>
          <w:sz w:val="21"/>
          <w:szCs w:val="21"/>
        </w:rPr>
      </w:pPr>
      <w:r w:rsidRPr="00CB305F">
        <w:rPr>
          <w:rFonts w:ascii="Cambria" w:hAnsi="Cambria"/>
          <w:sz w:val="21"/>
          <w:szCs w:val="21"/>
        </w:rPr>
        <w:t xml:space="preserve">There is a </w:t>
      </w:r>
      <w:r w:rsidR="00706775" w:rsidRPr="00CB305F">
        <w:rPr>
          <w:rFonts w:ascii="Cambria" w:hAnsi="Cambria"/>
          <w:sz w:val="21"/>
          <w:szCs w:val="21"/>
        </w:rPr>
        <w:t>relatively high</w:t>
      </w:r>
      <w:r w:rsidRPr="00CB305F">
        <w:rPr>
          <w:rFonts w:ascii="Cambria" w:hAnsi="Cambria"/>
          <w:sz w:val="21"/>
          <w:szCs w:val="21"/>
        </w:rPr>
        <w:t xml:space="preserve"> degree of satisfaction with management arrangements, both with the formal strategy testing process and also with ongoing communication</w:t>
      </w:r>
      <w:r w:rsidR="004A42A4">
        <w:rPr>
          <w:rFonts w:ascii="Cambria" w:hAnsi="Cambria"/>
          <w:sz w:val="21"/>
          <w:szCs w:val="21"/>
        </w:rPr>
        <w:t xml:space="preserve">, </w:t>
      </w:r>
      <w:r w:rsidR="002D5078">
        <w:rPr>
          <w:rFonts w:ascii="Cambria" w:hAnsi="Cambria"/>
          <w:sz w:val="21"/>
          <w:szCs w:val="21"/>
        </w:rPr>
        <w:t>at least in recent times</w:t>
      </w:r>
      <w:r w:rsidRPr="00CB305F">
        <w:rPr>
          <w:rFonts w:ascii="Cambria" w:hAnsi="Cambria"/>
          <w:sz w:val="21"/>
          <w:szCs w:val="21"/>
        </w:rPr>
        <w:t xml:space="preserve">. </w:t>
      </w:r>
      <w:r w:rsidR="00450B55" w:rsidRPr="00CB305F">
        <w:rPr>
          <w:rFonts w:ascii="Cambria" w:hAnsi="Cambria"/>
          <w:sz w:val="21"/>
          <w:szCs w:val="21"/>
        </w:rPr>
        <w:t>Twice annually</w:t>
      </w:r>
      <w:r w:rsidR="00706775" w:rsidRPr="00CB305F">
        <w:rPr>
          <w:rFonts w:ascii="Cambria" w:hAnsi="Cambria"/>
          <w:sz w:val="21"/>
          <w:szCs w:val="21"/>
        </w:rPr>
        <w:t>,</w:t>
      </w:r>
      <w:r w:rsidR="00450B55" w:rsidRPr="00CB305F">
        <w:rPr>
          <w:rFonts w:ascii="Cambria" w:hAnsi="Cambria"/>
          <w:sz w:val="21"/>
          <w:szCs w:val="21"/>
        </w:rPr>
        <w:t xml:space="preserve"> </w:t>
      </w:r>
      <w:r w:rsidR="00706775" w:rsidRPr="00CB305F">
        <w:rPr>
          <w:rFonts w:ascii="Cambria" w:hAnsi="Cambria"/>
          <w:sz w:val="21"/>
          <w:szCs w:val="21"/>
        </w:rPr>
        <w:t>‘</w:t>
      </w:r>
      <w:r w:rsidR="00450B55" w:rsidRPr="00CB305F">
        <w:rPr>
          <w:rFonts w:ascii="Cambria" w:hAnsi="Cambria"/>
          <w:sz w:val="21"/>
          <w:szCs w:val="21"/>
        </w:rPr>
        <w:t xml:space="preserve">Progress </w:t>
      </w:r>
      <w:r w:rsidR="00421227" w:rsidRPr="00CB305F">
        <w:rPr>
          <w:rFonts w:ascii="Cambria" w:hAnsi="Cambria"/>
          <w:sz w:val="21"/>
          <w:szCs w:val="21"/>
        </w:rPr>
        <w:t>U</w:t>
      </w:r>
      <w:r w:rsidR="00450B55" w:rsidRPr="00CB305F">
        <w:rPr>
          <w:rFonts w:ascii="Cambria" w:hAnsi="Cambria"/>
          <w:sz w:val="21"/>
          <w:szCs w:val="21"/>
        </w:rPr>
        <w:t>pdates</w:t>
      </w:r>
      <w:r w:rsidR="00706775" w:rsidRPr="00CB305F">
        <w:rPr>
          <w:rFonts w:ascii="Cambria" w:hAnsi="Cambria"/>
          <w:sz w:val="21"/>
          <w:szCs w:val="21"/>
        </w:rPr>
        <w:t>’</w:t>
      </w:r>
      <w:r w:rsidR="00450B55" w:rsidRPr="00CB305F">
        <w:rPr>
          <w:rFonts w:ascii="Cambria" w:hAnsi="Cambria"/>
          <w:sz w:val="21"/>
          <w:szCs w:val="21"/>
        </w:rPr>
        <w:t xml:space="preserve"> are prepared </w:t>
      </w:r>
      <w:r w:rsidR="004A42A4">
        <w:rPr>
          <w:rFonts w:ascii="Cambria" w:hAnsi="Cambria"/>
          <w:sz w:val="21"/>
          <w:szCs w:val="21"/>
        </w:rPr>
        <w:t>as</w:t>
      </w:r>
      <w:r w:rsidR="00450B55" w:rsidRPr="00CB305F">
        <w:rPr>
          <w:rFonts w:ascii="Cambria" w:hAnsi="Cambria"/>
          <w:sz w:val="21"/>
          <w:szCs w:val="21"/>
        </w:rPr>
        <w:t xml:space="preserve"> key refe</w:t>
      </w:r>
      <w:r w:rsidR="00706775" w:rsidRPr="00CB305F">
        <w:rPr>
          <w:rFonts w:ascii="Cambria" w:hAnsi="Cambria"/>
          <w:sz w:val="21"/>
          <w:szCs w:val="21"/>
        </w:rPr>
        <w:t>re</w:t>
      </w:r>
      <w:r w:rsidR="00450B55" w:rsidRPr="00CB305F">
        <w:rPr>
          <w:rFonts w:ascii="Cambria" w:hAnsi="Cambria"/>
          <w:sz w:val="21"/>
          <w:szCs w:val="21"/>
        </w:rPr>
        <w:t xml:space="preserve">nce documents for deliberations.  Several staff noted that the reports and ensuing discussion </w:t>
      </w:r>
      <w:r w:rsidR="007A0E08" w:rsidRPr="00CB305F">
        <w:rPr>
          <w:rFonts w:ascii="Cambria" w:hAnsi="Cambria"/>
          <w:sz w:val="21"/>
          <w:szCs w:val="21"/>
        </w:rPr>
        <w:t>are</w:t>
      </w:r>
      <w:r w:rsidR="00450B55" w:rsidRPr="00CB305F">
        <w:rPr>
          <w:rFonts w:ascii="Cambria" w:hAnsi="Cambria"/>
          <w:sz w:val="21"/>
          <w:szCs w:val="21"/>
        </w:rPr>
        <w:t xml:space="preserve"> frank and informative.  The evaluation broadly agrees</w:t>
      </w:r>
      <w:r w:rsidR="00B54022" w:rsidRPr="00CB305F">
        <w:rPr>
          <w:rFonts w:ascii="Cambria" w:hAnsi="Cambria"/>
          <w:sz w:val="21"/>
          <w:szCs w:val="21"/>
        </w:rPr>
        <w:t>,</w:t>
      </w:r>
      <w:r w:rsidR="00450B55" w:rsidRPr="00CB305F">
        <w:rPr>
          <w:rFonts w:ascii="Cambria" w:hAnsi="Cambria"/>
          <w:sz w:val="21"/>
          <w:szCs w:val="21"/>
        </w:rPr>
        <w:t xml:space="preserve"> but </w:t>
      </w:r>
      <w:r w:rsidR="00706775" w:rsidRPr="00CB305F">
        <w:rPr>
          <w:rFonts w:ascii="Cambria" w:hAnsi="Cambria"/>
          <w:sz w:val="21"/>
          <w:szCs w:val="21"/>
        </w:rPr>
        <w:t>sees scope to sharpen the process to more tightly define outcomes, interrogate program performance more thoroughly and retest initiative strategies</w:t>
      </w:r>
      <w:r w:rsidR="00E829CD" w:rsidRPr="00CB305F">
        <w:rPr>
          <w:rFonts w:ascii="Cambria" w:hAnsi="Cambria"/>
          <w:sz w:val="21"/>
          <w:szCs w:val="21"/>
        </w:rPr>
        <w:t>,</w:t>
      </w:r>
      <w:r w:rsidR="00706775" w:rsidRPr="00CB305F">
        <w:rPr>
          <w:rFonts w:ascii="Cambria" w:hAnsi="Cambria"/>
          <w:sz w:val="21"/>
          <w:szCs w:val="21"/>
        </w:rPr>
        <w:t xml:space="preserve"> with </w:t>
      </w:r>
      <w:r w:rsidR="000C433C" w:rsidRPr="00CB305F">
        <w:rPr>
          <w:rFonts w:ascii="Cambria" w:hAnsi="Cambria"/>
          <w:sz w:val="21"/>
          <w:szCs w:val="21"/>
        </w:rPr>
        <w:t xml:space="preserve">a dose of </w:t>
      </w:r>
      <w:r w:rsidR="00FA44C8">
        <w:rPr>
          <w:rFonts w:ascii="Cambria" w:hAnsi="Cambria"/>
          <w:sz w:val="21"/>
          <w:szCs w:val="21"/>
        </w:rPr>
        <w:t>deliberate</w:t>
      </w:r>
      <w:r w:rsidR="00706775" w:rsidRPr="00CB305F">
        <w:rPr>
          <w:rFonts w:ascii="Cambria" w:hAnsi="Cambria"/>
          <w:sz w:val="21"/>
          <w:szCs w:val="21"/>
        </w:rPr>
        <w:t xml:space="preserve"> scepticism.  </w:t>
      </w:r>
    </w:p>
    <w:p w14:paraId="56F3A028" w14:textId="11743171" w:rsidR="00450B55" w:rsidRPr="00CB305F" w:rsidRDefault="000C433C" w:rsidP="00163DB2">
      <w:pPr>
        <w:ind w:right="33"/>
        <w:jc w:val="both"/>
        <w:rPr>
          <w:rFonts w:ascii="Cambria" w:hAnsi="Cambria"/>
          <w:sz w:val="21"/>
          <w:szCs w:val="21"/>
        </w:rPr>
      </w:pPr>
      <w:r w:rsidRPr="00CB305F">
        <w:rPr>
          <w:rFonts w:ascii="Cambria" w:hAnsi="Cambria"/>
          <w:sz w:val="21"/>
          <w:szCs w:val="21"/>
        </w:rPr>
        <w:lastRenderedPageBreak/>
        <w:t xml:space="preserve">Strategy testing and Joint Working Group meetings are relatively short and involve </w:t>
      </w:r>
      <w:r w:rsidR="00EB3430" w:rsidRPr="00CB305F">
        <w:rPr>
          <w:rFonts w:ascii="Cambria" w:hAnsi="Cambria"/>
          <w:sz w:val="21"/>
          <w:szCs w:val="21"/>
        </w:rPr>
        <w:t>many</w:t>
      </w:r>
      <w:r w:rsidRPr="00CB305F">
        <w:rPr>
          <w:rFonts w:ascii="Cambria" w:hAnsi="Cambria"/>
          <w:sz w:val="21"/>
          <w:szCs w:val="21"/>
        </w:rPr>
        <w:t xml:space="preserve"> participants.  The risk is that the time is consumed by rehearsing what ought to be known, </w:t>
      </w:r>
      <w:r w:rsidR="00A80F70" w:rsidRPr="00CB305F">
        <w:rPr>
          <w:rFonts w:ascii="Cambria" w:hAnsi="Cambria"/>
          <w:sz w:val="21"/>
          <w:szCs w:val="21"/>
        </w:rPr>
        <w:t xml:space="preserve">followed by quick comments, </w:t>
      </w:r>
      <w:r w:rsidRPr="00CB305F">
        <w:rPr>
          <w:rFonts w:ascii="Cambria" w:hAnsi="Cambria"/>
          <w:sz w:val="21"/>
          <w:szCs w:val="21"/>
        </w:rPr>
        <w:t xml:space="preserve">rather than a laser-like focus on the adequacy of performance and what measures might improve it.  To facilitate this, the performance reporting </w:t>
      </w:r>
      <w:r w:rsidR="00B9184F">
        <w:rPr>
          <w:rFonts w:ascii="Cambria" w:hAnsi="Cambria"/>
          <w:sz w:val="21"/>
          <w:szCs w:val="21"/>
        </w:rPr>
        <w:t>should</w:t>
      </w:r>
      <w:r w:rsidRPr="00CB305F">
        <w:rPr>
          <w:rFonts w:ascii="Cambria" w:hAnsi="Cambria"/>
          <w:sz w:val="21"/>
          <w:szCs w:val="21"/>
        </w:rPr>
        <w:t xml:space="preserve"> make the judgements clearer and the meetings </w:t>
      </w:r>
      <w:r w:rsidR="00B9184F">
        <w:rPr>
          <w:rFonts w:ascii="Cambria" w:hAnsi="Cambria"/>
          <w:sz w:val="21"/>
          <w:szCs w:val="21"/>
        </w:rPr>
        <w:t>should</w:t>
      </w:r>
      <w:r w:rsidRPr="00CB305F">
        <w:rPr>
          <w:rFonts w:ascii="Cambria" w:hAnsi="Cambria"/>
          <w:sz w:val="21"/>
          <w:szCs w:val="21"/>
        </w:rPr>
        <w:t xml:space="preserve"> be rebalanced to allow the judgements to be contested</w:t>
      </w:r>
      <w:r w:rsidR="00B9184F">
        <w:rPr>
          <w:rFonts w:ascii="Cambria" w:hAnsi="Cambria"/>
          <w:sz w:val="21"/>
          <w:szCs w:val="21"/>
        </w:rPr>
        <w:t xml:space="preserve"> and </w:t>
      </w:r>
      <w:r w:rsidRPr="00CB305F">
        <w:rPr>
          <w:rFonts w:ascii="Cambria" w:hAnsi="Cambria"/>
          <w:sz w:val="21"/>
          <w:szCs w:val="21"/>
        </w:rPr>
        <w:t>management responses plotted in more detail.</w:t>
      </w:r>
      <w:r w:rsidR="00FA44C8">
        <w:rPr>
          <w:rFonts w:ascii="Cambria" w:hAnsi="Cambria"/>
          <w:sz w:val="21"/>
          <w:szCs w:val="21"/>
        </w:rPr>
        <w:t xml:space="preserve">  </w:t>
      </w:r>
      <w:r w:rsidRPr="00CB305F">
        <w:rPr>
          <w:rFonts w:ascii="Cambria" w:hAnsi="Cambria"/>
          <w:sz w:val="21"/>
          <w:szCs w:val="21"/>
        </w:rPr>
        <w:t xml:space="preserve">Specifically, </w:t>
      </w:r>
      <w:r w:rsidR="00450B55" w:rsidRPr="00CB305F">
        <w:rPr>
          <w:rFonts w:ascii="Cambria" w:hAnsi="Cambria"/>
          <w:sz w:val="21"/>
          <w:szCs w:val="21"/>
        </w:rPr>
        <w:t xml:space="preserve">written reporting </w:t>
      </w:r>
      <w:r w:rsidR="00F0642C">
        <w:rPr>
          <w:rFonts w:ascii="Cambria" w:hAnsi="Cambria"/>
          <w:sz w:val="21"/>
          <w:szCs w:val="21"/>
        </w:rPr>
        <w:t xml:space="preserve">might </w:t>
      </w:r>
      <w:r w:rsidR="00450B55" w:rsidRPr="00CB305F">
        <w:rPr>
          <w:rFonts w:ascii="Cambria" w:hAnsi="Cambria"/>
          <w:sz w:val="21"/>
          <w:szCs w:val="21"/>
        </w:rPr>
        <w:t>become less discursive and more judgmental through the following changes:</w:t>
      </w:r>
    </w:p>
    <w:p w14:paraId="3A529511" w14:textId="1BD89E20" w:rsidR="00CA3A5B" w:rsidRPr="00CB305F" w:rsidRDefault="00CA3A5B" w:rsidP="00163DB2">
      <w:pPr>
        <w:pStyle w:val="ListParagraph"/>
        <w:numPr>
          <w:ilvl w:val="0"/>
          <w:numId w:val="7"/>
        </w:numPr>
        <w:spacing w:before="120"/>
        <w:ind w:left="357" w:right="33" w:hanging="357"/>
        <w:jc w:val="both"/>
        <w:rPr>
          <w:rFonts w:ascii="Cambria" w:hAnsi="Cambria"/>
          <w:sz w:val="21"/>
          <w:szCs w:val="21"/>
        </w:rPr>
      </w:pPr>
      <w:r w:rsidRPr="00CB305F">
        <w:rPr>
          <w:rFonts w:ascii="Cambria" w:hAnsi="Cambria"/>
          <w:sz w:val="21"/>
          <w:szCs w:val="21"/>
        </w:rPr>
        <w:t>Updat</w:t>
      </w:r>
      <w:r w:rsidR="004A42A4">
        <w:rPr>
          <w:rFonts w:ascii="Cambria" w:hAnsi="Cambria"/>
          <w:sz w:val="21"/>
          <w:szCs w:val="21"/>
        </w:rPr>
        <w:t>ing</w:t>
      </w:r>
      <w:r w:rsidRPr="00CB305F">
        <w:rPr>
          <w:rFonts w:ascii="Cambria" w:hAnsi="Cambria"/>
          <w:sz w:val="21"/>
          <w:szCs w:val="21"/>
        </w:rPr>
        <w:t xml:space="preserve"> and use </w:t>
      </w:r>
      <w:r w:rsidR="00BD6C7E">
        <w:rPr>
          <w:rFonts w:ascii="Cambria" w:hAnsi="Cambria"/>
          <w:sz w:val="21"/>
          <w:szCs w:val="21"/>
        </w:rPr>
        <w:t xml:space="preserve">of </w:t>
      </w:r>
      <w:r w:rsidRPr="00CB305F">
        <w:rPr>
          <w:rFonts w:ascii="Cambria" w:hAnsi="Cambria"/>
          <w:sz w:val="21"/>
          <w:szCs w:val="21"/>
        </w:rPr>
        <w:t>the existing M</w:t>
      </w:r>
      <w:r>
        <w:rPr>
          <w:rFonts w:ascii="Cambria" w:hAnsi="Cambria"/>
          <w:sz w:val="21"/>
          <w:szCs w:val="21"/>
        </w:rPr>
        <w:t xml:space="preserve">onitoring and Evaluation </w:t>
      </w:r>
      <w:r w:rsidRPr="00CB305F">
        <w:rPr>
          <w:rFonts w:ascii="Cambria" w:hAnsi="Cambria"/>
          <w:sz w:val="21"/>
          <w:szCs w:val="21"/>
        </w:rPr>
        <w:t>plan to deepen outcome refinement</w:t>
      </w:r>
      <w:r w:rsidR="004A42A4">
        <w:rPr>
          <w:rFonts w:ascii="Cambria" w:hAnsi="Cambria"/>
          <w:sz w:val="21"/>
          <w:szCs w:val="21"/>
        </w:rPr>
        <w:t>;</w:t>
      </w:r>
    </w:p>
    <w:p w14:paraId="42E17E5A" w14:textId="209ECD62" w:rsidR="00450B55" w:rsidRPr="00CB305F" w:rsidRDefault="0044482E" w:rsidP="00163DB2">
      <w:pPr>
        <w:pStyle w:val="ListParagraph"/>
        <w:numPr>
          <w:ilvl w:val="0"/>
          <w:numId w:val="7"/>
        </w:numPr>
        <w:spacing w:before="80"/>
        <w:ind w:left="357" w:right="33" w:hanging="357"/>
        <w:jc w:val="both"/>
        <w:rPr>
          <w:rFonts w:ascii="Cambria" w:hAnsi="Cambria"/>
          <w:sz w:val="21"/>
          <w:szCs w:val="21"/>
        </w:rPr>
      </w:pPr>
      <w:r w:rsidRPr="00CB305F">
        <w:rPr>
          <w:rFonts w:ascii="Cambria" w:hAnsi="Cambria"/>
          <w:sz w:val="21"/>
          <w:szCs w:val="21"/>
        </w:rPr>
        <w:t>Canvass</w:t>
      </w:r>
      <w:r w:rsidR="004A42A4">
        <w:rPr>
          <w:rFonts w:ascii="Cambria" w:hAnsi="Cambria"/>
          <w:sz w:val="21"/>
          <w:szCs w:val="21"/>
        </w:rPr>
        <w:t>ing</w:t>
      </w:r>
      <w:r w:rsidRPr="00CB305F">
        <w:rPr>
          <w:rFonts w:ascii="Cambria" w:hAnsi="Cambria"/>
          <w:sz w:val="21"/>
          <w:szCs w:val="21"/>
        </w:rPr>
        <w:t xml:space="preserve"> all 3 objectives in </w:t>
      </w:r>
      <w:r w:rsidR="00867038" w:rsidRPr="00CB305F">
        <w:rPr>
          <w:rFonts w:ascii="Cambria" w:hAnsi="Cambria"/>
          <w:sz w:val="21"/>
          <w:szCs w:val="21"/>
        </w:rPr>
        <w:t xml:space="preserve">Performance </w:t>
      </w:r>
      <w:r w:rsidRPr="00CB305F">
        <w:rPr>
          <w:rFonts w:ascii="Cambria" w:hAnsi="Cambria"/>
          <w:sz w:val="21"/>
          <w:szCs w:val="21"/>
        </w:rPr>
        <w:t>R</w:t>
      </w:r>
      <w:r w:rsidR="00450B55" w:rsidRPr="00CB305F">
        <w:rPr>
          <w:rFonts w:ascii="Cambria" w:hAnsi="Cambria"/>
          <w:sz w:val="21"/>
          <w:szCs w:val="21"/>
        </w:rPr>
        <w:t xml:space="preserve">eports, not just </w:t>
      </w:r>
      <w:r w:rsidRPr="00CB305F">
        <w:rPr>
          <w:rFonts w:ascii="Cambria" w:hAnsi="Cambria"/>
          <w:sz w:val="21"/>
          <w:szCs w:val="21"/>
        </w:rPr>
        <w:t xml:space="preserve">the </w:t>
      </w:r>
      <w:r w:rsidR="00450B55" w:rsidRPr="00CB305F">
        <w:rPr>
          <w:rFonts w:ascii="Cambria" w:hAnsi="Cambria"/>
          <w:sz w:val="21"/>
          <w:szCs w:val="21"/>
        </w:rPr>
        <w:t>reform initiatives</w:t>
      </w:r>
      <w:r w:rsidR="004A42A4">
        <w:rPr>
          <w:rFonts w:ascii="Cambria" w:hAnsi="Cambria"/>
          <w:sz w:val="21"/>
          <w:szCs w:val="21"/>
        </w:rPr>
        <w:t>, central as they are;</w:t>
      </w:r>
    </w:p>
    <w:p w14:paraId="4CFB4484" w14:textId="7A3F14DE" w:rsidR="00450B55" w:rsidRPr="00CB305F" w:rsidRDefault="0044482E" w:rsidP="00163DB2">
      <w:pPr>
        <w:pStyle w:val="ListParagraph"/>
        <w:numPr>
          <w:ilvl w:val="0"/>
          <w:numId w:val="7"/>
        </w:numPr>
        <w:ind w:right="33"/>
        <w:jc w:val="both"/>
        <w:rPr>
          <w:rFonts w:ascii="Cambria" w:hAnsi="Cambria"/>
          <w:sz w:val="21"/>
          <w:szCs w:val="21"/>
        </w:rPr>
      </w:pPr>
      <w:r w:rsidRPr="00CB305F">
        <w:rPr>
          <w:rFonts w:ascii="Cambria" w:hAnsi="Cambria"/>
          <w:sz w:val="21"/>
          <w:szCs w:val="21"/>
        </w:rPr>
        <w:t>Us</w:t>
      </w:r>
      <w:r w:rsidR="0006503D">
        <w:rPr>
          <w:rFonts w:ascii="Cambria" w:hAnsi="Cambria"/>
          <w:sz w:val="21"/>
          <w:szCs w:val="21"/>
        </w:rPr>
        <w:t>ing</w:t>
      </w:r>
      <w:r w:rsidRPr="00CB305F">
        <w:rPr>
          <w:rFonts w:ascii="Cambria" w:hAnsi="Cambria"/>
          <w:sz w:val="21"/>
          <w:szCs w:val="21"/>
        </w:rPr>
        <w:t xml:space="preserve"> t</w:t>
      </w:r>
      <w:r w:rsidR="00450B55" w:rsidRPr="00CB305F">
        <w:rPr>
          <w:rFonts w:ascii="Cambria" w:hAnsi="Cambria"/>
          <w:sz w:val="21"/>
          <w:szCs w:val="21"/>
        </w:rPr>
        <w:t>raffic lights to visually summarise progress and as a catalyst for discussion and debate</w:t>
      </w:r>
      <w:r w:rsidR="004A42A4">
        <w:rPr>
          <w:rFonts w:ascii="Cambria" w:hAnsi="Cambria"/>
          <w:sz w:val="21"/>
          <w:szCs w:val="21"/>
        </w:rPr>
        <w:t>; and</w:t>
      </w:r>
    </w:p>
    <w:p w14:paraId="70587BBD" w14:textId="381953F6" w:rsidR="00450B55" w:rsidRPr="00CB305F" w:rsidRDefault="0044482E" w:rsidP="00163DB2">
      <w:pPr>
        <w:pStyle w:val="ListParagraph"/>
        <w:numPr>
          <w:ilvl w:val="0"/>
          <w:numId w:val="7"/>
        </w:numPr>
        <w:ind w:right="33"/>
        <w:jc w:val="both"/>
        <w:rPr>
          <w:rFonts w:ascii="Cambria" w:hAnsi="Cambria"/>
          <w:sz w:val="21"/>
          <w:szCs w:val="21"/>
        </w:rPr>
      </w:pPr>
      <w:r w:rsidRPr="00CB305F">
        <w:rPr>
          <w:rFonts w:ascii="Cambria" w:hAnsi="Cambria"/>
          <w:sz w:val="21"/>
          <w:szCs w:val="21"/>
        </w:rPr>
        <w:t>Incorporat</w:t>
      </w:r>
      <w:r w:rsidR="0006503D">
        <w:rPr>
          <w:rFonts w:ascii="Cambria" w:hAnsi="Cambria"/>
          <w:sz w:val="21"/>
          <w:szCs w:val="21"/>
        </w:rPr>
        <w:t>ing</w:t>
      </w:r>
      <w:r w:rsidRPr="00CB305F">
        <w:rPr>
          <w:rFonts w:ascii="Cambria" w:hAnsi="Cambria"/>
          <w:sz w:val="21"/>
          <w:szCs w:val="21"/>
        </w:rPr>
        <w:t xml:space="preserve"> the</w:t>
      </w:r>
      <w:r w:rsidR="00450B55" w:rsidRPr="00CB305F">
        <w:rPr>
          <w:rFonts w:ascii="Cambria" w:hAnsi="Cambria"/>
          <w:sz w:val="21"/>
          <w:szCs w:val="21"/>
        </w:rPr>
        <w:t xml:space="preserve"> traffic lights and the 3-5 pieces of </w:t>
      </w:r>
      <w:r w:rsidR="00421227" w:rsidRPr="00CB305F">
        <w:rPr>
          <w:rFonts w:ascii="Cambria" w:hAnsi="Cambria"/>
          <w:sz w:val="21"/>
          <w:szCs w:val="21"/>
        </w:rPr>
        <w:t>evidence</w:t>
      </w:r>
      <w:r w:rsidR="00450B55" w:rsidRPr="00CB305F">
        <w:rPr>
          <w:rFonts w:ascii="Cambria" w:hAnsi="Cambria"/>
          <w:sz w:val="21"/>
          <w:szCs w:val="21"/>
        </w:rPr>
        <w:t xml:space="preserve"> which explain the judgement</w:t>
      </w:r>
      <w:r w:rsidR="00421227" w:rsidRPr="00CB305F">
        <w:rPr>
          <w:rFonts w:ascii="Cambria" w:hAnsi="Cambria"/>
          <w:sz w:val="21"/>
          <w:szCs w:val="21"/>
        </w:rPr>
        <w:t>s</w:t>
      </w:r>
      <w:r w:rsidR="00450B55" w:rsidRPr="00CB305F">
        <w:rPr>
          <w:rFonts w:ascii="Cambria" w:hAnsi="Cambria"/>
          <w:sz w:val="21"/>
          <w:szCs w:val="21"/>
        </w:rPr>
        <w:t xml:space="preserve"> into a </w:t>
      </w:r>
      <w:r w:rsidR="00867038" w:rsidRPr="00CB305F">
        <w:rPr>
          <w:rFonts w:ascii="Cambria" w:hAnsi="Cambria"/>
          <w:sz w:val="21"/>
          <w:szCs w:val="21"/>
        </w:rPr>
        <w:t xml:space="preserve">single </w:t>
      </w:r>
      <w:r w:rsidR="00450B55" w:rsidRPr="00CB305F">
        <w:rPr>
          <w:rFonts w:ascii="Cambria" w:hAnsi="Cambria"/>
          <w:sz w:val="21"/>
          <w:szCs w:val="21"/>
        </w:rPr>
        <w:t xml:space="preserve">table showing MTRP performance </w:t>
      </w:r>
      <w:r w:rsidR="00A821B7" w:rsidRPr="00CB305F">
        <w:rPr>
          <w:rFonts w:ascii="Cambria" w:hAnsi="Cambria"/>
          <w:sz w:val="21"/>
          <w:szCs w:val="21"/>
        </w:rPr>
        <w:t>‘</w:t>
      </w:r>
      <w:r w:rsidR="00450B55" w:rsidRPr="00CB305F">
        <w:rPr>
          <w:rFonts w:ascii="Cambria" w:hAnsi="Cambria"/>
          <w:sz w:val="21"/>
          <w:szCs w:val="21"/>
        </w:rPr>
        <w:t>progress on a page</w:t>
      </w:r>
      <w:r w:rsidR="00A821B7" w:rsidRPr="00CB305F">
        <w:rPr>
          <w:rFonts w:ascii="Cambria" w:hAnsi="Cambria"/>
          <w:sz w:val="21"/>
          <w:szCs w:val="21"/>
        </w:rPr>
        <w:t>’</w:t>
      </w:r>
      <w:r w:rsidR="000C433C" w:rsidRPr="00CB305F">
        <w:rPr>
          <w:rFonts w:ascii="Cambria" w:hAnsi="Cambria"/>
          <w:sz w:val="21"/>
          <w:szCs w:val="21"/>
        </w:rPr>
        <w:t>.  A prototype has been presented in this report.</w:t>
      </w:r>
    </w:p>
    <w:p w14:paraId="360632C4" w14:textId="26D66897" w:rsidR="00706775" w:rsidRDefault="00706775" w:rsidP="00163DB2">
      <w:pPr>
        <w:ind w:right="33"/>
        <w:jc w:val="both"/>
        <w:rPr>
          <w:rFonts w:ascii="Cambria" w:hAnsi="Cambria"/>
          <w:sz w:val="22"/>
          <w:szCs w:val="22"/>
        </w:rPr>
      </w:pPr>
    </w:p>
    <w:p w14:paraId="589C430F" w14:textId="66219367" w:rsidR="00394D5A" w:rsidRPr="00CB305F" w:rsidRDefault="00394D5A" w:rsidP="00163DB2">
      <w:pPr>
        <w:ind w:right="33"/>
        <w:jc w:val="both"/>
        <w:rPr>
          <w:rFonts w:ascii="Cambria" w:hAnsi="Cambria"/>
          <w:sz w:val="21"/>
          <w:szCs w:val="21"/>
        </w:rPr>
      </w:pPr>
      <w:r>
        <w:rPr>
          <w:rFonts w:ascii="Cambria" w:hAnsi="Cambria"/>
          <w:sz w:val="21"/>
          <w:szCs w:val="21"/>
        </w:rPr>
        <w:t>Sharper reporting would allow s</w:t>
      </w:r>
      <w:r w:rsidRPr="00CB305F">
        <w:rPr>
          <w:rFonts w:ascii="Cambria" w:hAnsi="Cambria"/>
          <w:sz w:val="21"/>
          <w:szCs w:val="21"/>
        </w:rPr>
        <w:t xml:space="preserve">trategy testing meetings </w:t>
      </w:r>
      <w:r>
        <w:rPr>
          <w:rFonts w:ascii="Cambria" w:hAnsi="Cambria"/>
          <w:sz w:val="21"/>
          <w:szCs w:val="21"/>
        </w:rPr>
        <w:t xml:space="preserve">to </w:t>
      </w:r>
      <w:r w:rsidR="00CA3A5B">
        <w:rPr>
          <w:rFonts w:ascii="Cambria" w:hAnsi="Cambria"/>
          <w:sz w:val="21"/>
          <w:szCs w:val="21"/>
        </w:rPr>
        <w:t xml:space="preserve">avoid </w:t>
      </w:r>
      <w:r w:rsidR="00C838DC">
        <w:rPr>
          <w:rFonts w:ascii="Cambria" w:hAnsi="Cambria"/>
          <w:sz w:val="21"/>
          <w:szCs w:val="21"/>
        </w:rPr>
        <w:t xml:space="preserve">presentations providing </w:t>
      </w:r>
      <w:r w:rsidR="00CA3A5B">
        <w:rPr>
          <w:rFonts w:ascii="Cambria" w:hAnsi="Cambria"/>
          <w:sz w:val="21"/>
          <w:szCs w:val="21"/>
        </w:rPr>
        <w:t>‘updates of the updates’</w:t>
      </w:r>
      <w:r w:rsidR="0026564A">
        <w:rPr>
          <w:rFonts w:ascii="Cambria" w:hAnsi="Cambria"/>
          <w:sz w:val="21"/>
          <w:szCs w:val="21"/>
        </w:rPr>
        <w:t>, c</w:t>
      </w:r>
      <w:r w:rsidR="00CA3A5B">
        <w:rPr>
          <w:rFonts w:ascii="Cambria" w:hAnsi="Cambria"/>
          <w:sz w:val="21"/>
          <w:szCs w:val="21"/>
        </w:rPr>
        <w:t>reat</w:t>
      </w:r>
      <w:r w:rsidR="0026564A">
        <w:rPr>
          <w:rFonts w:ascii="Cambria" w:hAnsi="Cambria"/>
          <w:sz w:val="21"/>
          <w:szCs w:val="21"/>
        </w:rPr>
        <w:t>ing</w:t>
      </w:r>
      <w:r w:rsidR="00CA3A5B">
        <w:rPr>
          <w:rFonts w:ascii="Cambria" w:hAnsi="Cambria"/>
          <w:sz w:val="21"/>
          <w:szCs w:val="21"/>
        </w:rPr>
        <w:t xml:space="preserve"> more </w:t>
      </w:r>
      <w:r w:rsidRPr="00CB305F">
        <w:rPr>
          <w:rFonts w:ascii="Cambria" w:hAnsi="Cambria"/>
          <w:sz w:val="21"/>
          <w:szCs w:val="21"/>
        </w:rPr>
        <w:t>space for participants to debate progress</w:t>
      </w:r>
      <w:r w:rsidR="00E756D6">
        <w:rPr>
          <w:rFonts w:ascii="Cambria" w:hAnsi="Cambria"/>
          <w:sz w:val="21"/>
          <w:szCs w:val="21"/>
        </w:rPr>
        <w:t xml:space="preserve"> and next steps</w:t>
      </w:r>
      <w:r w:rsidRPr="00CB305F">
        <w:rPr>
          <w:rFonts w:ascii="Cambria" w:hAnsi="Cambria"/>
          <w:sz w:val="21"/>
          <w:szCs w:val="21"/>
        </w:rPr>
        <w:t xml:space="preserve">.  </w:t>
      </w:r>
      <w:r w:rsidR="00EC1494">
        <w:rPr>
          <w:rFonts w:ascii="Cambria" w:hAnsi="Cambria"/>
          <w:sz w:val="21"/>
          <w:szCs w:val="21"/>
        </w:rPr>
        <w:t xml:space="preserve">This might be facilitated by DFAT </w:t>
      </w:r>
      <w:r w:rsidR="00CA3A5B">
        <w:rPr>
          <w:rFonts w:ascii="Cambria" w:hAnsi="Cambria"/>
          <w:sz w:val="21"/>
          <w:szCs w:val="21"/>
        </w:rPr>
        <w:t xml:space="preserve">taking a more active role </w:t>
      </w:r>
      <w:r w:rsidR="00C838DC">
        <w:rPr>
          <w:rFonts w:ascii="Cambria" w:hAnsi="Cambria"/>
          <w:sz w:val="21"/>
          <w:szCs w:val="21"/>
        </w:rPr>
        <w:t>in</w:t>
      </w:r>
      <w:r w:rsidR="00CA3A5B">
        <w:rPr>
          <w:rFonts w:ascii="Cambria" w:hAnsi="Cambria"/>
          <w:sz w:val="21"/>
          <w:szCs w:val="21"/>
        </w:rPr>
        <w:t xml:space="preserve"> </w:t>
      </w:r>
      <w:r w:rsidR="00EC1494">
        <w:rPr>
          <w:rFonts w:ascii="Cambria" w:hAnsi="Cambria"/>
          <w:sz w:val="21"/>
          <w:szCs w:val="21"/>
        </w:rPr>
        <w:t>co-chairing strategy testing meetings</w:t>
      </w:r>
      <w:r w:rsidR="00CA3A5B">
        <w:rPr>
          <w:rFonts w:ascii="Cambria" w:hAnsi="Cambria"/>
          <w:sz w:val="21"/>
          <w:szCs w:val="21"/>
        </w:rPr>
        <w:t xml:space="preserve">.  </w:t>
      </w:r>
      <w:r w:rsidR="00C838DC">
        <w:rPr>
          <w:rFonts w:ascii="Cambria" w:hAnsi="Cambria"/>
          <w:sz w:val="21"/>
          <w:szCs w:val="21"/>
        </w:rPr>
        <w:t>DFAT</w:t>
      </w:r>
      <w:r w:rsidR="00CA3A5B">
        <w:rPr>
          <w:rFonts w:ascii="Cambria" w:hAnsi="Cambria"/>
          <w:sz w:val="21"/>
          <w:szCs w:val="21"/>
        </w:rPr>
        <w:t xml:space="preserve"> might also </w:t>
      </w:r>
      <w:r w:rsidR="00EC1494">
        <w:rPr>
          <w:rFonts w:ascii="Cambria" w:hAnsi="Cambria"/>
          <w:sz w:val="21"/>
          <w:szCs w:val="21"/>
        </w:rPr>
        <w:t>reduc</w:t>
      </w:r>
      <w:r w:rsidR="00CA3A5B">
        <w:rPr>
          <w:rFonts w:ascii="Cambria" w:hAnsi="Cambria"/>
          <w:sz w:val="21"/>
          <w:szCs w:val="21"/>
        </w:rPr>
        <w:t>e</w:t>
      </w:r>
      <w:r w:rsidR="00EC1494">
        <w:rPr>
          <w:rFonts w:ascii="Cambria" w:hAnsi="Cambria"/>
          <w:sz w:val="21"/>
          <w:szCs w:val="21"/>
        </w:rPr>
        <w:t xml:space="preserve"> the number of </w:t>
      </w:r>
      <w:r w:rsidRPr="00CB305F">
        <w:rPr>
          <w:rFonts w:ascii="Cambria" w:hAnsi="Cambria"/>
          <w:sz w:val="21"/>
          <w:szCs w:val="21"/>
        </w:rPr>
        <w:t>participants</w:t>
      </w:r>
      <w:r w:rsidR="00CA3A5B">
        <w:rPr>
          <w:rFonts w:ascii="Cambria" w:hAnsi="Cambria"/>
          <w:sz w:val="21"/>
          <w:szCs w:val="21"/>
        </w:rPr>
        <w:t xml:space="preserve"> and</w:t>
      </w:r>
      <w:r w:rsidR="00EC1494">
        <w:rPr>
          <w:rFonts w:ascii="Cambria" w:hAnsi="Cambria"/>
          <w:sz w:val="21"/>
          <w:szCs w:val="21"/>
        </w:rPr>
        <w:t xml:space="preserve"> </w:t>
      </w:r>
      <w:r w:rsidRPr="00CB305F">
        <w:rPr>
          <w:rFonts w:ascii="Cambria" w:hAnsi="Cambria"/>
          <w:sz w:val="21"/>
          <w:szCs w:val="21"/>
        </w:rPr>
        <w:t xml:space="preserve">consider </w:t>
      </w:r>
      <w:r w:rsidR="0026564A">
        <w:rPr>
          <w:rFonts w:ascii="Cambria" w:hAnsi="Cambria"/>
          <w:sz w:val="21"/>
          <w:szCs w:val="21"/>
        </w:rPr>
        <w:t>other</w:t>
      </w:r>
      <w:r w:rsidRPr="00CB305F">
        <w:rPr>
          <w:rFonts w:ascii="Cambria" w:hAnsi="Cambria"/>
          <w:sz w:val="21"/>
          <w:szCs w:val="21"/>
        </w:rPr>
        <w:t xml:space="preserve"> ways of sending sharp, clear, consistent messages,</w:t>
      </w:r>
      <w:r w:rsidR="0026564A">
        <w:rPr>
          <w:rFonts w:ascii="Cambria" w:hAnsi="Cambria"/>
          <w:sz w:val="21"/>
          <w:szCs w:val="21"/>
        </w:rPr>
        <w:t xml:space="preserve"> f</w:t>
      </w:r>
      <w:r w:rsidRPr="00CB305F">
        <w:rPr>
          <w:rFonts w:ascii="Cambria" w:hAnsi="Cambria"/>
          <w:sz w:val="21"/>
          <w:szCs w:val="21"/>
        </w:rPr>
        <w:t>or example, via a one-page, consolidated</w:t>
      </w:r>
      <w:r w:rsidR="004A42A4">
        <w:rPr>
          <w:rFonts w:ascii="Cambria" w:hAnsi="Cambria"/>
          <w:sz w:val="21"/>
          <w:szCs w:val="21"/>
        </w:rPr>
        <w:t>,</w:t>
      </w:r>
      <w:r w:rsidR="0026564A">
        <w:rPr>
          <w:rFonts w:ascii="Cambria" w:hAnsi="Cambria"/>
          <w:sz w:val="21"/>
          <w:szCs w:val="21"/>
        </w:rPr>
        <w:t xml:space="preserve"> </w:t>
      </w:r>
      <w:r w:rsidRPr="00CB305F">
        <w:rPr>
          <w:rFonts w:ascii="Cambria" w:hAnsi="Cambria"/>
          <w:sz w:val="21"/>
          <w:szCs w:val="21"/>
        </w:rPr>
        <w:t xml:space="preserve">program assessment that would complement the TAF produced </w:t>
      </w:r>
      <w:r w:rsidR="00CA3A5B">
        <w:rPr>
          <w:rFonts w:ascii="Cambria" w:hAnsi="Cambria"/>
          <w:sz w:val="21"/>
          <w:szCs w:val="21"/>
        </w:rPr>
        <w:t xml:space="preserve">six-monthly </w:t>
      </w:r>
      <w:r w:rsidRPr="00CB305F">
        <w:rPr>
          <w:rFonts w:ascii="Cambria" w:hAnsi="Cambria"/>
          <w:sz w:val="21"/>
          <w:szCs w:val="21"/>
        </w:rPr>
        <w:t>Progress Updates.</w:t>
      </w:r>
      <w:r>
        <w:rPr>
          <w:rFonts w:ascii="Cambria" w:hAnsi="Cambria"/>
          <w:sz w:val="21"/>
          <w:szCs w:val="21"/>
        </w:rPr>
        <w:t xml:space="preserve">  The two would then be harmonised as part of the meeting </w:t>
      </w:r>
      <w:r w:rsidR="00E756D6">
        <w:rPr>
          <w:rFonts w:ascii="Cambria" w:hAnsi="Cambria"/>
          <w:sz w:val="21"/>
          <w:szCs w:val="21"/>
        </w:rPr>
        <w:t xml:space="preserve">deliberations and </w:t>
      </w:r>
      <w:r>
        <w:rPr>
          <w:rFonts w:ascii="Cambria" w:hAnsi="Cambria"/>
          <w:sz w:val="21"/>
          <w:szCs w:val="21"/>
        </w:rPr>
        <w:t>record</w:t>
      </w:r>
      <w:r w:rsidR="004A42A4">
        <w:rPr>
          <w:rFonts w:ascii="Cambria" w:hAnsi="Cambria"/>
          <w:sz w:val="21"/>
          <w:szCs w:val="21"/>
        </w:rPr>
        <w:t>s</w:t>
      </w:r>
      <w:r>
        <w:rPr>
          <w:rFonts w:ascii="Cambria" w:hAnsi="Cambria"/>
          <w:sz w:val="21"/>
          <w:szCs w:val="21"/>
        </w:rPr>
        <w:t>.</w:t>
      </w:r>
    </w:p>
    <w:p w14:paraId="1AB97553" w14:textId="77777777" w:rsidR="00394D5A" w:rsidRDefault="00394D5A" w:rsidP="00163DB2">
      <w:pPr>
        <w:ind w:right="33"/>
        <w:jc w:val="both"/>
        <w:rPr>
          <w:rFonts w:ascii="Cambria" w:hAnsi="Cambria"/>
          <w:sz w:val="21"/>
          <w:szCs w:val="21"/>
        </w:rPr>
      </w:pPr>
    </w:p>
    <w:p w14:paraId="6467E25B" w14:textId="77777777" w:rsidR="00FA44C8" w:rsidRDefault="00706775" w:rsidP="00163DB2">
      <w:pPr>
        <w:ind w:right="33"/>
        <w:jc w:val="both"/>
        <w:rPr>
          <w:rFonts w:ascii="Cambria" w:hAnsi="Cambria"/>
          <w:sz w:val="21"/>
          <w:szCs w:val="21"/>
        </w:rPr>
      </w:pPr>
      <w:r w:rsidRPr="00CB305F">
        <w:rPr>
          <w:rFonts w:ascii="Cambria" w:hAnsi="Cambria"/>
          <w:sz w:val="21"/>
          <w:szCs w:val="21"/>
        </w:rPr>
        <w:t>Some DFAT officers in Malaysia raised the valid issue of whether for such a small program, twice yearly involvement of senior officers in country and in Canberra was essential.  They thought that alternative means of keeping senior officers appraised of program performance might be equally effective and more efficient.   Other officers thought that having a formal process, involving all partners delivered a laudable degree of managerial cohesion.  If this were an established program</w:t>
      </w:r>
      <w:r w:rsidR="00EC1494">
        <w:rPr>
          <w:rFonts w:ascii="Cambria" w:hAnsi="Cambria"/>
          <w:sz w:val="21"/>
          <w:szCs w:val="21"/>
        </w:rPr>
        <w:t>,</w:t>
      </w:r>
      <w:r w:rsidRPr="00CB305F">
        <w:rPr>
          <w:rFonts w:ascii="Cambria" w:hAnsi="Cambria"/>
          <w:sz w:val="21"/>
          <w:szCs w:val="21"/>
        </w:rPr>
        <w:t xml:space="preserve"> a lighter touch would be appropriate.  At this point</w:t>
      </w:r>
      <w:r w:rsidR="00B9184F">
        <w:rPr>
          <w:rFonts w:ascii="Cambria" w:hAnsi="Cambria"/>
          <w:sz w:val="21"/>
          <w:szCs w:val="21"/>
        </w:rPr>
        <w:t xml:space="preserve">, </w:t>
      </w:r>
      <w:r w:rsidRPr="00CB305F">
        <w:rPr>
          <w:rFonts w:ascii="Cambria" w:hAnsi="Cambria"/>
          <w:sz w:val="21"/>
          <w:szCs w:val="21"/>
        </w:rPr>
        <w:t>as a pilot exercise, the evaluation concludes that the current arrangements are appropr</w:t>
      </w:r>
      <w:r w:rsidR="00FA44C8">
        <w:rPr>
          <w:rFonts w:ascii="Cambria" w:hAnsi="Cambria"/>
          <w:sz w:val="21"/>
          <w:szCs w:val="21"/>
        </w:rPr>
        <w:t xml:space="preserve">iate. </w:t>
      </w:r>
    </w:p>
    <w:p w14:paraId="3AAA50CD" w14:textId="0B483916" w:rsidR="003577F1" w:rsidRPr="00B9184F" w:rsidRDefault="00D54BDC" w:rsidP="00163DB2">
      <w:pPr>
        <w:spacing w:before="120"/>
        <w:ind w:left="6481" w:right="33"/>
        <w:jc w:val="both"/>
        <w:rPr>
          <w:rFonts w:ascii="Cambria" w:hAnsi="Cambria"/>
          <w:sz w:val="21"/>
          <w:szCs w:val="21"/>
        </w:rPr>
      </w:pPr>
      <w:r>
        <w:rPr>
          <w:rFonts w:ascii="Cambria" w:hAnsi="Cambria"/>
          <w:sz w:val="21"/>
          <w:szCs w:val="21"/>
        </w:rPr>
        <w:t xml:space="preserve">  </w:t>
      </w:r>
      <w:r w:rsidR="00FA44C8">
        <w:rPr>
          <w:rFonts w:ascii="Cambria" w:hAnsi="Cambria"/>
          <w:sz w:val="21"/>
          <w:szCs w:val="21"/>
        </w:rPr>
        <w:t xml:space="preserve"> </w:t>
      </w:r>
      <w:r w:rsidR="00C838DC">
        <w:rPr>
          <w:rFonts w:ascii="Cambria" w:hAnsi="Cambria"/>
          <w:sz w:val="21"/>
          <w:szCs w:val="21"/>
        </w:rPr>
        <w:t xml:space="preserve">   </w:t>
      </w:r>
      <w:r w:rsidR="00FA44C8">
        <w:rPr>
          <w:rFonts w:ascii="Cambria" w:hAnsi="Cambria"/>
          <w:sz w:val="21"/>
          <w:szCs w:val="21"/>
        </w:rPr>
        <w:t xml:space="preserve">  </w:t>
      </w:r>
      <w:r w:rsidR="00867038" w:rsidRPr="00867038">
        <w:rPr>
          <w:rFonts w:ascii="Cambria" w:hAnsi="Cambria"/>
          <w:b/>
          <w:bCs/>
          <w:sz w:val="22"/>
          <w:szCs w:val="22"/>
        </w:rPr>
        <w:t>Overall performance</w:t>
      </w:r>
      <w:r w:rsidR="00867038">
        <w:rPr>
          <w:rFonts w:ascii="Cambria" w:hAnsi="Cambria"/>
          <w:b/>
          <w:bCs/>
          <w:sz w:val="22"/>
          <w:szCs w:val="22"/>
        </w:rPr>
        <w:t xml:space="preserve">   </w:t>
      </w:r>
      <w:r w:rsidR="00C838DC">
        <w:rPr>
          <w:rFonts w:ascii="Cambria" w:hAnsi="Cambria"/>
          <w:b/>
          <w:bCs/>
          <w:sz w:val="22"/>
          <w:szCs w:val="22"/>
        </w:rPr>
        <w:t xml:space="preserve"> </w:t>
      </w:r>
      <w:r w:rsidR="00867038">
        <w:rPr>
          <w:rFonts w:ascii="Cambria" w:hAnsi="Cambria"/>
          <w:b/>
          <w:bCs/>
          <w:sz w:val="22"/>
          <w:szCs w:val="22"/>
        </w:rPr>
        <w:t xml:space="preserve">  </w:t>
      </w:r>
      <w:r>
        <w:rPr>
          <w:rFonts w:ascii="Cambria" w:hAnsi="Cambria"/>
          <w:b/>
          <w:bCs/>
          <w:sz w:val="22"/>
          <w:szCs w:val="22"/>
        </w:rPr>
        <w:t xml:space="preserve">  </w:t>
      </w:r>
      <w:r w:rsidR="00867038">
        <w:rPr>
          <w:rFonts w:ascii="Cambria" w:hAnsi="Cambria"/>
          <w:b/>
          <w:bCs/>
          <w:sz w:val="22"/>
          <w:szCs w:val="22"/>
        </w:rPr>
        <w:t xml:space="preserve">   </w:t>
      </w:r>
      <w:r w:rsidR="00B9184F" w:rsidRPr="00B70FBF">
        <w:rPr>
          <w:rFonts w:ascii="Cambria" w:hAnsi="Cambria"/>
          <w:b/>
          <w:bCs/>
          <w:noProof/>
        </w:rPr>
        <w:drawing>
          <wp:inline distT="0" distB="0" distL="0" distR="0" wp14:anchorId="7D99BA51" wp14:editId="7333B1A2">
            <wp:extent cx="172800" cy="180557"/>
            <wp:effectExtent l="0" t="0" r="5080" b="0"/>
            <wp:docPr id="29" name="Picture 29" descr="Rating Amber: satisfactory at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Rating Amber: satisfactory at this ti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800" cy="180557"/>
                    </a:xfrm>
                    <a:prstGeom prst="rect">
                      <a:avLst/>
                    </a:prstGeom>
                  </pic:spPr>
                </pic:pic>
              </a:graphicData>
            </a:graphic>
          </wp:inline>
        </w:drawing>
      </w:r>
    </w:p>
    <w:p w14:paraId="58221ECB" w14:textId="0CEE5373" w:rsidR="003577F1" w:rsidRPr="003577F1" w:rsidRDefault="006777F1" w:rsidP="00163DB2">
      <w:pPr>
        <w:pStyle w:val="Heading2"/>
        <w:spacing w:before="120"/>
        <w:ind w:left="720" w:right="33"/>
        <w:rPr>
          <w:b/>
          <w:bCs/>
          <w:sz w:val="28"/>
          <w:szCs w:val="28"/>
        </w:rPr>
      </w:pPr>
      <w:r>
        <w:rPr>
          <w:b/>
          <w:bCs/>
          <w:sz w:val="28"/>
          <w:szCs w:val="28"/>
        </w:rPr>
        <w:t>How</w:t>
      </w:r>
      <w:r w:rsidR="00CA3A5B">
        <w:rPr>
          <w:b/>
          <w:bCs/>
          <w:sz w:val="28"/>
          <w:szCs w:val="28"/>
        </w:rPr>
        <w:t xml:space="preserve"> </w:t>
      </w:r>
      <w:r w:rsidR="008C651B">
        <w:rPr>
          <w:b/>
          <w:bCs/>
          <w:sz w:val="28"/>
          <w:szCs w:val="28"/>
        </w:rPr>
        <w:t xml:space="preserve">well </w:t>
      </w:r>
      <w:r w:rsidR="00B748D0">
        <w:rPr>
          <w:b/>
          <w:bCs/>
          <w:sz w:val="28"/>
          <w:szCs w:val="28"/>
        </w:rPr>
        <w:t>are c</w:t>
      </w:r>
      <w:r w:rsidR="003577F1" w:rsidRPr="003577F1">
        <w:rPr>
          <w:b/>
          <w:bCs/>
          <w:sz w:val="28"/>
          <w:szCs w:val="28"/>
        </w:rPr>
        <w:t>ross cutting issues</w:t>
      </w:r>
      <w:r w:rsidR="00B748D0">
        <w:rPr>
          <w:b/>
          <w:bCs/>
          <w:sz w:val="28"/>
          <w:szCs w:val="28"/>
        </w:rPr>
        <w:t xml:space="preserve"> being handled</w:t>
      </w:r>
      <w:r w:rsidR="00856E24">
        <w:rPr>
          <w:b/>
          <w:bCs/>
          <w:sz w:val="28"/>
          <w:szCs w:val="28"/>
        </w:rPr>
        <w:t>?</w:t>
      </w:r>
    </w:p>
    <w:p w14:paraId="6EC64435" w14:textId="66C2E816" w:rsidR="003577F1" w:rsidRDefault="00394D5A" w:rsidP="00163DB2">
      <w:pPr>
        <w:spacing w:before="80"/>
        <w:ind w:right="33"/>
        <w:jc w:val="both"/>
        <w:rPr>
          <w:rFonts w:ascii="Cambria" w:hAnsi="Cambria"/>
          <w:sz w:val="21"/>
          <w:szCs w:val="21"/>
        </w:rPr>
      </w:pPr>
      <w:r w:rsidRPr="00394D5A">
        <w:rPr>
          <w:rFonts w:ascii="Cambria" w:hAnsi="Cambria"/>
          <w:sz w:val="21"/>
          <w:szCs w:val="21"/>
        </w:rPr>
        <w:t xml:space="preserve">All DFAT programs are required to consider ways they might advance gender equality, the interests of people with disabilities, </w:t>
      </w:r>
      <w:r>
        <w:rPr>
          <w:rFonts w:ascii="Cambria" w:hAnsi="Cambria"/>
          <w:sz w:val="21"/>
          <w:szCs w:val="21"/>
        </w:rPr>
        <w:t>respon</w:t>
      </w:r>
      <w:r w:rsidR="006777F1">
        <w:rPr>
          <w:rFonts w:ascii="Cambria" w:hAnsi="Cambria"/>
          <w:sz w:val="21"/>
          <w:szCs w:val="21"/>
        </w:rPr>
        <w:t>d</w:t>
      </w:r>
      <w:r>
        <w:rPr>
          <w:rFonts w:ascii="Cambria" w:hAnsi="Cambria"/>
          <w:sz w:val="21"/>
          <w:szCs w:val="21"/>
        </w:rPr>
        <w:t xml:space="preserve"> to </w:t>
      </w:r>
      <w:r w:rsidRPr="00394D5A">
        <w:rPr>
          <w:rFonts w:ascii="Cambria" w:hAnsi="Cambria"/>
          <w:sz w:val="21"/>
          <w:szCs w:val="21"/>
        </w:rPr>
        <w:t>climate change and involve the private sector.</w:t>
      </w:r>
      <w:r>
        <w:rPr>
          <w:rFonts w:ascii="Cambria" w:hAnsi="Cambria"/>
          <w:sz w:val="21"/>
          <w:szCs w:val="21"/>
        </w:rPr>
        <w:t xml:space="preserve">  </w:t>
      </w:r>
      <w:r w:rsidR="007B71B2">
        <w:rPr>
          <w:rFonts w:ascii="Cambria" w:hAnsi="Cambria"/>
          <w:sz w:val="21"/>
          <w:szCs w:val="21"/>
        </w:rPr>
        <w:t>TAF has observed that a</w:t>
      </w:r>
      <w:r>
        <w:rPr>
          <w:rFonts w:ascii="Cambria" w:hAnsi="Cambria"/>
          <w:sz w:val="21"/>
          <w:szCs w:val="21"/>
        </w:rPr>
        <w:t xml:space="preserve">s a very small program </w:t>
      </w:r>
      <w:r w:rsidR="00FA44C8">
        <w:rPr>
          <w:rFonts w:ascii="Cambria" w:hAnsi="Cambria"/>
          <w:sz w:val="21"/>
          <w:szCs w:val="21"/>
        </w:rPr>
        <w:t>relying</w:t>
      </w:r>
      <w:r>
        <w:rPr>
          <w:rFonts w:ascii="Cambria" w:hAnsi="Cambria"/>
          <w:sz w:val="21"/>
          <w:szCs w:val="21"/>
        </w:rPr>
        <w:t xml:space="preserve"> on country ownership there are limits to what can be accomplished.  That</w:t>
      </w:r>
      <w:r w:rsidR="007B71B2">
        <w:rPr>
          <w:rFonts w:ascii="Cambria" w:hAnsi="Cambria"/>
          <w:sz w:val="21"/>
          <w:szCs w:val="21"/>
        </w:rPr>
        <w:t xml:space="preserve"> is true and DFAT needs to avoiding loading up the program with </w:t>
      </w:r>
      <w:r w:rsidR="00315936">
        <w:rPr>
          <w:rFonts w:ascii="Cambria" w:hAnsi="Cambria"/>
          <w:sz w:val="21"/>
          <w:szCs w:val="21"/>
        </w:rPr>
        <w:t xml:space="preserve">too </w:t>
      </w:r>
      <w:r w:rsidR="007B71B2">
        <w:rPr>
          <w:rFonts w:ascii="Cambria" w:hAnsi="Cambria"/>
          <w:sz w:val="21"/>
          <w:szCs w:val="21"/>
        </w:rPr>
        <w:t>many subsidiary objectives.  However</w:t>
      </w:r>
      <w:r w:rsidR="00315936">
        <w:rPr>
          <w:rFonts w:ascii="Cambria" w:hAnsi="Cambria"/>
          <w:sz w:val="21"/>
          <w:szCs w:val="21"/>
        </w:rPr>
        <w:t>,</w:t>
      </w:r>
      <w:r w:rsidR="007B71B2">
        <w:rPr>
          <w:rFonts w:ascii="Cambria" w:hAnsi="Cambria"/>
          <w:sz w:val="21"/>
          <w:szCs w:val="21"/>
        </w:rPr>
        <w:t xml:space="preserve"> diagnostic and policy development processes provide the appropriate opportunity to </w:t>
      </w:r>
      <w:r w:rsidR="00315936">
        <w:rPr>
          <w:rFonts w:ascii="Cambria" w:hAnsi="Cambria"/>
          <w:sz w:val="21"/>
          <w:szCs w:val="21"/>
        </w:rPr>
        <w:t xml:space="preserve">consider the relevance of these </w:t>
      </w:r>
      <w:r w:rsidR="006777F1">
        <w:rPr>
          <w:rFonts w:ascii="Cambria" w:hAnsi="Cambria"/>
          <w:sz w:val="21"/>
          <w:szCs w:val="21"/>
        </w:rPr>
        <w:t xml:space="preserve">and broader distributional issues </w:t>
      </w:r>
      <w:r w:rsidR="007B71B2">
        <w:rPr>
          <w:rFonts w:ascii="Cambria" w:hAnsi="Cambria"/>
          <w:sz w:val="21"/>
          <w:szCs w:val="21"/>
        </w:rPr>
        <w:t>and determine whether they require specific responses that local authorities may or may not choose to embrace.  It is not clear to the evaluator that this is currently occurring.</w:t>
      </w:r>
    </w:p>
    <w:p w14:paraId="146F8958" w14:textId="15F4C106" w:rsidR="007B71B2" w:rsidRDefault="007B71B2" w:rsidP="00163DB2">
      <w:pPr>
        <w:ind w:right="33"/>
        <w:jc w:val="both"/>
        <w:rPr>
          <w:rFonts w:ascii="Cambria" w:hAnsi="Cambria"/>
          <w:sz w:val="21"/>
          <w:szCs w:val="21"/>
        </w:rPr>
      </w:pPr>
    </w:p>
    <w:p w14:paraId="5F65752A" w14:textId="1D361FD7" w:rsidR="00245CAC" w:rsidRDefault="007B71B2" w:rsidP="00163DB2">
      <w:pPr>
        <w:ind w:right="33"/>
        <w:jc w:val="both"/>
        <w:rPr>
          <w:rFonts w:ascii="Cambria" w:hAnsi="Cambria"/>
          <w:sz w:val="21"/>
          <w:szCs w:val="21"/>
        </w:rPr>
      </w:pPr>
      <w:r>
        <w:rPr>
          <w:rFonts w:ascii="Cambria" w:hAnsi="Cambria"/>
          <w:sz w:val="21"/>
          <w:szCs w:val="21"/>
        </w:rPr>
        <w:t xml:space="preserve">In terms of the investments themselves, the initiative to retain more women in the Malaysian workforce has a strong economic rationale, but is also of particular benefit to women trying to manage the double burden of domestic and paid work.  As the reforms to the Thai education system </w:t>
      </w:r>
      <w:r w:rsidR="00315936">
        <w:rPr>
          <w:rFonts w:ascii="Cambria" w:hAnsi="Cambria"/>
          <w:sz w:val="21"/>
          <w:szCs w:val="21"/>
        </w:rPr>
        <w:t xml:space="preserve">and Malaysian TVET system </w:t>
      </w:r>
      <w:r>
        <w:rPr>
          <w:rFonts w:ascii="Cambria" w:hAnsi="Cambria"/>
          <w:sz w:val="21"/>
          <w:szCs w:val="21"/>
        </w:rPr>
        <w:t xml:space="preserve">progress </w:t>
      </w:r>
      <w:r w:rsidR="00701858">
        <w:rPr>
          <w:rFonts w:ascii="Cambria" w:hAnsi="Cambria"/>
          <w:sz w:val="21"/>
          <w:szCs w:val="21"/>
        </w:rPr>
        <w:t>the evaluation foresees a</w:t>
      </w:r>
      <w:r>
        <w:rPr>
          <w:rFonts w:ascii="Cambria" w:hAnsi="Cambria"/>
          <w:sz w:val="21"/>
          <w:szCs w:val="21"/>
        </w:rPr>
        <w:t xml:space="preserve">dditional opportunities </w:t>
      </w:r>
      <w:r w:rsidR="002E1A2A">
        <w:rPr>
          <w:rFonts w:ascii="Cambria" w:hAnsi="Cambria"/>
          <w:sz w:val="21"/>
          <w:szCs w:val="21"/>
        </w:rPr>
        <w:t xml:space="preserve">for TAF </w:t>
      </w:r>
      <w:r>
        <w:rPr>
          <w:rFonts w:ascii="Cambria" w:hAnsi="Cambria"/>
          <w:sz w:val="21"/>
          <w:szCs w:val="21"/>
        </w:rPr>
        <w:t xml:space="preserve">to </w:t>
      </w:r>
      <w:r w:rsidR="002E1A2A">
        <w:rPr>
          <w:rFonts w:ascii="Cambria" w:hAnsi="Cambria"/>
          <w:sz w:val="21"/>
          <w:szCs w:val="21"/>
        </w:rPr>
        <w:t>consider</w:t>
      </w:r>
      <w:r>
        <w:rPr>
          <w:rFonts w:ascii="Cambria" w:hAnsi="Cambria"/>
          <w:sz w:val="21"/>
          <w:szCs w:val="21"/>
        </w:rPr>
        <w:t xml:space="preserve"> how outcomes may be improved for </w:t>
      </w:r>
      <w:r w:rsidR="00315936">
        <w:rPr>
          <w:rFonts w:ascii="Cambria" w:hAnsi="Cambria"/>
          <w:sz w:val="21"/>
          <w:szCs w:val="21"/>
        </w:rPr>
        <w:t xml:space="preserve">women, </w:t>
      </w:r>
      <w:r>
        <w:rPr>
          <w:rFonts w:ascii="Cambria" w:hAnsi="Cambria"/>
          <w:sz w:val="21"/>
          <w:szCs w:val="21"/>
        </w:rPr>
        <w:t xml:space="preserve">girls and </w:t>
      </w:r>
      <w:r w:rsidR="00B9184F">
        <w:rPr>
          <w:rFonts w:ascii="Cambria" w:hAnsi="Cambria"/>
          <w:sz w:val="21"/>
          <w:szCs w:val="21"/>
        </w:rPr>
        <w:t>people</w:t>
      </w:r>
      <w:r>
        <w:rPr>
          <w:rFonts w:ascii="Cambria" w:hAnsi="Cambria"/>
          <w:sz w:val="21"/>
          <w:szCs w:val="21"/>
        </w:rPr>
        <w:t xml:space="preserve"> with disabilities.  </w:t>
      </w:r>
      <w:r w:rsidR="00315936">
        <w:rPr>
          <w:rFonts w:ascii="Cambria" w:hAnsi="Cambria"/>
          <w:sz w:val="21"/>
          <w:szCs w:val="21"/>
        </w:rPr>
        <w:t>In both countries</w:t>
      </w:r>
      <w:r w:rsidR="000B6B15">
        <w:rPr>
          <w:rFonts w:ascii="Cambria" w:hAnsi="Cambria"/>
          <w:sz w:val="21"/>
          <w:szCs w:val="21"/>
        </w:rPr>
        <w:t>,</w:t>
      </w:r>
      <w:r w:rsidR="00315936">
        <w:rPr>
          <w:rFonts w:ascii="Cambria" w:hAnsi="Cambria"/>
          <w:sz w:val="21"/>
          <w:szCs w:val="21"/>
        </w:rPr>
        <w:t xml:space="preserve"> the key reform initiatives are </w:t>
      </w:r>
      <w:r w:rsidR="00E756D6">
        <w:rPr>
          <w:rFonts w:ascii="Cambria" w:hAnsi="Cambria"/>
          <w:sz w:val="21"/>
          <w:szCs w:val="21"/>
        </w:rPr>
        <w:t xml:space="preserve">also </w:t>
      </w:r>
      <w:r w:rsidR="00315936">
        <w:rPr>
          <w:rFonts w:ascii="Cambria" w:hAnsi="Cambria"/>
          <w:sz w:val="21"/>
          <w:szCs w:val="21"/>
        </w:rPr>
        <w:t>market-friendly</w:t>
      </w:r>
      <w:r w:rsidR="000B6B15">
        <w:rPr>
          <w:rFonts w:ascii="Cambria" w:hAnsi="Cambria"/>
          <w:sz w:val="21"/>
          <w:szCs w:val="21"/>
        </w:rPr>
        <w:t xml:space="preserve"> and</w:t>
      </w:r>
      <w:r w:rsidR="00315936">
        <w:rPr>
          <w:rFonts w:ascii="Cambria" w:hAnsi="Cambria"/>
          <w:sz w:val="21"/>
          <w:szCs w:val="21"/>
        </w:rPr>
        <w:t xml:space="preserve"> pro</w:t>
      </w:r>
      <w:r w:rsidR="000B6B15">
        <w:rPr>
          <w:rFonts w:ascii="Cambria" w:hAnsi="Cambria"/>
          <w:sz w:val="21"/>
          <w:szCs w:val="21"/>
        </w:rPr>
        <w:t>-</w:t>
      </w:r>
      <w:r w:rsidR="00315936">
        <w:rPr>
          <w:rFonts w:ascii="Cambria" w:hAnsi="Cambria"/>
          <w:sz w:val="21"/>
          <w:szCs w:val="21"/>
        </w:rPr>
        <w:t>private sector</w:t>
      </w:r>
      <w:r w:rsidR="000B6B15">
        <w:rPr>
          <w:rFonts w:ascii="Cambria" w:hAnsi="Cambria"/>
          <w:sz w:val="21"/>
          <w:szCs w:val="21"/>
        </w:rPr>
        <w:t xml:space="preserve"> growth, in accordance with Australian policy</w:t>
      </w:r>
      <w:r w:rsidR="00315936">
        <w:rPr>
          <w:rFonts w:ascii="Cambria" w:hAnsi="Cambria"/>
          <w:sz w:val="21"/>
          <w:szCs w:val="21"/>
        </w:rPr>
        <w:t xml:space="preserve">.  Thus far, climate change has not emerged as an issue in its own right, or a relevant priority consideration to be incorporated into policy development.  That is not in itself a failing, but it would be if, for example, a country wanted to cooperate on energy policy and there was no climate change analysis integrated into </w:t>
      </w:r>
      <w:r w:rsidR="00B9184F">
        <w:rPr>
          <w:rFonts w:ascii="Cambria" w:hAnsi="Cambria"/>
          <w:sz w:val="21"/>
          <w:szCs w:val="21"/>
        </w:rPr>
        <w:t>the policy.</w:t>
      </w:r>
    </w:p>
    <w:p w14:paraId="5284B029" w14:textId="26BAFF23" w:rsidR="00B9184F" w:rsidRPr="00B9184F" w:rsidRDefault="005D1C61" w:rsidP="00163DB2">
      <w:pPr>
        <w:ind w:left="6481" w:right="33"/>
        <w:jc w:val="both"/>
        <w:rPr>
          <w:rFonts w:ascii="Cambria" w:hAnsi="Cambria"/>
          <w:sz w:val="21"/>
          <w:szCs w:val="21"/>
        </w:rPr>
      </w:pPr>
      <w:r>
        <w:rPr>
          <w:rFonts w:ascii="Cambria" w:hAnsi="Cambria"/>
          <w:b/>
          <w:bCs/>
          <w:sz w:val="22"/>
          <w:szCs w:val="22"/>
        </w:rPr>
        <w:t xml:space="preserve">    </w:t>
      </w:r>
      <w:r w:rsidR="00B9184F" w:rsidRPr="00867038">
        <w:rPr>
          <w:rFonts w:ascii="Cambria" w:hAnsi="Cambria"/>
          <w:b/>
          <w:bCs/>
          <w:sz w:val="22"/>
          <w:szCs w:val="22"/>
        </w:rPr>
        <w:t>Overall performance</w:t>
      </w:r>
      <w:r w:rsidR="00B9184F">
        <w:rPr>
          <w:rFonts w:ascii="Cambria" w:hAnsi="Cambria"/>
          <w:b/>
          <w:bCs/>
          <w:sz w:val="22"/>
          <w:szCs w:val="22"/>
        </w:rPr>
        <w:t xml:space="preserve">     </w:t>
      </w:r>
      <w:r w:rsidR="00245CAC">
        <w:rPr>
          <w:rFonts w:ascii="Cambria" w:hAnsi="Cambria"/>
          <w:b/>
          <w:bCs/>
          <w:sz w:val="22"/>
          <w:szCs w:val="22"/>
        </w:rPr>
        <w:t xml:space="preserve">       </w:t>
      </w:r>
      <w:r w:rsidR="00B9184F">
        <w:rPr>
          <w:rFonts w:ascii="Cambria" w:hAnsi="Cambria"/>
          <w:b/>
          <w:bCs/>
          <w:sz w:val="22"/>
          <w:szCs w:val="22"/>
        </w:rPr>
        <w:t xml:space="preserve">   </w:t>
      </w:r>
      <w:r w:rsidR="00B9184F" w:rsidRPr="00B70FBF">
        <w:rPr>
          <w:rFonts w:ascii="Cambria" w:hAnsi="Cambria"/>
          <w:b/>
          <w:bCs/>
          <w:noProof/>
        </w:rPr>
        <w:drawing>
          <wp:inline distT="0" distB="0" distL="0" distR="0" wp14:anchorId="4766E405" wp14:editId="79603071">
            <wp:extent cx="172800" cy="180557"/>
            <wp:effectExtent l="0" t="0" r="5080" b="0"/>
            <wp:docPr id="30" name="Picture 30" descr="Rating Amber: satisfactory at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Rating Amber: satisfactory at this ti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800" cy="180557"/>
                    </a:xfrm>
                    <a:prstGeom prst="rect">
                      <a:avLst/>
                    </a:prstGeom>
                  </pic:spPr>
                </pic:pic>
              </a:graphicData>
            </a:graphic>
          </wp:inline>
        </w:drawing>
      </w:r>
    </w:p>
    <w:p w14:paraId="5014D438" w14:textId="77777777" w:rsidR="00163DB2" w:rsidRDefault="00163DB2" w:rsidP="00163DB2">
      <w:pPr>
        <w:pStyle w:val="Heading2"/>
        <w:ind w:right="33"/>
        <w:rPr>
          <w:b/>
          <w:bCs/>
          <w:sz w:val="28"/>
          <w:szCs w:val="28"/>
        </w:rPr>
      </w:pPr>
    </w:p>
    <w:p w14:paraId="7FC56124" w14:textId="1C2EF25E" w:rsidR="00980AA5" w:rsidRPr="003577F1" w:rsidRDefault="00A90F20" w:rsidP="00163DB2">
      <w:pPr>
        <w:pStyle w:val="Heading2"/>
        <w:ind w:right="33"/>
        <w:rPr>
          <w:b/>
          <w:bCs/>
          <w:sz w:val="28"/>
          <w:szCs w:val="28"/>
        </w:rPr>
      </w:pPr>
      <w:r>
        <w:rPr>
          <w:b/>
          <w:bCs/>
          <w:sz w:val="28"/>
          <w:szCs w:val="28"/>
        </w:rPr>
        <w:t xml:space="preserve">Evaluation Question 4:   What would accelerate </w:t>
      </w:r>
      <w:r w:rsidR="00856E24">
        <w:rPr>
          <w:b/>
          <w:bCs/>
          <w:sz w:val="28"/>
          <w:szCs w:val="28"/>
        </w:rPr>
        <w:t xml:space="preserve">achievement of </w:t>
      </w:r>
      <w:r>
        <w:rPr>
          <w:b/>
          <w:bCs/>
          <w:sz w:val="28"/>
          <w:szCs w:val="28"/>
        </w:rPr>
        <w:t>p</w:t>
      </w:r>
      <w:r w:rsidR="00980AA5" w:rsidRPr="003577F1">
        <w:rPr>
          <w:b/>
          <w:bCs/>
          <w:sz w:val="28"/>
          <w:szCs w:val="28"/>
        </w:rPr>
        <w:t>rogram</w:t>
      </w:r>
      <w:r w:rsidR="00856E24">
        <w:rPr>
          <w:b/>
          <w:bCs/>
          <w:sz w:val="28"/>
          <w:szCs w:val="28"/>
        </w:rPr>
        <w:t xml:space="preserve"> goals?</w:t>
      </w:r>
      <w:r w:rsidR="00EC3CA2">
        <w:rPr>
          <w:rStyle w:val="EndnoteReference"/>
          <w:b/>
          <w:bCs/>
          <w:sz w:val="28"/>
          <w:szCs w:val="28"/>
        </w:rPr>
        <w:endnoteReference w:id="12"/>
      </w:r>
    </w:p>
    <w:p w14:paraId="542F30AE" w14:textId="0A1F96F7" w:rsidR="00D47123" w:rsidRPr="00CB305F" w:rsidRDefault="008E0341" w:rsidP="00163DB2">
      <w:pPr>
        <w:spacing w:before="120"/>
        <w:ind w:right="33"/>
        <w:jc w:val="both"/>
        <w:rPr>
          <w:rFonts w:ascii="Cambria" w:hAnsi="Cambria"/>
          <w:sz w:val="21"/>
          <w:szCs w:val="21"/>
        </w:rPr>
      </w:pPr>
      <w:r w:rsidRPr="00CB305F">
        <w:rPr>
          <w:rFonts w:ascii="Cambria" w:hAnsi="Cambria"/>
          <w:sz w:val="21"/>
          <w:szCs w:val="21"/>
        </w:rPr>
        <w:t xml:space="preserve">The evaluator sees </w:t>
      </w:r>
      <w:r w:rsidR="00A80F70" w:rsidRPr="00CB305F">
        <w:rPr>
          <w:rFonts w:ascii="Cambria" w:hAnsi="Cambria"/>
          <w:sz w:val="21"/>
          <w:szCs w:val="21"/>
        </w:rPr>
        <w:t>5</w:t>
      </w:r>
      <w:r w:rsidRPr="00CB305F">
        <w:rPr>
          <w:rFonts w:ascii="Cambria" w:hAnsi="Cambria"/>
          <w:sz w:val="21"/>
          <w:szCs w:val="21"/>
        </w:rPr>
        <w:t xml:space="preserve"> measures which might help </w:t>
      </w:r>
      <w:r w:rsidR="00D47123" w:rsidRPr="00CB305F">
        <w:rPr>
          <w:rFonts w:ascii="Cambria" w:hAnsi="Cambria"/>
          <w:sz w:val="21"/>
          <w:szCs w:val="21"/>
        </w:rPr>
        <w:t>accelerate progress in the second half of the program</w:t>
      </w:r>
      <w:r w:rsidRPr="00CB305F">
        <w:rPr>
          <w:rFonts w:ascii="Cambria" w:hAnsi="Cambria"/>
          <w:sz w:val="21"/>
          <w:szCs w:val="21"/>
        </w:rPr>
        <w:t xml:space="preserve">:  </w:t>
      </w:r>
    </w:p>
    <w:p w14:paraId="66CCB2E9" w14:textId="42FF27A9" w:rsidR="00E06AA7" w:rsidRPr="00D47123" w:rsidRDefault="000C397F" w:rsidP="00163DB2">
      <w:pPr>
        <w:pStyle w:val="ListParagraph"/>
        <w:numPr>
          <w:ilvl w:val="0"/>
          <w:numId w:val="34"/>
        </w:numPr>
        <w:spacing w:before="80"/>
        <w:ind w:left="1434" w:right="33" w:hanging="357"/>
        <w:contextualSpacing w:val="0"/>
        <w:rPr>
          <w:rFonts w:ascii="Cambria" w:hAnsi="Cambria"/>
          <w:b/>
          <w:bCs/>
          <w:i/>
          <w:iCs/>
          <w:sz w:val="21"/>
          <w:szCs w:val="21"/>
        </w:rPr>
      </w:pPr>
      <w:r w:rsidRPr="00D47123">
        <w:rPr>
          <w:rFonts w:ascii="Cambria" w:hAnsi="Cambria"/>
          <w:b/>
          <w:bCs/>
          <w:i/>
          <w:iCs/>
          <w:sz w:val="21"/>
          <w:szCs w:val="21"/>
        </w:rPr>
        <w:t>Extend the</w:t>
      </w:r>
      <w:r w:rsidR="00D47123">
        <w:rPr>
          <w:rFonts w:ascii="Cambria" w:hAnsi="Cambria"/>
          <w:b/>
          <w:bCs/>
          <w:i/>
          <w:iCs/>
          <w:sz w:val="21"/>
          <w:szCs w:val="21"/>
        </w:rPr>
        <w:t xml:space="preserve"> program</w:t>
      </w:r>
      <w:r w:rsidRPr="00D47123">
        <w:rPr>
          <w:rFonts w:ascii="Cambria" w:hAnsi="Cambria"/>
          <w:b/>
          <w:bCs/>
          <w:i/>
          <w:iCs/>
          <w:sz w:val="21"/>
          <w:szCs w:val="21"/>
        </w:rPr>
        <w:t xml:space="preserve"> t</w:t>
      </w:r>
      <w:r w:rsidR="00E06AA7" w:rsidRPr="00D47123">
        <w:rPr>
          <w:rFonts w:ascii="Cambria" w:hAnsi="Cambria"/>
          <w:b/>
          <w:bCs/>
          <w:i/>
          <w:iCs/>
          <w:sz w:val="21"/>
          <w:szCs w:val="21"/>
        </w:rPr>
        <w:t>ime</w:t>
      </w:r>
      <w:r w:rsidRPr="00D47123">
        <w:rPr>
          <w:rFonts w:ascii="Cambria" w:hAnsi="Cambria"/>
          <w:b/>
          <w:bCs/>
          <w:i/>
          <w:iCs/>
          <w:sz w:val="21"/>
          <w:szCs w:val="21"/>
        </w:rPr>
        <w:t>f</w:t>
      </w:r>
      <w:r w:rsidR="00E06AA7" w:rsidRPr="00D47123">
        <w:rPr>
          <w:rFonts w:ascii="Cambria" w:hAnsi="Cambria"/>
          <w:b/>
          <w:bCs/>
          <w:i/>
          <w:iCs/>
          <w:sz w:val="21"/>
          <w:szCs w:val="21"/>
        </w:rPr>
        <w:t>rame</w:t>
      </w:r>
    </w:p>
    <w:p w14:paraId="0F1BC597" w14:textId="35171D49" w:rsidR="00006DA9" w:rsidRPr="00CB305F" w:rsidRDefault="00660BF9" w:rsidP="00163DB2">
      <w:pPr>
        <w:ind w:right="33"/>
        <w:jc w:val="both"/>
        <w:rPr>
          <w:rFonts w:ascii="Cambria" w:hAnsi="Cambria"/>
          <w:sz w:val="21"/>
          <w:szCs w:val="21"/>
        </w:rPr>
      </w:pPr>
      <w:r w:rsidRPr="00CB305F">
        <w:rPr>
          <w:rFonts w:ascii="Cambria" w:hAnsi="Cambria"/>
          <w:sz w:val="21"/>
          <w:szCs w:val="21"/>
        </w:rPr>
        <w:t xml:space="preserve">The evaluation concludes that the three-year time frame for the program was always </w:t>
      </w:r>
      <w:r w:rsidR="00EB3430" w:rsidRPr="00CB305F">
        <w:rPr>
          <w:rFonts w:ascii="Cambria" w:hAnsi="Cambria"/>
          <w:sz w:val="21"/>
          <w:szCs w:val="21"/>
        </w:rPr>
        <w:t>too short</w:t>
      </w:r>
      <w:r w:rsidR="00006DA9" w:rsidRPr="00CB305F">
        <w:rPr>
          <w:rFonts w:ascii="Cambria" w:hAnsi="Cambria"/>
          <w:sz w:val="21"/>
          <w:szCs w:val="21"/>
        </w:rPr>
        <w:t>,</w:t>
      </w:r>
      <w:r w:rsidRPr="00CB305F">
        <w:rPr>
          <w:rFonts w:ascii="Cambria" w:hAnsi="Cambria"/>
          <w:sz w:val="21"/>
          <w:szCs w:val="21"/>
        </w:rPr>
        <w:t xml:space="preserve"> given the need to build relationships, determine priorities, identify pathways, </w:t>
      </w:r>
      <w:r w:rsidR="00E711D7" w:rsidRPr="00CB305F">
        <w:rPr>
          <w:rFonts w:ascii="Cambria" w:hAnsi="Cambria"/>
          <w:sz w:val="21"/>
          <w:szCs w:val="21"/>
        </w:rPr>
        <w:t>assemble</w:t>
      </w:r>
      <w:r w:rsidRPr="00CB305F">
        <w:rPr>
          <w:rFonts w:ascii="Cambria" w:hAnsi="Cambria"/>
          <w:sz w:val="21"/>
          <w:szCs w:val="21"/>
        </w:rPr>
        <w:t xml:space="preserve"> coalitions and advance reforms enjoying sufficient support to have a good chance of success.   </w:t>
      </w:r>
      <w:r w:rsidR="00006DA9" w:rsidRPr="00CB305F">
        <w:rPr>
          <w:rFonts w:ascii="Cambria" w:hAnsi="Cambria"/>
          <w:sz w:val="21"/>
          <w:szCs w:val="21"/>
        </w:rPr>
        <w:t xml:space="preserve">The evaluation sees a risk of needing to scale back prematurely and/or getting near the program’s end date with a lot of loose ends that cannot be neatly </w:t>
      </w:r>
      <w:r w:rsidR="00006DA9" w:rsidRPr="00CB305F">
        <w:rPr>
          <w:rFonts w:ascii="Cambria" w:hAnsi="Cambria"/>
          <w:sz w:val="21"/>
          <w:szCs w:val="21"/>
        </w:rPr>
        <w:lastRenderedPageBreak/>
        <w:t>tied up.</w:t>
      </w:r>
      <w:r w:rsidR="001F44F0" w:rsidRPr="00CB305F">
        <w:rPr>
          <w:rFonts w:ascii="Cambria" w:hAnsi="Cambria"/>
          <w:sz w:val="21"/>
          <w:szCs w:val="21"/>
        </w:rPr>
        <w:t xml:space="preserve">  In short, </w:t>
      </w:r>
      <w:r w:rsidR="00E711D7" w:rsidRPr="00CB305F">
        <w:rPr>
          <w:rFonts w:ascii="Cambria" w:hAnsi="Cambria"/>
          <w:sz w:val="21"/>
          <w:szCs w:val="21"/>
        </w:rPr>
        <w:t>MTRP’s progress demonstrates that</w:t>
      </w:r>
      <w:r w:rsidR="001F44F0" w:rsidRPr="00CB305F">
        <w:rPr>
          <w:rFonts w:ascii="Cambria" w:hAnsi="Cambria"/>
          <w:sz w:val="21"/>
          <w:szCs w:val="21"/>
        </w:rPr>
        <w:t xml:space="preserve"> </w:t>
      </w:r>
      <w:r w:rsidR="00EB3430" w:rsidRPr="00CB305F">
        <w:rPr>
          <w:rFonts w:ascii="Cambria" w:hAnsi="Cambria"/>
          <w:sz w:val="21"/>
          <w:szCs w:val="21"/>
        </w:rPr>
        <w:t>‘</w:t>
      </w:r>
      <w:r w:rsidR="001F44F0" w:rsidRPr="00CB305F">
        <w:rPr>
          <w:rFonts w:ascii="Cambria" w:hAnsi="Cambria"/>
          <w:sz w:val="21"/>
          <w:szCs w:val="21"/>
        </w:rPr>
        <w:t>the plane can fly</w:t>
      </w:r>
      <w:r w:rsidR="00EB3430" w:rsidRPr="00CB305F">
        <w:rPr>
          <w:rFonts w:ascii="Cambria" w:hAnsi="Cambria"/>
          <w:sz w:val="21"/>
          <w:szCs w:val="21"/>
        </w:rPr>
        <w:t>’</w:t>
      </w:r>
      <w:r w:rsidR="001F44F0" w:rsidRPr="00CB305F">
        <w:rPr>
          <w:rFonts w:ascii="Cambria" w:hAnsi="Cambria"/>
          <w:sz w:val="21"/>
          <w:szCs w:val="21"/>
        </w:rPr>
        <w:t>, but we do</w:t>
      </w:r>
      <w:r w:rsidR="00EB3430" w:rsidRPr="00CB305F">
        <w:rPr>
          <w:rFonts w:ascii="Cambria" w:hAnsi="Cambria"/>
          <w:sz w:val="21"/>
          <w:szCs w:val="21"/>
        </w:rPr>
        <w:t xml:space="preserve"> </w:t>
      </w:r>
      <w:r w:rsidR="001F44F0" w:rsidRPr="00CB305F">
        <w:rPr>
          <w:rFonts w:ascii="Cambria" w:hAnsi="Cambria"/>
          <w:sz w:val="21"/>
          <w:szCs w:val="21"/>
        </w:rPr>
        <w:t>n</w:t>
      </w:r>
      <w:r w:rsidR="00EB3430" w:rsidRPr="00CB305F">
        <w:rPr>
          <w:rFonts w:ascii="Cambria" w:hAnsi="Cambria"/>
          <w:sz w:val="21"/>
          <w:szCs w:val="21"/>
        </w:rPr>
        <w:t>o</w:t>
      </w:r>
      <w:r w:rsidR="001F44F0" w:rsidRPr="00CB305F">
        <w:rPr>
          <w:rFonts w:ascii="Cambria" w:hAnsi="Cambria"/>
          <w:sz w:val="21"/>
          <w:szCs w:val="21"/>
        </w:rPr>
        <w:t xml:space="preserve">t yet know that it can </w:t>
      </w:r>
      <w:r w:rsidR="00EC3CA2">
        <w:rPr>
          <w:rFonts w:ascii="Cambria" w:hAnsi="Cambria"/>
          <w:sz w:val="21"/>
          <w:szCs w:val="21"/>
        </w:rPr>
        <w:t xml:space="preserve">land </w:t>
      </w:r>
      <w:r w:rsidR="00E711D7" w:rsidRPr="00CB305F">
        <w:rPr>
          <w:rFonts w:ascii="Cambria" w:hAnsi="Cambria"/>
          <w:sz w:val="21"/>
          <w:szCs w:val="21"/>
        </w:rPr>
        <w:t>successfully</w:t>
      </w:r>
      <w:r w:rsidR="001F44F0" w:rsidRPr="00CB305F">
        <w:rPr>
          <w:rFonts w:ascii="Cambria" w:hAnsi="Cambria"/>
          <w:sz w:val="21"/>
          <w:szCs w:val="21"/>
        </w:rPr>
        <w:t>.  We need to increase the chances of it doing so, with passengers departing on schedule at desired locations</w:t>
      </w:r>
      <w:r w:rsidR="00C838DC">
        <w:rPr>
          <w:rFonts w:ascii="Cambria" w:hAnsi="Cambria"/>
          <w:sz w:val="21"/>
          <w:szCs w:val="21"/>
        </w:rPr>
        <w:t>,</w:t>
      </w:r>
      <w:r w:rsidR="001F44F0" w:rsidRPr="00CB305F">
        <w:rPr>
          <w:rFonts w:ascii="Cambria" w:hAnsi="Cambria"/>
          <w:sz w:val="21"/>
          <w:szCs w:val="21"/>
        </w:rPr>
        <w:t xml:space="preserve"> with options for onward journeys. </w:t>
      </w:r>
    </w:p>
    <w:p w14:paraId="0DB13F09" w14:textId="77777777" w:rsidR="00006DA9" w:rsidRPr="00CB305F" w:rsidRDefault="00006DA9" w:rsidP="00163DB2">
      <w:pPr>
        <w:ind w:right="33"/>
        <w:jc w:val="both"/>
        <w:rPr>
          <w:rFonts w:ascii="Cambria" w:hAnsi="Cambria"/>
          <w:sz w:val="21"/>
          <w:szCs w:val="21"/>
        </w:rPr>
      </w:pPr>
    </w:p>
    <w:p w14:paraId="55E093E0" w14:textId="6DD7EE2A" w:rsidR="0039705B" w:rsidRDefault="00006DA9" w:rsidP="00163DB2">
      <w:pPr>
        <w:ind w:right="33"/>
        <w:jc w:val="both"/>
        <w:rPr>
          <w:rFonts w:ascii="Cambria" w:hAnsi="Cambria"/>
          <w:sz w:val="21"/>
          <w:szCs w:val="21"/>
        </w:rPr>
      </w:pPr>
      <w:r w:rsidRPr="00CB305F">
        <w:rPr>
          <w:rFonts w:ascii="Cambria" w:hAnsi="Cambria"/>
          <w:sz w:val="21"/>
          <w:szCs w:val="21"/>
        </w:rPr>
        <w:t>The evaluation judges that, independent of any decision about a successor program</w:t>
      </w:r>
      <w:r w:rsidR="00E711D7" w:rsidRPr="00CB305F">
        <w:rPr>
          <w:rFonts w:ascii="Cambria" w:hAnsi="Cambria"/>
          <w:sz w:val="21"/>
          <w:szCs w:val="21"/>
        </w:rPr>
        <w:t>,</w:t>
      </w:r>
      <w:r w:rsidRPr="00CB305F">
        <w:rPr>
          <w:rFonts w:ascii="Cambria" w:hAnsi="Cambria"/>
          <w:sz w:val="21"/>
          <w:szCs w:val="21"/>
        </w:rPr>
        <w:t xml:space="preserve"> or some entirely new program, the existing program would benefit from longer time horizons</w:t>
      </w:r>
      <w:r w:rsidR="0039705B">
        <w:rPr>
          <w:rFonts w:ascii="Cambria" w:hAnsi="Cambria"/>
          <w:sz w:val="21"/>
          <w:szCs w:val="21"/>
        </w:rPr>
        <w:t>.  In Thailand’s case</w:t>
      </w:r>
      <w:r w:rsidR="0006503D">
        <w:rPr>
          <w:rFonts w:ascii="Cambria" w:hAnsi="Cambria"/>
          <w:sz w:val="21"/>
          <w:szCs w:val="21"/>
        </w:rPr>
        <w:t>,</w:t>
      </w:r>
      <w:r w:rsidR="0039705B">
        <w:rPr>
          <w:rFonts w:ascii="Cambria" w:hAnsi="Cambria"/>
          <w:sz w:val="21"/>
          <w:szCs w:val="21"/>
        </w:rPr>
        <w:t xml:space="preserve"> this could be accomplished by absorbing the program into new Mekong programs that are  being developed.  This might also allow for opportunities in future to take the approaches into other sub-regional AMICs.  In Malaysia</w:t>
      </w:r>
      <w:r w:rsidR="00C838DC">
        <w:rPr>
          <w:rFonts w:ascii="Cambria" w:hAnsi="Cambria"/>
          <w:sz w:val="21"/>
          <w:szCs w:val="21"/>
        </w:rPr>
        <w:t>,</w:t>
      </w:r>
      <w:r w:rsidR="0039705B">
        <w:rPr>
          <w:rFonts w:ascii="Cambria" w:hAnsi="Cambria"/>
          <w:sz w:val="21"/>
          <w:szCs w:val="21"/>
        </w:rPr>
        <w:t xml:space="preserve"> a purpose-built solution might be required.   A no</w:t>
      </w:r>
      <w:r w:rsidR="0006503D">
        <w:rPr>
          <w:rFonts w:ascii="Cambria" w:hAnsi="Cambria"/>
          <w:sz w:val="21"/>
          <w:szCs w:val="21"/>
        </w:rPr>
        <w:t>-</w:t>
      </w:r>
      <w:r w:rsidR="0039705B">
        <w:rPr>
          <w:rFonts w:ascii="Cambria" w:hAnsi="Cambria"/>
          <w:sz w:val="21"/>
          <w:szCs w:val="21"/>
        </w:rPr>
        <w:t>cost extension might be the easiest solution</w:t>
      </w:r>
      <w:r w:rsidR="0006503D">
        <w:rPr>
          <w:rFonts w:ascii="Cambria" w:hAnsi="Cambria"/>
          <w:sz w:val="21"/>
          <w:szCs w:val="21"/>
        </w:rPr>
        <w:t>,</w:t>
      </w:r>
      <w:r w:rsidR="0039705B">
        <w:rPr>
          <w:rFonts w:ascii="Cambria" w:hAnsi="Cambria"/>
          <w:sz w:val="21"/>
          <w:szCs w:val="21"/>
        </w:rPr>
        <w:t xml:space="preserve"> though this might leave the program underfunded.</w:t>
      </w:r>
      <w:r w:rsidR="00832592">
        <w:rPr>
          <w:rFonts w:ascii="Cambria" w:hAnsi="Cambria"/>
          <w:sz w:val="21"/>
          <w:szCs w:val="21"/>
        </w:rPr>
        <w:t xml:space="preserve">  As a policy-based partnership program, especially an evolutionary one, DFAT should also be cognisant of management demands.  The activity requires ongoing Post engagement</w:t>
      </w:r>
      <w:r w:rsidR="0039705B">
        <w:rPr>
          <w:rFonts w:ascii="Cambria" w:hAnsi="Cambria"/>
          <w:sz w:val="21"/>
          <w:szCs w:val="21"/>
        </w:rPr>
        <w:t xml:space="preserve"> </w:t>
      </w:r>
      <w:r w:rsidR="00832592">
        <w:rPr>
          <w:rFonts w:ascii="Cambria" w:hAnsi="Cambria"/>
          <w:sz w:val="21"/>
          <w:szCs w:val="21"/>
        </w:rPr>
        <w:t xml:space="preserve">with TAF, program partners and counterparts.  This delivers major value-added, but as several staff commented, it makes the program quite resource intensive to operate.  This must be recognised in management resourcing and prioritisation decisions.    </w:t>
      </w:r>
      <w:r w:rsidR="0039705B">
        <w:rPr>
          <w:rFonts w:ascii="Cambria" w:hAnsi="Cambria"/>
          <w:sz w:val="21"/>
          <w:szCs w:val="21"/>
        </w:rPr>
        <w:t xml:space="preserve">  </w:t>
      </w:r>
      <w:r w:rsidRPr="00CB305F">
        <w:rPr>
          <w:rFonts w:ascii="Cambria" w:hAnsi="Cambria"/>
          <w:sz w:val="21"/>
          <w:szCs w:val="21"/>
        </w:rPr>
        <w:t xml:space="preserve"> </w:t>
      </w:r>
    </w:p>
    <w:p w14:paraId="5751A1CA" w14:textId="2639020E" w:rsidR="00D47123" w:rsidRPr="003C68DD" w:rsidRDefault="00D47123" w:rsidP="00163DB2">
      <w:pPr>
        <w:ind w:right="33"/>
        <w:jc w:val="both"/>
        <w:rPr>
          <w:rFonts w:ascii="Cambria" w:hAnsi="Cambria"/>
          <w:sz w:val="21"/>
          <w:szCs w:val="21"/>
        </w:rPr>
      </w:pPr>
    </w:p>
    <w:p w14:paraId="53A96E5B" w14:textId="1FED3B1C" w:rsidR="00006DA9" w:rsidRPr="00D47123" w:rsidRDefault="00D47123" w:rsidP="00163DB2">
      <w:pPr>
        <w:pStyle w:val="ListParagraph"/>
        <w:numPr>
          <w:ilvl w:val="0"/>
          <w:numId w:val="34"/>
        </w:numPr>
        <w:ind w:right="33"/>
        <w:jc w:val="both"/>
        <w:rPr>
          <w:rFonts w:ascii="Cambria" w:hAnsi="Cambria"/>
          <w:b/>
          <w:bCs/>
          <w:i/>
          <w:iCs/>
          <w:sz w:val="21"/>
          <w:szCs w:val="21"/>
        </w:rPr>
      </w:pPr>
      <w:r>
        <w:rPr>
          <w:rFonts w:ascii="Cambria" w:hAnsi="Cambria"/>
          <w:b/>
          <w:bCs/>
          <w:i/>
          <w:iCs/>
          <w:sz w:val="21"/>
          <w:szCs w:val="21"/>
        </w:rPr>
        <w:t>Modestly i</w:t>
      </w:r>
      <w:r w:rsidR="000C397F" w:rsidRPr="00D47123">
        <w:rPr>
          <w:rFonts w:ascii="Cambria" w:hAnsi="Cambria"/>
          <w:b/>
          <w:bCs/>
          <w:i/>
          <w:iCs/>
          <w:sz w:val="21"/>
          <w:szCs w:val="21"/>
        </w:rPr>
        <w:t>ncrease the b</w:t>
      </w:r>
      <w:r w:rsidR="00006DA9" w:rsidRPr="00D47123">
        <w:rPr>
          <w:rFonts w:ascii="Cambria" w:hAnsi="Cambria"/>
          <w:b/>
          <w:bCs/>
          <w:i/>
          <w:iCs/>
          <w:sz w:val="21"/>
          <w:szCs w:val="21"/>
        </w:rPr>
        <w:t>udget</w:t>
      </w:r>
      <w:r>
        <w:rPr>
          <w:rFonts w:ascii="Cambria" w:hAnsi="Cambria"/>
          <w:b/>
          <w:bCs/>
          <w:i/>
          <w:iCs/>
          <w:sz w:val="21"/>
          <w:szCs w:val="21"/>
        </w:rPr>
        <w:t xml:space="preserve"> and </w:t>
      </w:r>
      <w:r w:rsidR="00D54BDC">
        <w:rPr>
          <w:rFonts w:ascii="Cambria" w:hAnsi="Cambria"/>
          <w:b/>
          <w:bCs/>
          <w:i/>
          <w:iCs/>
          <w:sz w:val="21"/>
          <w:szCs w:val="21"/>
        </w:rPr>
        <w:t>consider</w:t>
      </w:r>
      <w:r>
        <w:rPr>
          <w:rFonts w:ascii="Cambria" w:hAnsi="Cambria"/>
          <w:b/>
          <w:bCs/>
          <w:i/>
          <w:iCs/>
          <w:sz w:val="21"/>
          <w:szCs w:val="21"/>
        </w:rPr>
        <w:t xml:space="preserve"> a contingency fund</w:t>
      </w:r>
    </w:p>
    <w:p w14:paraId="7AF0E895" w14:textId="4FB1FD4F" w:rsidR="00006DA9" w:rsidRPr="00CB305F" w:rsidRDefault="00D727A1" w:rsidP="00163DB2">
      <w:pPr>
        <w:ind w:right="33"/>
        <w:jc w:val="both"/>
        <w:rPr>
          <w:rFonts w:ascii="Cambria" w:hAnsi="Cambria"/>
          <w:sz w:val="21"/>
          <w:szCs w:val="21"/>
        </w:rPr>
      </w:pPr>
      <w:r w:rsidRPr="00CB305F">
        <w:rPr>
          <w:rFonts w:ascii="Cambria" w:hAnsi="Cambria"/>
          <w:sz w:val="21"/>
          <w:szCs w:val="21"/>
        </w:rPr>
        <w:t xml:space="preserve">In an international development budget of over $4bn, MTRP is </w:t>
      </w:r>
      <w:r w:rsidR="00EB3430" w:rsidRPr="00CB305F">
        <w:rPr>
          <w:rFonts w:ascii="Cambria" w:hAnsi="Cambria"/>
          <w:sz w:val="21"/>
          <w:szCs w:val="21"/>
        </w:rPr>
        <w:t>a very small</w:t>
      </w:r>
      <w:r w:rsidRPr="00CB305F">
        <w:rPr>
          <w:rFonts w:ascii="Cambria" w:hAnsi="Cambria"/>
          <w:sz w:val="21"/>
          <w:szCs w:val="21"/>
        </w:rPr>
        <w:t xml:space="preserve"> program.  Part of its claim to fame is that it may be able to produce impressive reform results at a very modest cost.  The </w:t>
      </w:r>
      <w:r w:rsidR="00E711D7" w:rsidRPr="00CB305F">
        <w:rPr>
          <w:rFonts w:ascii="Cambria" w:hAnsi="Cambria"/>
          <w:sz w:val="21"/>
          <w:szCs w:val="21"/>
        </w:rPr>
        <w:t xml:space="preserve">question that remains is </w:t>
      </w:r>
      <w:r w:rsidRPr="00CB305F">
        <w:rPr>
          <w:rFonts w:ascii="Cambria" w:hAnsi="Cambria"/>
          <w:sz w:val="21"/>
          <w:szCs w:val="21"/>
        </w:rPr>
        <w:t xml:space="preserve">what quantum of funding is optimal to allow the diagnostic work, the policy development processes, the coalition building </w:t>
      </w:r>
      <w:r w:rsidR="00BD6C7E">
        <w:rPr>
          <w:rFonts w:ascii="Cambria" w:hAnsi="Cambria"/>
          <w:sz w:val="21"/>
          <w:szCs w:val="21"/>
        </w:rPr>
        <w:t>required</w:t>
      </w:r>
      <w:r w:rsidRPr="00CB305F">
        <w:rPr>
          <w:rFonts w:ascii="Cambria" w:hAnsi="Cambria"/>
          <w:sz w:val="21"/>
          <w:szCs w:val="21"/>
        </w:rPr>
        <w:t xml:space="preserve">.  </w:t>
      </w:r>
      <w:r w:rsidR="00E711D7" w:rsidRPr="00CB305F">
        <w:rPr>
          <w:rFonts w:ascii="Cambria" w:hAnsi="Cambria"/>
          <w:sz w:val="21"/>
          <w:szCs w:val="21"/>
        </w:rPr>
        <w:t>To some extent</w:t>
      </w:r>
      <w:r w:rsidR="00E756D6">
        <w:rPr>
          <w:rFonts w:ascii="Cambria" w:hAnsi="Cambria"/>
          <w:sz w:val="21"/>
          <w:szCs w:val="21"/>
        </w:rPr>
        <w:t>,</w:t>
      </w:r>
      <w:r w:rsidR="00E711D7" w:rsidRPr="00CB305F">
        <w:rPr>
          <w:rFonts w:ascii="Cambria" w:hAnsi="Cambria"/>
          <w:sz w:val="21"/>
          <w:szCs w:val="21"/>
        </w:rPr>
        <w:t xml:space="preserve"> this is like asking ‘</w:t>
      </w:r>
      <w:r w:rsidRPr="00CB305F">
        <w:rPr>
          <w:rFonts w:ascii="Cambria" w:hAnsi="Cambria"/>
          <w:sz w:val="21"/>
          <w:szCs w:val="21"/>
        </w:rPr>
        <w:t>How long is a piece of string?</w:t>
      </w:r>
      <w:r w:rsidR="00E711D7" w:rsidRPr="00CB305F">
        <w:rPr>
          <w:rFonts w:ascii="Cambria" w:hAnsi="Cambria"/>
          <w:sz w:val="21"/>
          <w:szCs w:val="21"/>
        </w:rPr>
        <w:t xml:space="preserve">’  And yet </w:t>
      </w:r>
      <w:r w:rsidR="00EB3430" w:rsidRPr="00CB305F">
        <w:rPr>
          <w:rFonts w:ascii="Cambria" w:hAnsi="Cambria"/>
          <w:sz w:val="21"/>
          <w:szCs w:val="21"/>
        </w:rPr>
        <w:t xml:space="preserve">that question </w:t>
      </w:r>
      <w:r w:rsidR="00C838DC">
        <w:rPr>
          <w:rFonts w:ascii="Cambria" w:hAnsi="Cambria"/>
          <w:sz w:val="21"/>
          <w:szCs w:val="21"/>
        </w:rPr>
        <w:t>has</w:t>
      </w:r>
      <w:r w:rsidR="00E711D7" w:rsidRPr="00CB305F">
        <w:rPr>
          <w:rFonts w:ascii="Cambria" w:hAnsi="Cambria"/>
          <w:sz w:val="21"/>
          <w:szCs w:val="21"/>
        </w:rPr>
        <w:t xml:space="preserve"> to </w:t>
      </w:r>
      <w:r w:rsidR="00EB3430" w:rsidRPr="00CB305F">
        <w:rPr>
          <w:rFonts w:ascii="Cambria" w:hAnsi="Cambria"/>
          <w:sz w:val="21"/>
          <w:szCs w:val="21"/>
        </w:rPr>
        <w:t xml:space="preserve">be </w:t>
      </w:r>
      <w:r w:rsidR="00E711D7" w:rsidRPr="00CB305F">
        <w:rPr>
          <w:rFonts w:ascii="Cambria" w:hAnsi="Cambria"/>
          <w:sz w:val="21"/>
          <w:szCs w:val="21"/>
        </w:rPr>
        <w:t>ask</w:t>
      </w:r>
      <w:r w:rsidR="00EB3430" w:rsidRPr="00CB305F">
        <w:rPr>
          <w:rFonts w:ascii="Cambria" w:hAnsi="Cambria"/>
          <w:sz w:val="21"/>
          <w:szCs w:val="21"/>
        </w:rPr>
        <w:t>ed</w:t>
      </w:r>
      <w:r w:rsidR="00E711D7" w:rsidRPr="00CB305F">
        <w:rPr>
          <w:rFonts w:ascii="Cambria" w:hAnsi="Cambria"/>
          <w:sz w:val="21"/>
          <w:szCs w:val="21"/>
        </w:rPr>
        <w:t xml:space="preserve"> </w:t>
      </w:r>
      <w:r w:rsidR="004A42A4">
        <w:rPr>
          <w:rFonts w:ascii="Cambria" w:hAnsi="Cambria"/>
          <w:sz w:val="21"/>
          <w:szCs w:val="21"/>
        </w:rPr>
        <w:t xml:space="preserve">- </w:t>
      </w:r>
      <w:r w:rsidR="00E711D7" w:rsidRPr="00CB305F">
        <w:rPr>
          <w:rFonts w:ascii="Cambria" w:hAnsi="Cambria"/>
          <w:sz w:val="21"/>
          <w:szCs w:val="21"/>
        </w:rPr>
        <w:t>and answer</w:t>
      </w:r>
      <w:r w:rsidR="00EB3430" w:rsidRPr="00CB305F">
        <w:rPr>
          <w:rFonts w:ascii="Cambria" w:hAnsi="Cambria"/>
          <w:sz w:val="21"/>
          <w:szCs w:val="21"/>
        </w:rPr>
        <w:t>ed</w:t>
      </w:r>
      <w:r w:rsidR="00E711D7" w:rsidRPr="00CB305F">
        <w:rPr>
          <w:rFonts w:ascii="Cambria" w:hAnsi="Cambria"/>
          <w:sz w:val="21"/>
          <w:szCs w:val="21"/>
        </w:rPr>
        <w:t>.</w:t>
      </w:r>
      <w:r w:rsidR="0013145F">
        <w:rPr>
          <w:rFonts w:ascii="Cambria" w:hAnsi="Cambria"/>
          <w:sz w:val="21"/>
          <w:szCs w:val="21"/>
        </w:rPr>
        <w:t xml:space="preserve">  Some staff argued for the double the budget, others for no more.  </w:t>
      </w:r>
      <w:r w:rsidR="0039705B">
        <w:rPr>
          <w:rFonts w:ascii="Cambria" w:hAnsi="Cambria"/>
          <w:sz w:val="21"/>
          <w:szCs w:val="21"/>
        </w:rPr>
        <w:t xml:space="preserve">The evaluation argues for providing </w:t>
      </w:r>
      <w:r w:rsidR="0039705B" w:rsidRPr="00CB305F">
        <w:rPr>
          <w:rFonts w:ascii="Cambria" w:hAnsi="Cambria"/>
          <w:sz w:val="21"/>
          <w:szCs w:val="21"/>
        </w:rPr>
        <w:t xml:space="preserve">additional resources </w:t>
      </w:r>
      <w:r w:rsidR="00C838DC">
        <w:rPr>
          <w:rFonts w:ascii="Cambria" w:hAnsi="Cambria"/>
          <w:sz w:val="21"/>
          <w:szCs w:val="21"/>
        </w:rPr>
        <w:t xml:space="preserve">for an extended program </w:t>
      </w:r>
      <w:r w:rsidR="0039705B" w:rsidRPr="00CB305F">
        <w:rPr>
          <w:rFonts w:ascii="Cambria" w:hAnsi="Cambria"/>
          <w:sz w:val="21"/>
          <w:szCs w:val="21"/>
        </w:rPr>
        <w:t>on a pro-rata basis</w:t>
      </w:r>
      <w:r w:rsidR="0039705B">
        <w:rPr>
          <w:rFonts w:ascii="Cambria" w:hAnsi="Cambria"/>
          <w:sz w:val="21"/>
          <w:szCs w:val="21"/>
        </w:rPr>
        <w:t xml:space="preserve">, net of any unplanned underspending, plus a </w:t>
      </w:r>
      <w:r w:rsidR="004A42A4">
        <w:rPr>
          <w:rFonts w:ascii="Cambria" w:hAnsi="Cambria"/>
          <w:sz w:val="21"/>
          <w:szCs w:val="21"/>
        </w:rPr>
        <w:t xml:space="preserve">small </w:t>
      </w:r>
      <w:r w:rsidR="0039705B">
        <w:rPr>
          <w:rFonts w:ascii="Cambria" w:hAnsi="Cambria"/>
          <w:sz w:val="21"/>
          <w:szCs w:val="21"/>
        </w:rPr>
        <w:t>contingency fund.</w:t>
      </w:r>
    </w:p>
    <w:p w14:paraId="4CC018FB" w14:textId="77777777" w:rsidR="004474F3" w:rsidRPr="00CB305F" w:rsidRDefault="004474F3" w:rsidP="00163DB2">
      <w:pPr>
        <w:ind w:right="33"/>
        <w:jc w:val="both"/>
        <w:rPr>
          <w:rFonts w:ascii="Cambria" w:hAnsi="Cambria"/>
          <w:sz w:val="21"/>
          <w:szCs w:val="21"/>
        </w:rPr>
      </w:pPr>
    </w:p>
    <w:p w14:paraId="4BB495E2" w14:textId="6BAE4DF0" w:rsidR="00F21508" w:rsidRPr="00CB305F" w:rsidRDefault="00D727A1" w:rsidP="00163DB2">
      <w:pPr>
        <w:ind w:right="33"/>
        <w:jc w:val="both"/>
        <w:rPr>
          <w:rFonts w:ascii="Cambria" w:hAnsi="Cambria"/>
          <w:sz w:val="21"/>
          <w:szCs w:val="21"/>
        </w:rPr>
      </w:pPr>
      <w:r w:rsidRPr="00CB305F">
        <w:rPr>
          <w:rFonts w:ascii="Cambria" w:hAnsi="Cambria"/>
          <w:sz w:val="21"/>
          <w:szCs w:val="21"/>
        </w:rPr>
        <w:t xml:space="preserve">The TAF </w:t>
      </w:r>
      <w:r w:rsidR="00C838DC">
        <w:rPr>
          <w:rFonts w:ascii="Cambria" w:hAnsi="Cambria"/>
          <w:sz w:val="21"/>
          <w:szCs w:val="21"/>
        </w:rPr>
        <w:t>Senior Adviser, Program Strategy (</w:t>
      </w:r>
      <w:r w:rsidR="00E756D6">
        <w:rPr>
          <w:rFonts w:ascii="Cambria" w:hAnsi="Cambria"/>
          <w:sz w:val="21"/>
          <w:szCs w:val="21"/>
        </w:rPr>
        <w:t>a</w:t>
      </w:r>
      <w:r w:rsidR="00C838DC">
        <w:rPr>
          <w:rFonts w:ascii="Cambria" w:hAnsi="Cambria"/>
          <w:sz w:val="21"/>
          <w:szCs w:val="21"/>
        </w:rPr>
        <w:t>lso de-facto</w:t>
      </w:r>
      <w:r w:rsidR="00E756D6">
        <w:rPr>
          <w:rFonts w:ascii="Cambria" w:hAnsi="Cambria"/>
          <w:sz w:val="21"/>
          <w:szCs w:val="21"/>
        </w:rPr>
        <w:t>,</w:t>
      </w:r>
      <w:r w:rsidR="00C838DC">
        <w:rPr>
          <w:rFonts w:ascii="Cambria" w:hAnsi="Cambria"/>
          <w:sz w:val="21"/>
          <w:szCs w:val="21"/>
        </w:rPr>
        <w:t xml:space="preserve"> the TAF </w:t>
      </w:r>
      <w:r w:rsidR="00E711D7" w:rsidRPr="00CB305F">
        <w:rPr>
          <w:rFonts w:ascii="Cambria" w:hAnsi="Cambria"/>
          <w:sz w:val="21"/>
          <w:szCs w:val="21"/>
        </w:rPr>
        <w:t>P</w:t>
      </w:r>
      <w:r w:rsidRPr="00CB305F">
        <w:rPr>
          <w:rFonts w:ascii="Cambria" w:hAnsi="Cambria"/>
          <w:sz w:val="21"/>
          <w:szCs w:val="21"/>
        </w:rPr>
        <w:t xml:space="preserve">rogram </w:t>
      </w:r>
      <w:r w:rsidR="00E711D7" w:rsidRPr="00CB305F">
        <w:rPr>
          <w:rFonts w:ascii="Cambria" w:hAnsi="Cambria"/>
          <w:sz w:val="21"/>
          <w:szCs w:val="21"/>
        </w:rPr>
        <w:t>D</w:t>
      </w:r>
      <w:r w:rsidRPr="00CB305F">
        <w:rPr>
          <w:rFonts w:ascii="Cambria" w:hAnsi="Cambria"/>
          <w:sz w:val="21"/>
          <w:szCs w:val="21"/>
        </w:rPr>
        <w:t>irector</w:t>
      </w:r>
      <w:r w:rsidR="00C838DC">
        <w:rPr>
          <w:rFonts w:ascii="Cambria" w:hAnsi="Cambria"/>
          <w:sz w:val="21"/>
          <w:szCs w:val="21"/>
        </w:rPr>
        <w:t>)</w:t>
      </w:r>
      <w:r w:rsidRPr="00CB305F">
        <w:rPr>
          <w:rFonts w:ascii="Cambria" w:hAnsi="Cambria"/>
          <w:sz w:val="21"/>
          <w:szCs w:val="21"/>
        </w:rPr>
        <w:t xml:space="preserve"> is adamant that “nothing would kill the program</w:t>
      </w:r>
      <w:r w:rsidR="00C33173" w:rsidRPr="00CB305F">
        <w:rPr>
          <w:rFonts w:ascii="Cambria" w:hAnsi="Cambria"/>
          <w:sz w:val="21"/>
          <w:szCs w:val="21"/>
        </w:rPr>
        <w:t xml:space="preserve"> more than too much money</w:t>
      </w:r>
      <w:r w:rsidR="00E711D7" w:rsidRPr="00CB305F">
        <w:rPr>
          <w:rFonts w:ascii="Cambria" w:hAnsi="Cambria"/>
          <w:sz w:val="21"/>
          <w:szCs w:val="21"/>
        </w:rPr>
        <w:t>,</w:t>
      </w:r>
      <w:r w:rsidR="00C33173" w:rsidRPr="00CB305F">
        <w:rPr>
          <w:rFonts w:ascii="Cambria" w:hAnsi="Cambria"/>
          <w:sz w:val="21"/>
          <w:szCs w:val="21"/>
        </w:rPr>
        <w:t xml:space="preserve"> directed at pre-determined targets”.  </w:t>
      </w:r>
      <w:r w:rsidR="006777F1">
        <w:rPr>
          <w:rFonts w:ascii="Cambria" w:hAnsi="Cambria"/>
          <w:sz w:val="21"/>
          <w:szCs w:val="21"/>
        </w:rPr>
        <w:t>To mix two metaphors</w:t>
      </w:r>
      <w:r w:rsidR="0039705B">
        <w:rPr>
          <w:rFonts w:ascii="Cambria" w:hAnsi="Cambria"/>
          <w:sz w:val="21"/>
          <w:szCs w:val="21"/>
        </w:rPr>
        <w:t>, no doubt inadvisably</w:t>
      </w:r>
      <w:r w:rsidR="006777F1">
        <w:rPr>
          <w:rFonts w:ascii="Cambria" w:hAnsi="Cambria"/>
          <w:sz w:val="21"/>
          <w:szCs w:val="21"/>
        </w:rPr>
        <w:t xml:space="preserve">, </w:t>
      </w:r>
      <w:r w:rsidR="004A42A4">
        <w:rPr>
          <w:rFonts w:ascii="Cambria" w:hAnsi="Cambria"/>
          <w:sz w:val="21"/>
          <w:szCs w:val="21"/>
        </w:rPr>
        <w:t xml:space="preserve">too much money </w:t>
      </w:r>
      <w:r w:rsidR="006777F1">
        <w:rPr>
          <w:rFonts w:ascii="Cambria" w:hAnsi="Cambria"/>
          <w:sz w:val="21"/>
          <w:szCs w:val="21"/>
        </w:rPr>
        <w:t>risk</w:t>
      </w:r>
      <w:r w:rsidR="00BD6C7E">
        <w:rPr>
          <w:rFonts w:ascii="Cambria" w:hAnsi="Cambria"/>
          <w:sz w:val="21"/>
          <w:szCs w:val="21"/>
        </w:rPr>
        <w:t>s</w:t>
      </w:r>
      <w:r w:rsidR="006777F1">
        <w:rPr>
          <w:rFonts w:ascii="Cambria" w:hAnsi="Cambria"/>
          <w:sz w:val="21"/>
          <w:szCs w:val="21"/>
        </w:rPr>
        <w:t xml:space="preserve"> killing the golden goose with kindness.  </w:t>
      </w:r>
      <w:r w:rsidR="00BD6C7E">
        <w:rPr>
          <w:rFonts w:ascii="Cambria" w:hAnsi="Cambria"/>
          <w:sz w:val="21"/>
          <w:szCs w:val="21"/>
        </w:rPr>
        <w:t xml:space="preserve">It </w:t>
      </w:r>
      <w:r w:rsidR="001F44F0" w:rsidRPr="00CB305F">
        <w:rPr>
          <w:rFonts w:ascii="Cambria" w:hAnsi="Cambria"/>
          <w:sz w:val="21"/>
          <w:szCs w:val="21"/>
        </w:rPr>
        <w:t>c</w:t>
      </w:r>
      <w:r w:rsidR="00C33173" w:rsidRPr="00CB305F">
        <w:rPr>
          <w:rFonts w:ascii="Cambria" w:hAnsi="Cambria"/>
          <w:sz w:val="21"/>
          <w:szCs w:val="21"/>
        </w:rPr>
        <w:t>ould lead to the replacement of entrepreneurial management with bureaucratic management</w:t>
      </w:r>
      <w:r w:rsidR="0039705B">
        <w:rPr>
          <w:rFonts w:ascii="Cambria" w:hAnsi="Cambria"/>
          <w:sz w:val="21"/>
          <w:szCs w:val="21"/>
        </w:rPr>
        <w:t xml:space="preserve"> and </w:t>
      </w:r>
      <w:r w:rsidR="00C838DC">
        <w:rPr>
          <w:rFonts w:ascii="Cambria" w:hAnsi="Cambria"/>
          <w:sz w:val="21"/>
          <w:szCs w:val="21"/>
        </w:rPr>
        <w:t xml:space="preserve">displace exploration with </w:t>
      </w:r>
      <w:r w:rsidR="0039705B">
        <w:rPr>
          <w:rFonts w:ascii="Cambria" w:hAnsi="Cambria"/>
          <w:sz w:val="21"/>
          <w:szCs w:val="21"/>
        </w:rPr>
        <w:t>an urgent need to spend</w:t>
      </w:r>
      <w:r w:rsidR="00C33173" w:rsidRPr="00CB305F">
        <w:rPr>
          <w:rFonts w:ascii="Cambria" w:hAnsi="Cambria"/>
          <w:sz w:val="21"/>
          <w:szCs w:val="21"/>
        </w:rPr>
        <w:t xml:space="preserve">. </w:t>
      </w:r>
      <w:r w:rsidR="001F44F0" w:rsidRPr="00CB305F">
        <w:rPr>
          <w:rFonts w:ascii="Cambria" w:hAnsi="Cambria"/>
          <w:sz w:val="21"/>
          <w:szCs w:val="21"/>
        </w:rPr>
        <w:t xml:space="preserve"> </w:t>
      </w:r>
      <w:r w:rsidR="00856E24">
        <w:rPr>
          <w:rFonts w:ascii="Cambria" w:hAnsi="Cambria"/>
          <w:sz w:val="21"/>
          <w:szCs w:val="21"/>
        </w:rPr>
        <w:t xml:space="preserve"> </w:t>
      </w:r>
      <w:r w:rsidR="00C33173" w:rsidRPr="00CB305F">
        <w:rPr>
          <w:rFonts w:ascii="Cambria" w:hAnsi="Cambria"/>
          <w:sz w:val="21"/>
          <w:szCs w:val="21"/>
        </w:rPr>
        <w:t xml:space="preserve">By the same token, the activities that deliver the reforms all involve costs and the budget determines how much can be done.  It is not clear to the evaluator that the existing budget represents a </w:t>
      </w:r>
      <w:r w:rsidR="00F21508" w:rsidRPr="00CB305F">
        <w:rPr>
          <w:rFonts w:ascii="Cambria" w:hAnsi="Cambria"/>
          <w:sz w:val="21"/>
          <w:szCs w:val="21"/>
        </w:rPr>
        <w:t xml:space="preserve">very </w:t>
      </w:r>
      <w:r w:rsidR="00C33173" w:rsidRPr="00CB305F">
        <w:rPr>
          <w:rFonts w:ascii="Cambria" w:hAnsi="Cambria"/>
          <w:sz w:val="21"/>
          <w:szCs w:val="21"/>
        </w:rPr>
        <w:t xml:space="preserve">delicate equilibrium that would </w:t>
      </w:r>
      <w:r w:rsidR="00A821B7" w:rsidRPr="00CB305F">
        <w:rPr>
          <w:rFonts w:ascii="Cambria" w:hAnsi="Cambria"/>
          <w:sz w:val="21"/>
          <w:szCs w:val="21"/>
        </w:rPr>
        <w:t xml:space="preserve">inevitably </w:t>
      </w:r>
      <w:r w:rsidR="00C33173" w:rsidRPr="00CB305F">
        <w:rPr>
          <w:rFonts w:ascii="Cambria" w:hAnsi="Cambria"/>
          <w:sz w:val="21"/>
          <w:szCs w:val="21"/>
        </w:rPr>
        <w:t>be disturbed</w:t>
      </w:r>
      <w:r w:rsidR="00F21508" w:rsidRPr="00CB305F">
        <w:rPr>
          <w:rFonts w:ascii="Cambria" w:hAnsi="Cambria"/>
          <w:sz w:val="21"/>
          <w:szCs w:val="21"/>
        </w:rPr>
        <w:t xml:space="preserve"> through </w:t>
      </w:r>
      <w:r w:rsidR="00E711D7" w:rsidRPr="00CB305F">
        <w:rPr>
          <w:rFonts w:ascii="Cambria" w:hAnsi="Cambria"/>
          <w:sz w:val="21"/>
          <w:szCs w:val="21"/>
        </w:rPr>
        <w:t xml:space="preserve">conditional access to </w:t>
      </w:r>
      <w:r w:rsidR="00F21508" w:rsidRPr="00CB305F">
        <w:rPr>
          <w:rFonts w:ascii="Cambria" w:hAnsi="Cambria"/>
          <w:sz w:val="21"/>
          <w:szCs w:val="21"/>
        </w:rPr>
        <w:t>additional resources</w:t>
      </w:r>
      <w:r w:rsidR="00C33173" w:rsidRPr="00CB305F">
        <w:rPr>
          <w:rFonts w:ascii="Cambria" w:hAnsi="Cambria"/>
          <w:sz w:val="21"/>
          <w:szCs w:val="21"/>
        </w:rPr>
        <w:t xml:space="preserve">.   </w:t>
      </w:r>
    </w:p>
    <w:p w14:paraId="5B5941FA" w14:textId="77777777" w:rsidR="00F21508" w:rsidRDefault="00F21508" w:rsidP="00163DB2">
      <w:pPr>
        <w:ind w:right="33"/>
        <w:jc w:val="both"/>
        <w:rPr>
          <w:rFonts w:ascii="Cambria" w:hAnsi="Cambria"/>
          <w:sz w:val="22"/>
          <w:szCs w:val="22"/>
        </w:rPr>
      </w:pPr>
    </w:p>
    <w:p w14:paraId="4BEB9D10" w14:textId="3DEB4A5B" w:rsidR="00D727A1" w:rsidRPr="00CB305F" w:rsidRDefault="00C33173" w:rsidP="00163DB2">
      <w:pPr>
        <w:ind w:right="33"/>
        <w:jc w:val="both"/>
        <w:rPr>
          <w:rFonts w:ascii="Cambria" w:hAnsi="Cambria"/>
          <w:sz w:val="21"/>
          <w:szCs w:val="21"/>
        </w:rPr>
      </w:pPr>
      <w:r w:rsidRPr="00CB305F">
        <w:rPr>
          <w:rFonts w:ascii="Cambria" w:hAnsi="Cambria"/>
          <w:sz w:val="21"/>
          <w:szCs w:val="21"/>
        </w:rPr>
        <w:t xml:space="preserve">The TAF </w:t>
      </w:r>
      <w:r w:rsidR="00E711D7" w:rsidRPr="00CB305F">
        <w:rPr>
          <w:rFonts w:ascii="Cambria" w:hAnsi="Cambria"/>
          <w:sz w:val="21"/>
          <w:szCs w:val="21"/>
        </w:rPr>
        <w:t>P</w:t>
      </w:r>
      <w:r w:rsidRPr="00CB305F">
        <w:rPr>
          <w:rFonts w:ascii="Cambria" w:hAnsi="Cambria"/>
          <w:sz w:val="21"/>
          <w:szCs w:val="21"/>
        </w:rPr>
        <w:t xml:space="preserve">rogram </w:t>
      </w:r>
      <w:r w:rsidR="00E711D7" w:rsidRPr="00CB305F">
        <w:rPr>
          <w:rFonts w:ascii="Cambria" w:hAnsi="Cambria"/>
          <w:sz w:val="21"/>
          <w:szCs w:val="21"/>
        </w:rPr>
        <w:t>D</w:t>
      </w:r>
      <w:r w:rsidRPr="00CB305F">
        <w:rPr>
          <w:rFonts w:ascii="Cambria" w:hAnsi="Cambria"/>
          <w:sz w:val="21"/>
          <w:szCs w:val="21"/>
        </w:rPr>
        <w:t>irector makes the point that a key feature of the program is the capability to ‘grow what works’ – and not force feed that which does</w:t>
      </w:r>
      <w:r w:rsidR="00E23947">
        <w:rPr>
          <w:rFonts w:ascii="Cambria" w:hAnsi="Cambria"/>
          <w:sz w:val="21"/>
          <w:szCs w:val="21"/>
        </w:rPr>
        <w:t xml:space="preserve"> </w:t>
      </w:r>
      <w:r w:rsidRPr="00CB305F">
        <w:rPr>
          <w:rFonts w:ascii="Cambria" w:hAnsi="Cambria"/>
          <w:sz w:val="21"/>
          <w:szCs w:val="21"/>
        </w:rPr>
        <w:t>n</w:t>
      </w:r>
      <w:r w:rsidR="00E23947">
        <w:rPr>
          <w:rFonts w:ascii="Cambria" w:hAnsi="Cambria"/>
          <w:sz w:val="21"/>
          <w:szCs w:val="21"/>
        </w:rPr>
        <w:t>o</w:t>
      </w:r>
      <w:r w:rsidRPr="00CB305F">
        <w:rPr>
          <w:rFonts w:ascii="Cambria" w:hAnsi="Cambria"/>
          <w:sz w:val="21"/>
          <w:szCs w:val="21"/>
        </w:rPr>
        <w:t>t.  That raises the possibility of creating a small, whole</w:t>
      </w:r>
      <w:r w:rsidR="00EB3430" w:rsidRPr="00CB305F">
        <w:rPr>
          <w:rFonts w:ascii="Cambria" w:hAnsi="Cambria"/>
          <w:sz w:val="21"/>
          <w:szCs w:val="21"/>
        </w:rPr>
        <w:t>-</w:t>
      </w:r>
      <w:r w:rsidRPr="00CB305F">
        <w:rPr>
          <w:rFonts w:ascii="Cambria" w:hAnsi="Cambria"/>
          <w:sz w:val="21"/>
          <w:szCs w:val="21"/>
        </w:rPr>
        <w:t>of</w:t>
      </w:r>
      <w:r w:rsidR="00EB3430" w:rsidRPr="00CB305F">
        <w:rPr>
          <w:rFonts w:ascii="Cambria" w:hAnsi="Cambria"/>
          <w:sz w:val="21"/>
          <w:szCs w:val="21"/>
        </w:rPr>
        <w:t>-</w:t>
      </w:r>
      <w:r w:rsidRPr="00CB305F">
        <w:rPr>
          <w:rFonts w:ascii="Cambria" w:hAnsi="Cambria"/>
          <w:sz w:val="21"/>
          <w:szCs w:val="21"/>
        </w:rPr>
        <w:t>program contingency fund that may or may not be spent, t</w:t>
      </w:r>
      <w:r w:rsidR="00856E24">
        <w:rPr>
          <w:rFonts w:ascii="Cambria" w:hAnsi="Cambria"/>
          <w:sz w:val="21"/>
          <w:szCs w:val="21"/>
        </w:rPr>
        <w:t xml:space="preserve">o </w:t>
      </w:r>
      <w:r w:rsidRPr="00CB305F">
        <w:rPr>
          <w:rFonts w:ascii="Cambria" w:hAnsi="Cambria"/>
          <w:sz w:val="21"/>
          <w:szCs w:val="21"/>
        </w:rPr>
        <w:t>increase support for those initiatives doing particularly well, that have well though</w:t>
      </w:r>
      <w:r w:rsidR="00E711D7" w:rsidRPr="00CB305F">
        <w:rPr>
          <w:rFonts w:ascii="Cambria" w:hAnsi="Cambria"/>
          <w:sz w:val="21"/>
          <w:szCs w:val="21"/>
        </w:rPr>
        <w:t>t</w:t>
      </w:r>
      <w:r w:rsidRPr="00CB305F">
        <w:rPr>
          <w:rFonts w:ascii="Cambria" w:hAnsi="Cambria"/>
          <w:sz w:val="21"/>
          <w:szCs w:val="21"/>
        </w:rPr>
        <w:t xml:space="preserve"> through proposals for additional work, that could not otherwise be funded from the program budget.</w:t>
      </w:r>
      <w:r w:rsidR="004474F3" w:rsidRPr="00CB305F">
        <w:rPr>
          <w:rFonts w:ascii="Cambria" w:hAnsi="Cambria"/>
          <w:sz w:val="21"/>
          <w:szCs w:val="21"/>
        </w:rPr>
        <w:t xml:space="preserve">  This will be particularly important in light of the extra demands like to arise from the emergence of the Comprehensive Strategic Partnership between Australia and Malaysia.</w:t>
      </w:r>
    </w:p>
    <w:p w14:paraId="3F69D3B8" w14:textId="59EC1807" w:rsidR="00DE6383" w:rsidRDefault="00DE6383" w:rsidP="00163DB2">
      <w:pPr>
        <w:ind w:right="33"/>
        <w:jc w:val="both"/>
        <w:rPr>
          <w:rFonts w:ascii="Cambria" w:hAnsi="Cambria"/>
          <w:sz w:val="22"/>
          <w:szCs w:val="22"/>
        </w:rPr>
      </w:pPr>
    </w:p>
    <w:p w14:paraId="5162AABF" w14:textId="2ED52807" w:rsidR="00DE6383" w:rsidRPr="00D47123" w:rsidRDefault="005D1C61" w:rsidP="00163DB2">
      <w:pPr>
        <w:pStyle w:val="ListParagraph"/>
        <w:numPr>
          <w:ilvl w:val="0"/>
          <w:numId w:val="34"/>
        </w:numPr>
        <w:ind w:right="33"/>
        <w:jc w:val="both"/>
        <w:rPr>
          <w:rFonts w:ascii="Cambria" w:hAnsi="Cambria"/>
          <w:b/>
          <w:bCs/>
          <w:i/>
          <w:iCs/>
          <w:sz w:val="21"/>
          <w:szCs w:val="21"/>
        </w:rPr>
      </w:pPr>
      <w:r>
        <w:rPr>
          <w:rFonts w:ascii="Cambria" w:hAnsi="Cambria"/>
          <w:b/>
          <w:bCs/>
          <w:i/>
          <w:iCs/>
          <w:sz w:val="21"/>
          <w:szCs w:val="21"/>
        </w:rPr>
        <w:t xml:space="preserve">Keep producing </w:t>
      </w:r>
      <w:r w:rsidR="000C397F" w:rsidRPr="00D47123">
        <w:rPr>
          <w:rFonts w:ascii="Cambria" w:hAnsi="Cambria"/>
          <w:b/>
          <w:bCs/>
          <w:i/>
          <w:iCs/>
          <w:sz w:val="21"/>
          <w:szCs w:val="21"/>
        </w:rPr>
        <w:t>tangible</w:t>
      </w:r>
      <w:r w:rsidR="008C2056">
        <w:rPr>
          <w:rFonts w:ascii="Cambria" w:hAnsi="Cambria"/>
          <w:b/>
          <w:bCs/>
          <w:i/>
          <w:iCs/>
          <w:sz w:val="21"/>
          <w:szCs w:val="21"/>
        </w:rPr>
        <w:t>,</w:t>
      </w:r>
      <w:r w:rsidR="000C397F" w:rsidRPr="00D47123">
        <w:rPr>
          <w:rFonts w:ascii="Cambria" w:hAnsi="Cambria"/>
          <w:b/>
          <w:bCs/>
          <w:i/>
          <w:iCs/>
          <w:sz w:val="21"/>
          <w:szCs w:val="21"/>
        </w:rPr>
        <w:t xml:space="preserve"> </w:t>
      </w:r>
      <w:r w:rsidR="008C2056">
        <w:rPr>
          <w:rFonts w:ascii="Cambria" w:hAnsi="Cambria"/>
          <w:b/>
          <w:bCs/>
          <w:i/>
          <w:iCs/>
          <w:sz w:val="21"/>
          <w:szCs w:val="21"/>
        </w:rPr>
        <w:t xml:space="preserve">practical </w:t>
      </w:r>
      <w:r w:rsidR="000C397F" w:rsidRPr="00D47123">
        <w:rPr>
          <w:rFonts w:ascii="Cambria" w:hAnsi="Cambria"/>
          <w:b/>
          <w:bCs/>
          <w:i/>
          <w:iCs/>
          <w:sz w:val="21"/>
          <w:szCs w:val="21"/>
        </w:rPr>
        <w:t>r</w:t>
      </w:r>
      <w:r w:rsidR="00DE6383" w:rsidRPr="00D47123">
        <w:rPr>
          <w:rFonts w:ascii="Cambria" w:hAnsi="Cambria"/>
          <w:b/>
          <w:bCs/>
          <w:i/>
          <w:iCs/>
          <w:sz w:val="21"/>
          <w:szCs w:val="21"/>
        </w:rPr>
        <w:t>eform products</w:t>
      </w:r>
      <w:r w:rsidR="008C2056">
        <w:rPr>
          <w:rFonts w:ascii="Cambria" w:hAnsi="Cambria"/>
          <w:b/>
          <w:bCs/>
          <w:i/>
          <w:iCs/>
          <w:sz w:val="21"/>
          <w:szCs w:val="21"/>
        </w:rPr>
        <w:t xml:space="preserve"> that generate new ideas and options</w:t>
      </w:r>
    </w:p>
    <w:p w14:paraId="44B5D674" w14:textId="5BE47635" w:rsidR="006777F1" w:rsidRDefault="00DE6383" w:rsidP="00163DB2">
      <w:pPr>
        <w:ind w:right="33"/>
        <w:jc w:val="both"/>
        <w:rPr>
          <w:rFonts w:ascii="Cambria" w:hAnsi="Cambria"/>
          <w:sz w:val="21"/>
          <w:szCs w:val="21"/>
        </w:rPr>
      </w:pPr>
      <w:r w:rsidRPr="00CB305F">
        <w:rPr>
          <w:rFonts w:ascii="Cambria" w:hAnsi="Cambria"/>
          <w:sz w:val="21"/>
          <w:szCs w:val="21"/>
        </w:rPr>
        <w:t xml:space="preserve">Each reform initiative has its own dynamics, its own history and its own pre-existing reference points.  That said, since the purpose of the program is to tackle complex, difficult and demanding reforms that have often proved close to intractable, it is vital to find new approaches and then to show that they are feasible and desirable.   This necessitates considerable </w:t>
      </w:r>
      <w:r w:rsidR="00F74436" w:rsidRPr="00CB305F">
        <w:rPr>
          <w:rFonts w:ascii="Cambria" w:hAnsi="Cambria"/>
          <w:sz w:val="21"/>
          <w:szCs w:val="21"/>
        </w:rPr>
        <w:t xml:space="preserve">intellectual work to ensure strong knowledge foundations, creative policy development and roadmaps for how changes may work in practice.  Producing such products is insufficient to achieve the program’s objectives, but failure to produce substantive pieces of work may undermine dialogue and coalition building.  </w:t>
      </w:r>
      <w:r w:rsidR="008C2056">
        <w:rPr>
          <w:rFonts w:ascii="Cambria" w:hAnsi="Cambria"/>
          <w:sz w:val="21"/>
          <w:szCs w:val="21"/>
        </w:rPr>
        <w:t>The evaluation agrees that stand</w:t>
      </w:r>
      <w:r w:rsidR="00BC201E">
        <w:rPr>
          <w:rFonts w:ascii="Cambria" w:hAnsi="Cambria"/>
          <w:sz w:val="21"/>
          <w:szCs w:val="21"/>
        </w:rPr>
        <w:t>-</w:t>
      </w:r>
      <w:r w:rsidR="008C2056">
        <w:rPr>
          <w:rFonts w:ascii="Cambria" w:hAnsi="Cambria"/>
          <w:sz w:val="21"/>
          <w:szCs w:val="21"/>
        </w:rPr>
        <w:t>alone</w:t>
      </w:r>
      <w:r w:rsidR="00BC201E">
        <w:rPr>
          <w:rFonts w:ascii="Cambria" w:hAnsi="Cambria"/>
          <w:sz w:val="21"/>
          <w:szCs w:val="21"/>
        </w:rPr>
        <w:t>,</w:t>
      </w:r>
      <w:r w:rsidR="008C2056">
        <w:rPr>
          <w:rFonts w:ascii="Cambria" w:hAnsi="Cambria"/>
          <w:sz w:val="21"/>
          <w:szCs w:val="21"/>
        </w:rPr>
        <w:t xml:space="preserve"> academic style </w:t>
      </w:r>
      <w:r w:rsidR="00BC201E">
        <w:rPr>
          <w:rFonts w:ascii="Cambria" w:hAnsi="Cambria"/>
          <w:sz w:val="21"/>
          <w:szCs w:val="21"/>
        </w:rPr>
        <w:t>reports are unlikely to be a good use of a small program looking to achieve tangible reform outcomes and should not be an end goal of the program.  However, that should not preclude practical, problem-solving knowledge creation</w:t>
      </w:r>
      <w:r w:rsidR="00BD6C7E">
        <w:rPr>
          <w:rFonts w:ascii="Cambria" w:hAnsi="Cambria"/>
          <w:sz w:val="21"/>
          <w:szCs w:val="21"/>
        </w:rPr>
        <w:t xml:space="preserve"> products</w:t>
      </w:r>
      <w:r w:rsidR="0066705F">
        <w:rPr>
          <w:rFonts w:ascii="Cambria" w:hAnsi="Cambria"/>
          <w:sz w:val="21"/>
          <w:szCs w:val="21"/>
        </w:rPr>
        <w:t>,</w:t>
      </w:r>
      <w:r w:rsidR="00F74436" w:rsidRPr="00CB305F">
        <w:rPr>
          <w:rFonts w:ascii="Cambria" w:hAnsi="Cambria"/>
          <w:sz w:val="21"/>
          <w:szCs w:val="21"/>
        </w:rPr>
        <w:t xml:space="preserve"> </w:t>
      </w:r>
      <w:r w:rsidR="0066705F">
        <w:rPr>
          <w:rFonts w:ascii="Cambria" w:hAnsi="Cambria"/>
          <w:sz w:val="21"/>
          <w:szCs w:val="21"/>
        </w:rPr>
        <w:t xml:space="preserve">which </w:t>
      </w:r>
      <w:r w:rsidR="00BD6C7E">
        <w:rPr>
          <w:rFonts w:ascii="Cambria" w:hAnsi="Cambria"/>
          <w:sz w:val="21"/>
          <w:szCs w:val="21"/>
        </w:rPr>
        <w:t>are</w:t>
      </w:r>
      <w:r w:rsidR="00F74436" w:rsidRPr="00CB305F">
        <w:rPr>
          <w:rFonts w:ascii="Cambria" w:hAnsi="Cambria"/>
          <w:sz w:val="21"/>
          <w:szCs w:val="21"/>
        </w:rPr>
        <w:t xml:space="preserve"> an indispensable part of what makes the program work.</w:t>
      </w:r>
    </w:p>
    <w:p w14:paraId="4AEA03EE" w14:textId="77777777" w:rsidR="006777F1" w:rsidRPr="00CB305F" w:rsidRDefault="006777F1" w:rsidP="00163DB2">
      <w:pPr>
        <w:ind w:right="33"/>
        <w:jc w:val="both"/>
        <w:rPr>
          <w:rFonts w:ascii="Cambria" w:hAnsi="Cambria"/>
          <w:sz w:val="21"/>
          <w:szCs w:val="21"/>
        </w:rPr>
      </w:pPr>
    </w:p>
    <w:p w14:paraId="06A5C4B7" w14:textId="5D30B753" w:rsidR="00F74436" w:rsidRPr="00D47123" w:rsidRDefault="00E711D7" w:rsidP="00163DB2">
      <w:pPr>
        <w:pStyle w:val="ListParagraph"/>
        <w:numPr>
          <w:ilvl w:val="0"/>
          <w:numId w:val="34"/>
        </w:numPr>
        <w:ind w:right="33"/>
        <w:jc w:val="both"/>
        <w:rPr>
          <w:rFonts w:ascii="Cambria" w:hAnsi="Cambria"/>
          <w:b/>
          <w:bCs/>
          <w:i/>
          <w:iCs/>
          <w:sz w:val="21"/>
          <w:szCs w:val="21"/>
        </w:rPr>
      </w:pPr>
      <w:r w:rsidRPr="00D47123">
        <w:rPr>
          <w:rFonts w:ascii="Cambria" w:hAnsi="Cambria"/>
          <w:b/>
          <w:bCs/>
          <w:i/>
          <w:iCs/>
          <w:sz w:val="21"/>
          <w:szCs w:val="21"/>
        </w:rPr>
        <w:t xml:space="preserve">Optimise support for </w:t>
      </w:r>
      <w:r w:rsidR="00F74436" w:rsidRPr="00D47123">
        <w:rPr>
          <w:rFonts w:ascii="Cambria" w:hAnsi="Cambria"/>
          <w:b/>
          <w:bCs/>
          <w:i/>
          <w:iCs/>
          <w:sz w:val="21"/>
          <w:szCs w:val="21"/>
        </w:rPr>
        <w:t>TAF Malaysia</w:t>
      </w:r>
    </w:p>
    <w:p w14:paraId="4718C373" w14:textId="6697C1E4" w:rsidR="003C68DD" w:rsidRDefault="00F74436" w:rsidP="00163DB2">
      <w:pPr>
        <w:ind w:right="33"/>
        <w:jc w:val="both"/>
        <w:rPr>
          <w:rFonts w:ascii="Cambria" w:hAnsi="Cambria"/>
          <w:sz w:val="21"/>
          <w:szCs w:val="21"/>
        </w:rPr>
      </w:pPr>
      <w:r w:rsidRPr="00CB305F">
        <w:rPr>
          <w:rFonts w:ascii="Cambria" w:hAnsi="Cambria"/>
          <w:sz w:val="21"/>
          <w:szCs w:val="21"/>
        </w:rPr>
        <w:t>In the absence of a country director, the TAF Malaysia office is run by two</w:t>
      </w:r>
      <w:r w:rsidR="0006503D">
        <w:rPr>
          <w:rFonts w:ascii="Cambria" w:hAnsi="Cambria"/>
          <w:sz w:val="21"/>
          <w:szCs w:val="21"/>
        </w:rPr>
        <w:t>,</w:t>
      </w:r>
      <w:r w:rsidRPr="00CB305F">
        <w:rPr>
          <w:rFonts w:ascii="Cambria" w:hAnsi="Cambria"/>
          <w:sz w:val="21"/>
          <w:szCs w:val="21"/>
        </w:rPr>
        <w:t xml:space="preserve"> senior</w:t>
      </w:r>
      <w:r w:rsidR="0006503D">
        <w:rPr>
          <w:rFonts w:ascii="Cambria" w:hAnsi="Cambria"/>
          <w:sz w:val="21"/>
          <w:szCs w:val="21"/>
        </w:rPr>
        <w:t>,</w:t>
      </w:r>
      <w:r w:rsidRPr="00CB305F">
        <w:rPr>
          <w:rFonts w:ascii="Cambria" w:hAnsi="Cambria"/>
          <w:sz w:val="21"/>
          <w:szCs w:val="21"/>
        </w:rPr>
        <w:t xml:space="preserve"> experienced program officers, with oversight and back up from TAF HQ.   The office is small and has to cover a lot of territory.  As noted, it did not have long and wide experience of dealing with DFAT, especially on development issues.  While staff are highly competent and support from the </w:t>
      </w:r>
      <w:r w:rsidR="00E711D7" w:rsidRPr="00CB305F">
        <w:rPr>
          <w:rFonts w:ascii="Cambria" w:hAnsi="Cambria"/>
          <w:sz w:val="21"/>
          <w:szCs w:val="21"/>
        </w:rPr>
        <w:t>P</w:t>
      </w:r>
      <w:r w:rsidRPr="00CB305F">
        <w:rPr>
          <w:rFonts w:ascii="Cambria" w:hAnsi="Cambria"/>
          <w:sz w:val="21"/>
          <w:szCs w:val="21"/>
        </w:rPr>
        <w:t xml:space="preserve">rogram </w:t>
      </w:r>
      <w:r w:rsidR="00E711D7" w:rsidRPr="00CB305F">
        <w:rPr>
          <w:rFonts w:ascii="Cambria" w:hAnsi="Cambria"/>
          <w:sz w:val="21"/>
          <w:szCs w:val="21"/>
        </w:rPr>
        <w:t>D</w:t>
      </w:r>
      <w:r w:rsidRPr="00CB305F">
        <w:rPr>
          <w:rFonts w:ascii="Cambria" w:hAnsi="Cambria"/>
          <w:sz w:val="21"/>
          <w:szCs w:val="21"/>
        </w:rPr>
        <w:t xml:space="preserve">irector in San Francisco has been invaluable, the team is stretched, especially in circumstances where </w:t>
      </w:r>
      <w:r w:rsidR="00E711D7" w:rsidRPr="00CB305F">
        <w:rPr>
          <w:rFonts w:ascii="Cambria" w:hAnsi="Cambria"/>
          <w:sz w:val="21"/>
          <w:szCs w:val="21"/>
        </w:rPr>
        <w:t xml:space="preserve">some of </w:t>
      </w:r>
      <w:r w:rsidRPr="00CB305F">
        <w:rPr>
          <w:rFonts w:ascii="Cambria" w:hAnsi="Cambria"/>
          <w:sz w:val="21"/>
          <w:szCs w:val="21"/>
        </w:rPr>
        <w:t xml:space="preserve">its own partners are relatively </w:t>
      </w:r>
      <w:r w:rsidRPr="00CB305F">
        <w:rPr>
          <w:rFonts w:ascii="Cambria" w:hAnsi="Cambria"/>
          <w:sz w:val="21"/>
          <w:szCs w:val="21"/>
        </w:rPr>
        <w:lastRenderedPageBreak/>
        <w:t xml:space="preserve">new to it and there needs to be considerable engagement to ensure </w:t>
      </w:r>
      <w:r w:rsidR="00A821B7" w:rsidRPr="00CB305F">
        <w:rPr>
          <w:rFonts w:ascii="Cambria" w:hAnsi="Cambria"/>
          <w:sz w:val="21"/>
          <w:szCs w:val="21"/>
        </w:rPr>
        <w:t xml:space="preserve">expectations are aligned.  </w:t>
      </w:r>
      <w:r w:rsidR="00293E75">
        <w:rPr>
          <w:rFonts w:ascii="Cambria" w:hAnsi="Cambria"/>
          <w:sz w:val="21"/>
          <w:szCs w:val="21"/>
        </w:rPr>
        <w:t>Without pre-empting the exact form of assistance, t</w:t>
      </w:r>
      <w:r w:rsidR="00A821B7" w:rsidRPr="00CB305F">
        <w:rPr>
          <w:rFonts w:ascii="Cambria" w:hAnsi="Cambria"/>
          <w:sz w:val="21"/>
          <w:szCs w:val="21"/>
        </w:rPr>
        <w:t xml:space="preserve">he evaluation </w:t>
      </w:r>
      <w:r w:rsidR="00293E75">
        <w:rPr>
          <w:rFonts w:ascii="Cambria" w:hAnsi="Cambria"/>
          <w:sz w:val="21"/>
          <w:szCs w:val="21"/>
        </w:rPr>
        <w:t>suggest</w:t>
      </w:r>
      <w:r w:rsidR="00BD6C7E">
        <w:rPr>
          <w:rFonts w:ascii="Cambria" w:hAnsi="Cambria"/>
          <w:sz w:val="21"/>
          <w:szCs w:val="21"/>
        </w:rPr>
        <w:t>s</w:t>
      </w:r>
      <w:r w:rsidR="00A821B7" w:rsidRPr="00CB305F">
        <w:rPr>
          <w:rFonts w:ascii="Cambria" w:hAnsi="Cambria"/>
          <w:sz w:val="21"/>
          <w:szCs w:val="21"/>
        </w:rPr>
        <w:t xml:space="preserve"> that DFAT and TAF look at how additional</w:t>
      </w:r>
      <w:r w:rsidR="008C2056">
        <w:rPr>
          <w:rFonts w:ascii="Cambria" w:hAnsi="Cambria"/>
          <w:sz w:val="21"/>
          <w:szCs w:val="21"/>
        </w:rPr>
        <w:t>,</w:t>
      </w:r>
      <w:r w:rsidR="00A821B7" w:rsidRPr="00CB305F">
        <w:rPr>
          <w:rFonts w:ascii="Cambria" w:hAnsi="Cambria"/>
          <w:sz w:val="21"/>
          <w:szCs w:val="21"/>
        </w:rPr>
        <w:t xml:space="preserve"> </w:t>
      </w:r>
      <w:r w:rsidR="008C2056">
        <w:rPr>
          <w:rFonts w:ascii="Cambria" w:hAnsi="Cambria"/>
          <w:sz w:val="21"/>
          <w:szCs w:val="21"/>
        </w:rPr>
        <w:t xml:space="preserve">practical </w:t>
      </w:r>
      <w:r w:rsidR="00A821B7" w:rsidRPr="00CB305F">
        <w:rPr>
          <w:rFonts w:ascii="Cambria" w:hAnsi="Cambria"/>
          <w:sz w:val="21"/>
          <w:szCs w:val="21"/>
        </w:rPr>
        <w:t xml:space="preserve">support </w:t>
      </w:r>
      <w:r w:rsidR="00AE454C" w:rsidRPr="00CB305F">
        <w:rPr>
          <w:rFonts w:ascii="Cambria" w:hAnsi="Cambria"/>
          <w:sz w:val="21"/>
          <w:szCs w:val="21"/>
        </w:rPr>
        <w:t>can</w:t>
      </w:r>
      <w:r w:rsidR="00A821B7" w:rsidRPr="00CB305F">
        <w:rPr>
          <w:rFonts w:ascii="Cambria" w:hAnsi="Cambria"/>
          <w:sz w:val="21"/>
          <w:szCs w:val="21"/>
        </w:rPr>
        <w:t xml:space="preserve"> be provided to the TAF Malaysia office</w:t>
      </w:r>
      <w:r w:rsidR="008C2056">
        <w:rPr>
          <w:rFonts w:ascii="Cambria" w:hAnsi="Cambria"/>
          <w:sz w:val="21"/>
          <w:szCs w:val="21"/>
        </w:rPr>
        <w:t>, possibly in the form of a part-time seconded officer</w:t>
      </w:r>
      <w:r w:rsidR="00A821B7" w:rsidRPr="00CB305F">
        <w:rPr>
          <w:rFonts w:ascii="Cambria" w:hAnsi="Cambria"/>
          <w:sz w:val="21"/>
          <w:szCs w:val="21"/>
        </w:rPr>
        <w:t xml:space="preserve">.  </w:t>
      </w:r>
      <w:r w:rsidR="008C2056">
        <w:rPr>
          <w:rFonts w:ascii="Cambria" w:hAnsi="Cambria"/>
          <w:sz w:val="21"/>
          <w:szCs w:val="21"/>
        </w:rPr>
        <w:t>Assistance</w:t>
      </w:r>
      <w:r w:rsidR="00A821B7" w:rsidRPr="00CB305F">
        <w:rPr>
          <w:rFonts w:ascii="Cambria" w:hAnsi="Cambria"/>
          <w:sz w:val="21"/>
          <w:szCs w:val="21"/>
        </w:rPr>
        <w:t xml:space="preserve"> would need to be capability enhancing, problem solving support, not additional oversight aimed only at pulling up the carrot more regularly to see if its growing</w:t>
      </w:r>
      <w:r w:rsidR="00DE6B72">
        <w:rPr>
          <w:rFonts w:ascii="Cambria" w:hAnsi="Cambria"/>
          <w:sz w:val="21"/>
          <w:szCs w:val="21"/>
        </w:rPr>
        <w:t>.</w:t>
      </w:r>
    </w:p>
    <w:p w14:paraId="75873E70" w14:textId="607346B9" w:rsidR="00DE6B72" w:rsidRDefault="00DE6B72" w:rsidP="00163DB2">
      <w:pPr>
        <w:ind w:right="33"/>
        <w:jc w:val="both"/>
        <w:rPr>
          <w:rFonts w:ascii="Cambria" w:hAnsi="Cambria"/>
          <w:sz w:val="21"/>
          <w:szCs w:val="21"/>
        </w:rPr>
      </w:pPr>
    </w:p>
    <w:p w14:paraId="416D00BF" w14:textId="4FEF0936" w:rsidR="00DE6B72" w:rsidRPr="002D5078" w:rsidRDefault="00DE6B72" w:rsidP="00163DB2">
      <w:pPr>
        <w:pStyle w:val="ListParagraph"/>
        <w:numPr>
          <w:ilvl w:val="0"/>
          <w:numId w:val="34"/>
        </w:numPr>
        <w:ind w:right="33"/>
        <w:jc w:val="both"/>
        <w:rPr>
          <w:rFonts w:ascii="Cambria" w:hAnsi="Cambria"/>
          <w:b/>
          <w:bCs/>
          <w:i/>
          <w:iCs/>
          <w:sz w:val="21"/>
          <w:szCs w:val="21"/>
        </w:rPr>
      </w:pPr>
      <w:r w:rsidRPr="00D47123">
        <w:rPr>
          <w:rFonts w:ascii="Cambria" w:hAnsi="Cambria"/>
          <w:b/>
          <w:bCs/>
          <w:i/>
          <w:iCs/>
          <w:sz w:val="21"/>
          <w:szCs w:val="21"/>
        </w:rPr>
        <w:t>Introduce the performance management refo</w:t>
      </w:r>
      <w:r>
        <w:rPr>
          <w:rFonts w:ascii="Cambria" w:hAnsi="Cambria"/>
          <w:b/>
          <w:bCs/>
          <w:i/>
          <w:iCs/>
          <w:sz w:val="21"/>
          <w:szCs w:val="21"/>
        </w:rPr>
        <w:t>r</w:t>
      </w:r>
      <w:r w:rsidRPr="00D47123">
        <w:rPr>
          <w:rFonts w:ascii="Cambria" w:hAnsi="Cambria"/>
          <w:b/>
          <w:bCs/>
          <w:i/>
          <w:iCs/>
          <w:sz w:val="21"/>
          <w:szCs w:val="21"/>
        </w:rPr>
        <w:t>ms outlined in the previo</w:t>
      </w:r>
      <w:r>
        <w:rPr>
          <w:rFonts w:ascii="Cambria" w:hAnsi="Cambria"/>
          <w:b/>
          <w:bCs/>
          <w:i/>
          <w:iCs/>
          <w:sz w:val="21"/>
          <w:szCs w:val="21"/>
        </w:rPr>
        <w:t>u</w:t>
      </w:r>
      <w:r w:rsidRPr="00D47123">
        <w:rPr>
          <w:rFonts w:ascii="Cambria" w:hAnsi="Cambria"/>
          <w:b/>
          <w:bCs/>
          <w:i/>
          <w:iCs/>
          <w:sz w:val="21"/>
          <w:szCs w:val="21"/>
        </w:rPr>
        <w:t>s section</w:t>
      </w:r>
    </w:p>
    <w:p w14:paraId="76EFC0DE" w14:textId="77777777" w:rsidR="008C2056" w:rsidRDefault="008C2056" w:rsidP="00163DB2">
      <w:pPr>
        <w:pStyle w:val="Heading2"/>
        <w:ind w:right="33"/>
        <w:jc w:val="both"/>
        <w:rPr>
          <w:b/>
          <w:bCs/>
          <w:sz w:val="28"/>
          <w:szCs w:val="28"/>
        </w:rPr>
      </w:pPr>
    </w:p>
    <w:p w14:paraId="2FD08DF0" w14:textId="26005CAB" w:rsidR="009C47CD" w:rsidRPr="000C397F" w:rsidRDefault="00C7140A" w:rsidP="00163DB2">
      <w:pPr>
        <w:pStyle w:val="Heading2"/>
        <w:ind w:right="33"/>
        <w:jc w:val="both"/>
        <w:rPr>
          <w:b/>
          <w:bCs/>
          <w:sz w:val="28"/>
          <w:szCs w:val="28"/>
        </w:rPr>
      </w:pPr>
      <w:r>
        <w:rPr>
          <w:b/>
          <w:bCs/>
          <w:sz w:val="28"/>
          <w:szCs w:val="28"/>
        </w:rPr>
        <w:t>Evaluation Question 5:  What are the b</w:t>
      </w:r>
      <w:r w:rsidR="00980AA5" w:rsidRPr="000C397F">
        <w:rPr>
          <w:b/>
          <w:bCs/>
          <w:sz w:val="28"/>
          <w:szCs w:val="28"/>
        </w:rPr>
        <w:t>roader lessons</w:t>
      </w:r>
      <w:r>
        <w:rPr>
          <w:b/>
          <w:bCs/>
          <w:sz w:val="28"/>
          <w:szCs w:val="28"/>
        </w:rPr>
        <w:t xml:space="preserve"> from the program for Australia </w:t>
      </w:r>
      <w:r w:rsidR="00E756D6">
        <w:rPr>
          <w:b/>
          <w:bCs/>
          <w:sz w:val="28"/>
          <w:szCs w:val="28"/>
        </w:rPr>
        <w:t xml:space="preserve">in </w:t>
      </w:r>
      <w:r>
        <w:rPr>
          <w:b/>
          <w:bCs/>
          <w:sz w:val="28"/>
          <w:szCs w:val="28"/>
        </w:rPr>
        <w:t>working with Advanced Middle-Income Countries in Asia?</w:t>
      </w:r>
    </w:p>
    <w:p w14:paraId="725A6A3B" w14:textId="3AFBD775" w:rsidR="007817DA" w:rsidRPr="00CB305F" w:rsidRDefault="00E860EC" w:rsidP="00D43F9E">
      <w:pPr>
        <w:spacing w:before="120"/>
        <w:ind w:right="33"/>
        <w:jc w:val="both"/>
        <w:rPr>
          <w:rFonts w:ascii="Cambria" w:hAnsi="Cambria"/>
          <w:sz w:val="21"/>
          <w:szCs w:val="21"/>
        </w:rPr>
      </w:pPr>
      <w:r w:rsidRPr="00CB305F">
        <w:rPr>
          <w:rFonts w:ascii="Cambria" w:hAnsi="Cambria"/>
          <w:sz w:val="21"/>
          <w:szCs w:val="21"/>
        </w:rPr>
        <w:t>DFAT officers are well aware of the need to approach development differently in countries that have already made substantial progress</w:t>
      </w:r>
      <w:r w:rsidR="007817DA" w:rsidRPr="00CB305F">
        <w:rPr>
          <w:rFonts w:ascii="Cambria" w:hAnsi="Cambria"/>
          <w:sz w:val="21"/>
          <w:szCs w:val="21"/>
        </w:rPr>
        <w:t>,</w:t>
      </w:r>
      <w:r w:rsidRPr="00CB305F">
        <w:rPr>
          <w:rFonts w:ascii="Cambria" w:hAnsi="Cambria"/>
          <w:sz w:val="21"/>
          <w:szCs w:val="21"/>
        </w:rPr>
        <w:t xml:space="preserve"> but </w:t>
      </w:r>
      <w:r w:rsidR="0056723D">
        <w:rPr>
          <w:rFonts w:ascii="Cambria" w:hAnsi="Cambria"/>
          <w:sz w:val="21"/>
          <w:szCs w:val="21"/>
        </w:rPr>
        <w:t>that</w:t>
      </w:r>
      <w:r w:rsidRPr="00CB305F">
        <w:rPr>
          <w:rFonts w:ascii="Cambria" w:hAnsi="Cambria"/>
          <w:sz w:val="21"/>
          <w:szCs w:val="21"/>
        </w:rPr>
        <w:t xml:space="preserve"> are now grappling with serious </w:t>
      </w:r>
      <w:r w:rsidR="004A42A4">
        <w:rPr>
          <w:rFonts w:ascii="Cambria" w:hAnsi="Cambria"/>
          <w:sz w:val="21"/>
          <w:szCs w:val="21"/>
        </w:rPr>
        <w:t xml:space="preserve">policy </w:t>
      </w:r>
      <w:r w:rsidRPr="00CB305F">
        <w:rPr>
          <w:rFonts w:ascii="Cambria" w:hAnsi="Cambria"/>
          <w:sz w:val="21"/>
          <w:szCs w:val="21"/>
        </w:rPr>
        <w:t>challenges.  Aid money is not the principal tool being deployed, nor all of the modalities that go with it, for better and worse.  The relationship is immediately more equal as a result.  As a partner, Australia is very conscious of not imposing its own solutions, but working jointly to support local actors.</w:t>
      </w:r>
      <w:r w:rsidR="007817DA" w:rsidRPr="00CB305F">
        <w:rPr>
          <w:rFonts w:ascii="Cambria" w:hAnsi="Cambria"/>
          <w:sz w:val="21"/>
          <w:szCs w:val="21"/>
        </w:rPr>
        <w:t xml:space="preserve">  To do so, it must access and support deeply knowledgeable and credible partners.   </w:t>
      </w:r>
      <w:r w:rsidRPr="00CB305F">
        <w:rPr>
          <w:rFonts w:ascii="Cambria" w:hAnsi="Cambria"/>
          <w:sz w:val="21"/>
          <w:szCs w:val="21"/>
        </w:rPr>
        <w:t xml:space="preserve">  </w:t>
      </w:r>
    </w:p>
    <w:p w14:paraId="3F2E1D0E" w14:textId="77777777" w:rsidR="0006503D" w:rsidRDefault="0006503D" w:rsidP="00163DB2">
      <w:pPr>
        <w:ind w:right="33"/>
        <w:jc w:val="both"/>
        <w:rPr>
          <w:rFonts w:ascii="Cambria" w:hAnsi="Cambria"/>
          <w:sz w:val="21"/>
          <w:szCs w:val="21"/>
        </w:rPr>
      </w:pPr>
    </w:p>
    <w:p w14:paraId="7EA1B06C" w14:textId="3BB2387E" w:rsidR="007817DA" w:rsidRPr="00CB305F" w:rsidRDefault="00E860EC" w:rsidP="00163DB2">
      <w:pPr>
        <w:ind w:right="33"/>
        <w:jc w:val="both"/>
        <w:rPr>
          <w:rFonts w:ascii="Cambria" w:hAnsi="Cambria"/>
          <w:sz w:val="21"/>
          <w:szCs w:val="21"/>
        </w:rPr>
      </w:pPr>
      <w:r w:rsidRPr="00CB305F">
        <w:rPr>
          <w:rFonts w:ascii="Cambria" w:hAnsi="Cambria"/>
          <w:sz w:val="21"/>
          <w:szCs w:val="21"/>
        </w:rPr>
        <w:t xml:space="preserve">The problem is that the tools, techniques and modest financing that might underpin such cooperation are as yet </w:t>
      </w:r>
      <w:r w:rsidR="007817DA" w:rsidRPr="00CB305F">
        <w:rPr>
          <w:rFonts w:ascii="Cambria" w:hAnsi="Cambria"/>
          <w:sz w:val="21"/>
          <w:szCs w:val="21"/>
        </w:rPr>
        <w:t xml:space="preserve">relatively </w:t>
      </w:r>
      <w:r w:rsidRPr="00CB305F">
        <w:rPr>
          <w:rFonts w:ascii="Cambria" w:hAnsi="Cambria"/>
          <w:sz w:val="21"/>
          <w:szCs w:val="21"/>
        </w:rPr>
        <w:t xml:space="preserve">undeveloped.  </w:t>
      </w:r>
      <w:r w:rsidR="007817DA" w:rsidRPr="00CB305F">
        <w:rPr>
          <w:rFonts w:ascii="Cambria" w:hAnsi="Cambria"/>
          <w:sz w:val="21"/>
          <w:szCs w:val="21"/>
        </w:rPr>
        <w:t>The Asia Foundation has one model whose success has been established in its own programs</w:t>
      </w:r>
      <w:r w:rsidR="00EB3430" w:rsidRPr="00CB305F">
        <w:rPr>
          <w:rFonts w:ascii="Cambria" w:hAnsi="Cambria"/>
          <w:sz w:val="21"/>
          <w:szCs w:val="21"/>
        </w:rPr>
        <w:t xml:space="preserve"> - </w:t>
      </w:r>
      <w:r w:rsidR="000B46FB" w:rsidRPr="00CB305F">
        <w:rPr>
          <w:rFonts w:ascii="Cambria" w:hAnsi="Cambria"/>
          <w:sz w:val="21"/>
          <w:szCs w:val="21"/>
        </w:rPr>
        <w:t>especially the Philippines program, Coalitions for Change’</w:t>
      </w:r>
      <w:r w:rsidR="00F15BA3">
        <w:rPr>
          <w:rFonts w:ascii="Cambria" w:hAnsi="Cambria"/>
          <w:sz w:val="21"/>
          <w:szCs w:val="21"/>
        </w:rPr>
        <w:t>.</w:t>
      </w:r>
      <w:r w:rsidR="00EC3CA2">
        <w:rPr>
          <w:rStyle w:val="EndnoteReference"/>
          <w:rFonts w:ascii="Cambria" w:hAnsi="Cambria"/>
          <w:sz w:val="21"/>
          <w:szCs w:val="21"/>
        </w:rPr>
        <w:endnoteReference w:id="13"/>
      </w:r>
      <w:r w:rsidR="00124CB3">
        <w:rPr>
          <w:rFonts w:ascii="Cambria" w:hAnsi="Cambria"/>
          <w:sz w:val="21"/>
          <w:szCs w:val="21"/>
        </w:rPr>
        <w:t xml:space="preserve">  Th</w:t>
      </w:r>
      <w:r w:rsidR="00E23947">
        <w:rPr>
          <w:rFonts w:ascii="Cambria" w:hAnsi="Cambria"/>
          <w:sz w:val="21"/>
          <w:szCs w:val="21"/>
        </w:rPr>
        <w:t>e</w:t>
      </w:r>
      <w:r w:rsidR="00124CB3">
        <w:rPr>
          <w:rFonts w:ascii="Cambria" w:hAnsi="Cambria"/>
          <w:sz w:val="21"/>
          <w:szCs w:val="21"/>
        </w:rPr>
        <w:t xml:space="preserve"> usefulness of that model is </w:t>
      </w:r>
      <w:r w:rsidR="007817DA" w:rsidRPr="00CB305F">
        <w:rPr>
          <w:rFonts w:ascii="Cambria" w:hAnsi="Cambria"/>
          <w:sz w:val="21"/>
          <w:szCs w:val="21"/>
        </w:rPr>
        <w:t xml:space="preserve">broadly confirmed through MTRP progress to date.  However, what is less clear is whether there are alternatives </w:t>
      </w:r>
      <w:r w:rsidR="00331495">
        <w:rPr>
          <w:rFonts w:ascii="Cambria" w:hAnsi="Cambria"/>
          <w:sz w:val="21"/>
          <w:szCs w:val="21"/>
        </w:rPr>
        <w:t>that</w:t>
      </w:r>
      <w:r w:rsidR="007817DA" w:rsidRPr="00CB305F">
        <w:rPr>
          <w:rFonts w:ascii="Cambria" w:hAnsi="Cambria"/>
          <w:sz w:val="21"/>
          <w:szCs w:val="21"/>
        </w:rPr>
        <w:t xml:space="preserve"> are as good or better.  In theory</w:t>
      </w:r>
      <w:r w:rsidR="001F44F0" w:rsidRPr="00CB305F">
        <w:rPr>
          <w:rFonts w:ascii="Cambria" w:hAnsi="Cambria"/>
          <w:sz w:val="21"/>
          <w:szCs w:val="21"/>
        </w:rPr>
        <w:t>,</w:t>
      </w:r>
      <w:r w:rsidR="007817DA" w:rsidRPr="00CB305F">
        <w:rPr>
          <w:rFonts w:ascii="Cambria" w:hAnsi="Cambria"/>
          <w:sz w:val="21"/>
          <w:szCs w:val="21"/>
        </w:rPr>
        <w:t xml:space="preserve"> it is not hard to think of a range of alternatives</w:t>
      </w:r>
      <w:r w:rsidR="000B46FB" w:rsidRPr="00CB305F">
        <w:rPr>
          <w:rFonts w:ascii="Cambria" w:hAnsi="Cambria"/>
          <w:sz w:val="21"/>
          <w:szCs w:val="21"/>
        </w:rPr>
        <w:t xml:space="preserve"> DFAT might explore</w:t>
      </w:r>
      <w:r w:rsidR="00EB3430" w:rsidRPr="00CB305F">
        <w:rPr>
          <w:rFonts w:ascii="Cambria" w:hAnsi="Cambria"/>
          <w:sz w:val="21"/>
          <w:szCs w:val="21"/>
        </w:rPr>
        <w:t>,</w:t>
      </w:r>
      <w:r w:rsidR="000B46FB" w:rsidRPr="00CB305F">
        <w:rPr>
          <w:rFonts w:ascii="Cambria" w:hAnsi="Cambria"/>
          <w:sz w:val="21"/>
          <w:szCs w:val="21"/>
        </w:rPr>
        <w:t xml:space="preserve"> such as</w:t>
      </w:r>
      <w:r w:rsidR="007817DA" w:rsidRPr="00CB305F">
        <w:rPr>
          <w:rFonts w:ascii="Cambria" w:hAnsi="Cambria"/>
          <w:sz w:val="21"/>
          <w:szCs w:val="21"/>
        </w:rPr>
        <w:t>:</w:t>
      </w:r>
    </w:p>
    <w:p w14:paraId="08E4F9C9" w14:textId="29F0109E" w:rsidR="007817DA" w:rsidRPr="00CB305F" w:rsidRDefault="000B46FB" w:rsidP="00163DB2">
      <w:pPr>
        <w:pStyle w:val="ListParagraph"/>
        <w:numPr>
          <w:ilvl w:val="0"/>
          <w:numId w:val="10"/>
        </w:numPr>
        <w:spacing w:before="120"/>
        <w:ind w:left="714" w:right="33" w:hanging="357"/>
        <w:jc w:val="both"/>
        <w:rPr>
          <w:rFonts w:ascii="Cambria" w:hAnsi="Cambria"/>
          <w:sz w:val="21"/>
          <w:szCs w:val="21"/>
        </w:rPr>
      </w:pPr>
      <w:r w:rsidRPr="00CB305F">
        <w:rPr>
          <w:rFonts w:ascii="Cambria" w:hAnsi="Cambria"/>
          <w:sz w:val="21"/>
          <w:szCs w:val="21"/>
        </w:rPr>
        <w:t>R</w:t>
      </w:r>
      <w:r w:rsidR="007817DA" w:rsidRPr="00CB305F">
        <w:rPr>
          <w:rFonts w:ascii="Cambria" w:hAnsi="Cambria"/>
          <w:sz w:val="21"/>
          <w:szCs w:val="21"/>
        </w:rPr>
        <w:t>un</w:t>
      </w:r>
      <w:r w:rsidRPr="00CB305F">
        <w:rPr>
          <w:rFonts w:ascii="Cambria" w:hAnsi="Cambria"/>
          <w:sz w:val="21"/>
          <w:szCs w:val="21"/>
        </w:rPr>
        <w:t>ning</w:t>
      </w:r>
      <w:r w:rsidR="007817DA" w:rsidRPr="00CB305F">
        <w:rPr>
          <w:rFonts w:ascii="Cambria" w:hAnsi="Cambria"/>
          <w:sz w:val="21"/>
          <w:szCs w:val="21"/>
        </w:rPr>
        <w:t xml:space="preserve"> a</w:t>
      </w:r>
      <w:r w:rsidR="00EB3430" w:rsidRPr="00CB305F">
        <w:rPr>
          <w:rFonts w:ascii="Cambria" w:hAnsi="Cambria"/>
          <w:sz w:val="21"/>
          <w:szCs w:val="21"/>
        </w:rPr>
        <w:t xml:space="preserve">n </w:t>
      </w:r>
      <w:r w:rsidR="007817DA" w:rsidRPr="00CB305F">
        <w:rPr>
          <w:rFonts w:ascii="Cambria" w:hAnsi="Cambria"/>
          <w:sz w:val="21"/>
          <w:szCs w:val="21"/>
        </w:rPr>
        <w:t xml:space="preserve">in-house </w:t>
      </w:r>
      <w:r w:rsidR="00EB3430" w:rsidRPr="00CB305F">
        <w:rPr>
          <w:rFonts w:ascii="Cambria" w:hAnsi="Cambria"/>
          <w:sz w:val="21"/>
          <w:szCs w:val="21"/>
        </w:rPr>
        <w:t xml:space="preserve">program </w:t>
      </w:r>
      <w:r w:rsidR="007817DA" w:rsidRPr="00CB305F">
        <w:rPr>
          <w:rFonts w:ascii="Cambria" w:hAnsi="Cambria"/>
          <w:sz w:val="21"/>
          <w:szCs w:val="21"/>
        </w:rPr>
        <w:t>and deal</w:t>
      </w:r>
      <w:r w:rsidRPr="00CB305F">
        <w:rPr>
          <w:rFonts w:ascii="Cambria" w:hAnsi="Cambria"/>
          <w:sz w:val="21"/>
          <w:szCs w:val="21"/>
        </w:rPr>
        <w:t>ing</w:t>
      </w:r>
      <w:r w:rsidR="007817DA" w:rsidRPr="00CB305F">
        <w:rPr>
          <w:rFonts w:ascii="Cambria" w:hAnsi="Cambria"/>
          <w:sz w:val="21"/>
          <w:szCs w:val="21"/>
        </w:rPr>
        <w:t xml:space="preserve"> directly with local partners</w:t>
      </w:r>
      <w:r w:rsidRPr="00CB305F">
        <w:rPr>
          <w:rFonts w:ascii="Cambria" w:hAnsi="Cambria"/>
          <w:sz w:val="21"/>
          <w:szCs w:val="21"/>
        </w:rPr>
        <w:t>, either by dedicating sufficient DFAT capability to the task</w:t>
      </w:r>
      <w:r w:rsidR="005C31B5">
        <w:rPr>
          <w:rFonts w:ascii="Cambria" w:hAnsi="Cambria"/>
          <w:sz w:val="21"/>
          <w:szCs w:val="21"/>
        </w:rPr>
        <w:t>,</w:t>
      </w:r>
      <w:r w:rsidRPr="00CB305F">
        <w:rPr>
          <w:rFonts w:ascii="Cambria" w:hAnsi="Cambria"/>
          <w:sz w:val="21"/>
          <w:szCs w:val="21"/>
        </w:rPr>
        <w:t xml:space="preserve"> or contracting</w:t>
      </w:r>
      <w:r w:rsidR="00F15BA3">
        <w:rPr>
          <w:rFonts w:ascii="Cambria" w:hAnsi="Cambria"/>
          <w:sz w:val="21"/>
          <w:szCs w:val="21"/>
        </w:rPr>
        <w:t>-</w:t>
      </w:r>
      <w:r w:rsidRPr="00CB305F">
        <w:rPr>
          <w:rFonts w:ascii="Cambria" w:hAnsi="Cambria"/>
          <w:sz w:val="21"/>
          <w:szCs w:val="21"/>
        </w:rPr>
        <w:t>in that capability</w:t>
      </w:r>
    </w:p>
    <w:p w14:paraId="2EFA6893" w14:textId="38D62AA5" w:rsidR="007817DA" w:rsidRPr="00CB305F" w:rsidRDefault="000B46FB" w:rsidP="00163DB2">
      <w:pPr>
        <w:pStyle w:val="ListParagraph"/>
        <w:numPr>
          <w:ilvl w:val="0"/>
          <w:numId w:val="10"/>
        </w:numPr>
        <w:ind w:right="33"/>
        <w:jc w:val="both"/>
        <w:rPr>
          <w:rFonts w:ascii="Cambria" w:hAnsi="Cambria"/>
          <w:sz w:val="21"/>
          <w:szCs w:val="21"/>
        </w:rPr>
      </w:pPr>
      <w:r w:rsidRPr="00CB305F">
        <w:rPr>
          <w:rFonts w:ascii="Cambria" w:hAnsi="Cambria"/>
          <w:sz w:val="21"/>
          <w:szCs w:val="21"/>
        </w:rPr>
        <w:t>F</w:t>
      </w:r>
      <w:r w:rsidR="007817DA" w:rsidRPr="00CB305F">
        <w:rPr>
          <w:rFonts w:ascii="Cambria" w:hAnsi="Cambria"/>
          <w:sz w:val="21"/>
          <w:szCs w:val="21"/>
        </w:rPr>
        <w:t>orm</w:t>
      </w:r>
      <w:r w:rsidRPr="00CB305F">
        <w:rPr>
          <w:rFonts w:ascii="Cambria" w:hAnsi="Cambria"/>
          <w:sz w:val="21"/>
          <w:szCs w:val="21"/>
        </w:rPr>
        <w:t>ing</w:t>
      </w:r>
      <w:r w:rsidR="007817DA" w:rsidRPr="00CB305F">
        <w:rPr>
          <w:rFonts w:ascii="Cambria" w:hAnsi="Cambria"/>
          <w:sz w:val="21"/>
          <w:szCs w:val="21"/>
        </w:rPr>
        <w:t xml:space="preserve"> a research and policy development partnership with local institutions such as universities or think tanks</w:t>
      </w:r>
    </w:p>
    <w:p w14:paraId="22424216" w14:textId="5212D8E1" w:rsidR="007817DA" w:rsidRPr="00CB305F" w:rsidRDefault="000B46FB" w:rsidP="00163DB2">
      <w:pPr>
        <w:pStyle w:val="ListParagraph"/>
        <w:numPr>
          <w:ilvl w:val="0"/>
          <w:numId w:val="10"/>
        </w:numPr>
        <w:ind w:right="33"/>
        <w:jc w:val="both"/>
        <w:rPr>
          <w:rFonts w:ascii="Cambria" w:hAnsi="Cambria"/>
          <w:sz w:val="21"/>
          <w:szCs w:val="21"/>
        </w:rPr>
      </w:pPr>
      <w:r w:rsidRPr="00CB305F">
        <w:rPr>
          <w:rFonts w:ascii="Cambria" w:hAnsi="Cambria"/>
          <w:sz w:val="21"/>
          <w:szCs w:val="21"/>
        </w:rPr>
        <w:t>T</w:t>
      </w:r>
      <w:r w:rsidR="00865333" w:rsidRPr="00CB305F">
        <w:rPr>
          <w:rFonts w:ascii="Cambria" w:hAnsi="Cambria"/>
          <w:sz w:val="21"/>
          <w:szCs w:val="21"/>
        </w:rPr>
        <w:t>ender</w:t>
      </w:r>
      <w:r w:rsidRPr="00CB305F">
        <w:rPr>
          <w:rFonts w:ascii="Cambria" w:hAnsi="Cambria"/>
          <w:sz w:val="21"/>
          <w:szCs w:val="21"/>
        </w:rPr>
        <w:t>ing</w:t>
      </w:r>
      <w:r w:rsidR="00865333" w:rsidRPr="00CB305F">
        <w:rPr>
          <w:rFonts w:ascii="Cambria" w:hAnsi="Cambria"/>
          <w:sz w:val="21"/>
          <w:szCs w:val="21"/>
        </w:rPr>
        <w:t xml:space="preserve"> to acquire the services of organisations with proven capability to ‘think and work politically’ on a country or regional basis</w:t>
      </w:r>
    </w:p>
    <w:p w14:paraId="64C02701" w14:textId="2A97EFA8" w:rsidR="007817DA" w:rsidRPr="00CB305F" w:rsidRDefault="000B46FB" w:rsidP="00163DB2">
      <w:pPr>
        <w:pStyle w:val="ListParagraph"/>
        <w:numPr>
          <w:ilvl w:val="0"/>
          <w:numId w:val="10"/>
        </w:numPr>
        <w:ind w:right="33"/>
        <w:jc w:val="both"/>
        <w:rPr>
          <w:rFonts w:ascii="Cambria" w:hAnsi="Cambria"/>
          <w:sz w:val="21"/>
          <w:szCs w:val="21"/>
        </w:rPr>
      </w:pPr>
      <w:r w:rsidRPr="00CB305F">
        <w:rPr>
          <w:rFonts w:ascii="Cambria" w:hAnsi="Cambria"/>
          <w:sz w:val="21"/>
          <w:szCs w:val="21"/>
        </w:rPr>
        <w:t>G</w:t>
      </w:r>
      <w:r w:rsidR="007817DA" w:rsidRPr="00CB305F">
        <w:rPr>
          <w:rFonts w:ascii="Cambria" w:hAnsi="Cambria"/>
          <w:sz w:val="21"/>
          <w:szCs w:val="21"/>
        </w:rPr>
        <w:t>o</w:t>
      </w:r>
      <w:r w:rsidRPr="00CB305F">
        <w:rPr>
          <w:rFonts w:ascii="Cambria" w:hAnsi="Cambria"/>
          <w:sz w:val="21"/>
          <w:szCs w:val="21"/>
        </w:rPr>
        <w:t>ing</w:t>
      </w:r>
      <w:r w:rsidR="007817DA" w:rsidRPr="00CB305F">
        <w:rPr>
          <w:rFonts w:ascii="Cambria" w:hAnsi="Cambria"/>
          <w:sz w:val="21"/>
          <w:szCs w:val="21"/>
        </w:rPr>
        <w:t xml:space="preserve"> to the </w:t>
      </w:r>
      <w:r w:rsidRPr="00CB305F">
        <w:rPr>
          <w:rFonts w:ascii="Cambria" w:hAnsi="Cambria"/>
          <w:sz w:val="21"/>
          <w:szCs w:val="21"/>
        </w:rPr>
        <w:t xml:space="preserve">corporate </w:t>
      </w:r>
      <w:r w:rsidR="00EC3CA2">
        <w:rPr>
          <w:rFonts w:ascii="Cambria" w:hAnsi="Cambria"/>
          <w:sz w:val="21"/>
          <w:szCs w:val="21"/>
        </w:rPr>
        <w:t>sector</w:t>
      </w:r>
      <w:r w:rsidR="007817DA" w:rsidRPr="00CB305F">
        <w:rPr>
          <w:rFonts w:ascii="Cambria" w:hAnsi="Cambria"/>
          <w:sz w:val="21"/>
          <w:szCs w:val="21"/>
        </w:rPr>
        <w:t xml:space="preserve"> for specific products, using local and international consultancy services to produce studies and reports </w:t>
      </w:r>
    </w:p>
    <w:p w14:paraId="5C0ECBA2" w14:textId="69D4A51F" w:rsidR="007817DA" w:rsidRPr="00CB305F" w:rsidRDefault="000B46FB" w:rsidP="00163DB2">
      <w:pPr>
        <w:pStyle w:val="ListParagraph"/>
        <w:numPr>
          <w:ilvl w:val="0"/>
          <w:numId w:val="10"/>
        </w:numPr>
        <w:ind w:right="33"/>
        <w:jc w:val="both"/>
        <w:rPr>
          <w:rFonts w:ascii="Cambria" w:hAnsi="Cambria"/>
          <w:sz w:val="21"/>
          <w:szCs w:val="21"/>
        </w:rPr>
      </w:pPr>
      <w:r w:rsidRPr="00CB305F">
        <w:rPr>
          <w:rFonts w:ascii="Cambria" w:hAnsi="Cambria"/>
          <w:sz w:val="21"/>
          <w:szCs w:val="21"/>
        </w:rPr>
        <w:t>Pursuing a</w:t>
      </w:r>
      <w:r w:rsidR="00865333" w:rsidRPr="00CB305F">
        <w:rPr>
          <w:rFonts w:ascii="Cambria" w:hAnsi="Cambria"/>
          <w:sz w:val="21"/>
          <w:szCs w:val="21"/>
        </w:rPr>
        <w:t xml:space="preserve"> whole of government approach</w:t>
      </w:r>
      <w:r w:rsidRPr="00CB305F">
        <w:rPr>
          <w:rFonts w:ascii="Cambria" w:hAnsi="Cambria"/>
          <w:sz w:val="21"/>
          <w:szCs w:val="21"/>
        </w:rPr>
        <w:t xml:space="preserve"> </w:t>
      </w:r>
      <w:r w:rsidR="00865333" w:rsidRPr="00CB305F">
        <w:rPr>
          <w:rFonts w:ascii="Cambria" w:hAnsi="Cambria"/>
          <w:sz w:val="21"/>
          <w:szCs w:val="21"/>
        </w:rPr>
        <w:t>to identify a handful of major socio-economic issues across the region that key institutions would be resourced to work on with counterparts over a period of 5-10 years</w:t>
      </w:r>
    </w:p>
    <w:p w14:paraId="3BF95EE6" w14:textId="68BA7EE2" w:rsidR="007817DA" w:rsidRPr="00CB305F" w:rsidRDefault="007817DA" w:rsidP="00163DB2">
      <w:pPr>
        <w:ind w:right="33"/>
        <w:jc w:val="both"/>
        <w:rPr>
          <w:rFonts w:ascii="Cambria" w:hAnsi="Cambria"/>
          <w:sz w:val="21"/>
          <w:szCs w:val="21"/>
        </w:rPr>
      </w:pPr>
    </w:p>
    <w:p w14:paraId="669BA740" w14:textId="0AA3A9CC" w:rsidR="000B089B" w:rsidRPr="00CB305F" w:rsidRDefault="00865333" w:rsidP="00163DB2">
      <w:pPr>
        <w:ind w:right="33"/>
        <w:jc w:val="both"/>
        <w:rPr>
          <w:rFonts w:ascii="Cambria" w:hAnsi="Cambria"/>
          <w:sz w:val="21"/>
          <w:szCs w:val="21"/>
        </w:rPr>
      </w:pPr>
      <w:r w:rsidRPr="00CB305F">
        <w:rPr>
          <w:rFonts w:ascii="Cambria" w:hAnsi="Cambria"/>
          <w:sz w:val="21"/>
          <w:szCs w:val="21"/>
        </w:rPr>
        <w:t>There are pros and cons to each of these ideas</w:t>
      </w:r>
      <w:r w:rsidR="00E66BAF" w:rsidRPr="00CB305F">
        <w:rPr>
          <w:rFonts w:ascii="Cambria" w:hAnsi="Cambria"/>
          <w:sz w:val="21"/>
          <w:szCs w:val="21"/>
        </w:rPr>
        <w:t xml:space="preserve"> which </w:t>
      </w:r>
      <w:r w:rsidR="00D47123">
        <w:rPr>
          <w:rFonts w:ascii="Cambria" w:hAnsi="Cambria"/>
          <w:sz w:val="21"/>
          <w:szCs w:val="21"/>
        </w:rPr>
        <w:t xml:space="preserve">would </w:t>
      </w:r>
      <w:r w:rsidR="00E66BAF" w:rsidRPr="00CB305F">
        <w:rPr>
          <w:rFonts w:ascii="Cambria" w:hAnsi="Cambria"/>
          <w:sz w:val="21"/>
          <w:szCs w:val="21"/>
        </w:rPr>
        <w:t xml:space="preserve">need to be </w:t>
      </w:r>
      <w:r w:rsidR="00B16823">
        <w:rPr>
          <w:rFonts w:ascii="Cambria" w:hAnsi="Cambria"/>
          <w:sz w:val="21"/>
          <w:szCs w:val="21"/>
        </w:rPr>
        <w:t xml:space="preserve">teased out and </w:t>
      </w:r>
      <w:r w:rsidR="00E66BAF" w:rsidRPr="00CB305F">
        <w:rPr>
          <w:rFonts w:ascii="Cambria" w:hAnsi="Cambria"/>
          <w:sz w:val="21"/>
          <w:szCs w:val="21"/>
        </w:rPr>
        <w:t>tested, if Australia</w:t>
      </w:r>
      <w:r w:rsidR="000B089B" w:rsidRPr="00CB305F">
        <w:rPr>
          <w:rFonts w:ascii="Cambria" w:hAnsi="Cambria"/>
          <w:sz w:val="21"/>
          <w:szCs w:val="21"/>
        </w:rPr>
        <w:t xml:space="preserve"> </w:t>
      </w:r>
      <w:r w:rsidR="00124CB3">
        <w:rPr>
          <w:rFonts w:ascii="Cambria" w:hAnsi="Cambria"/>
          <w:sz w:val="21"/>
          <w:szCs w:val="21"/>
        </w:rPr>
        <w:t xml:space="preserve">decides to expand </w:t>
      </w:r>
      <w:r w:rsidR="0066705F">
        <w:rPr>
          <w:rFonts w:ascii="Cambria" w:hAnsi="Cambria"/>
          <w:sz w:val="21"/>
          <w:szCs w:val="21"/>
        </w:rPr>
        <w:t xml:space="preserve">its </w:t>
      </w:r>
      <w:r w:rsidR="000B089B" w:rsidRPr="00CB305F">
        <w:rPr>
          <w:rFonts w:ascii="Cambria" w:hAnsi="Cambria"/>
          <w:sz w:val="21"/>
          <w:szCs w:val="21"/>
        </w:rPr>
        <w:t xml:space="preserve">work on development issues </w:t>
      </w:r>
      <w:r w:rsidR="00E756D6">
        <w:rPr>
          <w:rFonts w:ascii="Cambria" w:hAnsi="Cambria"/>
          <w:sz w:val="21"/>
          <w:szCs w:val="21"/>
        </w:rPr>
        <w:t>in</w:t>
      </w:r>
      <w:r w:rsidR="000B089B" w:rsidRPr="00CB305F">
        <w:rPr>
          <w:rFonts w:ascii="Cambria" w:hAnsi="Cambria"/>
          <w:sz w:val="21"/>
          <w:szCs w:val="21"/>
        </w:rPr>
        <w:t xml:space="preserve"> advanced middle</w:t>
      </w:r>
      <w:r w:rsidR="00E97741" w:rsidRPr="00CB305F">
        <w:rPr>
          <w:rFonts w:ascii="Cambria" w:hAnsi="Cambria"/>
          <w:sz w:val="21"/>
          <w:szCs w:val="21"/>
        </w:rPr>
        <w:t>-</w:t>
      </w:r>
      <w:r w:rsidR="000B089B" w:rsidRPr="00CB305F">
        <w:rPr>
          <w:rFonts w:ascii="Cambria" w:hAnsi="Cambria"/>
          <w:sz w:val="21"/>
          <w:szCs w:val="21"/>
        </w:rPr>
        <w:t xml:space="preserve">income countries like Malaysia and Thailand.  </w:t>
      </w:r>
      <w:r w:rsidR="00B16823">
        <w:rPr>
          <w:rFonts w:ascii="Cambria" w:hAnsi="Cambria"/>
          <w:sz w:val="21"/>
          <w:szCs w:val="21"/>
        </w:rPr>
        <w:t xml:space="preserve">The evaluation recommends that it should.  </w:t>
      </w:r>
      <w:r w:rsidR="000B089B" w:rsidRPr="00CB305F">
        <w:rPr>
          <w:rFonts w:ascii="Cambria" w:hAnsi="Cambria"/>
          <w:sz w:val="21"/>
          <w:szCs w:val="21"/>
        </w:rPr>
        <w:t>Within a decade th</w:t>
      </w:r>
      <w:r w:rsidR="00B16823">
        <w:rPr>
          <w:rFonts w:ascii="Cambria" w:hAnsi="Cambria"/>
          <w:sz w:val="21"/>
          <w:szCs w:val="21"/>
        </w:rPr>
        <w:t>e AMIC</w:t>
      </w:r>
      <w:r w:rsidR="000B089B" w:rsidRPr="00CB305F">
        <w:rPr>
          <w:rFonts w:ascii="Cambria" w:hAnsi="Cambria"/>
          <w:sz w:val="21"/>
          <w:szCs w:val="21"/>
        </w:rPr>
        <w:t xml:space="preserve"> group may also include Indonesia and the Philippines </w:t>
      </w:r>
      <w:r w:rsidR="003D3468">
        <w:rPr>
          <w:rFonts w:ascii="Cambria" w:hAnsi="Cambria"/>
          <w:sz w:val="21"/>
          <w:szCs w:val="21"/>
        </w:rPr>
        <w:t xml:space="preserve">in South East Asia, </w:t>
      </w:r>
      <w:r w:rsidR="000B089B" w:rsidRPr="00CB305F">
        <w:rPr>
          <w:rFonts w:ascii="Cambria" w:hAnsi="Cambria"/>
          <w:sz w:val="21"/>
          <w:szCs w:val="21"/>
        </w:rPr>
        <w:t xml:space="preserve">both of which are showing signs of </w:t>
      </w:r>
      <w:r w:rsidR="000B46FB" w:rsidRPr="00CB305F">
        <w:rPr>
          <w:rFonts w:ascii="Cambria" w:hAnsi="Cambria"/>
          <w:sz w:val="21"/>
          <w:szCs w:val="21"/>
        </w:rPr>
        <w:t xml:space="preserve">becoming stuck in </w:t>
      </w:r>
      <w:r w:rsidR="000B089B" w:rsidRPr="00CB305F">
        <w:rPr>
          <w:rFonts w:ascii="Cambria" w:hAnsi="Cambria"/>
          <w:sz w:val="21"/>
          <w:szCs w:val="21"/>
        </w:rPr>
        <w:t>the middle</w:t>
      </w:r>
      <w:r w:rsidR="00E97741" w:rsidRPr="00CB305F">
        <w:rPr>
          <w:rFonts w:ascii="Cambria" w:hAnsi="Cambria"/>
          <w:sz w:val="21"/>
          <w:szCs w:val="21"/>
        </w:rPr>
        <w:t>-</w:t>
      </w:r>
      <w:r w:rsidR="000B089B" w:rsidRPr="00CB305F">
        <w:rPr>
          <w:rFonts w:ascii="Cambria" w:hAnsi="Cambria"/>
          <w:sz w:val="21"/>
          <w:szCs w:val="21"/>
        </w:rPr>
        <w:t xml:space="preserve">income trap. </w:t>
      </w:r>
      <w:r w:rsidR="003D3468">
        <w:rPr>
          <w:rFonts w:ascii="Cambria" w:hAnsi="Cambria"/>
          <w:sz w:val="21"/>
          <w:szCs w:val="21"/>
        </w:rPr>
        <w:t xml:space="preserve">Vietnam may not be far behind.   Additionally, Sri Lanka, Fiji and Mongolia – all of which are important to Australian interests </w:t>
      </w:r>
      <w:r w:rsidR="00A0507A">
        <w:rPr>
          <w:rFonts w:ascii="Cambria" w:hAnsi="Cambria"/>
          <w:sz w:val="21"/>
          <w:szCs w:val="21"/>
        </w:rPr>
        <w:t>–</w:t>
      </w:r>
      <w:r w:rsidR="003D3468">
        <w:rPr>
          <w:rFonts w:ascii="Cambria" w:hAnsi="Cambria"/>
          <w:sz w:val="21"/>
          <w:szCs w:val="21"/>
        </w:rPr>
        <w:t xml:space="preserve"> </w:t>
      </w:r>
      <w:r w:rsidR="00A0507A">
        <w:rPr>
          <w:rFonts w:ascii="Cambria" w:hAnsi="Cambria"/>
          <w:sz w:val="21"/>
          <w:szCs w:val="21"/>
        </w:rPr>
        <w:t>may join the category.</w:t>
      </w:r>
    </w:p>
    <w:p w14:paraId="5AFFCA35" w14:textId="77777777" w:rsidR="000B089B" w:rsidRPr="00CB305F" w:rsidRDefault="000B089B" w:rsidP="00163DB2">
      <w:pPr>
        <w:ind w:right="33"/>
        <w:jc w:val="both"/>
        <w:rPr>
          <w:rFonts w:ascii="Cambria" w:hAnsi="Cambria"/>
          <w:sz w:val="21"/>
          <w:szCs w:val="21"/>
        </w:rPr>
      </w:pPr>
    </w:p>
    <w:p w14:paraId="2B18C2FC" w14:textId="10BBADEC" w:rsidR="00D43F9E" w:rsidRDefault="00331495" w:rsidP="00163DB2">
      <w:pPr>
        <w:ind w:right="33"/>
        <w:jc w:val="both"/>
        <w:rPr>
          <w:rFonts w:ascii="Cambria" w:hAnsi="Cambria"/>
          <w:sz w:val="21"/>
          <w:szCs w:val="21"/>
        </w:rPr>
      </w:pPr>
      <w:r w:rsidRPr="00331495">
        <w:rPr>
          <w:rFonts w:ascii="Cambria" w:eastAsia="Times New Roman" w:hAnsi="Cambria" w:cs="Times New Roman"/>
          <w:color w:val="000000" w:themeColor="text1"/>
          <w:sz w:val="20"/>
          <w:szCs w:val="20"/>
          <w:bdr w:val="none" w:sz="0" w:space="0" w:color="auto" w:frame="1"/>
          <w:lang w:eastAsia="en-GB"/>
        </w:rPr>
        <w:t>TAF’s 2019 report,</w:t>
      </w:r>
      <w:r>
        <w:rPr>
          <w:rFonts w:ascii="Cambria" w:eastAsia="Times New Roman" w:hAnsi="Cambria" w:cs="Times New Roman"/>
          <w:i/>
          <w:iCs/>
          <w:color w:val="000000" w:themeColor="text1"/>
          <w:sz w:val="20"/>
          <w:szCs w:val="20"/>
          <w:bdr w:val="none" w:sz="0" w:space="0" w:color="auto" w:frame="1"/>
          <w:lang w:eastAsia="en-GB"/>
        </w:rPr>
        <w:t xml:space="preserve"> </w:t>
      </w:r>
      <w:r w:rsidRPr="00331495">
        <w:rPr>
          <w:rFonts w:ascii="Cambria" w:eastAsia="Times New Roman" w:hAnsi="Cambria" w:cs="Times New Roman"/>
          <w:i/>
          <w:iCs/>
          <w:color w:val="000000" w:themeColor="text1"/>
          <w:sz w:val="20"/>
          <w:szCs w:val="20"/>
          <w:bdr w:val="none" w:sz="0" w:space="0" w:color="auto" w:frame="1"/>
          <w:lang w:eastAsia="en-GB"/>
        </w:rPr>
        <w:t xml:space="preserve">Transitioning from Aid to </w:t>
      </w:r>
      <w:r w:rsidR="00EE7173">
        <w:rPr>
          <w:rFonts w:ascii="Cambria" w:eastAsia="Times New Roman" w:hAnsi="Cambria" w:cs="Times New Roman"/>
          <w:i/>
          <w:iCs/>
          <w:color w:val="000000" w:themeColor="text1"/>
          <w:sz w:val="20"/>
          <w:szCs w:val="20"/>
          <w:bdr w:val="none" w:sz="0" w:space="0" w:color="auto" w:frame="1"/>
          <w:lang w:eastAsia="en-GB"/>
        </w:rPr>
        <w:t>P</w:t>
      </w:r>
      <w:r w:rsidRPr="00331495">
        <w:rPr>
          <w:rFonts w:ascii="Cambria" w:eastAsia="Times New Roman" w:hAnsi="Cambria" w:cs="Times New Roman"/>
          <w:i/>
          <w:iCs/>
          <w:color w:val="000000" w:themeColor="text1"/>
          <w:sz w:val="20"/>
          <w:szCs w:val="20"/>
          <w:bdr w:val="none" w:sz="0" w:space="0" w:color="auto" w:frame="1"/>
          <w:lang w:eastAsia="en-GB"/>
        </w:rPr>
        <w:t>artnership in AMICs</w:t>
      </w:r>
      <w:r w:rsidRPr="00331495">
        <w:rPr>
          <w:rFonts w:ascii="Cambria" w:eastAsia="Times New Roman" w:hAnsi="Cambria" w:cs="Times New Roman"/>
          <w:color w:val="000000" w:themeColor="text1"/>
          <w:sz w:val="20"/>
          <w:szCs w:val="20"/>
          <w:bdr w:val="none" w:sz="0" w:space="0" w:color="auto" w:frame="1"/>
          <w:lang w:eastAsia="en-GB"/>
        </w:rPr>
        <w:t>,</w:t>
      </w:r>
      <w:r>
        <w:rPr>
          <w:rFonts w:ascii="Cambria" w:hAnsi="Cambria"/>
          <w:sz w:val="21"/>
          <w:szCs w:val="21"/>
        </w:rPr>
        <w:t xml:space="preserve"> argued the Australian national interest case</w:t>
      </w:r>
      <w:r w:rsidR="00B16823">
        <w:rPr>
          <w:rFonts w:ascii="Cambria" w:hAnsi="Cambria"/>
          <w:sz w:val="21"/>
          <w:szCs w:val="21"/>
        </w:rPr>
        <w:t xml:space="preserve"> for expanding cooperation with AMICs</w:t>
      </w:r>
      <w:r>
        <w:rPr>
          <w:rFonts w:ascii="Cambria" w:hAnsi="Cambria"/>
          <w:sz w:val="21"/>
          <w:szCs w:val="21"/>
        </w:rPr>
        <w:t xml:space="preserve"> </w:t>
      </w:r>
      <w:r w:rsidR="00E3492C">
        <w:rPr>
          <w:rFonts w:ascii="Cambria" w:hAnsi="Cambria"/>
          <w:sz w:val="21"/>
          <w:szCs w:val="21"/>
        </w:rPr>
        <w:t>(</w:t>
      </w:r>
      <w:r>
        <w:rPr>
          <w:rFonts w:ascii="Cambria" w:hAnsi="Cambria"/>
          <w:sz w:val="21"/>
          <w:szCs w:val="21"/>
        </w:rPr>
        <w:t>as has this writer</w:t>
      </w:r>
      <w:r w:rsidR="00E3492C">
        <w:rPr>
          <w:rFonts w:ascii="Cambria" w:hAnsi="Cambria"/>
          <w:sz w:val="21"/>
          <w:szCs w:val="21"/>
        </w:rPr>
        <w:t>)</w:t>
      </w:r>
      <w:r>
        <w:rPr>
          <w:rFonts w:ascii="Cambria" w:hAnsi="Cambria"/>
          <w:sz w:val="21"/>
          <w:szCs w:val="21"/>
        </w:rPr>
        <w:t>.</w:t>
      </w:r>
      <w:r>
        <w:rPr>
          <w:rStyle w:val="EndnoteReference"/>
          <w:rFonts w:ascii="Cambria" w:hAnsi="Cambria"/>
          <w:sz w:val="21"/>
          <w:szCs w:val="21"/>
        </w:rPr>
        <w:endnoteReference w:id="14"/>
      </w:r>
      <w:r>
        <w:rPr>
          <w:rFonts w:ascii="Cambria" w:hAnsi="Cambria"/>
          <w:sz w:val="21"/>
          <w:szCs w:val="21"/>
        </w:rPr>
        <w:t xml:space="preserve">  In the intervening period, geo-strategic changes have significantly increased the saliency of those arguments.  It would be timely for DFAT itself to present the policy case for such engagement, partly as a guide for staff and also to inform decision makers and the public.   Based on work done to date,</w:t>
      </w:r>
      <w:r w:rsidR="00A0507A">
        <w:rPr>
          <w:rFonts w:ascii="Cambria" w:hAnsi="Cambria"/>
          <w:sz w:val="21"/>
          <w:szCs w:val="21"/>
        </w:rPr>
        <w:t xml:space="preserve"> th</w:t>
      </w:r>
      <w:r w:rsidR="00F15BA3">
        <w:rPr>
          <w:rFonts w:ascii="Cambria" w:hAnsi="Cambria"/>
          <w:sz w:val="21"/>
          <w:szCs w:val="21"/>
        </w:rPr>
        <w:t xml:space="preserve">e evaluation concludes that </w:t>
      </w:r>
      <w:r w:rsidR="008C5D96" w:rsidRPr="00CB305F">
        <w:rPr>
          <w:rFonts w:ascii="Cambria" w:hAnsi="Cambria"/>
          <w:sz w:val="21"/>
          <w:szCs w:val="21"/>
        </w:rPr>
        <w:t xml:space="preserve">Australia’s interests in supporting </w:t>
      </w:r>
      <w:r w:rsidR="00F15BA3">
        <w:rPr>
          <w:rFonts w:ascii="Cambria" w:hAnsi="Cambria"/>
          <w:sz w:val="21"/>
          <w:szCs w:val="21"/>
        </w:rPr>
        <w:t>AMICs</w:t>
      </w:r>
      <w:r w:rsidR="008C5D96" w:rsidRPr="00CB305F">
        <w:rPr>
          <w:rFonts w:ascii="Cambria" w:hAnsi="Cambria"/>
          <w:sz w:val="21"/>
          <w:szCs w:val="21"/>
        </w:rPr>
        <w:t xml:space="preserve"> in South East Asia are </w:t>
      </w:r>
      <w:r w:rsidR="00D43F9E">
        <w:rPr>
          <w:rFonts w:ascii="Cambria" w:hAnsi="Cambria"/>
          <w:sz w:val="21"/>
          <w:szCs w:val="21"/>
        </w:rPr>
        <w:t xml:space="preserve">sufficiently strong </w:t>
      </w:r>
      <w:r w:rsidR="008C5D96" w:rsidRPr="00CB305F">
        <w:rPr>
          <w:rFonts w:ascii="Cambria" w:hAnsi="Cambria"/>
          <w:sz w:val="21"/>
          <w:szCs w:val="21"/>
        </w:rPr>
        <w:t xml:space="preserve">that it should </w:t>
      </w:r>
      <w:r w:rsidR="0006503D">
        <w:rPr>
          <w:rFonts w:ascii="Cambria" w:hAnsi="Cambria"/>
          <w:sz w:val="21"/>
          <w:szCs w:val="21"/>
        </w:rPr>
        <w:t xml:space="preserve">also </w:t>
      </w:r>
      <w:r w:rsidR="008C5D96" w:rsidRPr="00CB305F">
        <w:rPr>
          <w:rFonts w:ascii="Cambria" w:hAnsi="Cambria"/>
          <w:sz w:val="21"/>
          <w:szCs w:val="21"/>
        </w:rPr>
        <w:t>embark on a larger exploratory program, to test a variety of potential models</w:t>
      </w:r>
      <w:r w:rsidR="00D43F9E">
        <w:rPr>
          <w:rFonts w:ascii="Cambria" w:hAnsi="Cambria"/>
          <w:sz w:val="21"/>
          <w:szCs w:val="21"/>
        </w:rPr>
        <w:t xml:space="preserve"> for scale up</w:t>
      </w:r>
      <w:r w:rsidR="008C5D96" w:rsidRPr="00CB305F">
        <w:rPr>
          <w:rFonts w:ascii="Cambria" w:hAnsi="Cambria"/>
          <w:sz w:val="21"/>
          <w:szCs w:val="21"/>
        </w:rPr>
        <w:t xml:space="preserve">. </w:t>
      </w:r>
      <w:r w:rsidR="00D43F9E">
        <w:rPr>
          <w:rFonts w:ascii="Cambria" w:hAnsi="Cambria"/>
          <w:sz w:val="21"/>
          <w:szCs w:val="21"/>
        </w:rPr>
        <w:t xml:space="preserve"> </w:t>
      </w:r>
      <w:r w:rsidR="00F15BA3">
        <w:rPr>
          <w:rFonts w:ascii="Cambria" w:hAnsi="Cambria"/>
          <w:sz w:val="21"/>
          <w:szCs w:val="21"/>
        </w:rPr>
        <w:t>Prior to that</w:t>
      </w:r>
      <w:r w:rsidR="001B0607" w:rsidRPr="00CB305F">
        <w:rPr>
          <w:rFonts w:ascii="Cambria" w:hAnsi="Cambria"/>
          <w:sz w:val="21"/>
          <w:szCs w:val="21"/>
        </w:rPr>
        <w:t>,</w:t>
      </w:r>
      <w:r w:rsidR="000B089B" w:rsidRPr="00CB305F">
        <w:rPr>
          <w:rFonts w:ascii="Cambria" w:hAnsi="Cambria"/>
          <w:sz w:val="21"/>
          <w:szCs w:val="21"/>
        </w:rPr>
        <w:t xml:space="preserve"> </w:t>
      </w:r>
      <w:r w:rsidR="00D43F9E">
        <w:rPr>
          <w:rFonts w:ascii="Cambria" w:hAnsi="Cambria"/>
          <w:sz w:val="21"/>
          <w:szCs w:val="21"/>
        </w:rPr>
        <w:t>DFAT</w:t>
      </w:r>
      <w:r w:rsidR="000B089B" w:rsidRPr="00CB305F">
        <w:rPr>
          <w:rFonts w:ascii="Cambria" w:hAnsi="Cambria"/>
          <w:sz w:val="21"/>
          <w:szCs w:val="21"/>
        </w:rPr>
        <w:t xml:space="preserve"> should articulate the capabilit</w:t>
      </w:r>
      <w:r w:rsidR="00F21508" w:rsidRPr="00CB305F">
        <w:rPr>
          <w:rFonts w:ascii="Cambria" w:hAnsi="Cambria"/>
          <w:sz w:val="21"/>
          <w:szCs w:val="21"/>
        </w:rPr>
        <w:t>ies</w:t>
      </w:r>
      <w:r w:rsidR="000B089B" w:rsidRPr="00CB305F">
        <w:rPr>
          <w:rFonts w:ascii="Cambria" w:hAnsi="Cambria"/>
          <w:sz w:val="21"/>
          <w:szCs w:val="21"/>
        </w:rPr>
        <w:t xml:space="preserve"> required and assess who has </w:t>
      </w:r>
      <w:r w:rsidR="00F21508" w:rsidRPr="00CB305F">
        <w:rPr>
          <w:rFonts w:ascii="Cambria" w:hAnsi="Cambria"/>
          <w:sz w:val="21"/>
          <w:szCs w:val="21"/>
        </w:rPr>
        <w:t>them</w:t>
      </w:r>
      <w:r w:rsidR="000B089B" w:rsidRPr="00CB305F">
        <w:rPr>
          <w:rFonts w:ascii="Cambria" w:hAnsi="Cambria"/>
          <w:sz w:val="21"/>
          <w:szCs w:val="21"/>
        </w:rPr>
        <w:t xml:space="preserve">.  </w:t>
      </w:r>
    </w:p>
    <w:p w14:paraId="57103555" w14:textId="77777777" w:rsidR="00D43F9E" w:rsidRDefault="00D43F9E" w:rsidP="00163DB2">
      <w:pPr>
        <w:ind w:right="33"/>
        <w:jc w:val="both"/>
        <w:rPr>
          <w:rFonts w:ascii="Cambria" w:hAnsi="Cambria"/>
          <w:sz w:val="21"/>
          <w:szCs w:val="21"/>
        </w:rPr>
      </w:pPr>
    </w:p>
    <w:p w14:paraId="2DA56331" w14:textId="4A7B27FA" w:rsidR="00E97741" w:rsidRPr="00CB305F" w:rsidRDefault="000B089B" w:rsidP="00163DB2">
      <w:pPr>
        <w:ind w:right="33"/>
        <w:jc w:val="both"/>
        <w:rPr>
          <w:rFonts w:ascii="Cambria" w:hAnsi="Cambria"/>
          <w:sz w:val="21"/>
          <w:szCs w:val="21"/>
        </w:rPr>
      </w:pPr>
      <w:r w:rsidRPr="00CB305F">
        <w:rPr>
          <w:rFonts w:ascii="Cambria" w:hAnsi="Cambria"/>
          <w:sz w:val="21"/>
          <w:szCs w:val="21"/>
        </w:rPr>
        <w:t xml:space="preserve">This evaluation has underlined several </w:t>
      </w:r>
      <w:r w:rsidR="001F44F0" w:rsidRPr="00CB305F">
        <w:rPr>
          <w:rFonts w:ascii="Cambria" w:hAnsi="Cambria"/>
          <w:sz w:val="21"/>
          <w:szCs w:val="21"/>
        </w:rPr>
        <w:t>success factors</w:t>
      </w:r>
      <w:r w:rsidR="00D43F9E">
        <w:rPr>
          <w:rFonts w:ascii="Cambria" w:hAnsi="Cambria"/>
          <w:sz w:val="21"/>
          <w:szCs w:val="21"/>
        </w:rPr>
        <w:t xml:space="preserve"> for thinking and working politically</w:t>
      </w:r>
      <w:r w:rsidR="00E97741" w:rsidRPr="00CB305F">
        <w:rPr>
          <w:rFonts w:ascii="Cambria" w:hAnsi="Cambria"/>
          <w:sz w:val="21"/>
          <w:szCs w:val="21"/>
        </w:rPr>
        <w:t>:</w:t>
      </w:r>
    </w:p>
    <w:p w14:paraId="7479B83D" w14:textId="5B5BAD4B" w:rsidR="00663755" w:rsidRPr="00CB305F" w:rsidRDefault="00663755" w:rsidP="00163DB2">
      <w:pPr>
        <w:pStyle w:val="ListParagraph"/>
        <w:numPr>
          <w:ilvl w:val="0"/>
          <w:numId w:val="11"/>
        </w:numPr>
        <w:spacing w:before="120"/>
        <w:ind w:left="714" w:right="33" w:hanging="357"/>
        <w:jc w:val="both"/>
        <w:rPr>
          <w:rFonts w:ascii="Cambria" w:hAnsi="Cambria"/>
          <w:sz w:val="21"/>
          <w:szCs w:val="21"/>
        </w:rPr>
      </w:pPr>
      <w:r>
        <w:rPr>
          <w:rFonts w:ascii="Cambria" w:hAnsi="Cambria"/>
          <w:sz w:val="21"/>
          <w:szCs w:val="21"/>
        </w:rPr>
        <w:t xml:space="preserve">Organisational interoperability – knowledge of </w:t>
      </w:r>
      <w:r w:rsidR="00C7140A">
        <w:rPr>
          <w:rFonts w:ascii="Cambria" w:hAnsi="Cambria"/>
          <w:sz w:val="21"/>
          <w:szCs w:val="21"/>
        </w:rPr>
        <w:t xml:space="preserve">and ability to harmonise with </w:t>
      </w:r>
      <w:r>
        <w:rPr>
          <w:rFonts w:ascii="Cambria" w:hAnsi="Cambria"/>
          <w:sz w:val="21"/>
          <w:szCs w:val="21"/>
        </w:rPr>
        <w:t xml:space="preserve">each-others’ policies, procedures and priorities </w:t>
      </w:r>
    </w:p>
    <w:p w14:paraId="1F8AF5BA" w14:textId="3D211A14" w:rsidR="00E97741" w:rsidRPr="00CB305F" w:rsidRDefault="001F44F0" w:rsidP="00163DB2">
      <w:pPr>
        <w:pStyle w:val="ListParagraph"/>
        <w:numPr>
          <w:ilvl w:val="0"/>
          <w:numId w:val="11"/>
        </w:numPr>
        <w:ind w:right="33"/>
        <w:jc w:val="both"/>
        <w:rPr>
          <w:rFonts w:ascii="Cambria" w:hAnsi="Cambria"/>
          <w:sz w:val="21"/>
          <w:szCs w:val="21"/>
        </w:rPr>
      </w:pPr>
      <w:r w:rsidRPr="00CB305F">
        <w:rPr>
          <w:rFonts w:ascii="Cambria" w:hAnsi="Cambria"/>
          <w:sz w:val="21"/>
          <w:szCs w:val="21"/>
        </w:rPr>
        <w:lastRenderedPageBreak/>
        <w:t>A</w:t>
      </w:r>
      <w:r w:rsidR="00E97741" w:rsidRPr="00CB305F">
        <w:rPr>
          <w:rFonts w:ascii="Cambria" w:hAnsi="Cambria"/>
          <w:sz w:val="21"/>
          <w:szCs w:val="21"/>
        </w:rPr>
        <w:t xml:space="preserve">ccess </w:t>
      </w:r>
      <w:r w:rsidRPr="00CB305F">
        <w:rPr>
          <w:rFonts w:ascii="Cambria" w:hAnsi="Cambria"/>
          <w:sz w:val="21"/>
          <w:szCs w:val="21"/>
        </w:rPr>
        <w:t xml:space="preserve">to </w:t>
      </w:r>
      <w:r w:rsidR="00E97741" w:rsidRPr="00CB305F">
        <w:rPr>
          <w:rFonts w:ascii="Cambria" w:hAnsi="Cambria"/>
          <w:sz w:val="21"/>
          <w:szCs w:val="21"/>
        </w:rPr>
        <w:t>deep expertise and</w:t>
      </w:r>
      <w:r w:rsidR="00663755">
        <w:rPr>
          <w:rFonts w:ascii="Cambria" w:hAnsi="Cambria"/>
          <w:sz w:val="21"/>
          <w:szCs w:val="21"/>
        </w:rPr>
        <w:t xml:space="preserve"> networks of</w:t>
      </w:r>
      <w:r w:rsidRPr="00CB305F">
        <w:rPr>
          <w:rFonts w:ascii="Cambria" w:hAnsi="Cambria"/>
          <w:sz w:val="21"/>
          <w:szCs w:val="21"/>
        </w:rPr>
        <w:t xml:space="preserve"> </w:t>
      </w:r>
      <w:r w:rsidR="00E97741" w:rsidRPr="00CB305F">
        <w:rPr>
          <w:rFonts w:ascii="Cambria" w:hAnsi="Cambria"/>
          <w:sz w:val="21"/>
          <w:szCs w:val="21"/>
        </w:rPr>
        <w:t xml:space="preserve">credible local </w:t>
      </w:r>
      <w:r w:rsidR="009C42F8" w:rsidRPr="00CB305F">
        <w:rPr>
          <w:rFonts w:ascii="Cambria" w:hAnsi="Cambria"/>
          <w:sz w:val="21"/>
          <w:szCs w:val="21"/>
        </w:rPr>
        <w:t>organisations and individuals</w:t>
      </w:r>
      <w:r w:rsidR="00E97741" w:rsidRPr="00CB305F">
        <w:rPr>
          <w:rFonts w:ascii="Cambria" w:hAnsi="Cambria"/>
          <w:sz w:val="21"/>
          <w:szCs w:val="21"/>
        </w:rPr>
        <w:t xml:space="preserve"> who not only know a lot, but are creative and good at building alliances.  </w:t>
      </w:r>
    </w:p>
    <w:p w14:paraId="6F1EF0BA" w14:textId="46AE2F35" w:rsidR="00E97741" w:rsidRPr="00CB305F" w:rsidRDefault="00AF2C10" w:rsidP="00163DB2">
      <w:pPr>
        <w:pStyle w:val="ListParagraph"/>
        <w:numPr>
          <w:ilvl w:val="0"/>
          <w:numId w:val="11"/>
        </w:numPr>
        <w:ind w:right="33"/>
        <w:jc w:val="both"/>
        <w:rPr>
          <w:rFonts w:ascii="Cambria" w:hAnsi="Cambria"/>
          <w:sz w:val="21"/>
          <w:szCs w:val="21"/>
        </w:rPr>
      </w:pPr>
      <w:r>
        <w:rPr>
          <w:rFonts w:ascii="Cambria" w:hAnsi="Cambria"/>
          <w:sz w:val="21"/>
          <w:szCs w:val="21"/>
        </w:rPr>
        <w:t>Expertise in po</w:t>
      </w:r>
      <w:r w:rsidR="00663755">
        <w:rPr>
          <w:rFonts w:ascii="Cambria" w:hAnsi="Cambria"/>
          <w:sz w:val="21"/>
          <w:szCs w:val="21"/>
        </w:rPr>
        <w:t>litical</w:t>
      </w:r>
      <w:r w:rsidR="0006503D">
        <w:rPr>
          <w:rFonts w:ascii="Cambria" w:hAnsi="Cambria"/>
          <w:sz w:val="21"/>
          <w:szCs w:val="21"/>
        </w:rPr>
        <w:t>-</w:t>
      </w:r>
      <w:r w:rsidR="00663755">
        <w:rPr>
          <w:rFonts w:ascii="Cambria" w:hAnsi="Cambria"/>
          <w:sz w:val="21"/>
          <w:szCs w:val="21"/>
        </w:rPr>
        <w:t xml:space="preserve">economy approaches that </w:t>
      </w:r>
      <w:r w:rsidR="001F44F0" w:rsidRPr="00CB305F">
        <w:rPr>
          <w:rFonts w:ascii="Cambria" w:hAnsi="Cambria"/>
          <w:sz w:val="21"/>
          <w:szCs w:val="21"/>
        </w:rPr>
        <w:t>go</w:t>
      </w:r>
      <w:r w:rsidR="00A0507A">
        <w:rPr>
          <w:rFonts w:ascii="Cambria" w:hAnsi="Cambria"/>
          <w:sz w:val="21"/>
          <w:szCs w:val="21"/>
        </w:rPr>
        <w:t>es</w:t>
      </w:r>
      <w:r w:rsidR="001F44F0" w:rsidRPr="00CB305F">
        <w:rPr>
          <w:rFonts w:ascii="Cambria" w:hAnsi="Cambria"/>
          <w:sz w:val="21"/>
          <w:szCs w:val="21"/>
        </w:rPr>
        <w:t xml:space="preserve"> far beyond</w:t>
      </w:r>
      <w:r w:rsidR="00E97741" w:rsidRPr="00CB305F">
        <w:rPr>
          <w:rFonts w:ascii="Cambria" w:hAnsi="Cambria"/>
          <w:sz w:val="21"/>
          <w:szCs w:val="21"/>
        </w:rPr>
        <w:t xml:space="preserve"> academic </w:t>
      </w:r>
      <w:r w:rsidR="001F44F0" w:rsidRPr="00CB305F">
        <w:rPr>
          <w:rFonts w:ascii="Cambria" w:hAnsi="Cambria"/>
          <w:sz w:val="21"/>
          <w:szCs w:val="21"/>
        </w:rPr>
        <w:t>theorising</w:t>
      </w:r>
      <w:r w:rsidR="00E97741" w:rsidRPr="00CB305F">
        <w:rPr>
          <w:rFonts w:ascii="Cambria" w:hAnsi="Cambria"/>
          <w:sz w:val="21"/>
          <w:szCs w:val="21"/>
        </w:rPr>
        <w:t xml:space="preserve"> or </w:t>
      </w:r>
      <w:r w:rsidR="001F44F0" w:rsidRPr="00CB305F">
        <w:rPr>
          <w:rFonts w:ascii="Cambria" w:hAnsi="Cambria"/>
          <w:sz w:val="21"/>
          <w:szCs w:val="21"/>
        </w:rPr>
        <w:t xml:space="preserve">preparing </w:t>
      </w:r>
      <w:r w:rsidR="00E97741" w:rsidRPr="00CB305F">
        <w:rPr>
          <w:rFonts w:ascii="Cambria" w:hAnsi="Cambria"/>
          <w:sz w:val="21"/>
          <w:szCs w:val="21"/>
        </w:rPr>
        <w:t>compendi</w:t>
      </w:r>
      <w:r w:rsidR="001F44F0" w:rsidRPr="00CB305F">
        <w:rPr>
          <w:rFonts w:ascii="Cambria" w:hAnsi="Cambria"/>
          <w:sz w:val="21"/>
          <w:szCs w:val="21"/>
        </w:rPr>
        <w:t>a</w:t>
      </w:r>
      <w:r w:rsidR="00E97741" w:rsidRPr="00CB305F">
        <w:rPr>
          <w:rFonts w:ascii="Cambria" w:hAnsi="Cambria"/>
          <w:sz w:val="21"/>
          <w:szCs w:val="21"/>
        </w:rPr>
        <w:t xml:space="preserve"> of commentary</w:t>
      </w:r>
      <w:r w:rsidR="00E756D6">
        <w:rPr>
          <w:rFonts w:ascii="Cambria" w:hAnsi="Cambria"/>
          <w:sz w:val="21"/>
          <w:szCs w:val="21"/>
        </w:rPr>
        <w:t>,</w:t>
      </w:r>
      <w:r w:rsidR="001F44F0" w:rsidRPr="00CB305F">
        <w:rPr>
          <w:rFonts w:ascii="Cambria" w:hAnsi="Cambria"/>
          <w:sz w:val="21"/>
          <w:szCs w:val="21"/>
        </w:rPr>
        <w:t xml:space="preserve"> to </w:t>
      </w:r>
      <w:r w:rsidR="00E97741" w:rsidRPr="00CB305F">
        <w:rPr>
          <w:rFonts w:ascii="Cambria" w:hAnsi="Cambria"/>
          <w:sz w:val="21"/>
          <w:szCs w:val="21"/>
        </w:rPr>
        <w:t>generate viable solutions</w:t>
      </w:r>
      <w:r w:rsidR="00F21508" w:rsidRPr="00CB305F">
        <w:rPr>
          <w:rFonts w:ascii="Cambria" w:hAnsi="Cambria"/>
          <w:sz w:val="21"/>
          <w:szCs w:val="21"/>
        </w:rPr>
        <w:t xml:space="preserve"> and bring them into being</w:t>
      </w:r>
    </w:p>
    <w:p w14:paraId="2CBD97B7" w14:textId="58122770" w:rsidR="00E97741" w:rsidRPr="00CB305F" w:rsidRDefault="001F44F0" w:rsidP="00163DB2">
      <w:pPr>
        <w:pStyle w:val="ListParagraph"/>
        <w:numPr>
          <w:ilvl w:val="0"/>
          <w:numId w:val="11"/>
        </w:numPr>
        <w:ind w:right="33"/>
        <w:jc w:val="both"/>
        <w:rPr>
          <w:rFonts w:ascii="Cambria" w:hAnsi="Cambria"/>
          <w:sz w:val="21"/>
          <w:szCs w:val="21"/>
        </w:rPr>
      </w:pPr>
      <w:r w:rsidRPr="00CB305F">
        <w:rPr>
          <w:rFonts w:ascii="Cambria" w:hAnsi="Cambria"/>
          <w:sz w:val="21"/>
          <w:szCs w:val="21"/>
        </w:rPr>
        <w:t>T</w:t>
      </w:r>
      <w:r w:rsidR="00E97741" w:rsidRPr="00CB305F">
        <w:rPr>
          <w:rFonts w:ascii="Cambria" w:hAnsi="Cambria"/>
          <w:sz w:val="21"/>
          <w:szCs w:val="21"/>
        </w:rPr>
        <w:t xml:space="preserve">he flexibility </w:t>
      </w:r>
      <w:r w:rsidR="00AF2C10">
        <w:rPr>
          <w:rFonts w:ascii="Cambria" w:hAnsi="Cambria"/>
          <w:sz w:val="21"/>
          <w:szCs w:val="21"/>
        </w:rPr>
        <w:t xml:space="preserve">and courage </w:t>
      </w:r>
      <w:r w:rsidR="00E97741" w:rsidRPr="00CB305F">
        <w:rPr>
          <w:rFonts w:ascii="Cambria" w:hAnsi="Cambria"/>
          <w:sz w:val="21"/>
          <w:szCs w:val="21"/>
        </w:rPr>
        <w:t>to change course and at times let things go in order to pursue the most prospective initiatives</w:t>
      </w:r>
    </w:p>
    <w:p w14:paraId="564D30DF" w14:textId="04E63E08" w:rsidR="00F21508" w:rsidRPr="00CB305F" w:rsidRDefault="001F44F0" w:rsidP="00163DB2">
      <w:pPr>
        <w:pStyle w:val="ListParagraph"/>
        <w:numPr>
          <w:ilvl w:val="0"/>
          <w:numId w:val="11"/>
        </w:numPr>
        <w:ind w:right="33"/>
        <w:jc w:val="both"/>
        <w:rPr>
          <w:rFonts w:ascii="Cambria" w:hAnsi="Cambria"/>
          <w:sz w:val="21"/>
          <w:szCs w:val="21"/>
        </w:rPr>
      </w:pPr>
      <w:r w:rsidRPr="00CB305F">
        <w:rPr>
          <w:rFonts w:ascii="Cambria" w:hAnsi="Cambria"/>
          <w:sz w:val="21"/>
          <w:szCs w:val="21"/>
        </w:rPr>
        <w:t>S</w:t>
      </w:r>
      <w:r w:rsidR="00F21508" w:rsidRPr="00CB305F">
        <w:rPr>
          <w:rFonts w:ascii="Cambria" w:hAnsi="Cambria"/>
          <w:sz w:val="21"/>
          <w:szCs w:val="21"/>
        </w:rPr>
        <w:t>ufficient resources and time to work through complex issues, build networks and use them for problem solving</w:t>
      </w:r>
      <w:r w:rsidR="000B46FB" w:rsidRPr="00CB305F">
        <w:rPr>
          <w:rFonts w:ascii="Cambria" w:hAnsi="Cambria"/>
          <w:sz w:val="21"/>
          <w:szCs w:val="21"/>
        </w:rPr>
        <w:t>.</w:t>
      </w:r>
    </w:p>
    <w:p w14:paraId="27F3A109" w14:textId="77777777" w:rsidR="007817DA" w:rsidRPr="00CB305F" w:rsidRDefault="007817DA" w:rsidP="00163DB2">
      <w:pPr>
        <w:ind w:right="33"/>
        <w:jc w:val="both"/>
        <w:rPr>
          <w:rFonts w:ascii="Cambria" w:hAnsi="Cambria"/>
          <w:sz w:val="21"/>
          <w:szCs w:val="21"/>
        </w:rPr>
      </w:pPr>
    </w:p>
    <w:p w14:paraId="66DC607B" w14:textId="77777777" w:rsidR="00B16823" w:rsidRDefault="00663755" w:rsidP="00163DB2">
      <w:pPr>
        <w:ind w:right="33"/>
        <w:jc w:val="both"/>
        <w:rPr>
          <w:rFonts w:ascii="Cambria" w:hAnsi="Cambria"/>
          <w:sz w:val="21"/>
          <w:szCs w:val="21"/>
        </w:rPr>
      </w:pPr>
      <w:r w:rsidRPr="00CB305F">
        <w:rPr>
          <w:rFonts w:ascii="Cambria" w:hAnsi="Cambria"/>
          <w:sz w:val="21"/>
          <w:szCs w:val="21"/>
        </w:rPr>
        <w:t xml:space="preserve">It may be that multiple organisations are capable of thinking and working politically in the ways required, or very few.  </w:t>
      </w:r>
      <w:r w:rsidR="00C7140A">
        <w:rPr>
          <w:rFonts w:ascii="Cambria" w:hAnsi="Cambria"/>
          <w:sz w:val="21"/>
          <w:szCs w:val="21"/>
        </w:rPr>
        <w:t xml:space="preserve">Is the universe teeming with life, or are we alone?  </w:t>
      </w:r>
      <w:r w:rsidR="00D43F9E">
        <w:rPr>
          <w:rFonts w:ascii="Cambria" w:hAnsi="Cambria"/>
          <w:sz w:val="21"/>
          <w:szCs w:val="21"/>
        </w:rPr>
        <w:t>Currently, w</w:t>
      </w:r>
      <w:r w:rsidR="00E756D6">
        <w:rPr>
          <w:rFonts w:ascii="Cambria" w:hAnsi="Cambria"/>
          <w:sz w:val="21"/>
          <w:szCs w:val="21"/>
        </w:rPr>
        <w:t xml:space="preserve">e do not know. </w:t>
      </w:r>
      <w:r w:rsidR="00D43F9E">
        <w:rPr>
          <w:rFonts w:ascii="Cambria" w:hAnsi="Cambria"/>
          <w:sz w:val="21"/>
          <w:szCs w:val="21"/>
        </w:rPr>
        <w:t>A</w:t>
      </w:r>
      <w:r w:rsidRPr="00CB305F">
        <w:rPr>
          <w:rFonts w:ascii="Cambria" w:hAnsi="Cambria"/>
          <w:sz w:val="21"/>
          <w:szCs w:val="21"/>
        </w:rPr>
        <w:t xml:space="preserve"> better sense of existing capability, </w:t>
      </w:r>
      <w:r w:rsidR="00331495">
        <w:rPr>
          <w:rFonts w:ascii="Cambria" w:hAnsi="Cambria"/>
          <w:sz w:val="21"/>
          <w:szCs w:val="21"/>
        </w:rPr>
        <w:t xml:space="preserve">international </w:t>
      </w:r>
      <w:r w:rsidRPr="00CB305F">
        <w:rPr>
          <w:rFonts w:ascii="Cambria" w:hAnsi="Cambria"/>
          <w:sz w:val="21"/>
          <w:szCs w:val="21"/>
        </w:rPr>
        <w:t xml:space="preserve">experience and ability to produce results is required before replacing what is working with what might not.  </w:t>
      </w:r>
    </w:p>
    <w:p w14:paraId="3290B1C6" w14:textId="77777777" w:rsidR="00B16823" w:rsidRDefault="00B16823" w:rsidP="00163DB2">
      <w:pPr>
        <w:ind w:right="33"/>
        <w:jc w:val="both"/>
        <w:rPr>
          <w:rFonts w:ascii="Cambria" w:hAnsi="Cambria"/>
          <w:sz w:val="21"/>
          <w:szCs w:val="21"/>
        </w:rPr>
      </w:pPr>
    </w:p>
    <w:p w14:paraId="21B46A11" w14:textId="16E8B92C" w:rsidR="00663755" w:rsidRPr="00CB305F" w:rsidRDefault="0056723D" w:rsidP="00163DB2">
      <w:pPr>
        <w:ind w:right="33"/>
        <w:jc w:val="both"/>
        <w:rPr>
          <w:rFonts w:ascii="Cambria" w:hAnsi="Cambria"/>
          <w:sz w:val="21"/>
          <w:szCs w:val="21"/>
        </w:rPr>
      </w:pPr>
      <w:r>
        <w:rPr>
          <w:rFonts w:ascii="Cambria" w:hAnsi="Cambria"/>
          <w:sz w:val="21"/>
          <w:szCs w:val="21"/>
        </w:rPr>
        <w:t xml:space="preserve">As part of that exercise, it would be useful to reconsider the role of the TAF-DFAT partnership in creating the circumstances in which the MTRP program came into being.  The evaluator theorises that ongoing TAF-DFAT institutional linkages, mutual trust and confidence have created a platform </w:t>
      </w:r>
      <w:r w:rsidR="00B16823">
        <w:rPr>
          <w:rFonts w:ascii="Cambria" w:hAnsi="Cambria"/>
          <w:sz w:val="21"/>
          <w:szCs w:val="21"/>
        </w:rPr>
        <w:t xml:space="preserve">critical to </w:t>
      </w:r>
      <w:r>
        <w:rPr>
          <w:rFonts w:ascii="Cambria" w:hAnsi="Cambria"/>
          <w:sz w:val="21"/>
          <w:szCs w:val="21"/>
        </w:rPr>
        <w:t>MTRP</w:t>
      </w:r>
      <w:r w:rsidR="00B16823">
        <w:rPr>
          <w:rFonts w:ascii="Cambria" w:hAnsi="Cambria"/>
          <w:sz w:val="21"/>
          <w:szCs w:val="21"/>
        </w:rPr>
        <w:t>’s</w:t>
      </w:r>
      <w:r>
        <w:rPr>
          <w:rFonts w:ascii="Cambria" w:hAnsi="Cambria"/>
          <w:sz w:val="21"/>
          <w:szCs w:val="21"/>
        </w:rPr>
        <w:t xml:space="preserve"> success.  </w:t>
      </w:r>
      <w:r w:rsidR="00CB370C">
        <w:rPr>
          <w:rFonts w:ascii="Cambria" w:hAnsi="Cambria"/>
          <w:sz w:val="21"/>
          <w:szCs w:val="21"/>
        </w:rPr>
        <w:t xml:space="preserve">This may not be easily replicated by moving to a more transactional approach to the development and implementation of new programs.  This theory will be tested in the end of program evaluation, but separate to that, additional work will be required to consider optimal future arrangements for collaborating with AIMCs. </w:t>
      </w:r>
      <w:r w:rsidR="00663755" w:rsidRPr="00CB305F">
        <w:rPr>
          <w:rFonts w:ascii="Cambria" w:hAnsi="Cambria"/>
          <w:sz w:val="21"/>
          <w:szCs w:val="21"/>
        </w:rPr>
        <w:t xml:space="preserve"> </w:t>
      </w:r>
      <w:r w:rsidR="00CB370C">
        <w:rPr>
          <w:rFonts w:ascii="Cambria" w:hAnsi="Cambria"/>
          <w:sz w:val="21"/>
          <w:szCs w:val="21"/>
        </w:rPr>
        <w:t xml:space="preserve">DFAT should </w:t>
      </w:r>
      <w:r w:rsidR="00663755" w:rsidRPr="00CB305F">
        <w:rPr>
          <w:rFonts w:ascii="Cambria" w:hAnsi="Cambria"/>
          <w:sz w:val="21"/>
          <w:szCs w:val="21"/>
        </w:rPr>
        <w:t>survey what is occurring on the ground, through government, commercial and civil society mechanisms, including what UN and other international organisations and non-OECD countries are doing.  DFAT staff who had been posted to other regions raised Canadian education support to Mexico as worthy of close study.</w:t>
      </w:r>
      <w:r w:rsidR="00663755">
        <w:rPr>
          <w:rFonts w:ascii="Cambria" w:hAnsi="Cambria"/>
          <w:sz w:val="21"/>
          <w:szCs w:val="21"/>
        </w:rPr>
        <w:t xml:space="preserve">  There must be </w:t>
      </w:r>
      <w:r w:rsidR="00140833">
        <w:rPr>
          <w:rFonts w:ascii="Cambria" w:hAnsi="Cambria"/>
          <w:sz w:val="21"/>
          <w:szCs w:val="21"/>
        </w:rPr>
        <w:t>many</w:t>
      </w:r>
      <w:r w:rsidR="00663755">
        <w:rPr>
          <w:rFonts w:ascii="Cambria" w:hAnsi="Cambria"/>
          <w:sz w:val="21"/>
          <w:szCs w:val="21"/>
        </w:rPr>
        <w:t xml:space="preserve"> others.</w:t>
      </w:r>
    </w:p>
    <w:p w14:paraId="23AF9358" w14:textId="77777777" w:rsidR="00663755" w:rsidRDefault="00663755" w:rsidP="00163DB2">
      <w:pPr>
        <w:ind w:right="33"/>
        <w:jc w:val="both"/>
        <w:rPr>
          <w:rFonts w:ascii="Cambria" w:hAnsi="Cambria"/>
          <w:sz w:val="21"/>
          <w:szCs w:val="21"/>
        </w:rPr>
      </w:pPr>
    </w:p>
    <w:p w14:paraId="555E3426" w14:textId="6103EBD8" w:rsidR="00140833" w:rsidRDefault="00865333" w:rsidP="00163DB2">
      <w:pPr>
        <w:ind w:right="33"/>
        <w:jc w:val="both"/>
        <w:rPr>
          <w:rFonts w:ascii="Cambria" w:hAnsi="Cambria"/>
          <w:sz w:val="21"/>
          <w:szCs w:val="21"/>
        </w:rPr>
      </w:pPr>
      <w:r w:rsidRPr="00CB305F">
        <w:rPr>
          <w:rFonts w:ascii="Cambria" w:hAnsi="Cambria"/>
          <w:sz w:val="21"/>
          <w:szCs w:val="21"/>
        </w:rPr>
        <w:t xml:space="preserve">A key constraint to </w:t>
      </w:r>
      <w:r w:rsidR="008C5D96" w:rsidRPr="00CB305F">
        <w:rPr>
          <w:rFonts w:ascii="Cambria" w:hAnsi="Cambria"/>
          <w:sz w:val="21"/>
          <w:szCs w:val="21"/>
        </w:rPr>
        <w:t xml:space="preserve">adopting a more proactive, creative approach to AMICs to </w:t>
      </w:r>
      <w:r w:rsidRPr="00CB305F">
        <w:rPr>
          <w:rFonts w:ascii="Cambria" w:hAnsi="Cambria"/>
          <w:sz w:val="21"/>
          <w:szCs w:val="21"/>
        </w:rPr>
        <w:t>date has been funding, even though th</w:t>
      </w:r>
      <w:r w:rsidR="00F92359" w:rsidRPr="00CB305F">
        <w:rPr>
          <w:rFonts w:ascii="Cambria" w:hAnsi="Cambria"/>
          <w:sz w:val="21"/>
          <w:szCs w:val="21"/>
        </w:rPr>
        <w:t>e</w:t>
      </w:r>
      <w:r w:rsidRPr="00CB305F">
        <w:rPr>
          <w:rFonts w:ascii="Cambria" w:hAnsi="Cambria"/>
          <w:sz w:val="21"/>
          <w:szCs w:val="21"/>
        </w:rPr>
        <w:t xml:space="preserve"> resource needs would be modest.  </w:t>
      </w:r>
      <w:r w:rsidR="00C7140A">
        <w:rPr>
          <w:rFonts w:ascii="Cambria" w:hAnsi="Cambria"/>
          <w:sz w:val="21"/>
          <w:szCs w:val="21"/>
        </w:rPr>
        <w:t xml:space="preserve">That said, no-one ever gives up funds voluntarily and so a </w:t>
      </w:r>
      <w:r w:rsidRPr="00CB305F">
        <w:rPr>
          <w:rFonts w:ascii="Cambria" w:hAnsi="Cambria"/>
          <w:sz w:val="21"/>
          <w:szCs w:val="21"/>
        </w:rPr>
        <w:t xml:space="preserve"> strategi</w:t>
      </w:r>
      <w:r w:rsidR="00F92359" w:rsidRPr="00CB305F">
        <w:rPr>
          <w:rFonts w:ascii="Cambria" w:hAnsi="Cambria"/>
          <w:sz w:val="21"/>
          <w:szCs w:val="21"/>
        </w:rPr>
        <w:t>c</w:t>
      </w:r>
      <w:r w:rsidRPr="00CB305F">
        <w:rPr>
          <w:rFonts w:ascii="Cambria" w:hAnsi="Cambria"/>
          <w:sz w:val="21"/>
          <w:szCs w:val="21"/>
        </w:rPr>
        <w:t xml:space="preserve"> decis</w:t>
      </w:r>
      <w:r w:rsidR="00F92359" w:rsidRPr="00CB305F">
        <w:rPr>
          <w:rFonts w:ascii="Cambria" w:hAnsi="Cambria"/>
          <w:sz w:val="21"/>
          <w:szCs w:val="21"/>
        </w:rPr>
        <w:t>i</w:t>
      </w:r>
      <w:r w:rsidRPr="00CB305F">
        <w:rPr>
          <w:rFonts w:ascii="Cambria" w:hAnsi="Cambria"/>
          <w:sz w:val="21"/>
          <w:szCs w:val="21"/>
        </w:rPr>
        <w:t>on would n</w:t>
      </w:r>
      <w:r w:rsidR="00F92359" w:rsidRPr="00CB305F">
        <w:rPr>
          <w:rFonts w:ascii="Cambria" w:hAnsi="Cambria"/>
          <w:sz w:val="21"/>
          <w:szCs w:val="21"/>
        </w:rPr>
        <w:t>e</w:t>
      </w:r>
      <w:r w:rsidRPr="00CB305F">
        <w:rPr>
          <w:rFonts w:ascii="Cambria" w:hAnsi="Cambria"/>
          <w:sz w:val="21"/>
          <w:szCs w:val="21"/>
        </w:rPr>
        <w:t xml:space="preserve">ed to be made </w:t>
      </w:r>
      <w:r w:rsidR="00C7140A">
        <w:rPr>
          <w:rFonts w:ascii="Cambria" w:hAnsi="Cambria"/>
          <w:sz w:val="21"/>
          <w:szCs w:val="21"/>
        </w:rPr>
        <w:t>by the DFA</w:t>
      </w:r>
      <w:r w:rsidR="00E35F6E">
        <w:rPr>
          <w:rFonts w:ascii="Cambria" w:hAnsi="Cambria"/>
          <w:sz w:val="21"/>
          <w:szCs w:val="21"/>
        </w:rPr>
        <w:t>T</w:t>
      </w:r>
      <w:r w:rsidR="00C7140A">
        <w:rPr>
          <w:rFonts w:ascii="Cambria" w:hAnsi="Cambria"/>
          <w:sz w:val="21"/>
          <w:szCs w:val="21"/>
        </w:rPr>
        <w:t xml:space="preserve"> Executive and the Minister </w:t>
      </w:r>
      <w:r w:rsidR="00F92359" w:rsidRPr="00CB305F">
        <w:rPr>
          <w:rFonts w:ascii="Cambria" w:hAnsi="Cambria"/>
          <w:sz w:val="21"/>
          <w:szCs w:val="21"/>
        </w:rPr>
        <w:t xml:space="preserve">that Australia </w:t>
      </w:r>
      <w:r w:rsidR="00395A70" w:rsidRPr="00CB305F">
        <w:rPr>
          <w:rFonts w:ascii="Cambria" w:hAnsi="Cambria"/>
          <w:sz w:val="21"/>
          <w:szCs w:val="21"/>
        </w:rPr>
        <w:t>a</w:t>
      </w:r>
      <w:r w:rsidR="00F92359" w:rsidRPr="00CB305F">
        <w:rPr>
          <w:rFonts w:ascii="Cambria" w:hAnsi="Cambria"/>
          <w:sz w:val="21"/>
          <w:szCs w:val="21"/>
        </w:rPr>
        <w:t>llocat</w:t>
      </w:r>
      <w:r w:rsidR="00395A70" w:rsidRPr="00CB305F">
        <w:rPr>
          <w:rFonts w:ascii="Cambria" w:hAnsi="Cambria"/>
          <w:sz w:val="21"/>
          <w:szCs w:val="21"/>
        </w:rPr>
        <w:t xml:space="preserve">e </w:t>
      </w:r>
      <w:r w:rsidR="00F92359" w:rsidRPr="00CB305F">
        <w:rPr>
          <w:rFonts w:ascii="Cambria" w:hAnsi="Cambria"/>
          <w:sz w:val="21"/>
          <w:szCs w:val="21"/>
        </w:rPr>
        <w:t xml:space="preserve">a very small percentage of </w:t>
      </w:r>
      <w:r w:rsidR="00011E69" w:rsidRPr="00CB305F">
        <w:rPr>
          <w:rFonts w:ascii="Cambria" w:hAnsi="Cambria"/>
          <w:sz w:val="21"/>
          <w:szCs w:val="21"/>
        </w:rPr>
        <w:t xml:space="preserve">overall </w:t>
      </w:r>
      <w:r w:rsidR="00395A70" w:rsidRPr="00CB305F">
        <w:rPr>
          <w:rFonts w:ascii="Cambria" w:hAnsi="Cambria"/>
          <w:sz w:val="21"/>
          <w:szCs w:val="21"/>
        </w:rPr>
        <w:t xml:space="preserve">development </w:t>
      </w:r>
      <w:r w:rsidR="00F92359" w:rsidRPr="00CB305F">
        <w:rPr>
          <w:rFonts w:ascii="Cambria" w:hAnsi="Cambria"/>
          <w:sz w:val="21"/>
          <w:szCs w:val="21"/>
        </w:rPr>
        <w:t xml:space="preserve">funding </w:t>
      </w:r>
      <w:r w:rsidR="00E35F6E">
        <w:rPr>
          <w:rFonts w:ascii="Cambria" w:hAnsi="Cambria"/>
          <w:sz w:val="21"/>
          <w:szCs w:val="21"/>
        </w:rPr>
        <w:t>– ODA</w:t>
      </w:r>
      <w:r w:rsidR="00F15BA3">
        <w:rPr>
          <w:rFonts w:ascii="Cambria" w:hAnsi="Cambria"/>
          <w:sz w:val="21"/>
          <w:szCs w:val="21"/>
        </w:rPr>
        <w:t>,</w:t>
      </w:r>
      <w:r w:rsidR="00E35F6E">
        <w:rPr>
          <w:rFonts w:ascii="Cambria" w:hAnsi="Cambria"/>
          <w:sz w:val="21"/>
          <w:szCs w:val="21"/>
        </w:rPr>
        <w:t xml:space="preserve"> or preferably not - </w:t>
      </w:r>
      <w:r w:rsidR="00F92359" w:rsidRPr="00CB305F">
        <w:rPr>
          <w:rFonts w:ascii="Cambria" w:hAnsi="Cambria"/>
          <w:sz w:val="21"/>
          <w:szCs w:val="21"/>
        </w:rPr>
        <w:t xml:space="preserve">specifically to </w:t>
      </w:r>
      <w:r w:rsidR="0006503D">
        <w:rPr>
          <w:rFonts w:ascii="Cambria" w:hAnsi="Cambria"/>
          <w:sz w:val="21"/>
          <w:szCs w:val="21"/>
        </w:rPr>
        <w:t>cooperate with</w:t>
      </w:r>
      <w:r w:rsidR="00F92359" w:rsidRPr="00CB305F">
        <w:rPr>
          <w:rFonts w:ascii="Cambria" w:hAnsi="Cambria"/>
          <w:sz w:val="21"/>
          <w:szCs w:val="21"/>
        </w:rPr>
        <w:t xml:space="preserve"> middle</w:t>
      </w:r>
      <w:r w:rsidR="0006503D">
        <w:rPr>
          <w:rFonts w:ascii="Cambria" w:hAnsi="Cambria"/>
          <w:sz w:val="21"/>
          <w:szCs w:val="21"/>
        </w:rPr>
        <w:t>-</w:t>
      </w:r>
      <w:r w:rsidR="00F92359" w:rsidRPr="00CB305F">
        <w:rPr>
          <w:rFonts w:ascii="Cambria" w:hAnsi="Cambria"/>
          <w:sz w:val="21"/>
          <w:szCs w:val="21"/>
        </w:rPr>
        <w:t xml:space="preserve">income countries </w:t>
      </w:r>
      <w:r w:rsidR="0006503D">
        <w:rPr>
          <w:rFonts w:ascii="Cambria" w:hAnsi="Cambria"/>
          <w:sz w:val="21"/>
          <w:szCs w:val="21"/>
        </w:rPr>
        <w:t>on</w:t>
      </w:r>
      <w:r w:rsidR="00F92359" w:rsidRPr="00CB305F">
        <w:rPr>
          <w:rFonts w:ascii="Cambria" w:hAnsi="Cambria"/>
          <w:sz w:val="21"/>
          <w:szCs w:val="21"/>
        </w:rPr>
        <w:t xml:space="preserve"> pressing policy problems. </w:t>
      </w:r>
      <w:r w:rsidR="00140833">
        <w:rPr>
          <w:rFonts w:ascii="Cambria" w:hAnsi="Cambria"/>
          <w:sz w:val="21"/>
          <w:szCs w:val="21"/>
        </w:rPr>
        <w:t xml:space="preserve"> </w:t>
      </w:r>
    </w:p>
    <w:p w14:paraId="1514E51F" w14:textId="77777777" w:rsidR="00140833" w:rsidRDefault="00140833" w:rsidP="00163DB2">
      <w:pPr>
        <w:ind w:right="33"/>
        <w:jc w:val="both"/>
        <w:rPr>
          <w:rFonts w:ascii="Cambria" w:hAnsi="Cambria"/>
          <w:sz w:val="21"/>
          <w:szCs w:val="21"/>
        </w:rPr>
      </w:pPr>
    </w:p>
    <w:p w14:paraId="3A3A3BC7" w14:textId="6256E8AE" w:rsidR="00B72E11" w:rsidRPr="003B66F4" w:rsidRDefault="00F92359" w:rsidP="00163DB2">
      <w:pPr>
        <w:ind w:right="33"/>
        <w:jc w:val="both"/>
        <w:rPr>
          <w:rFonts w:ascii="Cambria" w:hAnsi="Cambria"/>
          <w:b/>
          <w:bCs/>
          <w:sz w:val="21"/>
          <w:szCs w:val="21"/>
        </w:rPr>
      </w:pPr>
      <w:r w:rsidRPr="00CB305F">
        <w:rPr>
          <w:rFonts w:ascii="Cambria" w:hAnsi="Cambria"/>
          <w:sz w:val="21"/>
          <w:szCs w:val="21"/>
        </w:rPr>
        <w:t>The evaluation judges that a 5 year, $50m program would be appropriate</w:t>
      </w:r>
      <w:r w:rsidR="000B46FB" w:rsidRPr="00CB305F">
        <w:rPr>
          <w:rFonts w:ascii="Cambria" w:hAnsi="Cambria"/>
          <w:sz w:val="21"/>
          <w:szCs w:val="21"/>
        </w:rPr>
        <w:t xml:space="preserve"> to give this agenda some serious momentum</w:t>
      </w:r>
      <w:r w:rsidR="009C42F8" w:rsidRPr="00CB305F">
        <w:rPr>
          <w:rFonts w:ascii="Cambria" w:hAnsi="Cambria"/>
          <w:sz w:val="21"/>
          <w:szCs w:val="21"/>
        </w:rPr>
        <w:t xml:space="preserve"> and a critical mass of expertise to advance it</w:t>
      </w:r>
      <w:r w:rsidRPr="00CB305F">
        <w:rPr>
          <w:rFonts w:ascii="Cambria" w:hAnsi="Cambria"/>
          <w:sz w:val="21"/>
          <w:szCs w:val="21"/>
        </w:rPr>
        <w:t xml:space="preserve">. This would be less than a quarter of one percent of Australia’s annual </w:t>
      </w:r>
      <w:r w:rsidR="00E756D6">
        <w:rPr>
          <w:rFonts w:ascii="Cambria" w:hAnsi="Cambria"/>
          <w:sz w:val="21"/>
          <w:szCs w:val="21"/>
        </w:rPr>
        <w:t xml:space="preserve">international </w:t>
      </w:r>
      <w:r w:rsidRPr="00CB305F">
        <w:rPr>
          <w:rFonts w:ascii="Cambria" w:hAnsi="Cambria"/>
          <w:sz w:val="21"/>
          <w:szCs w:val="21"/>
        </w:rPr>
        <w:t>development effort.  Some would argue that this money would be better spent on poorer countries, but if development stalls in Southeast Asian middle</w:t>
      </w:r>
      <w:r w:rsidR="00395A70" w:rsidRPr="00CB305F">
        <w:rPr>
          <w:rFonts w:ascii="Cambria" w:hAnsi="Cambria"/>
          <w:sz w:val="21"/>
          <w:szCs w:val="21"/>
        </w:rPr>
        <w:t>-</w:t>
      </w:r>
      <w:r w:rsidRPr="00CB305F">
        <w:rPr>
          <w:rFonts w:ascii="Cambria" w:hAnsi="Cambria"/>
          <w:sz w:val="21"/>
          <w:szCs w:val="21"/>
        </w:rPr>
        <w:t>income countries, markets will stagnate for poorer countries</w:t>
      </w:r>
      <w:r w:rsidR="000B46FB" w:rsidRPr="00CB305F">
        <w:rPr>
          <w:rFonts w:ascii="Cambria" w:hAnsi="Cambria"/>
          <w:sz w:val="21"/>
          <w:szCs w:val="21"/>
        </w:rPr>
        <w:t xml:space="preserve">, social cohesion </w:t>
      </w:r>
      <w:r w:rsidR="00E756D6">
        <w:rPr>
          <w:rFonts w:ascii="Cambria" w:hAnsi="Cambria"/>
          <w:sz w:val="21"/>
          <w:szCs w:val="21"/>
        </w:rPr>
        <w:t xml:space="preserve">and stability </w:t>
      </w:r>
      <w:r w:rsidR="000B46FB" w:rsidRPr="00CB305F">
        <w:rPr>
          <w:rFonts w:ascii="Cambria" w:hAnsi="Cambria"/>
          <w:sz w:val="21"/>
          <w:szCs w:val="21"/>
        </w:rPr>
        <w:t xml:space="preserve">will be undermined </w:t>
      </w:r>
      <w:r w:rsidRPr="00CB305F">
        <w:rPr>
          <w:rFonts w:ascii="Cambria" w:hAnsi="Cambria"/>
          <w:sz w:val="21"/>
          <w:szCs w:val="21"/>
        </w:rPr>
        <w:t xml:space="preserve">and </w:t>
      </w:r>
      <w:r w:rsidR="00567477" w:rsidRPr="00CB305F">
        <w:rPr>
          <w:rFonts w:ascii="Cambria" w:hAnsi="Cambria"/>
          <w:sz w:val="21"/>
          <w:szCs w:val="21"/>
        </w:rPr>
        <w:t>the globe</w:t>
      </w:r>
      <w:r w:rsidRPr="00CB305F">
        <w:rPr>
          <w:rFonts w:ascii="Cambria" w:hAnsi="Cambria"/>
          <w:sz w:val="21"/>
          <w:szCs w:val="21"/>
        </w:rPr>
        <w:t xml:space="preserve"> will lose confidence in a growth model that has served </w:t>
      </w:r>
      <w:r w:rsidR="00E756D6">
        <w:rPr>
          <w:rFonts w:ascii="Cambria" w:hAnsi="Cambria"/>
          <w:sz w:val="21"/>
          <w:szCs w:val="21"/>
        </w:rPr>
        <w:t xml:space="preserve">it very </w:t>
      </w:r>
      <w:r w:rsidRPr="00CB305F">
        <w:rPr>
          <w:rFonts w:ascii="Cambria" w:hAnsi="Cambria"/>
          <w:sz w:val="21"/>
          <w:szCs w:val="21"/>
        </w:rPr>
        <w:t>well for decades</w:t>
      </w:r>
      <w:r w:rsidR="00F21508" w:rsidRPr="00CB305F">
        <w:rPr>
          <w:rFonts w:ascii="Cambria" w:hAnsi="Cambria"/>
          <w:sz w:val="21"/>
          <w:szCs w:val="21"/>
        </w:rPr>
        <w:t>.</w:t>
      </w:r>
    </w:p>
    <w:p w14:paraId="7DDD5421" w14:textId="791499B5" w:rsidR="003B66F4" w:rsidRDefault="003B66F4" w:rsidP="00163DB2">
      <w:pPr>
        <w:pStyle w:val="Heading2"/>
        <w:ind w:right="33"/>
        <w:jc w:val="both"/>
        <w:rPr>
          <w:b/>
          <w:bCs/>
          <w:sz w:val="28"/>
          <w:szCs w:val="28"/>
        </w:rPr>
      </w:pPr>
    </w:p>
    <w:p w14:paraId="44C19B20" w14:textId="092F7D0F" w:rsidR="000B46FB" w:rsidRDefault="000B46FB" w:rsidP="00163DB2">
      <w:pPr>
        <w:pStyle w:val="Heading2"/>
        <w:ind w:right="33"/>
        <w:jc w:val="both"/>
        <w:rPr>
          <w:b/>
          <w:bCs/>
          <w:sz w:val="28"/>
          <w:szCs w:val="28"/>
        </w:rPr>
      </w:pPr>
      <w:r w:rsidRPr="003577F1">
        <w:rPr>
          <w:b/>
          <w:bCs/>
          <w:sz w:val="28"/>
          <w:szCs w:val="28"/>
        </w:rPr>
        <w:t>Conclusion</w:t>
      </w:r>
    </w:p>
    <w:p w14:paraId="1D8F6276" w14:textId="452ACF53" w:rsidR="00B72E11" w:rsidRDefault="0047432D" w:rsidP="00163DB2">
      <w:pPr>
        <w:spacing w:before="120"/>
        <w:ind w:right="33"/>
        <w:jc w:val="both"/>
        <w:rPr>
          <w:rFonts w:ascii="Cambria" w:hAnsi="Cambria"/>
          <w:sz w:val="21"/>
          <w:szCs w:val="21"/>
        </w:rPr>
      </w:pPr>
      <w:r w:rsidRPr="0047432D">
        <w:rPr>
          <w:rFonts w:ascii="Cambria" w:hAnsi="Cambria"/>
          <w:sz w:val="21"/>
          <w:szCs w:val="21"/>
        </w:rPr>
        <w:t>As a small pilot project, MTRP is hitting its stride</w:t>
      </w:r>
      <w:r>
        <w:rPr>
          <w:rFonts w:ascii="Cambria" w:hAnsi="Cambria"/>
          <w:sz w:val="21"/>
          <w:szCs w:val="21"/>
        </w:rPr>
        <w:t>,</w:t>
      </w:r>
      <w:r w:rsidRPr="0047432D">
        <w:rPr>
          <w:rFonts w:ascii="Cambria" w:hAnsi="Cambria"/>
          <w:sz w:val="21"/>
          <w:szCs w:val="21"/>
        </w:rPr>
        <w:t xml:space="preserve"> helping Malaysia and Thailand progress complex reforms that will help them achieve faster more sustainable growth and escape the middle-income trap.   Given that it is barely 18 months since inception, the program has achieved credible, tangible results in Thai education reform and support for competition policy and in measures to retain skilled women workers in the Malaysian workforce. </w:t>
      </w:r>
    </w:p>
    <w:p w14:paraId="166081B7" w14:textId="0F5D05CD" w:rsidR="0047432D" w:rsidRDefault="0047432D" w:rsidP="00163DB2">
      <w:pPr>
        <w:ind w:right="33"/>
        <w:jc w:val="both"/>
        <w:rPr>
          <w:rFonts w:ascii="Cambria" w:hAnsi="Cambria"/>
          <w:sz w:val="21"/>
          <w:szCs w:val="21"/>
        </w:rPr>
      </w:pPr>
    </w:p>
    <w:p w14:paraId="7EB44569" w14:textId="3B29496E" w:rsidR="0047432D" w:rsidRDefault="0047432D" w:rsidP="00163DB2">
      <w:pPr>
        <w:ind w:right="33"/>
        <w:jc w:val="both"/>
        <w:rPr>
          <w:rFonts w:ascii="Cambria" w:hAnsi="Cambria"/>
          <w:sz w:val="21"/>
          <w:szCs w:val="21"/>
        </w:rPr>
      </w:pPr>
      <w:r>
        <w:rPr>
          <w:rFonts w:ascii="Cambria" w:hAnsi="Cambria"/>
          <w:sz w:val="21"/>
          <w:szCs w:val="21"/>
        </w:rPr>
        <w:t>Progress has been faster in Thailand</w:t>
      </w:r>
      <w:r w:rsidR="00E756D6">
        <w:rPr>
          <w:rFonts w:ascii="Cambria" w:hAnsi="Cambria"/>
          <w:sz w:val="21"/>
          <w:szCs w:val="21"/>
        </w:rPr>
        <w:t>,</w:t>
      </w:r>
      <w:r>
        <w:rPr>
          <w:rFonts w:ascii="Cambria" w:hAnsi="Cambria"/>
          <w:sz w:val="21"/>
          <w:szCs w:val="21"/>
        </w:rPr>
        <w:t xml:space="preserve"> in part because of a longer history of TAF and DFAT working together, prior work </w:t>
      </w:r>
      <w:r w:rsidR="00870E5E">
        <w:rPr>
          <w:rFonts w:ascii="Cambria" w:hAnsi="Cambria"/>
          <w:sz w:val="21"/>
          <w:szCs w:val="21"/>
        </w:rPr>
        <w:t xml:space="preserve">TAF had undertaken </w:t>
      </w:r>
      <w:r>
        <w:rPr>
          <w:rFonts w:ascii="Cambria" w:hAnsi="Cambria"/>
          <w:sz w:val="21"/>
          <w:szCs w:val="21"/>
        </w:rPr>
        <w:t xml:space="preserve">on some of the areas chosen for MTRP initiatives and </w:t>
      </w:r>
      <w:r w:rsidR="00870E5E">
        <w:rPr>
          <w:rFonts w:ascii="Cambria" w:hAnsi="Cambria"/>
          <w:sz w:val="21"/>
          <w:szCs w:val="21"/>
        </w:rPr>
        <w:t xml:space="preserve">exceptional internal expertise and leadership.  It is expected that now TAF Malaysia has more experience of working with DFAT it will be able to make faster progress, especially on the </w:t>
      </w:r>
      <w:r w:rsidR="00B748D0">
        <w:rPr>
          <w:rFonts w:ascii="Cambria" w:hAnsi="Cambria"/>
          <w:sz w:val="21"/>
          <w:szCs w:val="21"/>
        </w:rPr>
        <w:t xml:space="preserve">delayed </w:t>
      </w:r>
      <w:r w:rsidR="00870E5E">
        <w:rPr>
          <w:rFonts w:ascii="Cambria" w:hAnsi="Cambria"/>
          <w:sz w:val="21"/>
          <w:szCs w:val="21"/>
        </w:rPr>
        <w:t xml:space="preserve">TVET initiative. </w:t>
      </w:r>
      <w:r>
        <w:rPr>
          <w:rFonts w:ascii="Cambria" w:hAnsi="Cambria"/>
          <w:sz w:val="21"/>
          <w:szCs w:val="21"/>
        </w:rPr>
        <w:t xml:space="preserve"> </w:t>
      </w:r>
    </w:p>
    <w:p w14:paraId="42CD1D8F" w14:textId="51F3D4AF" w:rsidR="00870E5E" w:rsidRDefault="00870E5E" w:rsidP="00163DB2">
      <w:pPr>
        <w:ind w:right="33"/>
        <w:jc w:val="both"/>
        <w:rPr>
          <w:rFonts w:ascii="Cambria" w:hAnsi="Cambria"/>
          <w:sz w:val="21"/>
          <w:szCs w:val="21"/>
        </w:rPr>
      </w:pPr>
    </w:p>
    <w:p w14:paraId="12332055" w14:textId="63123BC7" w:rsidR="00870E5E" w:rsidRDefault="00870E5E" w:rsidP="00163DB2">
      <w:pPr>
        <w:ind w:right="33"/>
        <w:jc w:val="both"/>
        <w:rPr>
          <w:rFonts w:ascii="Cambria" w:hAnsi="Cambria"/>
          <w:sz w:val="21"/>
          <w:szCs w:val="21"/>
        </w:rPr>
      </w:pPr>
      <w:r>
        <w:rPr>
          <w:rFonts w:ascii="Cambria" w:hAnsi="Cambria"/>
          <w:sz w:val="21"/>
          <w:szCs w:val="21"/>
        </w:rPr>
        <w:t xml:space="preserve">It will only be when the program has run its course and initiatives have ended that </w:t>
      </w:r>
      <w:r w:rsidR="0066705F">
        <w:rPr>
          <w:rFonts w:ascii="Cambria" w:hAnsi="Cambria"/>
          <w:sz w:val="21"/>
          <w:szCs w:val="21"/>
        </w:rPr>
        <w:t xml:space="preserve">its </w:t>
      </w:r>
      <w:r>
        <w:rPr>
          <w:rFonts w:ascii="Cambria" w:hAnsi="Cambria"/>
          <w:sz w:val="21"/>
          <w:szCs w:val="21"/>
        </w:rPr>
        <w:t>impact will be able to be assessed and the contribution it has made to raising Australia’s profile and reputation as a partner.  More proactive measures will help realisation of the latter objective</w:t>
      </w:r>
      <w:r w:rsidR="00751FA4">
        <w:rPr>
          <w:rFonts w:ascii="Cambria" w:hAnsi="Cambria"/>
          <w:sz w:val="21"/>
          <w:szCs w:val="21"/>
        </w:rPr>
        <w:t xml:space="preserve"> and are already visible in both countries.</w:t>
      </w:r>
    </w:p>
    <w:p w14:paraId="4D8C2A1E" w14:textId="77777777" w:rsidR="00E76841" w:rsidRDefault="00E76841" w:rsidP="00163DB2">
      <w:pPr>
        <w:ind w:right="33"/>
        <w:jc w:val="both"/>
        <w:rPr>
          <w:rFonts w:ascii="Cambria" w:hAnsi="Cambria"/>
          <w:sz w:val="21"/>
          <w:szCs w:val="21"/>
        </w:rPr>
      </w:pPr>
    </w:p>
    <w:p w14:paraId="0A126661" w14:textId="7EEE4218" w:rsidR="00870E5E" w:rsidRDefault="00870E5E" w:rsidP="00163DB2">
      <w:pPr>
        <w:ind w:right="33"/>
        <w:jc w:val="both"/>
        <w:rPr>
          <w:rFonts w:ascii="Cambria" w:hAnsi="Cambria"/>
          <w:sz w:val="21"/>
          <w:szCs w:val="21"/>
        </w:rPr>
      </w:pPr>
    </w:p>
    <w:p w14:paraId="383EAEB4" w14:textId="77777777" w:rsidR="00E76841" w:rsidRDefault="00E76841" w:rsidP="00163DB2">
      <w:pPr>
        <w:ind w:right="33"/>
        <w:jc w:val="both"/>
        <w:rPr>
          <w:rFonts w:ascii="Cambria" w:hAnsi="Cambria"/>
          <w:sz w:val="21"/>
          <w:szCs w:val="21"/>
        </w:rPr>
      </w:pPr>
    </w:p>
    <w:p w14:paraId="1CD38722" w14:textId="15389F29" w:rsidR="00870E5E" w:rsidRDefault="00870E5E" w:rsidP="00163DB2">
      <w:pPr>
        <w:ind w:right="33"/>
        <w:jc w:val="both"/>
        <w:rPr>
          <w:rFonts w:ascii="Cambria" w:hAnsi="Cambria"/>
          <w:sz w:val="21"/>
          <w:szCs w:val="21"/>
        </w:rPr>
      </w:pPr>
      <w:r>
        <w:rPr>
          <w:rFonts w:ascii="Cambria" w:hAnsi="Cambria"/>
          <w:sz w:val="21"/>
          <w:szCs w:val="21"/>
        </w:rPr>
        <w:lastRenderedPageBreak/>
        <w:t xml:space="preserve">Some relatively </w:t>
      </w:r>
      <w:r w:rsidR="00C7140A">
        <w:rPr>
          <w:rFonts w:ascii="Cambria" w:hAnsi="Cambria"/>
          <w:sz w:val="21"/>
          <w:szCs w:val="21"/>
        </w:rPr>
        <w:t>modest</w:t>
      </w:r>
      <w:r>
        <w:rPr>
          <w:rFonts w:ascii="Cambria" w:hAnsi="Cambria"/>
          <w:sz w:val="21"/>
          <w:szCs w:val="21"/>
        </w:rPr>
        <w:t xml:space="preserve"> changes to program and performance management will help maximise results</w:t>
      </w:r>
      <w:r w:rsidR="00F15BA3">
        <w:rPr>
          <w:rFonts w:ascii="Cambria" w:hAnsi="Cambria"/>
          <w:sz w:val="21"/>
          <w:szCs w:val="21"/>
        </w:rPr>
        <w:t xml:space="preserve"> by tightening and more effectively using the strategy testing process</w:t>
      </w:r>
      <w:r>
        <w:rPr>
          <w:rFonts w:ascii="Cambria" w:hAnsi="Cambria"/>
          <w:sz w:val="21"/>
          <w:szCs w:val="21"/>
        </w:rPr>
        <w:t>.  So too would an extension of the program time frame and supplementary funding to allow reform initiatives a longer life span.</w:t>
      </w:r>
      <w:r w:rsidR="00D43F9E">
        <w:rPr>
          <w:rFonts w:ascii="Cambria" w:hAnsi="Cambria"/>
          <w:sz w:val="21"/>
          <w:szCs w:val="21"/>
        </w:rPr>
        <w:t xml:space="preserve">  The evolutionary nature of the program requires it to be co-managed, which in turn</w:t>
      </w:r>
      <w:r w:rsidR="000E4824">
        <w:rPr>
          <w:rFonts w:ascii="Cambria" w:hAnsi="Cambria"/>
          <w:sz w:val="21"/>
          <w:szCs w:val="21"/>
        </w:rPr>
        <w:t xml:space="preserve"> </w:t>
      </w:r>
      <w:r w:rsidR="00D43F9E">
        <w:rPr>
          <w:rFonts w:ascii="Cambria" w:hAnsi="Cambria"/>
          <w:sz w:val="21"/>
          <w:szCs w:val="21"/>
        </w:rPr>
        <w:t>involves intense ongoing communication</w:t>
      </w:r>
      <w:r w:rsidR="0006503D">
        <w:rPr>
          <w:rFonts w:ascii="Cambria" w:hAnsi="Cambria"/>
          <w:sz w:val="21"/>
          <w:szCs w:val="21"/>
        </w:rPr>
        <w:t>,</w:t>
      </w:r>
      <w:r w:rsidR="00D43F9E">
        <w:rPr>
          <w:rFonts w:ascii="Cambria" w:hAnsi="Cambria"/>
          <w:sz w:val="21"/>
          <w:szCs w:val="21"/>
        </w:rPr>
        <w:t xml:space="preserve"> </w:t>
      </w:r>
      <w:r w:rsidR="000E4824">
        <w:rPr>
          <w:rFonts w:ascii="Cambria" w:hAnsi="Cambria"/>
          <w:sz w:val="21"/>
          <w:szCs w:val="21"/>
        </w:rPr>
        <w:t>particularly at Post</w:t>
      </w:r>
      <w:r w:rsidR="0006503D">
        <w:rPr>
          <w:rFonts w:ascii="Cambria" w:hAnsi="Cambria"/>
          <w:sz w:val="21"/>
          <w:szCs w:val="21"/>
        </w:rPr>
        <w:t>,</w:t>
      </w:r>
      <w:r w:rsidR="000E4824">
        <w:rPr>
          <w:rFonts w:ascii="Cambria" w:hAnsi="Cambria"/>
          <w:sz w:val="21"/>
          <w:szCs w:val="21"/>
        </w:rPr>
        <w:t xml:space="preserve"> </w:t>
      </w:r>
      <w:r w:rsidR="00D43F9E">
        <w:rPr>
          <w:rFonts w:ascii="Cambria" w:hAnsi="Cambria"/>
          <w:sz w:val="21"/>
          <w:szCs w:val="21"/>
        </w:rPr>
        <w:t>to ensure everyone is in the same place.  Partners have become more familiar with what is needed</w:t>
      </w:r>
      <w:r w:rsidR="004D4848">
        <w:rPr>
          <w:rFonts w:ascii="Cambria" w:hAnsi="Cambria"/>
          <w:sz w:val="21"/>
          <w:szCs w:val="21"/>
        </w:rPr>
        <w:t>,</w:t>
      </w:r>
      <w:r w:rsidR="00D43F9E">
        <w:rPr>
          <w:rFonts w:ascii="Cambria" w:hAnsi="Cambria"/>
          <w:sz w:val="21"/>
          <w:szCs w:val="21"/>
        </w:rPr>
        <w:t xml:space="preserve"> but must continue to focus on this and ensure it is adequately resourced.</w:t>
      </w:r>
    </w:p>
    <w:p w14:paraId="727FCB11" w14:textId="2B9E4F20" w:rsidR="00751FA4" w:rsidRDefault="00751FA4" w:rsidP="00163DB2">
      <w:pPr>
        <w:ind w:right="33"/>
        <w:jc w:val="both"/>
        <w:rPr>
          <w:rFonts w:ascii="Cambria" w:hAnsi="Cambria"/>
          <w:sz w:val="21"/>
          <w:szCs w:val="21"/>
        </w:rPr>
      </w:pPr>
    </w:p>
    <w:p w14:paraId="6A1099F2" w14:textId="1F7580EF" w:rsidR="00B72E11" w:rsidRPr="0066705F" w:rsidRDefault="00751FA4" w:rsidP="0066705F">
      <w:pPr>
        <w:ind w:right="33"/>
        <w:jc w:val="both"/>
        <w:rPr>
          <w:rFonts w:ascii="Cambria" w:hAnsi="Cambria"/>
          <w:sz w:val="21"/>
          <w:szCs w:val="21"/>
        </w:rPr>
      </w:pPr>
      <w:r>
        <w:rPr>
          <w:rFonts w:ascii="Cambria" w:hAnsi="Cambria"/>
          <w:sz w:val="21"/>
          <w:szCs w:val="21"/>
        </w:rPr>
        <w:t xml:space="preserve">The bigger question of what exactly Australia should be doing – in its own interests as much as those of neighbouring countries - to promote development in the growing number of AIMC countries in East Asia remains to be tackled.  The evaluation recommends that DFAT should continue to encourage a bigger focus on this question and should build the evidence base for more intensive engagement and how it might be funded.  Additional work to clarify the most-valued and productive forms of cooperation would be helpful, including surveying ‘who is doing what’ as part of assessing </w:t>
      </w:r>
      <w:r w:rsidR="00A352F1">
        <w:rPr>
          <w:rFonts w:ascii="Cambria" w:hAnsi="Cambria"/>
          <w:sz w:val="21"/>
          <w:szCs w:val="21"/>
        </w:rPr>
        <w:t xml:space="preserve">future </w:t>
      </w:r>
      <w:r>
        <w:rPr>
          <w:rFonts w:ascii="Cambria" w:hAnsi="Cambria"/>
          <w:sz w:val="21"/>
          <w:szCs w:val="21"/>
        </w:rPr>
        <w:t>options.</w:t>
      </w:r>
    </w:p>
    <w:p w14:paraId="24F4EDDB" w14:textId="79E015AE" w:rsidR="00BC2A8D" w:rsidRDefault="00BC2A8D">
      <w:pPr>
        <w:rPr>
          <w:rFonts w:ascii="Cambria" w:hAnsi="Cambria"/>
          <w:b/>
          <w:bCs/>
        </w:rPr>
      </w:pPr>
    </w:p>
    <w:p w14:paraId="2E1BB6F5" w14:textId="77777777" w:rsidR="00BC2A8D" w:rsidRDefault="00BC2A8D" w:rsidP="002527D5">
      <w:pPr>
        <w:rPr>
          <w:rFonts w:ascii="Cambria" w:hAnsi="Cambria"/>
          <w:b/>
          <w:bCs/>
        </w:rPr>
      </w:pPr>
    </w:p>
    <w:p w14:paraId="603A0F1D" w14:textId="77777777" w:rsidR="00CB370C" w:rsidRDefault="00CB370C">
      <w:pPr>
        <w:rPr>
          <w:rFonts w:ascii="Cambria" w:hAnsi="Cambria"/>
          <w:b/>
          <w:bCs/>
        </w:rPr>
      </w:pPr>
      <w:r>
        <w:rPr>
          <w:rFonts w:ascii="Cambria" w:hAnsi="Cambria"/>
          <w:b/>
          <w:bCs/>
        </w:rPr>
        <w:br w:type="page"/>
      </w:r>
    </w:p>
    <w:p w14:paraId="3179362D" w14:textId="759B41D9" w:rsidR="007A7975" w:rsidRPr="007A3FE0" w:rsidRDefault="007A3FE0" w:rsidP="002527D5">
      <w:pPr>
        <w:rPr>
          <w:rFonts w:ascii="Cambria" w:hAnsi="Cambria"/>
          <w:b/>
          <w:bCs/>
        </w:rPr>
      </w:pPr>
      <w:r w:rsidRPr="007A3FE0">
        <w:rPr>
          <w:rFonts w:ascii="Cambria" w:hAnsi="Cambria"/>
          <w:b/>
          <w:bCs/>
        </w:rPr>
        <w:lastRenderedPageBreak/>
        <w:t>End notes</w:t>
      </w:r>
    </w:p>
    <w:sectPr w:rsidR="007A7975" w:rsidRPr="007A3FE0" w:rsidSect="00163DB2">
      <w:headerReference w:type="default" r:id="rId24"/>
      <w:endnotePr>
        <w:numFmt w:val="decimal"/>
      </w:endnotePr>
      <w:pgSz w:w="11906" w:h="16838"/>
      <w:pgMar w:top="1344" w:right="794" w:bottom="1043"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CDE1B" w14:textId="77777777" w:rsidR="004F29E7" w:rsidRDefault="004F29E7" w:rsidP="008B768A">
      <w:r>
        <w:separator/>
      </w:r>
    </w:p>
  </w:endnote>
  <w:endnote w:type="continuationSeparator" w:id="0">
    <w:p w14:paraId="118E2FF2" w14:textId="77777777" w:rsidR="004F29E7" w:rsidRDefault="004F29E7" w:rsidP="008B768A">
      <w:r>
        <w:continuationSeparator/>
      </w:r>
    </w:p>
  </w:endnote>
  <w:endnote w:id="1">
    <w:p w14:paraId="468EBC15" w14:textId="2130D4D7" w:rsidR="00D70AC6" w:rsidRPr="00C7140A" w:rsidRDefault="00D70AC6" w:rsidP="00C7140A">
      <w:pPr>
        <w:pStyle w:val="EndnoteText"/>
        <w:spacing w:before="120"/>
        <w:jc w:val="both"/>
      </w:pPr>
      <w:r w:rsidRPr="00C7140A">
        <w:rPr>
          <w:rStyle w:val="EndnoteReference"/>
        </w:rPr>
        <w:endnoteRef/>
      </w:r>
      <w:r w:rsidRPr="00C7140A">
        <w:t xml:space="preserve"> The ‘thinking and working politically’ approach has been evolving for more than a decade and has been significantly influenced by Australia’s Governance for Growth Program in Vanuatu.  The approach is based on critiques of large conventional aid programs that typically adopt highly engineered</w:t>
      </w:r>
      <w:r w:rsidR="0006503D">
        <w:t>,</w:t>
      </w:r>
      <w:r w:rsidRPr="00C7140A">
        <w:t xml:space="preserve"> technical approaches, that seek to define problems and solutions at the outset and contract for predefined deliverables.  Such ‘projects’ often work well for infrastructure delivery</w:t>
      </w:r>
      <w:r w:rsidR="0006503D">
        <w:t>,</w:t>
      </w:r>
      <w:r w:rsidRPr="00C7140A">
        <w:t xml:space="preserve"> but less well for policy-based programs that must take account of how local actors and institutions perceive and pursue their interests.  The approach not only involves recognising those interests but focussing on how to alter or realign at least some of them with the public interest.  A global</w:t>
      </w:r>
      <w:r w:rsidR="0006503D">
        <w:t>,</w:t>
      </w:r>
      <w:r w:rsidRPr="00C7140A">
        <w:t xml:space="preserve"> Thinking and Working Politically Community of Practice was formed in 2013 that articulated three core principles of the approach:  1) Strong political analysis insight and understanding; 2) Detailed appreciation of and response to the national and local context; and 3) Flexibility and adaptability in program design and implementation.  </w:t>
      </w:r>
    </w:p>
  </w:endnote>
  <w:endnote w:id="2">
    <w:p w14:paraId="1B02BB49" w14:textId="23009039" w:rsidR="00D70AC6" w:rsidRPr="00C7140A" w:rsidRDefault="00D70AC6" w:rsidP="00C7140A">
      <w:pPr>
        <w:spacing w:before="120"/>
        <w:rPr>
          <w:rFonts w:eastAsia="Times New Roman" w:cs="Times New Roman"/>
          <w:sz w:val="20"/>
          <w:szCs w:val="20"/>
          <w:lang w:eastAsia="en-GB"/>
        </w:rPr>
      </w:pPr>
      <w:r w:rsidRPr="00C7140A">
        <w:rPr>
          <w:rStyle w:val="EndnoteReference"/>
          <w:sz w:val="20"/>
          <w:szCs w:val="20"/>
        </w:rPr>
        <w:endnoteRef/>
      </w:r>
      <w:r w:rsidRPr="00C7140A">
        <w:rPr>
          <w:sz w:val="20"/>
          <w:szCs w:val="20"/>
        </w:rPr>
        <w:t xml:space="preserve"> </w:t>
      </w:r>
      <w:r w:rsidRPr="00C7140A">
        <w:rPr>
          <w:rFonts w:eastAsia="Times New Roman" w:cs="Arial"/>
          <w:i/>
          <w:iCs/>
          <w:color w:val="333333"/>
          <w:sz w:val="20"/>
          <w:szCs w:val="20"/>
          <w:lang w:eastAsia="en-GB"/>
        </w:rPr>
        <w:t>The middle-income trap turns ten (English). </w:t>
      </w:r>
      <w:r w:rsidRPr="00C7140A">
        <w:rPr>
          <w:rFonts w:eastAsia="Times New Roman" w:cs="Arial"/>
          <w:color w:val="333333"/>
          <w:sz w:val="20"/>
          <w:szCs w:val="20"/>
          <w:shd w:val="clear" w:color="auto" w:fill="FFFFFF"/>
          <w:lang w:eastAsia="en-GB"/>
        </w:rPr>
        <w:t>Policy Research working paper; no. WPS 7403 Washington, D.C. : World Bank Group. http://documents.worldbank.org/curated/en/291521468179640202/The-middle-income-trap-turns-ten</w:t>
      </w:r>
    </w:p>
  </w:endnote>
  <w:endnote w:id="3">
    <w:p w14:paraId="3BF9E637" w14:textId="5FC12B05" w:rsidR="00D70AC6" w:rsidRPr="00C7140A" w:rsidRDefault="00D70AC6" w:rsidP="00C7140A">
      <w:pPr>
        <w:pStyle w:val="EndnoteText"/>
        <w:spacing w:before="120"/>
        <w:rPr>
          <w:color w:val="000000" w:themeColor="text1"/>
        </w:rPr>
      </w:pPr>
      <w:r w:rsidRPr="00C7140A">
        <w:rPr>
          <w:rStyle w:val="EndnoteReference"/>
          <w:color w:val="000000" w:themeColor="text1"/>
        </w:rPr>
        <w:endnoteRef/>
      </w:r>
      <w:r w:rsidRPr="00C7140A">
        <w:rPr>
          <w:color w:val="000000" w:themeColor="text1"/>
        </w:rPr>
        <w:t xml:space="preserve"> https://www.dfat.gov.au/geo/thailand/Pages/thailand-country-brief</w:t>
      </w:r>
    </w:p>
  </w:endnote>
  <w:endnote w:id="4">
    <w:p w14:paraId="2BAB93B5" w14:textId="34C9ADB8" w:rsidR="00D70AC6" w:rsidRPr="00C7140A" w:rsidRDefault="00D70AC6" w:rsidP="00C7140A">
      <w:pPr>
        <w:pStyle w:val="EndnoteText"/>
        <w:spacing w:before="120"/>
        <w:rPr>
          <w:color w:val="000000" w:themeColor="text1"/>
        </w:rPr>
      </w:pPr>
      <w:r w:rsidRPr="00C7140A">
        <w:rPr>
          <w:rStyle w:val="EndnoteReference"/>
          <w:color w:val="000000" w:themeColor="text1"/>
        </w:rPr>
        <w:endnoteRef/>
      </w:r>
      <w:r w:rsidRPr="00C7140A">
        <w:rPr>
          <w:color w:val="000000" w:themeColor="text1"/>
        </w:rPr>
        <w:t xml:space="preserve"> https://odi.org/en/publications/exit-from-aid-an-analysis-of-donor-experiences/</w:t>
      </w:r>
    </w:p>
  </w:endnote>
  <w:endnote w:id="5">
    <w:p w14:paraId="1A841699" w14:textId="44718CF0" w:rsidR="00D70AC6" w:rsidRPr="00C7140A" w:rsidRDefault="00D70AC6" w:rsidP="00C7140A">
      <w:pPr>
        <w:spacing w:before="120"/>
        <w:rPr>
          <w:color w:val="000000" w:themeColor="text1"/>
          <w:sz w:val="20"/>
          <w:szCs w:val="20"/>
        </w:rPr>
      </w:pPr>
      <w:r w:rsidRPr="00C7140A">
        <w:rPr>
          <w:rStyle w:val="EndnoteReference"/>
          <w:color w:val="000000" w:themeColor="text1"/>
          <w:sz w:val="20"/>
          <w:szCs w:val="20"/>
        </w:rPr>
        <w:endnoteRef/>
      </w:r>
      <w:r w:rsidRPr="00C7140A">
        <w:rPr>
          <w:color w:val="000000" w:themeColor="text1"/>
          <w:sz w:val="20"/>
          <w:szCs w:val="20"/>
        </w:rPr>
        <w:t xml:space="preserve"> Under the DFAT-TAF partnership two major pieces of work on AIMCs have been produced.  Neither paper has been published </w:t>
      </w:r>
    </w:p>
    <w:p w14:paraId="04D92616" w14:textId="77843718" w:rsidR="00D70AC6" w:rsidRPr="00C7140A" w:rsidRDefault="00D70AC6" w:rsidP="007E5615">
      <w:pPr>
        <w:spacing w:before="120"/>
        <w:ind w:left="284"/>
        <w:rPr>
          <w:rFonts w:eastAsia="Times New Roman" w:cs="Times New Roman"/>
          <w:color w:val="000000" w:themeColor="text1"/>
          <w:sz w:val="20"/>
          <w:szCs w:val="20"/>
          <w:bdr w:val="none" w:sz="0" w:space="0" w:color="auto" w:frame="1"/>
          <w:lang w:eastAsia="en-GB"/>
        </w:rPr>
      </w:pPr>
      <w:r w:rsidRPr="00C7140A">
        <w:rPr>
          <w:color w:val="000000" w:themeColor="text1"/>
          <w:sz w:val="20"/>
          <w:szCs w:val="20"/>
        </w:rPr>
        <w:t xml:space="preserve">1) </w:t>
      </w:r>
      <w:r w:rsidRPr="00C7140A">
        <w:rPr>
          <w:rFonts w:eastAsia="Times New Roman" w:cs="Times New Roman"/>
          <w:color w:val="000000" w:themeColor="text1"/>
          <w:sz w:val="20"/>
          <w:szCs w:val="20"/>
          <w:shd w:val="clear" w:color="auto" w:fill="FFFFFF"/>
          <w:lang w:eastAsia="en-GB"/>
        </w:rPr>
        <w:t>Cole, W. (2017) </w:t>
      </w:r>
      <w:r w:rsidRPr="0006503D">
        <w:rPr>
          <w:rFonts w:eastAsia="Times New Roman" w:cs="Times New Roman"/>
          <w:i/>
          <w:iCs/>
          <w:color w:val="000000" w:themeColor="text1"/>
          <w:sz w:val="20"/>
          <w:szCs w:val="20"/>
          <w:bdr w:val="none" w:sz="0" w:space="0" w:color="auto" w:frame="1"/>
          <w:lang w:eastAsia="en-GB"/>
        </w:rPr>
        <w:t>Advanced</w:t>
      </w:r>
      <w:r w:rsidRPr="0006503D">
        <w:rPr>
          <w:rFonts w:eastAsia="Times New Roman" w:cs="Times New Roman"/>
          <w:i/>
          <w:iCs/>
          <w:color w:val="000000" w:themeColor="text1"/>
          <w:sz w:val="20"/>
          <w:szCs w:val="20"/>
          <w:shd w:val="clear" w:color="auto" w:fill="FFFFFF"/>
          <w:lang w:eastAsia="en-GB"/>
        </w:rPr>
        <w:t> </w:t>
      </w:r>
      <w:r w:rsidRPr="0006503D">
        <w:rPr>
          <w:rFonts w:eastAsia="Times New Roman" w:cs="Times New Roman"/>
          <w:i/>
          <w:iCs/>
          <w:color w:val="000000" w:themeColor="text1"/>
          <w:sz w:val="20"/>
          <w:szCs w:val="20"/>
          <w:bdr w:val="none" w:sz="0" w:space="0" w:color="auto" w:frame="1"/>
          <w:lang w:eastAsia="en-GB"/>
        </w:rPr>
        <w:t>middle-income</w:t>
      </w:r>
      <w:r w:rsidRPr="0006503D">
        <w:rPr>
          <w:rFonts w:eastAsia="Times New Roman" w:cs="Times New Roman"/>
          <w:i/>
          <w:iCs/>
          <w:color w:val="000000" w:themeColor="text1"/>
          <w:sz w:val="20"/>
          <w:szCs w:val="20"/>
          <w:shd w:val="clear" w:color="auto" w:fill="FFFFFF"/>
          <w:lang w:eastAsia="en-GB"/>
        </w:rPr>
        <w:t> </w:t>
      </w:r>
      <w:r w:rsidRPr="0006503D">
        <w:rPr>
          <w:rFonts w:eastAsia="Times New Roman" w:cs="Times New Roman"/>
          <w:i/>
          <w:iCs/>
          <w:color w:val="000000" w:themeColor="text1"/>
          <w:sz w:val="20"/>
          <w:szCs w:val="20"/>
          <w:bdr w:val="none" w:sz="0" w:space="0" w:color="auto" w:frame="1"/>
          <w:lang w:eastAsia="en-GB"/>
        </w:rPr>
        <w:t>countries</w:t>
      </w:r>
      <w:r w:rsidRPr="0006503D">
        <w:rPr>
          <w:rFonts w:eastAsia="Times New Roman" w:cs="Times New Roman"/>
          <w:i/>
          <w:iCs/>
          <w:color w:val="000000" w:themeColor="text1"/>
          <w:sz w:val="20"/>
          <w:szCs w:val="20"/>
          <w:shd w:val="clear" w:color="auto" w:fill="FFFFFF"/>
          <w:lang w:eastAsia="en-GB"/>
        </w:rPr>
        <w:t> </w:t>
      </w:r>
      <w:r w:rsidRPr="0006503D">
        <w:rPr>
          <w:rFonts w:eastAsia="Times New Roman" w:cs="Times New Roman"/>
          <w:i/>
          <w:iCs/>
          <w:color w:val="000000" w:themeColor="text1"/>
          <w:sz w:val="20"/>
          <w:szCs w:val="20"/>
          <w:bdr w:val="none" w:sz="0" w:space="0" w:color="auto" w:frame="1"/>
          <w:lang w:eastAsia="en-GB"/>
        </w:rPr>
        <w:t>in</w:t>
      </w:r>
      <w:r w:rsidRPr="0006503D">
        <w:rPr>
          <w:rFonts w:eastAsia="Times New Roman" w:cs="Times New Roman"/>
          <w:i/>
          <w:iCs/>
          <w:color w:val="000000" w:themeColor="text1"/>
          <w:sz w:val="20"/>
          <w:szCs w:val="20"/>
          <w:shd w:val="clear" w:color="auto" w:fill="FFFFFF"/>
          <w:lang w:eastAsia="en-GB"/>
        </w:rPr>
        <w:t> </w:t>
      </w:r>
      <w:r w:rsidRPr="0006503D">
        <w:rPr>
          <w:rFonts w:eastAsia="Times New Roman" w:cs="Times New Roman"/>
          <w:i/>
          <w:iCs/>
          <w:color w:val="000000" w:themeColor="text1"/>
          <w:sz w:val="20"/>
          <w:szCs w:val="20"/>
          <w:bdr w:val="none" w:sz="0" w:space="0" w:color="auto" w:frame="1"/>
          <w:lang w:eastAsia="en-GB"/>
        </w:rPr>
        <w:t>Asia</w:t>
      </w:r>
      <w:r w:rsidRPr="0006503D">
        <w:rPr>
          <w:rFonts w:eastAsia="Times New Roman" w:cs="Times New Roman"/>
          <w:i/>
          <w:iCs/>
          <w:color w:val="000000" w:themeColor="text1"/>
          <w:sz w:val="20"/>
          <w:szCs w:val="20"/>
          <w:shd w:val="clear" w:color="auto" w:fill="FFFFFF"/>
          <w:lang w:eastAsia="en-GB"/>
        </w:rPr>
        <w:t>: </w:t>
      </w:r>
      <w:r w:rsidRPr="0006503D">
        <w:rPr>
          <w:rFonts w:eastAsia="Times New Roman" w:cs="Times New Roman"/>
          <w:i/>
          <w:iCs/>
          <w:color w:val="000000" w:themeColor="text1"/>
          <w:sz w:val="20"/>
          <w:szCs w:val="20"/>
          <w:bdr w:val="none" w:sz="0" w:space="0" w:color="auto" w:frame="1"/>
          <w:lang w:eastAsia="en-GB"/>
        </w:rPr>
        <w:t>challenges</w:t>
      </w:r>
      <w:r w:rsidRPr="0006503D">
        <w:rPr>
          <w:rFonts w:eastAsia="Times New Roman" w:cs="Times New Roman"/>
          <w:i/>
          <w:iCs/>
          <w:color w:val="000000" w:themeColor="text1"/>
          <w:sz w:val="20"/>
          <w:szCs w:val="20"/>
          <w:shd w:val="clear" w:color="auto" w:fill="FFFFFF"/>
          <w:lang w:eastAsia="en-GB"/>
        </w:rPr>
        <w:t> </w:t>
      </w:r>
      <w:r w:rsidRPr="0006503D">
        <w:rPr>
          <w:rFonts w:eastAsia="Times New Roman" w:cs="Times New Roman"/>
          <w:i/>
          <w:iCs/>
          <w:color w:val="000000" w:themeColor="text1"/>
          <w:sz w:val="20"/>
          <w:szCs w:val="20"/>
          <w:bdr w:val="none" w:sz="0" w:space="0" w:color="auto" w:frame="1"/>
          <w:lang w:eastAsia="en-GB"/>
        </w:rPr>
        <w:t>and opportunities</w:t>
      </w:r>
      <w:r w:rsidRPr="0006503D">
        <w:rPr>
          <w:rFonts w:eastAsia="Times New Roman" w:cs="Times New Roman"/>
          <w:i/>
          <w:iCs/>
          <w:color w:val="000000" w:themeColor="text1"/>
          <w:sz w:val="20"/>
          <w:szCs w:val="20"/>
          <w:shd w:val="clear" w:color="auto" w:fill="FFFFFF"/>
          <w:lang w:eastAsia="en-GB"/>
        </w:rPr>
        <w:t> </w:t>
      </w:r>
      <w:r w:rsidRPr="0006503D">
        <w:rPr>
          <w:rFonts w:eastAsia="Times New Roman" w:cs="Times New Roman"/>
          <w:i/>
          <w:iCs/>
          <w:color w:val="000000" w:themeColor="text1"/>
          <w:sz w:val="20"/>
          <w:szCs w:val="20"/>
          <w:bdr w:val="none" w:sz="0" w:space="0" w:color="auto" w:frame="1"/>
          <w:lang w:eastAsia="en-GB"/>
        </w:rPr>
        <w:t>ahead</w:t>
      </w:r>
      <w:r w:rsidR="007E5615" w:rsidRPr="007E5615">
        <w:rPr>
          <w:rFonts w:eastAsia="Times New Roman" w:cs="Times New Roman"/>
          <w:color w:val="000000" w:themeColor="text1"/>
          <w:sz w:val="20"/>
          <w:szCs w:val="20"/>
          <w:bdr w:val="none" w:sz="0" w:space="0" w:color="auto" w:frame="1"/>
          <w:lang w:eastAsia="en-GB"/>
        </w:rPr>
        <w:t>,</w:t>
      </w:r>
      <w:r w:rsidR="0006503D" w:rsidRPr="007E5615">
        <w:rPr>
          <w:rFonts w:eastAsia="Times New Roman" w:cs="Times New Roman"/>
          <w:color w:val="000000" w:themeColor="text1"/>
          <w:sz w:val="20"/>
          <w:szCs w:val="20"/>
          <w:bdr w:val="none" w:sz="0" w:space="0" w:color="auto" w:frame="1"/>
          <w:lang w:eastAsia="en-GB"/>
        </w:rPr>
        <w:t xml:space="preserve"> </w:t>
      </w:r>
      <w:r w:rsidR="007E5615" w:rsidRPr="007E5615">
        <w:rPr>
          <w:rFonts w:eastAsia="Times New Roman" w:cs="Times New Roman"/>
          <w:color w:val="000000" w:themeColor="text1"/>
          <w:sz w:val="20"/>
          <w:szCs w:val="20"/>
          <w:bdr w:val="none" w:sz="0" w:space="0" w:color="auto" w:frame="1"/>
          <w:lang w:eastAsia="en-GB"/>
        </w:rPr>
        <w:t xml:space="preserve">The Asia Foundation/DFAT Partnership; </w:t>
      </w:r>
      <w:r w:rsidRPr="00C7140A">
        <w:rPr>
          <w:rFonts w:eastAsia="Times New Roman" w:cs="Times New Roman"/>
          <w:color w:val="000000" w:themeColor="text1"/>
          <w:sz w:val="20"/>
          <w:szCs w:val="20"/>
          <w:bdr w:val="none" w:sz="0" w:space="0" w:color="auto" w:frame="1"/>
          <w:lang w:eastAsia="en-GB"/>
        </w:rPr>
        <w:t xml:space="preserve">and </w:t>
      </w:r>
    </w:p>
    <w:p w14:paraId="462D41B8" w14:textId="719BD132" w:rsidR="00D70AC6" w:rsidRPr="00C7140A" w:rsidRDefault="00D70AC6" w:rsidP="007E5615">
      <w:pPr>
        <w:spacing w:before="120"/>
        <w:ind w:left="284"/>
        <w:rPr>
          <w:color w:val="000000" w:themeColor="text1"/>
          <w:sz w:val="20"/>
          <w:szCs w:val="20"/>
        </w:rPr>
      </w:pPr>
      <w:r w:rsidRPr="00C7140A">
        <w:rPr>
          <w:rFonts w:eastAsia="Times New Roman" w:cs="Times New Roman"/>
          <w:color w:val="000000" w:themeColor="text1"/>
          <w:sz w:val="20"/>
          <w:szCs w:val="20"/>
          <w:bdr w:val="none" w:sz="0" w:space="0" w:color="auto" w:frame="1"/>
          <w:lang w:eastAsia="en-GB"/>
        </w:rPr>
        <w:t xml:space="preserve">2) Akmeemana, S. and Cole W. (2019) </w:t>
      </w:r>
      <w:r w:rsidRPr="007E5615">
        <w:rPr>
          <w:rFonts w:eastAsia="Times New Roman" w:cs="Times New Roman"/>
          <w:i/>
          <w:iCs/>
          <w:color w:val="000000" w:themeColor="text1"/>
          <w:sz w:val="20"/>
          <w:szCs w:val="20"/>
          <w:bdr w:val="none" w:sz="0" w:space="0" w:color="auto" w:frame="1"/>
          <w:lang w:eastAsia="en-GB"/>
        </w:rPr>
        <w:t xml:space="preserve">Transitioning from Aid to </w:t>
      </w:r>
      <w:r w:rsidR="00EE7173" w:rsidRPr="007E5615">
        <w:rPr>
          <w:rFonts w:eastAsia="Times New Roman" w:cs="Times New Roman"/>
          <w:i/>
          <w:iCs/>
          <w:color w:val="000000" w:themeColor="text1"/>
          <w:sz w:val="20"/>
          <w:szCs w:val="20"/>
          <w:bdr w:val="none" w:sz="0" w:space="0" w:color="auto" w:frame="1"/>
          <w:lang w:eastAsia="en-GB"/>
        </w:rPr>
        <w:t>P</w:t>
      </w:r>
      <w:r w:rsidRPr="007E5615">
        <w:rPr>
          <w:rFonts w:eastAsia="Times New Roman" w:cs="Times New Roman"/>
          <w:i/>
          <w:iCs/>
          <w:color w:val="000000" w:themeColor="text1"/>
          <w:sz w:val="20"/>
          <w:szCs w:val="20"/>
          <w:bdr w:val="none" w:sz="0" w:space="0" w:color="auto" w:frame="1"/>
          <w:lang w:eastAsia="en-GB"/>
        </w:rPr>
        <w:t>artnership in AMICs</w:t>
      </w:r>
      <w:r w:rsidR="007E5615">
        <w:rPr>
          <w:rFonts w:eastAsia="Times New Roman" w:cs="Times New Roman"/>
          <w:color w:val="000000" w:themeColor="text1"/>
          <w:sz w:val="20"/>
          <w:szCs w:val="20"/>
          <w:bdr w:val="none" w:sz="0" w:space="0" w:color="auto" w:frame="1"/>
          <w:lang w:eastAsia="en-GB"/>
        </w:rPr>
        <w:t xml:space="preserve">, </w:t>
      </w:r>
      <w:r w:rsidR="007E5615" w:rsidRPr="007E5615">
        <w:rPr>
          <w:rFonts w:eastAsia="Times New Roman" w:cs="Times New Roman"/>
          <w:color w:val="000000" w:themeColor="text1"/>
          <w:sz w:val="20"/>
          <w:szCs w:val="20"/>
          <w:bdr w:val="none" w:sz="0" w:space="0" w:color="auto" w:frame="1"/>
          <w:lang w:eastAsia="en-GB"/>
        </w:rPr>
        <w:t>The Asia Foundation/DFAT Partnership;</w:t>
      </w:r>
    </w:p>
  </w:endnote>
  <w:endnote w:id="6">
    <w:p w14:paraId="642F621F" w14:textId="1CFFD649" w:rsidR="00D70AC6" w:rsidRPr="00C7140A" w:rsidRDefault="00D70AC6" w:rsidP="007B5C0D">
      <w:pPr>
        <w:pStyle w:val="EndnoteText"/>
        <w:spacing w:before="120"/>
      </w:pPr>
      <w:r w:rsidRPr="00C7140A">
        <w:rPr>
          <w:rStyle w:val="EndnoteReference"/>
        </w:rPr>
        <w:endnoteRef/>
      </w:r>
      <w:r w:rsidRPr="00C7140A">
        <w:t xml:space="preserve"> </w:t>
      </w:r>
      <w:r w:rsidR="007E5615">
        <w:t xml:space="preserve">Ladner, D. (2015) </w:t>
      </w:r>
      <w:r w:rsidRPr="00C7140A">
        <w:rPr>
          <w:i/>
          <w:iCs/>
        </w:rPr>
        <w:t>Strategy Testing: An Innovative Approach to Monitoring Highly Flexible Aid</w:t>
      </w:r>
      <w:r w:rsidRPr="00C7140A">
        <w:t xml:space="preserve"> Programs</w:t>
      </w:r>
      <w:r w:rsidR="007E5615">
        <w:t xml:space="preserve">, </w:t>
      </w:r>
      <w:r w:rsidRPr="00C7140A">
        <w:t>The Asia Foundation</w:t>
      </w:r>
    </w:p>
  </w:endnote>
  <w:endnote w:id="7">
    <w:p w14:paraId="694A3D9E" w14:textId="53FC4266" w:rsidR="00D70AC6" w:rsidRPr="007E5615" w:rsidRDefault="00D70AC6" w:rsidP="00C7140A">
      <w:pPr>
        <w:pStyle w:val="EndnoteText"/>
        <w:spacing w:before="120"/>
      </w:pPr>
      <w:r w:rsidRPr="00C7140A">
        <w:rPr>
          <w:rStyle w:val="EndnoteReference"/>
        </w:rPr>
        <w:endnoteRef/>
      </w:r>
      <w:r w:rsidRPr="00C7140A">
        <w:t xml:space="preserve"> </w:t>
      </w:r>
      <w:r w:rsidR="007E5615">
        <w:t xml:space="preserve">Lao, R. (2021) </w:t>
      </w:r>
      <w:r w:rsidRPr="00C7140A">
        <w:rPr>
          <w:i/>
          <w:iCs/>
        </w:rPr>
        <w:t>The challenges in delivering quality education in Thailand: Rules, Resources and Leadership</w:t>
      </w:r>
      <w:r w:rsidR="007E5615">
        <w:rPr>
          <w:i/>
          <w:iCs/>
        </w:rPr>
        <w:t xml:space="preserve">.  </w:t>
      </w:r>
      <w:r w:rsidRPr="007E5615">
        <w:t>The Asia Foundation laohttps://drive.google.com/file/d/1An427KB5Hd_Ie2EQnk3zt-rkP4dTpz1e/view</w:t>
      </w:r>
    </w:p>
  </w:endnote>
  <w:endnote w:id="8">
    <w:p w14:paraId="552CEFBB" w14:textId="7F07A6A2" w:rsidR="00D70AC6" w:rsidRPr="00C7140A" w:rsidRDefault="00D70AC6" w:rsidP="00C7140A">
      <w:pPr>
        <w:spacing w:before="120"/>
        <w:rPr>
          <w:color w:val="000000" w:themeColor="text1"/>
          <w:sz w:val="20"/>
          <w:szCs w:val="20"/>
        </w:rPr>
      </w:pPr>
      <w:r w:rsidRPr="00C7140A">
        <w:rPr>
          <w:rStyle w:val="EndnoteReference"/>
          <w:sz w:val="20"/>
          <w:szCs w:val="20"/>
        </w:rPr>
        <w:endnoteRef/>
      </w:r>
      <w:r w:rsidRPr="00C7140A">
        <w:rPr>
          <w:sz w:val="20"/>
          <w:szCs w:val="20"/>
        </w:rPr>
        <w:t xml:space="preserve"> </w:t>
      </w:r>
      <w:r w:rsidRPr="007E5615">
        <w:rPr>
          <w:i/>
          <w:iCs/>
          <w:sz w:val="20"/>
          <w:szCs w:val="20"/>
        </w:rPr>
        <w:t>The Office of Basic Education Board admitted the lack of instructional leadership amongst school principals</w:t>
      </w:r>
      <w:r w:rsidR="007E5615">
        <w:rPr>
          <w:sz w:val="20"/>
          <w:szCs w:val="20"/>
        </w:rPr>
        <w:t xml:space="preserve"> (2021) OBEC</w:t>
      </w:r>
      <w:r w:rsidRPr="00C7140A">
        <w:rPr>
          <w:sz w:val="20"/>
          <w:szCs w:val="20"/>
        </w:rPr>
        <w:t xml:space="preserve"> Press Statement</w:t>
      </w:r>
      <w:r w:rsidR="007E5615">
        <w:rPr>
          <w:sz w:val="20"/>
          <w:szCs w:val="20"/>
        </w:rPr>
        <w:t>,</w:t>
      </w:r>
      <w:r w:rsidRPr="00C7140A">
        <w:rPr>
          <w:sz w:val="20"/>
          <w:szCs w:val="20"/>
        </w:rPr>
        <w:t xml:space="preserve"> February 19, 2021.  </w:t>
      </w:r>
      <w:r w:rsidRPr="00C7140A">
        <w:rPr>
          <w:rFonts w:cs="Times New Roman"/>
          <w:color w:val="000000" w:themeColor="text1"/>
          <w:sz w:val="20"/>
          <w:szCs w:val="20"/>
          <w:lang w:val="en-US"/>
        </w:rPr>
        <w:t>Link: https://www.matichon.co.th/education/news_2586691</w:t>
      </w:r>
    </w:p>
  </w:endnote>
  <w:endnote w:id="9">
    <w:p w14:paraId="55225AD9" w14:textId="21E0E672" w:rsidR="00F0642C" w:rsidRDefault="00F0642C" w:rsidP="00E63306">
      <w:pPr>
        <w:pStyle w:val="EndnoteText"/>
        <w:ind w:right="-109"/>
      </w:pPr>
      <w:r>
        <w:rPr>
          <w:rStyle w:val="EndnoteReference"/>
        </w:rPr>
        <w:endnoteRef/>
      </w:r>
      <w:r>
        <w:t xml:space="preserve"> </w:t>
      </w:r>
      <w:r w:rsidR="00E63306" w:rsidRPr="007E5615">
        <w:rPr>
          <w:i/>
          <w:iCs/>
        </w:rPr>
        <w:t>Support for Australian Engagement in Malaysia and Thailand</w:t>
      </w:r>
      <w:r w:rsidR="00E63306">
        <w:t xml:space="preserve"> (2019), The Asia Foundation, Submission to DFAT, page 4.</w:t>
      </w:r>
    </w:p>
  </w:endnote>
  <w:endnote w:id="10">
    <w:p w14:paraId="4967F3BB" w14:textId="50D9386E" w:rsidR="00F0642C" w:rsidRDefault="00F0642C">
      <w:pPr>
        <w:pStyle w:val="EndnoteText"/>
      </w:pPr>
      <w:r>
        <w:rPr>
          <w:rStyle w:val="EndnoteReference"/>
        </w:rPr>
        <w:endnoteRef/>
      </w:r>
      <w:r>
        <w:t xml:space="preserve"> </w:t>
      </w:r>
      <w:r w:rsidR="00E63306">
        <w:t>Ibid</w:t>
      </w:r>
      <w:r w:rsidR="00761430">
        <w:t xml:space="preserve"> </w:t>
      </w:r>
      <w:r w:rsidR="00E63306">
        <w:t xml:space="preserve">pages </w:t>
      </w:r>
      <w:r w:rsidR="00761430">
        <w:t>4-5.</w:t>
      </w:r>
    </w:p>
  </w:endnote>
  <w:endnote w:id="11">
    <w:p w14:paraId="40AF307F" w14:textId="6E2B8C49" w:rsidR="00F0642C" w:rsidRDefault="00F0642C">
      <w:pPr>
        <w:pStyle w:val="EndnoteText"/>
      </w:pPr>
      <w:r>
        <w:rPr>
          <w:rStyle w:val="EndnoteReference"/>
        </w:rPr>
        <w:endnoteRef/>
      </w:r>
      <w:r>
        <w:t xml:space="preserve"> </w:t>
      </w:r>
      <w:r w:rsidR="00761430">
        <w:t>I</w:t>
      </w:r>
      <w:r w:rsidR="007E5615">
        <w:t>bid</w:t>
      </w:r>
      <w:r w:rsidR="00761430">
        <w:t>, page 5.</w:t>
      </w:r>
    </w:p>
  </w:endnote>
  <w:endnote w:id="12">
    <w:p w14:paraId="5F0DD62B" w14:textId="77777777" w:rsidR="00D70AC6" w:rsidRPr="00C7140A" w:rsidRDefault="00D70AC6" w:rsidP="00C7140A">
      <w:pPr>
        <w:pStyle w:val="EndnoteText"/>
        <w:spacing w:before="120"/>
      </w:pPr>
      <w:r w:rsidRPr="00C7140A">
        <w:rPr>
          <w:rStyle w:val="EndnoteReference"/>
        </w:rPr>
        <w:endnoteRef/>
      </w:r>
      <w:r w:rsidRPr="00C7140A">
        <w:t xml:space="preserve"> Evaluation Question 3 was an open-ended question about what is working and what is not.  Responses have been subsumed into the answers to other evaluation questions.</w:t>
      </w:r>
    </w:p>
  </w:endnote>
  <w:endnote w:id="13">
    <w:p w14:paraId="471EF574" w14:textId="3E8855B7" w:rsidR="00D70AC6" w:rsidRPr="00C7140A" w:rsidRDefault="00D70AC6" w:rsidP="00C7140A">
      <w:pPr>
        <w:pStyle w:val="EndnoteText"/>
        <w:spacing w:before="120"/>
      </w:pPr>
      <w:r w:rsidRPr="00C7140A">
        <w:rPr>
          <w:rStyle w:val="EndnoteReference"/>
        </w:rPr>
        <w:endnoteRef/>
      </w:r>
      <w:r w:rsidRPr="00C7140A">
        <w:t xml:space="preserve"> </w:t>
      </w:r>
      <w:r w:rsidRPr="007E5615">
        <w:rPr>
          <w:i/>
          <w:iCs/>
        </w:rPr>
        <w:t>Coalitions for Change (2018),</w:t>
      </w:r>
      <w:r w:rsidRPr="00C7140A">
        <w:t xml:space="preserve"> The Asia Foundation.   https://asiafoundation.org/publication/coalitions-for-change/</w:t>
      </w:r>
    </w:p>
  </w:endnote>
  <w:endnote w:id="14">
    <w:p w14:paraId="2C65666D" w14:textId="3F3C0A1C" w:rsidR="00331495" w:rsidRPr="00C7140A" w:rsidRDefault="00331495" w:rsidP="00331495">
      <w:pPr>
        <w:pStyle w:val="NormalWeb"/>
        <w:spacing w:before="120" w:beforeAutospacing="0" w:after="0" w:afterAutospacing="0"/>
        <w:rPr>
          <w:color w:val="000000" w:themeColor="text1"/>
          <w:sz w:val="20"/>
          <w:szCs w:val="20"/>
        </w:rPr>
      </w:pPr>
      <w:r w:rsidRPr="00C7140A">
        <w:rPr>
          <w:rStyle w:val="EndnoteReference"/>
          <w:sz w:val="20"/>
          <w:szCs w:val="20"/>
        </w:rPr>
        <w:endnoteRef/>
      </w:r>
      <w:r w:rsidRPr="00C7140A">
        <w:rPr>
          <w:sz w:val="20"/>
          <w:szCs w:val="20"/>
        </w:rPr>
        <w:t xml:space="preserve"> </w:t>
      </w:r>
      <w:r w:rsidR="00EE7173" w:rsidRPr="00C7140A">
        <w:rPr>
          <w:color w:val="000000" w:themeColor="text1"/>
          <w:sz w:val="20"/>
          <w:szCs w:val="20"/>
          <w:bdr w:val="none" w:sz="0" w:space="0" w:color="auto" w:frame="1"/>
        </w:rPr>
        <w:t xml:space="preserve">Akmeemana, S. and Cole W. (2019) </w:t>
      </w:r>
      <w:r w:rsidR="00EE7173">
        <w:rPr>
          <w:color w:val="000000" w:themeColor="text1"/>
          <w:sz w:val="20"/>
          <w:szCs w:val="20"/>
          <w:bdr w:val="none" w:sz="0" w:space="0" w:color="auto" w:frame="1"/>
        </w:rPr>
        <w:t>Op Cit.  Moore R</w:t>
      </w:r>
      <w:r w:rsidR="007E5615">
        <w:rPr>
          <w:color w:val="000000" w:themeColor="text1"/>
          <w:sz w:val="20"/>
          <w:szCs w:val="20"/>
          <w:bdr w:val="none" w:sz="0" w:space="0" w:color="auto" w:frame="1"/>
        </w:rPr>
        <w:t>.</w:t>
      </w:r>
      <w:r w:rsidR="00EE7173">
        <w:rPr>
          <w:color w:val="000000" w:themeColor="text1"/>
          <w:sz w:val="20"/>
          <w:szCs w:val="20"/>
          <w:bdr w:val="none" w:sz="0" w:space="0" w:color="auto" w:frame="1"/>
        </w:rPr>
        <w:t xml:space="preserve"> (20</w:t>
      </w:r>
      <w:r w:rsidR="007E5615">
        <w:rPr>
          <w:color w:val="000000" w:themeColor="text1"/>
          <w:sz w:val="20"/>
          <w:szCs w:val="20"/>
          <w:bdr w:val="none" w:sz="0" w:space="0" w:color="auto" w:frame="1"/>
        </w:rPr>
        <w:t>20</w:t>
      </w:r>
      <w:r w:rsidR="00EE7173">
        <w:rPr>
          <w:color w:val="000000" w:themeColor="text1"/>
          <w:sz w:val="20"/>
          <w:szCs w:val="20"/>
          <w:bdr w:val="none" w:sz="0" w:space="0" w:color="auto" w:frame="1"/>
        </w:rPr>
        <w:t xml:space="preserve">).  </w:t>
      </w:r>
      <w:r w:rsidRPr="00C7140A">
        <w:rPr>
          <w:rFonts w:ascii="Calibri" w:hAnsi="Calibri"/>
          <w:i/>
          <w:iCs/>
          <w:color w:val="000000" w:themeColor="text1"/>
          <w:sz w:val="20"/>
          <w:szCs w:val="20"/>
        </w:rPr>
        <w:t>Rising risk &amp; opportunity in South East Asia require reassessment &amp; response</w:t>
      </w:r>
      <w:r w:rsidR="00EE7173">
        <w:rPr>
          <w:rFonts w:ascii="Calibri" w:hAnsi="Calibri"/>
          <w:i/>
          <w:iCs/>
          <w:color w:val="000000" w:themeColor="text1"/>
          <w:sz w:val="20"/>
          <w:szCs w:val="20"/>
        </w:rPr>
        <w:t xml:space="preserve">.  </w:t>
      </w:r>
      <w:r w:rsidRPr="00C7140A">
        <w:rPr>
          <w:rFonts w:ascii="Calibri" w:hAnsi="Calibri"/>
          <w:color w:val="000000" w:themeColor="text1"/>
          <w:sz w:val="20"/>
          <w:szCs w:val="20"/>
        </w:rPr>
        <w:t>Submission to DFAT Development Policy Review</w:t>
      </w:r>
      <w:r w:rsidR="007E5615">
        <w:rPr>
          <w:rFonts w:ascii="Calibri" w:hAnsi="Calibri"/>
          <w:color w:val="000000" w:themeColor="text1"/>
          <w:sz w:val="20"/>
          <w:szCs w:val="20"/>
        </w:rPr>
        <w:t>.</w:t>
      </w:r>
    </w:p>
    <w:p w14:paraId="491740A9" w14:textId="77777777" w:rsidR="00331495" w:rsidRPr="00C7140A" w:rsidRDefault="00331495" w:rsidP="00331495">
      <w:pPr>
        <w:pStyle w:val="EndnoteText"/>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3294774"/>
      <w:docPartObj>
        <w:docPartGallery w:val="Page Numbers (Bottom of Page)"/>
        <w:docPartUnique/>
      </w:docPartObj>
    </w:sdtPr>
    <w:sdtEndPr>
      <w:rPr>
        <w:rStyle w:val="PageNumber"/>
      </w:rPr>
    </w:sdtEndPr>
    <w:sdtContent>
      <w:p w14:paraId="3FF020EA" w14:textId="72218805" w:rsidR="00D70AC6" w:rsidRDefault="00D70AC6" w:rsidP="00EE4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1FAF7F" w14:textId="77777777" w:rsidR="00D70AC6" w:rsidRDefault="00D70AC6" w:rsidP="00EE4B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1149" w14:textId="77777777" w:rsidR="00D70AC6" w:rsidRDefault="00D70AC6" w:rsidP="00CB305F">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8148719"/>
      <w:docPartObj>
        <w:docPartGallery w:val="Page Numbers (Bottom of Page)"/>
        <w:docPartUnique/>
      </w:docPartObj>
    </w:sdtPr>
    <w:sdtEndPr>
      <w:rPr>
        <w:rStyle w:val="PageNumber"/>
      </w:rPr>
    </w:sdtEndPr>
    <w:sdtContent>
      <w:p w14:paraId="4388B83B" w14:textId="78DAF89E" w:rsidR="00D70AC6" w:rsidRDefault="00D70AC6" w:rsidP="00EE4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7D5AB32B" w14:textId="77777777" w:rsidR="00D70AC6" w:rsidRDefault="00D70AC6" w:rsidP="00CB305F">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0992421"/>
      <w:docPartObj>
        <w:docPartGallery w:val="Page Numbers (Bottom of Page)"/>
        <w:docPartUnique/>
      </w:docPartObj>
    </w:sdtPr>
    <w:sdtEndPr>
      <w:rPr>
        <w:rStyle w:val="PageNumber"/>
      </w:rPr>
    </w:sdtEndPr>
    <w:sdtContent>
      <w:p w14:paraId="755B2162" w14:textId="243B0928" w:rsidR="00D70AC6" w:rsidRDefault="00D70AC6" w:rsidP="00CF63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278A72" w14:textId="6408CFFE" w:rsidR="00D70AC6" w:rsidRDefault="00D70AC6" w:rsidP="00CB305F">
    <w:pPr>
      <w:pStyle w:val="Footer"/>
      <w:framePr w:h="127" w:hRule="exact" w:wrap="none" w:vAnchor="text" w:hAnchor="page" w:x="1690" w:y="84"/>
      <w:ind w:right="360"/>
      <w:jc w:val="right"/>
      <w:rPr>
        <w:rStyle w:val="PageNumber"/>
      </w:rPr>
    </w:pPr>
  </w:p>
  <w:p w14:paraId="2EF72110" w14:textId="77777777" w:rsidR="00D70AC6" w:rsidRDefault="00D70AC6" w:rsidP="00CB305F">
    <w:pPr>
      <w:pStyle w:val="Footer"/>
      <w:framePr w:h="127" w:hRule="exact" w:wrap="none" w:vAnchor="text" w:hAnchor="page" w:x="1690" w:y="84"/>
      <w:ind w:right="360"/>
      <w:rPr>
        <w:rStyle w:val="PageNumber"/>
      </w:rPr>
    </w:pPr>
  </w:p>
  <w:p w14:paraId="59BC40FF" w14:textId="77777777" w:rsidR="00D70AC6" w:rsidRDefault="00D70AC6" w:rsidP="00CB305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D1B03" w14:textId="77777777" w:rsidR="004F29E7" w:rsidRDefault="004F29E7" w:rsidP="008B768A">
      <w:r>
        <w:separator/>
      </w:r>
    </w:p>
  </w:footnote>
  <w:footnote w:type="continuationSeparator" w:id="0">
    <w:p w14:paraId="4011DB2B" w14:textId="77777777" w:rsidR="004F29E7" w:rsidRDefault="004F29E7" w:rsidP="008B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8E66" w14:textId="52E6592D" w:rsidR="00212E3C" w:rsidRPr="00212E3C" w:rsidRDefault="00212E3C" w:rsidP="00212E3C">
    <w:pPr>
      <w:pStyle w:val="Header"/>
      <w:spacing w:before="120"/>
      <w:ind w:hanging="425"/>
      <w:rPr>
        <w:b/>
        <w:bCs/>
        <w:sz w:val="28"/>
        <w:szCs w:val="28"/>
      </w:rPr>
    </w:pPr>
    <w:r w:rsidRPr="00212E3C">
      <w:rPr>
        <w:b/>
        <w:bCs/>
        <w:sz w:val="28"/>
        <w:szCs w:val="28"/>
      </w:rPr>
      <w:t xml:space="preserve">MTRP Program Performance </w:t>
    </w:r>
    <w:r w:rsidR="000E4824">
      <w:rPr>
        <w:b/>
        <w:bCs/>
        <w:sz w:val="28"/>
        <w:szCs w:val="28"/>
      </w:rPr>
      <w:t>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6F78" w14:textId="292545F1" w:rsidR="00212E3C" w:rsidRDefault="00212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337"/>
    <w:multiLevelType w:val="hybridMultilevel"/>
    <w:tmpl w:val="E3663C14"/>
    <w:lvl w:ilvl="0" w:tplc="38348948">
      <w:start w:val="1"/>
      <w:numFmt w:val="bullet"/>
      <w:lvlText w:val="–"/>
      <w:lvlJc w:val="left"/>
      <w:pPr>
        <w:ind w:left="726" w:hanging="360"/>
      </w:pPr>
      <w:rPr>
        <w:rFonts w:ascii="Calibri" w:hAnsi="Calibri"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 w15:restartNumberingAfterBreak="0">
    <w:nsid w:val="058A33C8"/>
    <w:multiLevelType w:val="hybridMultilevel"/>
    <w:tmpl w:val="7B665B82"/>
    <w:lvl w:ilvl="0" w:tplc="81A402E0">
      <w:start w:val="1"/>
      <w:numFmt w:val="bullet"/>
      <w:lvlText w:val="4"/>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123E7"/>
    <w:multiLevelType w:val="hybridMultilevel"/>
    <w:tmpl w:val="FA10E10A"/>
    <w:lvl w:ilvl="0" w:tplc="08090011">
      <w:start w:val="1"/>
      <w:numFmt w:val="decimal"/>
      <w:lvlText w:val="%1)"/>
      <w:lvlJc w:val="left"/>
      <w:pPr>
        <w:ind w:left="720" w:hanging="360"/>
      </w:pPr>
      <w:rPr>
        <w:rFonts w:hint="default"/>
      </w:rPr>
    </w:lvl>
    <w:lvl w:ilvl="1" w:tplc="38348948">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83F6A"/>
    <w:multiLevelType w:val="hybridMultilevel"/>
    <w:tmpl w:val="18A6ED9E"/>
    <w:lvl w:ilvl="0" w:tplc="38348948">
      <w:start w:val="1"/>
      <w:numFmt w:val="bullet"/>
      <w:lvlText w:val="–"/>
      <w:lvlJc w:val="left"/>
      <w:pPr>
        <w:ind w:left="1080" w:hanging="360"/>
      </w:pPr>
      <w:rPr>
        <w:rFonts w:ascii="Calibri" w:hAnsi="Calibri" w:hint="default"/>
      </w:rPr>
    </w:lvl>
    <w:lvl w:ilvl="1" w:tplc="38348948">
      <w:start w:val="1"/>
      <w:numFmt w:val="bullet"/>
      <w:lvlText w:val="–"/>
      <w:lvlJc w:val="left"/>
      <w:pPr>
        <w:ind w:left="1800" w:hanging="360"/>
      </w:pPr>
      <w:rPr>
        <w:rFonts w:ascii="Calibri"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AF7050"/>
    <w:multiLevelType w:val="hybridMultilevel"/>
    <w:tmpl w:val="7C24E900"/>
    <w:lvl w:ilvl="0" w:tplc="81A402E0">
      <w:start w:val="1"/>
      <w:numFmt w:val="bullet"/>
      <w:lvlText w:val="4"/>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F170D0"/>
    <w:multiLevelType w:val="hybridMultilevel"/>
    <w:tmpl w:val="4712F5A2"/>
    <w:lvl w:ilvl="0" w:tplc="79CC2B68">
      <w:start w:val="1"/>
      <w:numFmt w:val="bullet"/>
      <w:lvlText w:val="4"/>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A2EF2"/>
    <w:multiLevelType w:val="hybridMultilevel"/>
    <w:tmpl w:val="54E8ADAC"/>
    <w:lvl w:ilvl="0" w:tplc="08090001">
      <w:start w:val="1"/>
      <w:numFmt w:val="bullet"/>
      <w:lvlText w:val=""/>
      <w:lvlJc w:val="left"/>
      <w:pPr>
        <w:ind w:left="1080" w:hanging="360"/>
      </w:pPr>
      <w:rPr>
        <w:rFonts w:ascii="Symbol" w:hAnsi="Symbol" w:hint="default"/>
      </w:rPr>
    </w:lvl>
    <w:lvl w:ilvl="1" w:tplc="38348948">
      <w:start w:val="1"/>
      <w:numFmt w:val="bullet"/>
      <w:lvlText w:val="–"/>
      <w:lvlJc w:val="left"/>
      <w:pPr>
        <w:ind w:left="1800" w:hanging="360"/>
      </w:pPr>
      <w:rPr>
        <w:rFonts w:ascii="Calibri"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6C0FD7"/>
    <w:multiLevelType w:val="hybridMultilevel"/>
    <w:tmpl w:val="E56883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A2D33"/>
    <w:multiLevelType w:val="hybridMultilevel"/>
    <w:tmpl w:val="59B62A66"/>
    <w:lvl w:ilvl="0" w:tplc="81A402E0">
      <w:start w:val="1"/>
      <w:numFmt w:val="bullet"/>
      <w:lvlText w:val="4"/>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38314B"/>
    <w:multiLevelType w:val="hybridMultilevel"/>
    <w:tmpl w:val="BF70B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866DDE"/>
    <w:multiLevelType w:val="hybridMultilevel"/>
    <w:tmpl w:val="7CE4D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0C1A75"/>
    <w:multiLevelType w:val="hybridMultilevel"/>
    <w:tmpl w:val="4808C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D00D7"/>
    <w:multiLevelType w:val="hybridMultilevel"/>
    <w:tmpl w:val="C9346AD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336993"/>
    <w:multiLevelType w:val="hybridMultilevel"/>
    <w:tmpl w:val="1016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A7D89"/>
    <w:multiLevelType w:val="hybridMultilevel"/>
    <w:tmpl w:val="9E7441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61634D3"/>
    <w:multiLevelType w:val="hybridMultilevel"/>
    <w:tmpl w:val="E26C0C0C"/>
    <w:lvl w:ilvl="0" w:tplc="A2B20D68">
      <w:start w:val="1"/>
      <w:numFmt w:val="bullet"/>
      <w:lvlText w:val="4"/>
      <w:lvlJc w:val="left"/>
      <w:pPr>
        <w:ind w:left="360" w:hanging="360"/>
      </w:pPr>
      <w:rPr>
        <w:rFonts w:ascii="Webdings" w:hAnsi="Webding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730491"/>
    <w:multiLevelType w:val="hybridMultilevel"/>
    <w:tmpl w:val="C33AFE3E"/>
    <w:lvl w:ilvl="0" w:tplc="3834894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46E25"/>
    <w:multiLevelType w:val="hybridMultilevel"/>
    <w:tmpl w:val="B1F6B4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7779D"/>
    <w:multiLevelType w:val="hybridMultilevel"/>
    <w:tmpl w:val="3C3AF7E0"/>
    <w:lvl w:ilvl="0" w:tplc="38348948">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0C3250"/>
    <w:multiLevelType w:val="hybridMultilevel"/>
    <w:tmpl w:val="BAE6A7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6876240"/>
    <w:multiLevelType w:val="hybridMultilevel"/>
    <w:tmpl w:val="12F21194"/>
    <w:lvl w:ilvl="0" w:tplc="81A402E0">
      <w:start w:val="1"/>
      <w:numFmt w:val="bullet"/>
      <w:lvlText w:val="4"/>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833B08"/>
    <w:multiLevelType w:val="hybridMultilevel"/>
    <w:tmpl w:val="BE6E2B4C"/>
    <w:lvl w:ilvl="0" w:tplc="81A402E0">
      <w:start w:val="1"/>
      <w:numFmt w:val="bullet"/>
      <w:lvlText w:val="4"/>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21D68"/>
    <w:multiLevelType w:val="hybridMultilevel"/>
    <w:tmpl w:val="CC103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A63A49"/>
    <w:multiLevelType w:val="hybridMultilevel"/>
    <w:tmpl w:val="3B8499CE"/>
    <w:lvl w:ilvl="0" w:tplc="38348948">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4" w15:restartNumberingAfterBreak="0">
    <w:nsid w:val="518E7C4A"/>
    <w:multiLevelType w:val="hybridMultilevel"/>
    <w:tmpl w:val="E3EC8AEA"/>
    <w:lvl w:ilvl="0" w:tplc="3834894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06443"/>
    <w:multiLevelType w:val="hybridMultilevel"/>
    <w:tmpl w:val="16CC0F14"/>
    <w:lvl w:ilvl="0" w:tplc="08090013">
      <w:start w:val="1"/>
      <w:numFmt w:val="upp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6" w15:restartNumberingAfterBreak="0">
    <w:nsid w:val="5F627998"/>
    <w:multiLevelType w:val="hybridMultilevel"/>
    <w:tmpl w:val="28640918"/>
    <w:lvl w:ilvl="0" w:tplc="81A402E0">
      <w:start w:val="1"/>
      <w:numFmt w:val="bullet"/>
      <w:lvlText w:val="4"/>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D1142"/>
    <w:multiLevelType w:val="hybridMultilevel"/>
    <w:tmpl w:val="BF70B5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F94E9C"/>
    <w:multiLevelType w:val="hybridMultilevel"/>
    <w:tmpl w:val="ACF6EC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B21187"/>
    <w:multiLevelType w:val="hybridMultilevel"/>
    <w:tmpl w:val="39FE427C"/>
    <w:lvl w:ilvl="0" w:tplc="81A402E0">
      <w:start w:val="1"/>
      <w:numFmt w:val="bullet"/>
      <w:lvlText w:val="4"/>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87A1C"/>
    <w:multiLevelType w:val="hybridMultilevel"/>
    <w:tmpl w:val="77F2F6F4"/>
    <w:lvl w:ilvl="0" w:tplc="08090001">
      <w:start w:val="1"/>
      <w:numFmt w:val="bullet"/>
      <w:lvlText w:val=""/>
      <w:lvlJc w:val="left"/>
      <w:pPr>
        <w:ind w:left="360" w:hanging="360"/>
      </w:pPr>
      <w:rPr>
        <w:rFonts w:ascii="Symbol" w:hAnsi="Symbol" w:hint="default"/>
      </w:rPr>
    </w:lvl>
    <w:lvl w:ilvl="1" w:tplc="38348948">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BD4E4C"/>
    <w:multiLevelType w:val="hybridMultilevel"/>
    <w:tmpl w:val="073A9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6E1CBF"/>
    <w:multiLevelType w:val="hybridMultilevel"/>
    <w:tmpl w:val="EF4CE856"/>
    <w:lvl w:ilvl="0" w:tplc="3834894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401173"/>
    <w:multiLevelType w:val="hybridMultilevel"/>
    <w:tmpl w:val="4CB40444"/>
    <w:lvl w:ilvl="0" w:tplc="F1563046">
      <w:start w:val="1"/>
      <w:numFmt w:val="decimal"/>
      <w:lvlText w:val="%1)"/>
      <w:lvlJc w:val="left"/>
      <w:pPr>
        <w:ind w:left="360" w:hanging="360"/>
      </w:pPr>
      <w:rPr>
        <w:rFonts w:hint="default"/>
        <w:b w:val="0"/>
        <w:bCs w:val="0"/>
      </w:rPr>
    </w:lvl>
    <w:lvl w:ilvl="1" w:tplc="38348948">
      <w:start w:val="1"/>
      <w:numFmt w:val="bullet"/>
      <w:lvlText w:val="–"/>
      <w:lvlJc w:val="left"/>
      <w:pPr>
        <w:ind w:left="72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5D1104"/>
    <w:multiLevelType w:val="hybridMultilevel"/>
    <w:tmpl w:val="0ED09AE0"/>
    <w:lvl w:ilvl="0" w:tplc="0809000F">
      <w:start w:val="1"/>
      <w:numFmt w:val="decimal"/>
      <w:lvlText w:val="%1."/>
      <w:lvlJc w:val="left"/>
      <w:pPr>
        <w:ind w:left="108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416360E"/>
    <w:multiLevelType w:val="hybridMultilevel"/>
    <w:tmpl w:val="44CCB5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8C274F3"/>
    <w:multiLevelType w:val="hybridMultilevel"/>
    <w:tmpl w:val="51463B32"/>
    <w:lvl w:ilvl="0" w:tplc="79CC2B68">
      <w:start w:val="1"/>
      <w:numFmt w:val="bullet"/>
      <w:lvlText w:val="4"/>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925D2"/>
    <w:multiLevelType w:val="hybridMultilevel"/>
    <w:tmpl w:val="257439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9E81D88"/>
    <w:multiLevelType w:val="hybridMultilevel"/>
    <w:tmpl w:val="760AED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3460A8"/>
    <w:multiLevelType w:val="hybridMultilevel"/>
    <w:tmpl w:val="D68EC47A"/>
    <w:lvl w:ilvl="0" w:tplc="38348948">
      <w:start w:val="1"/>
      <w:numFmt w:val="bullet"/>
      <w:lvlText w:val="–"/>
      <w:lvlJc w:val="left"/>
      <w:pPr>
        <w:ind w:left="720" w:hanging="360"/>
      </w:pPr>
      <w:rPr>
        <w:rFonts w:ascii="Calibri" w:hAnsi="Calibri" w:hint="default"/>
      </w:rPr>
    </w:lvl>
    <w:lvl w:ilvl="1" w:tplc="38348948">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33"/>
  </w:num>
  <w:num w:numId="4">
    <w:abstractNumId w:val="22"/>
  </w:num>
  <w:num w:numId="5">
    <w:abstractNumId w:val="31"/>
  </w:num>
  <w:num w:numId="6">
    <w:abstractNumId w:val="9"/>
  </w:num>
  <w:num w:numId="7">
    <w:abstractNumId w:val="27"/>
  </w:num>
  <w:num w:numId="8">
    <w:abstractNumId w:val="10"/>
  </w:num>
  <w:num w:numId="9">
    <w:abstractNumId w:val="38"/>
  </w:num>
  <w:num w:numId="10">
    <w:abstractNumId w:val="17"/>
  </w:num>
  <w:num w:numId="11">
    <w:abstractNumId w:val="28"/>
  </w:num>
  <w:num w:numId="12">
    <w:abstractNumId w:val="2"/>
  </w:num>
  <w:num w:numId="13">
    <w:abstractNumId w:val="39"/>
  </w:num>
  <w:num w:numId="14">
    <w:abstractNumId w:val="16"/>
  </w:num>
  <w:num w:numId="15">
    <w:abstractNumId w:val="6"/>
  </w:num>
  <w:num w:numId="16">
    <w:abstractNumId w:val="3"/>
  </w:num>
  <w:num w:numId="17">
    <w:abstractNumId w:val="0"/>
  </w:num>
  <w:num w:numId="18">
    <w:abstractNumId w:val="23"/>
  </w:num>
  <w:num w:numId="19">
    <w:abstractNumId w:val="18"/>
  </w:num>
  <w:num w:numId="20">
    <w:abstractNumId w:val="34"/>
  </w:num>
  <w:num w:numId="21">
    <w:abstractNumId w:val="19"/>
  </w:num>
  <w:num w:numId="22">
    <w:abstractNumId w:val="36"/>
  </w:num>
  <w:num w:numId="23">
    <w:abstractNumId w:val="29"/>
  </w:num>
  <w:num w:numId="24">
    <w:abstractNumId w:val="1"/>
  </w:num>
  <w:num w:numId="25">
    <w:abstractNumId w:val="21"/>
  </w:num>
  <w:num w:numId="26">
    <w:abstractNumId w:val="13"/>
  </w:num>
  <w:num w:numId="27">
    <w:abstractNumId w:val="5"/>
  </w:num>
  <w:num w:numId="28">
    <w:abstractNumId w:val="20"/>
  </w:num>
  <w:num w:numId="29">
    <w:abstractNumId w:val="26"/>
  </w:num>
  <w:num w:numId="30">
    <w:abstractNumId w:val="15"/>
  </w:num>
  <w:num w:numId="31">
    <w:abstractNumId w:val="8"/>
  </w:num>
  <w:num w:numId="32">
    <w:abstractNumId w:val="4"/>
  </w:num>
  <w:num w:numId="33">
    <w:abstractNumId w:val="32"/>
  </w:num>
  <w:num w:numId="34">
    <w:abstractNumId w:val="14"/>
  </w:num>
  <w:num w:numId="35">
    <w:abstractNumId w:val="35"/>
  </w:num>
  <w:num w:numId="36">
    <w:abstractNumId w:val="37"/>
  </w:num>
  <w:num w:numId="37">
    <w:abstractNumId w:val="25"/>
  </w:num>
  <w:num w:numId="38">
    <w:abstractNumId w:val="24"/>
  </w:num>
  <w:num w:numId="39">
    <w:abstractNumId w:val="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A"/>
    <w:rsid w:val="000041E9"/>
    <w:rsid w:val="0000662C"/>
    <w:rsid w:val="00006DA9"/>
    <w:rsid w:val="00006FE2"/>
    <w:rsid w:val="00011E69"/>
    <w:rsid w:val="00025692"/>
    <w:rsid w:val="00033D49"/>
    <w:rsid w:val="000349CA"/>
    <w:rsid w:val="0006503D"/>
    <w:rsid w:val="00065FEB"/>
    <w:rsid w:val="00082AFF"/>
    <w:rsid w:val="00085EDC"/>
    <w:rsid w:val="000876F6"/>
    <w:rsid w:val="000B089B"/>
    <w:rsid w:val="000B46FB"/>
    <w:rsid w:val="000B6B15"/>
    <w:rsid w:val="000C397F"/>
    <w:rsid w:val="000C433C"/>
    <w:rsid w:val="000C608B"/>
    <w:rsid w:val="000C7F71"/>
    <w:rsid w:val="000D402B"/>
    <w:rsid w:val="000E4824"/>
    <w:rsid w:val="000E7210"/>
    <w:rsid w:val="001060A1"/>
    <w:rsid w:val="00116EEA"/>
    <w:rsid w:val="00124CB3"/>
    <w:rsid w:val="0013145F"/>
    <w:rsid w:val="00133E39"/>
    <w:rsid w:val="00140833"/>
    <w:rsid w:val="00152B14"/>
    <w:rsid w:val="00156E56"/>
    <w:rsid w:val="00161DF2"/>
    <w:rsid w:val="00163DB2"/>
    <w:rsid w:val="00173FE1"/>
    <w:rsid w:val="00174823"/>
    <w:rsid w:val="00187496"/>
    <w:rsid w:val="001B0607"/>
    <w:rsid w:val="001B7FA2"/>
    <w:rsid w:val="001F44F0"/>
    <w:rsid w:val="001F5601"/>
    <w:rsid w:val="001F72A4"/>
    <w:rsid w:val="00212E3C"/>
    <w:rsid w:val="00213AB5"/>
    <w:rsid w:val="002318AE"/>
    <w:rsid w:val="00231B2C"/>
    <w:rsid w:val="00242B09"/>
    <w:rsid w:val="0024305A"/>
    <w:rsid w:val="00245CAC"/>
    <w:rsid w:val="002527D5"/>
    <w:rsid w:val="00254CE8"/>
    <w:rsid w:val="0025705A"/>
    <w:rsid w:val="002615EA"/>
    <w:rsid w:val="00265449"/>
    <w:rsid w:val="0026564A"/>
    <w:rsid w:val="00270ACB"/>
    <w:rsid w:val="00273C83"/>
    <w:rsid w:val="00276960"/>
    <w:rsid w:val="00282516"/>
    <w:rsid w:val="00291AE6"/>
    <w:rsid w:val="00293E75"/>
    <w:rsid w:val="00297980"/>
    <w:rsid w:val="002A0C35"/>
    <w:rsid w:val="002A57BA"/>
    <w:rsid w:val="002A5D1E"/>
    <w:rsid w:val="002B2B21"/>
    <w:rsid w:val="002B6E7E"/>
    <w:rsid w:val="002C0D76"/>
    <w:rsid w:val="002C3F44"/>
    <w:rsid w:val="002C6FC2"/>
    <w:rsid w:val="002D3D10"/>
    <w:rsid w:val="002D5078"/>
    <w:rsid w:val="002E1A2A"/>
    <w:rsid w:val="002E79A4"/>
    <w:rsid w:val="0030774A"/>
    <w:rsid w:val="00311400"/>
    <w:rsid w:val="00315936"/>
    <w:rsid w:val="00317FAA"/>
    <w:rsid w:val="00320A4D"/>
    <w:rsid w:val="00331495"/>
    <w:rsid w:val="003370FF"/>
    <w:rsid w:val="003455DA"/>
    <w:rsid w:val="00345B0E"/>
    <w:rsid w:val="00346482"/>
    <w:rsid w:val="003467A0"/>
    <w:rsid w:val="003577F1"/>
    <w:rsid w:val="00394001"/>
    <w:rsid w:val="00394D5A"/>
    <w:rsid w:val="00395A70"/>
    <w:rsid w:val="0039705B"/>
    <w:rsid w:val="003A08DA"/>
    <w:rsid w:val="003A31E1"/>
    <w:rsid w:val="003A7E53"/>
    <w:rsid w:val="003B4474"/>
    <w:rsid w:val="003B5C27"/>
    <w:rsid w:val="003B66F4"/>
    <w:rsid w:val="003C11C5"/>
    <w:rsid w:val="003C1B50"/>
    <w:rsid w:val="003C68DD"/>
    <w:rsid w:val="003D3468"/>
    <w:rsid w:val="003E36FE"/>
    <w:rsid w:val="003E47CB"/>
    <w:rsid w:val="003E559F"/>
    <w:rsid w:val="003E6C49"/>
    <w:rsid w:val="004031E0"/>
    <w:rsid w:val="004048EF"/>
    <w:rsid w:val="00421227"/>
    <w:rsid w:val="00430636"/>
    <w:rsid w:val="00432601"/>
    <w:rsid w:val="00440A1D"/>
    <w:rsid w:val="0044161D"/>
    <w:rsid w:val="0044482E"/>
    <w:rsid w:val="00445B25"/>
    <w:rsid w:val="004474F3"/>
    <w:rsid w:val="00450B55"/>
    <w:rsid w:val="004617B5"/>
    <w:rsid w:val="0047112C"/>
    <w:rsid w:val="0047432D"/>
    <w:rsid w:val="00493095"/>
    <w:rsid w:val="00496C16"/>
    <w:rsid w:val="004A42A4"/>
    <w:rsid w:val="004A4ACA"/>
    <w:rsid w:val="004A6251"/>
    <w:rsid w:val="004B02E2"/>
    <w:rsid w:val="004C0A8C"/>
    <w:rsid w:val="004C1378"/>
    <w:rsid w:val="004D3795"/>
    <w:rsid w:val="004D4848"/>
    <w:rsid w:val="004D70AB"/>
    <w:rsid w:val="004F29E7"/>
    <w:rsid w:val="004F3B68"/>
    <w:rsid w:val="004F6462"/>
    <w:rsid w:val="0050044B"/>
    <w:rsid w:val="0050369D"/>
    <w:rsid w:val="00513713"/>
    <w:rsid w:val="005417CF"/>
    <w:rsid w:val="00550A9E"/>
    <w:rsid w:val="00555124"/>
    <w:rsid w:val="005657A7"/>
    <w:rsid w:val="0056723D"/>
    <w:rsid w:val="00567477"/>
    <w:rsid w:val="00570F37"/>
    <w:rsid w:val="00573A2F"/>
    <w:rsid w:val="00573A54"/>
    <w:rsid w:val="00577559"/>
    <w:rsid w:val="00580A7E"/>
    <w:rsid w:val="005A67BE"/>
    <w:rsid w:val="005B19FB"/>
    <w:rsid w:val="005B2C0C"/>
    <w:rsid w:val="005C31B5"/>
    <w:rsid w:val="005D1C61"/>
    <w:rsid w:val="005E7444"/>
    <w:rsid w:val="005F03E4"/>
    <w:rsid w:val="005F1F10"/>
    <w:rsid w:val="005F515C"/>
    <w:rsid w:val="006066A9"/>
    <w:rsid w:val="006121E2"/>
    <w:rsid w:val="00613482"/>
    <w:rsid w:val="0062002F"/>
    <w:rsid w:val="00622910"/>
    <w:rsid w:val="00622DE8"/>
    <w:rsid w:val="00636FE9"/>
    <w:rsid w:val="00643A46"/>
    <w:rsid w:val="00653C91"/>
    <w:rsid w:val="00660BF9"/>
    <w:rsid w:val="00661D10"/>
    <w:rsid w:val="00662623"/>
    <w:rsid w:val="00663755"/>
    <w:rsid w:val="00664689"/>
    <w:rsid w:val="0066705F"/>
    <w:rsid w:val="006777F1"/>
    <w:rsid w:val="006819ED"/>
    <w:rsid w:val="00683233"/>
    <w:rsid w:val="00686067"/>
    <w:rsid w:val="006956DD"/>
    <w:rsid w:val="00697828"/>
    <w:rsid w:val="006A14C0"/>
    <w:rsid w:val="006A404A"/>
    <w:rsid w:val="006C4F38"/>
    <w:rsid w:val="006D312A"/>
    <w:rsid w:val="006D34EB"/>
    <w:rsid w:val="006E6413"/>
    <w:rsid w:val="006F27B8"/>
    <w:rsid w:val="007001E3"/>
    <w:rsid w:val="00701858"/>
    <w:rsid w:val="00706775"/>
    <w:rsid w:val="00714C08"/>
    <w:rsid w:val="007203F7"/>
    <w:rsid w:val="00724EB8"/>
    <w:rsid w:val="00725C69"/>
    <w:rsid w:val="007307CC"/>
    <w:rsid w:val="007467AE"/>
    <w:rsid w:val="00747A2B"/>
    <w:rsid w:val="00751FA4"/>
    <w:rsid w:val="007544DA"/>
    <w:rsid w:val="00761430"/>
    <w:rsid w:val="00763839"/>
    <w:rsid w:val="00770DB8"/>
    <w:rsid w:val="007817DA"/>
    <w:rsid w:val="00783C25"/>
    <w:rsid w:val="00786D4F"/>
    <w:rsid w:val="00794532"/>
    <w:rsid w:val="007979C5"/>
    <w:rsid w:val="007A0E08"/>
    <w:rsid w:val="007A3FE0"/>
    <w:rsid w:val="007A50D4"/>
    <w:rsid w:val="007A5E66"/>
    <w:rsid w:val="007A7975"/>
    <w:rsid w:val="007B5C0D"/>
    <w:rsid w:val="007B6F97"/>
    <w:rsid w:val="007B71B2"/>
    <w:rsid w:val="007E309D"/>
    <w:rsid w:val="007E326B"/>
    <w:rsid w:val="007E5615"/>
    <w:rsid w:val="007F19C1"/>
    <w:rsid w:val="0080221E"/>
    <w:rsid w:val="00804EC3"/>
    <w:rsid w:val="0081410A"/>
    <w:rsid w:val="00832592"/>
    <w:rsid w:val="00833BD6"/>
    <w:rsid w:val="008362A6"/>
    <w:rsid w:val="008368A6"/>
    <w:rsid w:val="00840607"/>
    <w:rsid w:val="00840A51"/>
    <w:rsid w:val="0085203B"/>
    <w:rsid w:val="00856E24"/>
    <w:rsid w:val="00865333"/>
    <w:rsid w:val="00867038"/>
    <w:rsid w:val="00870E5E"/>
    <w:rsid w:val="00893FEE"/>
    <w:rsid w:val="008A372D"/>
    <w:rsid w:val="008B31C8"/>
    <w:rsid w:val="008B619A"/>
    <w:rsid w:val="008B6735"/>
    <w:rsid w:val="008B768A"/>
    <w:rsid w:val="008C2056"/>
    <w:rsid w:val="008C5D96"/>
    <w:rsid w:val="008C651B"/>
    <w:rsid w:val="008D19BA"/>
    <w:rsid w:val="008D2042"/>
    <w:rsid w:val="008D3B2E"/>
    <w:rsid w:val="008D48BD"/>
    <w:rsid w:val="008E0341"/>
    <w:rsid w:val="008E1D23"/>
    <w:rsid w:val="008F24FA"/>
    <w:rsid w:val="0090299B"/>
    <w:rsid w:val="009046C7"/>
    <w:rsid w:val="00912DE3"/>
    <w:rsid w:val="00933FEA"/>
    <w:rsid w:val="00936184"/>
    <w:rsid w:val="0093655F"/>
    <w:rsid w:val="00937B18"/>
    <w:rsid w:val="00954EC7"/>
    <w:rsid w:val="0096137E"/>
    <w:rsid w:val="00965FD5"/>
    <w:rsid w:val="009662E8"/>
    <w:rsid w:val="00972D84"/>
    <w:rsid w:val="00980AA5"/>
    <w:rsid w:val="009967FF"/>
    <w:rsid w:val="009A004C"/>
    <w:rsid w:val="009A0DE0"/>
    <w:rsid w:val="009A3209"/>
    <w:rsid w:val="009A591A"/>
    <w:rsid w:val="009B3A84"/>
    <w:rsid w:val="009B3F57"/>
    <w:rsid w:val="009C42F8"/>
    <w:rsid w:val="009C47CD"/>
    <w:rsid w:val="009E6B8A"/>
    <w:rsid w:val="009F624C"/>
    <w:rsid w:val="009F65E5"/>
    <w:rsid w:val="00A00BED"/>
    <w:rsid w:val="00A0507A"/>
    <w:rsid w:val="00A233E8"/>
    <w:rsid w:val="00A352F1"/>
    <w:rsid w:val="00A3765C"/>
    <w:rsid w:val="00A51FB2"/>
    <w:rsid w:val="00A65AFC"/>
    <w:rsid w:val="00A660F1"/>
    <w:rsid w:val="00A67C6E"/>
    <w:rsid w:val="00A80F70"/>
    <w:rsid w:val="00A821B7"/>
    <w:rsid w:val="00A848B1"/>
    <w:rsid w:val="00A90742"/>
    <w:rsid w:val="00A90F20"/>
    <w:rsid w:val="00A97095"/>
    <w:rsid w:val="00AA3874"/>
    <w:rsid w:val="00AB5AC7"/>
    <w:rsid w:val="00AB5DBF"/>
    <w:rsid w:val="00AC00A6"/>
    <w:rsid w:val="00AD146D"/>
    <w:rsid w:val="00AE22FA"/>
    <w:rsid w:val="00AE454C"/>
    <w:rsid w:val="00AF1C0E"/>
    <w:rsid w:val="00AF2BB2"/>
    <w:rsid w:val="00AF2C10"/>
    <w:rsid w:val="00AF31D0"/>
    <w:rsid w:val="00AF6A39"/>
    <w:rsid w:val="00B16823"/>
    <w:rsid w:val="00B20B3B"/>
    <w:rsid w:val="00B33795"/>
    <w:rsid w:val="00B3705D"/>
    <w:rsid w:val="00B4400C"/>
    <w:rsid w:val="00B442DD"/>
    <w:rsid w:val="00B455DC"/>
    <w:rsid w:val="00B45727"/>
    <w:rsid w:val="00B45F8C"/>
    <w:rsid w:val="00B54022"/>
    <w:rsid w:val="00B70FBF"/>
    <w:rsid w:val="00B72E11"/>
    <w:rsid w:val="00B732F6"/>
    <w:rsid w:val="00B73A90"/>
    <w:rsid w:val="00B743CD"/>
    <w:rsid w:val="00B748D0"/>
    <w:rsid w:val="00B82AC4"/>
    <w:rsid w:val="00B9184F"/>
    <w:rsid w:val="00B95440"/>
    <w:rsid w:val="00BA0368"/>
    <w:rsid w:val="00BA2DF4"/>
    <w:rsid w:val="00BB7EC4"/>
    <w:rsid w:val="00BC201E"/>
    <w:rsid w:val="00BC2A8D"/>
    <w:rsid w:val="00BC57EC"/>
    <w:rsid w:val="00BD3873"/>
    <w:rsid w:val="00BD4D4E"/>
    <w:rsid w:val="00BD6C7E"/>
    <w:rsid w:val="00BE627C"/>
    <w:rsid w:val="00C02F98"/>
    <w:rsid w:val="00C0495F"/>
    <w:rsid w:val="00C0616D"/>
    <w:rsid w:val="00C119BC"/>
    <w:rsid w:val="00C124EB"/>
    <w:rsid w:val="00C20ED7"/>
    <w:rsid w:val="00C25D50"/>
    <w:rsid w:val="00C27DE2"/>
    <w:rsid w:val="00C33173"/>
    <w:rsid w:val="00C45E31"/>
    <w:rsid w:val="00C60E50"/>
    <w:rsid w:val="00C7140A"/>
    <w:rsid w:val="00C7608A"/>
    <w:rsid w:val="00C8068E"/>
    <w:rsid w:val="00C838DC"/>
    <w:rsid w:val="00C848CF"/>
    <w:rsid w:val="00C87EDC"/>
    <w:rsid w:val="00CA3A5B"/>
    <w:rsid w:val="00CA7F76"/>
    <w:rsid w:val="00CB0F49"/>
    <w:rsid w:val="00CB2B46"/>
    <w:rsid w:val="00CB305F"/>
    <w:rsid w:val="00CB370C"/>
    <w:rsid w:val="00CB6488"/>
    <w:rsid w:val="00CC057E"/>
    <w:rsid w:val="00CC5419"/>
    <w:rsid w:val="00CD0222"/>
    <w:rsid w:val="00CD2123"/>
    <w:rsid w:val="00CE3996"/>
    <w:rsid w:val="00CF6306"/>
    <w:rsid w:val="00CF7615"/>
    <w:rsid w:val="00D01E9F"/>
    <w:rsid w:val="00D03F40"/>
    <w:rsid w:val="00D11809"/>
    <w:rsid w:val="00D13A85"/>
    <w:rsid w:val="00D16540"/>
    <w:rsid w:val="00D24AFA"/>
    <w:rsid w:val="00D35B0A"/>
    <w:rsid w:val="00D363E0"/>
    <w:rsid w:val="00D40DC1"/>
    <w:rsid w:val="00D41C50"/>
    <w:rsid w:val="00D43F9E"/>
    <w:rsid w:val="00D4600E"/>
    <w:rsid w:val="00D47123"/>
    <w:rsid w:val="00D54BDC"/>
    <w:rsid w:val="00D5751E"/>
    <w:rsid w:val="00D655A9"/>
    <w:rsid w:val="00D70AC6"/>
    <w:rsid w:val="00D727A1"/>
    <w:rsid w:val="00D769BB"/>
    <w:rsid w:val="00D83A9E"/>
    <w:rsid w:val="00D86AA9"/>
    <w:rsid w:val="00D922EB"/>
    <w:rsid w:val="00D92CD4"/>
    <w:rsid w:val="00DB25A6"/>
    <w:rsid w:val="00DB6141"/>
    <w:rsid w:val="00DC0858"/>
    <w:rsid w:val="00DC10BE"/>
    <w:rsid w:val="00DC3F81"/>
    <w:rsid w:val="00DC630C"/>
    <w:rsid w:val="00DE6383"/>
    <w:rsid w:val="00DE6B72"/>
    <w:rsid w:val="00E06AA7"/>
    <w:rsid w:val="00E0760E"/>
    <w:rsid w:val="00E10610"/>
    <w:rsid w:val="00E23947"/>
    <w:rsid w:val="00E3020B"/>
    <w:rsid w:val="00E33D4F"/>
    <w:rsid w:val="00E3492C"/>
    <w:rsid w:val="00E35564"/>
    <w:rsid w:val="00E35F6E"/>
    <w:rsid w:val="00E37067"/>
    <w:rsid w:val="00E43ACA"/>
    <w:rsid w:val="00E44CA5"/>
    <w:rsid w:val="00E465FF"/>
    <w:rsid w:val="00E471DD"/>
    <w:rsid w:val="00E47586"/>
    <w:rsid w:val="00E530D7"/>
    <w:rsid w:val="00E568EE"/>
    <w:rsid w:val="00E63306"/>
    <w:rsid w:val="00E66BAF"/>
    <w:rsid w:val="00E66E02"/>
    <w:rsid w:val="00E711D7"/>
    <w:rsid w:val="00E74FB4"/>
    <w:rsid w:val="00E756D6"/>
    <w:rsid w:val="00E763AA"/>
    <w:rsid w:val="00E76841"/>
    <w:rsid w:val="00E829CD"/>
    <w:rsid w:val="00E84525"/>
    <w:rsid w:val="00E860EC"/>
    <w:rsid w:val="00E87276"/>
    <w:rsid w:val="00E90039"/>
    <w:rsid w:val="00E97046"/>
    <w:rsid w:val="00E97741"/>
    <w:rsid w:val="00EB062C"/>
    <w:rsid w:val="00EB3430"/>
    <w:rsid w:val="00EC0CBE"/>
    <w:rsid w:val="00EC1494"/>
    <w:rsid w:val="00EC354D"/>
    <w:rsid w:val="00EC3CA2"/>
    <w:rsid w:val="00EC4251"/>
    <w:rsid w:val="00EC7051"/>
    <w:rsid w:val="00ED713E"/>
    <w:rsid w:val="00EE31B4"/>
    <w:rsid w:val="00EE4B25"/>
    <w:rsid w:val="00EE7173"/>
    <w:rsid w:val="00F05491"/>
    <w:rsid w:val="00F0642C"/>
    <w:rsid w:val="00F14E83"/>
    <w:rsid w:val="00F15BA3"/>
    <w:rsid w:val="00F21508"/>
    <w:rsid w:val="00F222B9"/>
    <w:rsid w:val="00F23269"/>
    <w:rsid w:val="00F577B2"/>
    <w:rsid w:val="00F6033C"/>
    <w:rsid w:val="00F60B7D"/>
    <w:rsid w:val="00F74436"/>
    <w:rsid w:val="00F92359"/>
    <w:rsid w:val="00FA0230"/>
    <w:rsid w:val="00FA0503"/>
    <w:rsid w:val="00FA44C8"/>
    <w:rsid w:val="00FA7ED6"/>
    <w:rsid w:val="00FB3ECB"/>
    <w:rsid w:val="00FB6A59"/>
    <w:rsid w:val="00FC0966"/>
    <w:rsid w:val="00FC7C74"/>
    <w:rsid w:val="00FD520F"/>
    <w:rsid w:val="00FD730A"/>
    <w:rsid w:val="00FE5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70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2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22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22B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768A"/>
    <w:rPr>
      <w:sz w:val="20"/>
      <w:szCs w:val="20"/>
    </w:rPr>
  </w:style>
  <w:style w:type="character" w:customStyle="1" w:styleId="FootnoteTextChar">
    <w:name w:val="Footnote Text Char"/>
    <w:basedOn w:val="DefaultParagraphFont"/>
    <w:link w:val="FootnoteText"/>
    <w:uiPriority w:val="99"/>
    <w:semiHidden/>
    <w:rsid w:val="008B768A"/>
    <w:rPr>
      <w:sz w:val="20"/>
      <w:szCs w:val="20"/>
    </w:rPr>
  </w:style>
  <w:style w:type="character" w:styleId="FootnoteReference">
    <w:name w:val="footnote reference"/>
    <w:basedOn w:val="DefaultParagraphFont"/>
    <w:uiPriority w:val="99"/>
    <w:semiHidden/>
    <w:unhideWhenUsed/>
    <w:rsid w:val="008B768A"/>
    <w:rPr>
      <w:vertAlign w:val="superscript"/>
    </w:rPr>
  </w:style>
  <w:style w:type="paragraph" w:styleId="ListParagraph">
    <w:name w:val="List Paragraph"/>
    <w:basedOn w:val="Normal"/>
    <w:uiPriority w:val="34"/>
    <w:qFormat/>
    <w:rsid w:val="003E559F"/>
    <w:pPr>
      <w:ind w:left="720"/>
      <w:contextualSpacing/>
    </w:pPr>
  </w:style>
  <w:style w:type="paragraph" w:styleId="NoSpacing">
    <w:name w:val="No Spacing"/>
    <w:uiPriority w:val="1"/>
    <w:qFormat/>
    <w:rsid w:val="00B442DD"/>
  </w:style>
  <w:style w:type="paragraph" w:styleId="EndnoteText">
    <w:name w:val="endnote text"/>
    <w:basedOn w:val="Normal"/>
    <w:link w:val="EndnoteTextChar"/>
    <w:uiPriority w:val="99"/>
    <w:semiHidden/>
    <w:unhideWhenUsed/>
    <w:rsid w:val="00D35B0A"/>
    <w:rPr>
      <w:sz w:val="20"/>
      <w:szCs w:val="20"/>
    </w:rPr>
  </w:style>
  <w:style w:type="character" w:customStyle="1" w:styleId="EndnoteTextChar">
    <w:name w:val="Endnote Text Char"/>
    <w:basedOn w:val="DefaultParagraphFont"/>
    <w:link w:val="EndnoteText"/>
    <w:uiPriority w:val="99"/>
    <w:semiHidden/>
    <w:rsid w:val="00D35B0A"/>
    <w:rPr>
      <w:sz w:val="20"/>
      <w:szCs w:val="20"/>
    </w:rPr>
  </w:style>
  <w:style w:type="character" w:styleId="EndnoteReference">
    <w:name w:val="endnote reference"/>
    <w:basedOn w:val="DefaultParagraphFont"/>
    <w:uiPriority w:val="99"/>
    <w:semiHidden/>
    <w:unhideWhenUsed/>
    <w:rsid w:val="00D35B0A"/>
    <w:rPr>
      <w:vertAlign w:val="superscript"/>
    </w:rPr>
  </w:style>
  <w:style w:type="character" w:customStyle="1" w:styleId="Heading1Char">
    <w:name w:val="Heading 1 Char"/>
    <w:basedOn w:val="DefaultParagraphFont"/>
    <w:link w:val="Heading1"/>
    <w:uiPriority w:val="9"/>
    <w:rsid w:val="00F222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22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22B9"/>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8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80AA5"/>
    <w:pPr>
      <w:tabs>
        <w:tab w:val="center" w:pos="4513"/>
        <w:tab w:val="right" w:pos="9026"/>
      </w:tabs>
    </w:pPr>
  </w:style>
  <w:style w:type="character" w:customStyle="1" w:styleId="FooterChar">
    <w:name w:val="Footer Char"/>
    <w:basedOn w:val="DefaultParagraphFont"/>
    <w:link w:val="Footer"/>
    <w:uiPriority w:val="99"/>
    <w:rsid w:val="00980AA5"/>
  </w:style>
  <w:style w:type="character" w:styleId="PageNumber">
    <w:name w:val="page number"/>
    <w:basedOn w:val="DefaultParagraphFont"/>
    <w:uiPriority w:val="99"/>
    <w:semiHidden/>
    <w:unhideWhenUsed/>
    <w:rsid w:val="00980AA5"/>
  </w:style>
  <w:style w:type="paragraph" w:styleId="Header">
    <w:name w:val="header"/>
    <w:basedOn w:val="Normal"/>
    <w:link w:val="HeaderChar"/>
    <w:uiPriority w:val="99"/>
    <w:unhideWhenUsed/>
    <w:rsid w:val="00980AA5"/>
    <w:pPr>
      <w:tabs>
        <w:tab w:val="center" w:pos="4513"/>
        <w:tab w:val="right" w:pos="9026"/>
      </w:tabs>
    </w:pPr>
  </w:style>
  <w:style w:type="character" w:customStyle="1" w:styleId="HeaderChar">
    <w:name w:val="Header Char"/>
    <w:basedOn w:val="DefaultParagraphFont"/>
    <w:link w:val="Header"/>
    <w:uiPriority w:val="99"/>
    <w:rsid w:val="00980AA5"/>
  </w:style>
  <w:style w:type="paragraph" w:styleId="Revision">
    <w:name w:val="Revision"/>
    <w:hidden/>
    <w:uiPriority w:val="99"/>
    <w:semiHidden/>
    <w:rsid w:val="00270ACB"/>
  </w:style>
  <w:style w:type="character" w:customStyle="1" w:styleId="apple-converted-space">
    <w:name w:val="apple-converted-space"/>
    <w:basedOn w:val="DefaultParagraphFont"/>
    <w:rsid w:val="00161DF2"/>
  </w:style>
  <w:style w:type="paragraph" w:styleId="NormalWeb">
    <w:name w:val="Normal (Web)"/>
    <w:basedOn w:val="Normal"/>
    <w:uiPriority w:val="99"/>
    <w:semiHidden/>
    <w:unhideWhenUsed/>
    <w:rsid w:val="00C02F98"/>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A0503"/>
    <w:rPr>
      <w:sz w:val="16"/>
      <w:szCs w:val="16"/>
    </w:rPr>
  </w:style>
  <w:style w:type="paragraph" w:styleId="CommentText">
    <w:name w:val="annotation text"/>
    <w:basedOn w:val="Normal"/>
    <w:link w:val="CommentTextChar"/>
    <w:uiPriority w:val="99"/>
    <w:semiHidden/>
    <w:unhideWhenUsed/>
    <w:rsid w:val="00FA0503"/>
    <w:rPr>
      <w:sz w:val="20"/>
      <w:szCs w:val="20"/>
    </w:rPr>
  </w:style>
  <w:style w:type="character" w:customStyle="1" w:styleId="CommentTextChar">
    <w:name w:val="Comment Text Char"/>
    <w:basedOn w:val="DefaultParagraphFont"/>
    <w:link w:val="CommentText"/>
    <w:uiPriority w:val="99"/>
    <w:semiHidden/>
    <w:rsid w:val="00FA0503"/>
    <w:rPr>
      <w:sz w:val="20"/>
      <w:szCs w:val="20"/>
    </w:rPr>
  </w:style>
  <w:style w:type="paragraph" w:styleId="CommentSubject">
    <w:name w:val="annotation subject"/>
    <w:basedOn w:val="CommentText"/>
    <w:next w:val="CommentText"/>
    <w:link w:val="CommentSubjectChar"/>
    <w:uiPriority w:val="99"/>
    <w:semiHidden/>
    <w:unhideWhenUsed/>
    <w:rsid w:val="00FA0503"/>
    <w:rPr>
      <w:b/>
      <w:bCs/>
    </w:rPr>
  </w:style>
  <w:style w:type="character" w:customStyle="1" w:styleId="CommentSubjectChar">
    <w:name w:val="Comment Subject Char"/>
    <w:basedOn w:val="CommentTextChar"/>
    <w:link w:val="CommentSubject"/>
    <w:uiPriority w:val="99"/>
    <w:semiHidden/>
    <w:rsid w:val="00FA0503"/>
    <w:rPr>
      <w:b/>
      <w:bCs/>
      <w:sz w:val="20"/>
      <w:szCs w:val="20"/>
    </w:rPr>
  </w:style>
  <w:style w:type="paragraph" w:styleId="BalloonText">
    <w:name w:val="Balloon Text"/>
    <w:basedOn w:val="Normal"/>
    <w:link w:val="BalloonTextChar"/>
    <w:uiPriority w:val="99"/>
    <w:semiHidden/>
    <w:unhideWhenUsed/>
    <w:rsid w:val="00FA0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2385">
      <w:bodyDiv w:val="1"/>
      <w:marLeft w:val="0"/>
      <w:marRight w:val="0"/>
      <w:marTop w:val="0"/>
      <w:marBottom w:val="0"/>
      <w:divBdr>
        <w:top w:val="none" w:sz="0" w:space="0" w:color="auto"/>
        <w:left w:val="none" w:sz="0" w:space="0" w:color="auto"/>
        <w:bottom w:val="none" w:sz="0" w:space="0" w:color="auto"/>
        <w:right w:val="none" w:sz="0" w:space="0" w:color="auto"/>
      </w:divBdr>
      <w:divsChild>
        <w:div w:id="31350684">
          <w:marLeft w:val="0"/>
          <w:marRight w:val="0"/>
          <w:marTop w:val="0"/>
          <w:marBottom w:val="0"/>
          <w:divBdr>
            <w:top w:val="none" w:sz="0" w:space="0" w:color="auto"/>
            <w:left w:val="none" w:sz="0" w:space="0" w:color="auto"/>
            <w:bottom w:val="none" w:sz="0" w:space="0" w:color="auto"/>
            <w:right w:val="none" w:sz="0" w:space="0" w:color="auto"/>
          </w:divBdr>
          <w:divsChild>
            <w:div w:id="399180840">
              <w:marLeft w:val="0"/>
              <w:marRight w:val="0"/>
              <w:marTop w:val="0"/>
              <w:marBottom w:val="0"/>
              <w:divBdr>
                <w:top w:val="none" w:sz="0" w:space="0" w:color="auto"/>
                <w:left w:val="none" w:sz="0" w:space="0" w:color="auto"/>
                <w:bottom w:val="none" w:sz="0" w:space="0" w:color="auto"/>
                <w:right w:val="none" w:sz="0" w:space="0" w:color="auto"/>
              </w:divBdr>
              <w:divsChild>
                <w:div w:id="4674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0408">
      <w:bodyDiv w:val="1"/>
      <w:marLeft w:val="0"/>
      <w:marRight w:val="0"/>
      <w:marTop w:val="0"/>
      <w:marBottom w:val="0"/>
      <w:divBdr>
        <w:top w:val="none" w:sz="0" w:space="0" w:color="auto"/>
        <w:left w:val="none" w:sz="0" w:space="0" w:color="auto"/>
        <w:bottom w:val="none" w:sz="0" w:space="0" w:color="auto"/>
        <w:right w:val="none" w:sz="0" w:space="0" w:color="auto"/>
      </w:divBdr>
    </w:div>
    <w:div w:id="481123412">
      <w:bodyDiv w:val="1"/>
      <w:marLeft w:val="0"/>
      <w:marRight w:val="0"/>
      <w:marTop w:val="0"/>
      <w:marBottom w:val="0"/>
      <w:divBdr>
        <w:top w:val="none" w:sz="0" w:space="0" w:color="auto"/>
        <w:left w:val="none" w:sz="0" w:space="0" w:color="auto"/>
        <w:bottom w:val="none" w:sz="0" w:space="0" w:color="auto"/>
        <w:right w:val="none" w:sz="0" w:space="0" w:color="auto"/>
      </w:divBdr>
    </w:div>
    <w:div w:id="1049720346">
      <w:bodyDiv w:val="1"/>
      <w:marLeft w:val="0"/>
      <w:marRight w:val="0"/>
      <w:marTop w:val="0"/>
      <w:marBottom w:val="0"/>
      <w:divBdr>
        <w:top w:val="none" w:sz="0" w:space="0" w:color="auto"/>
        <w:left w:val="none" w:sz="0" w:space="0" w:color="auto"/>
        <w:bottom w:val="none" w:sz="0" w:space="0" w:color="auto"/>
        <w:right w:val="none" w:sz="0" w:space="0" w:color="auto"/>
      </w:divBdr>
    </w:div>
    <w:div w:id="1311207971">
      <w:bodyDiv w:val="1"/>
      <w:marLeft w:val="0"/>
      <w:marRight w:val="0"/>
      <w:marTop w:val="0"/>
      <w:marBottom w:val="0"/>
      <w:divBdr>
        <w:top w:val="none" w:sz="0" w:space="0" w:color="auto"/>
        <w:left w:val="none" w:sz="0" w:space="0" w:color="auto"/>
        <w:bottom w:val="none" w:sz="0" w:space="0" w:color="auto"/>
        <w:right w:val="none" w:sz="0" w:space="0" w:color="auto"/>
      </w:divBdr>
    </w:div>
    <w:div w:id="14626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85EC-5167-164F-AE5E-D4454688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10327</Words>
  <Characters>56650</Characters>
  <Application>Microsoft Office Word</Application>
  <DocSecurity>0</DocSecurity>
  <Lines>944</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Malaysia and Thailand Reform Partnerships - Mid-Term Review</dc:title>
  <dc:subject/>
  <dc:creator/>
  <cp:keywords/>
  <dc:description/>
  <cp:lastModifiedBy/>
  <cp:revision>1</cp:revision>
  <dcterms:created xsi:type="dcterms:W3CDTF">2022-01-27T04:11:00Z</dcterms:created>
  <dcterms:modified xsi:type="dcterms:W3CDTF">2022-01-27T04:12:00Z</dcterms:modified>
  <cp:category/>
</cp:coreProperties>
</file>