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charts/chart2.xml" ContentType="application/vnd.openxmlformats-officedocument.drawingml.chart+xml"/>
  <Override PartName="/word/theme/theme1.xml" ContentType="application/vnd.openxmlformats-officedocument.theme+xml"/>
  <Override PartName="/word/charts/chart1.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9E71F" w14:textId="77777777" w:rsidR="00D4448B" w:rsidRDefault="00D4448B" w:rsidP="00D4448B">
      <w:pPr>
        <w:pStyle w:val="Title"/>
        <w:pBdr>
          <w:bottom w:val="none" w:sz="0" w:space="0" w:color="auto"/>
        </w:pBdr>
      </w:pPr>
      <w:bookmarkStart w:id="0" w:name="_Toc500080678"/>
      <w:bookmarkStart w:id="1" w:name="_GoBack"/>
      <w:bookmarkEnd w:id="1"/>
    </w:p>
    <w:p w14:paraId="28745EF0" w14:textId="77777777" w:rsidR="00D4448B" w:rsidRDefault="00D4448B" w:rsidP="00D4448B">
      <w:pPr>
        <w:pStyle w:val="Title"/>
        <w:pBdr>
          <w:bottom w:val="none" w:sz="0" w:space="0" w:color="auto"/>
        </w:pBdr>
      </w:pPr>
    </w:p>
    <w:p w14:paraId="136AEC64" w14:textId="4769EF82" w:rsidR="00D4448B" w:rsidRDefault="00BE359D" w:rsidP="00D4448B">
      <w:pPr>
        <w:pStyle w:val="Title"/>
        <w:pBdr>
          <w:bottom w:val="none" w:sz="0" w:space="0" w:color="auto"/>
        </w:pBdr>
      </w:pPr>
      <w:r>
        <w:t>Evaluation of the Multilateral Development Bank – In</w:t>
      </w:r>
      <w:r w:rsidR="00D4448B">
        <w:t>frastructure Assistance Program</w:t>
      </w:r>
    </w:p>
    <w:p w14:paraId="07FB6B95" w14:textId="77777777" w:rsidR="00D4448B" w:rsidRDefault="00D4448B" w:rsidP="00D4448B">
      <w:pPr>
        <w:pStyle w:val="Title"/>
        <w:pBdr>
          <w:bottom w:val="none" w:sz="0" w:space="0" w:color="auto"/>
        </w:pBdr>
      </w:pPr>
    </w:p>
    <w:p w14:paraId="535AEFE5" w14:textId="77777777" w:rsidR="00D4448B" w:rsidRDefault="00D4448B" w:rsidP="00D4448B">
      <w:pPr>
        <w:pStyle w:val="Title"/>
        <w:pBdr>
          <w:bottom w:val="none" w:sz="0" w:space="0" w:color="auto"/>
        </w:pBdr>
      </w:pPr>
    </w:p>
    <w:p w14:paraId="62B209F1" w14:textId="77777777" w:rsidR="00D4448B" w:rsidRDefault="00D4448B" w:rsidP="00D4448B">
      <w:pPr>
        <w:pStyle w:val="Title"/>
        <w:pBdr>
          <w:bottom w:val="none" w:sz="0" w:space="0" w:color="auto"/>
        </w:pBdr>
      </w:pPr>
    </w:p>
    <w:p w14:paraId="63345603" w14:textId="77777777" w:rsidR="00D4448B" w:rsidRDefault="00D4448B" w:rsidP="00D4448B">
      <w:pPr>
        <w:pStyle w:val="Title"/>
        <w:pBdr>
          <w:bottom w:val="none" w:sz="0" w:space="0" w:color="auto"/>
        </w:pBdr>
      </w:pPr>
    </w:p>
    <w:p w14:paraId="69D4ADC5" w14:textId="22114476" w:rsidR="00AF402C" w:rsidRDefault="000D0793" w:rsidP="00D4448B">
      <w:pPr>
        <w:pStyle w:val="Title"/>
        <w:pBdr>
          <w:bottom w:val="none" w:sz="0" w:space="0" w:color="auto"/>
        </w:pBdr>
      </w:pPr>
      <w:r>
        <w:t xml:space="preserve">Final </w:t>
      </w:r>
      <w:r w:rsidR="000521B7">
        <w:t>Report</w:t>
      </w:r>
    </w:p>
    <w:p w14:paraId="1F1B4200" w14:textId="77777777" w:rsidR="00D4448B" w:rsidRDefault="00D4448B" w:rsidP="00D4448B"/>
    <w:p w14:paraId="73BFAEE6" w14:textId="77777777" w:rsidR="00D4448B" w:rsidRDefault="00D4448B">
      <w:pPr>
        <w:spacing w:before="0" w:after="200" w:line="276" w:lineRule="auto"/>
      </w:pPr>
      <w:r>
        <w:br w:type="page"/>
      </w:r>
    </w:p>
    <w:p w14:paraId="1BA5908A" w14:textId="77777777" w:rsidR="00D4448B" w:rsidRDefault="00D4448B" w:rsidP="00D4448B">
      <w:pPr>
        <w:pStyle w:val="TOC1"/>
        <w:rPr>
          <w:sz w:val="36"/>
        </w:rPr>
      </w:pPr>
      <w:r>
        <w:rPr>
          <w:sz w:val="36"/>
        </w:rPr>
        <w:lastRenderedPageBreak/>
        <w:t>Contents</w:t>
      </w:r>
    </w:p>
    <w:p w14:paraId="3A3FA735" w14:textId="71563507" w:rsidR="00406697" w:rsidRDefault="00D4448B">
      <w:pPr>
        <w:pStyle w:val="TOC1"/>
        <w:rPr>
          <w:rFonts w:eastAsiaTheme="minorEastAsia" w:cstheme="minorBidi"/>
          <w:b w:val="0"/>
          <w:smallCaps w:val="0"/>
          <w:noProof/>
          <w:szCs w:val="22"/>
          <w:lang w:eastAsia="en-AU"/>
        </w:rPr>
      </w:pPr>
      <w:r>
        <w:rPr>
          <w:sz w:val="36"/>
        </w:rPr>
        <w:fldChar w:fldCharType="begin"/>
      </w:r>
      <w:r>
        <w:rPr>
          <w:sz w:val="36"/>
        </w:rPr>
        <w:instrText xml:space="preserve"> TOC \t "Heading 1,1,Heading 2,2" </w:instrText>
      </w:r>
      <w:r>
        <w:rPr>
          <w:sz w:val="36"/>
        </w:rPr>
        <w:fldChar w:fldCharType="separate"/>
      </w:r>
      <w:r w:rsidR="00406697">
        <w:rPr>
          <w:noProof/>
        </w:rPr>
        <w:t>Abbreviations</w:t>
      </w:r>
      <w:r w:rsidR="00406697">
        <w:rPr>
          <w:noProof/>
        </w:rPr>
        <w:tab/>
      </w:r>
      <w:r w:rsidR="00406697">
        <w:rPr>
          <w:noProof/>
        </w:rPr>
        <w:fldChar w:fldCharType="begin"/>
      </w:r>
      <w:r w:rsidR="00406697">
        <w:rPr>
          <w:noProof/>
        </w:rPr>
        <w:instrText xml:space="preserve"> PAGEREF _Toc505838174 \h </w:instrText>
      </w:r>
      <w:r w:rsidR="00406697">
        <w:rPr>
          <w:noProof/>
        </w:rPr>
      </w:r>
      <w:r w:rsidR="00406697">
        <w:rPr>
          <w:noProof/>
        </w:rPr>
        <w:fldChar w:fldCharType="separate"/>
      </w:r>
      <w:r w:rsidR="00406697">
        <w:rPr>
          <w:noProof/>
        </w:rPr>
        <w:t>3</w:t>
      </w:r>
      <w:r w:rsidR="00406697">
        <w:rPr>
          <w:noProof/>
        </w:rPr>
        <w:fldChar w:fldCharType="end"/>
      </w:r>
    </w:p>
    <w:p w14:paraId="36FE7C63" w14:textId="23457615" w:rsidR="00406697" w:rsidRDefault="00406697">
      <w:pPr>
        <w:pStyle w:val="TOC1"/>
        <w:rPr>
          <w:rFonts w:eastAsiaTheme="minorEastAsia" w:cstheme="minorBidi"/>
          <w:b w:val="0"/>
          <w:smallCaps w:val="0"/>
          <w:noProof/>
          <w:szCs w:val="22"/>
          <w:lang w:eastAsia="en-AU"/>
        </w:rPr>
      </w:pPr>
      <w:r>
        <w:rPr>
          <w:noProof/>
        </w:rPr>
        <w:t>Executive Summary</w:t>
      </w:r>
      <w:r>
        <w:rPr>
          <w:noProof/>
        </w:rPr>
        <w:tab/>
      </w:r>
      <w:r>
        <w:rPr>
          <w:noProof/>
        </w:rPr>
        <w:fldChar w:fldCharType="begin"/>
      </w:r>
      <w:r>
        <w:rPr>
          <w:noProof/>
        </w:rPr>
        <w:instrText xml:space="preserve"> PAGEREF _Toc505838175 \h </w:instrText>
      </w:r>
      <w:r>
        <w:rPr>
          <w:noProof/>
        </w:rPr>
      </w:r>
      <w:r>
        <w:rPr>
          <w:noProof/>
        </w:rPr>
        <w:fldChar w:fldCharType="separate"/>
      </w:r>
      <w:r>
        <w:rPr>
          <w:noProof/>
        </w:rPr>
        <w:t>4</w:t>
      </w:r>
      <w:r>
        <w:rPr>
          <w:noProof/>
        </w:rPr>
        <w:fldChar w:fldCharType="end"/>
      </w:r>
    </w:p>
    <w:p w14:paraId="5BF6BD87" w14:textId="261CDBEE" w:rsidR="00406697" w:rsidRDefault="00406697">
      <w:pPr>
        <w:pStyle w:val="TOC1"/>
        <w:rPr>
          <w:rFonts w:eastAsiaTheme="minorEastAsia" w:cstheme="minorBidi"/>
          <w:b w:val="0"/>
          <w:smallCaps w:val="0"/>
          <w:noProof/>
          <w:szCs w:val="22"/>
          <w:lang w:eastAsia="en-AU"/>
        </w:rPr>
      </w:pPr>
      <w:r>
        <w:rPr>
          <w:noProof/>
        </w:rPr>
        <w:t>Recommendations</w:t>
      </w:r>
      <w:r>
        <w:rPr>
          <w:noProof/>
        </w:rPr>
        <w:tab/>
      </w:r>
      <w:r>
        <w:rPr>
          <w:noProof/>
        </w:rPr>
        <w:fldChar w:fldCharType="begin"/>
      </w:r>
      <w:r>
        <w:rPr>
          <w:noProof/>
        </w:rPr>
        <w:instrText xml:space="preserve"> PAGEREF _Toc505838176 \h </w:instrText>
      </w:r>
      <w:r>
        <w:rPr>
          <w:noProof/>
        </w:rPr>
      </w:r>
      <w:r>
        <w:rPr>
          <w:noProof/>
        </w:rPr>
        <w:fldChar w:fldCharType="separate"/>
      </w:r>
      <w:r>
        <w:rPr>
          <w:noProof/>
        </w:rPr>
        <w:t>5</w:t>
      </w:r>
      <w:r>
        <w:rPr>
          <w:noProof/>
        </w:rPr>
        <w:fldChar w:fldCharType="end"/>
      </w:r>
    </w:p>
    <w:p w14:paraId="23D1BC89" w14:textId="4EEB237E" w:rsidR="00406697" w:rsidRDefault="00406697">
      <w:pPr>
        <w:pStyle w:val="TOC1"/>
        <w:rPr>
          <w:rFonts w:eastAsiaTheme="minorEastAsia" w:cstheme="minorBidi"/>
          <w:b w:val="0"/>
          <w:smallCaps w:val="0"/>
          <w:noProof/>
          <w:szCs w:val="22"/>
          <w:lang w:eastAsia="en-AU"/>
        </w:rPr>
      </w:pPr>
      <w:r>
        <w:rPr>
          <w:noProof/>
        </w:rPr>
        <w:t>Background</w:t>
      </w:r>
      <w:r>
        <w:rPr>
          <w:noProof/>
        </w:rPr>
        <w:tab/>
      </w:r>
      <w:r>
        <w:rPr>
          <w:noProof/>
        </w:rPr>
        <w:fldChar w:fldCharType="begin"/>
      </w:r>
      <w:r>
        <w:rPr>
          <w:noProof/>
        </w:rPr>
        <w:instrText xml:space="preserve"> PAGEREF _Toc505838177 \h </w:instrText>
      </w:r>
      <w:r>
        <w:rPr>
          <w:noProof/>
        </w:rPr>
      </w:r>
      <w:r>
        <w:rPr>
          <w:noProof/>
        </w:rPr>
        <w:fldChar w:fldCharType="separate"/>
      </w:r>
      <w:r>
        <w:rPr>
          <w:noProof/>
        </w:rPr>
        <w:t>6</w:t>
      </w:r>
      <w:r>
        <w:rPr>
          <w:noProof/>
        </w:rPr>
        <w:fldChar w:fldCharType="end"/>
      </w:r>
    </w:p>
    <w:p w14:paraId="403A9B1A" w14:textId="153E9CF8" w:rsidR="00406697" w:rsidRDefault="00406697">
      <w:pPr>
        <w:pStyle w:val="TOC1"/>
        <w:rPr>
          <w:rFonts w:eastAsiaTheme="minorEastAsia" w:cstheme="minorBidi"/>
          <w:b w:val="0"/>
          <w:smallCaps w:val="0"/>
          <w:noProof/>
          <w:szCs w:val="22"/>
          <w:lang w:eastAsia="en-AU"/>
        </w:rPr>
      </w:pPr>
      <w:r>
        <w:rPr>
          <w:noProof/>
        </w:rPr>
        <w:t>Evaluation Purpose and Methodology</w:t>
      </w:r>
      <w:r>
        <w:rPr>
          <w:noProof/>
        </w:rPr>
        <w:tab/>
      </w:r>
      <w:r>
        <w:rPr>
          <w:noProof/>
        </w:rPr>
        <w:fldChar w:fldCharType="begin"/>
      </w:r>
      <w:r>
        <w:rPr>
          <w:noProof/>
        </w:rPr>
        <w:instrText xml:space="preserve"> PAGEREF _Toc505838178 \h </w:instrText>
      </w:r>
      <w:r>
        <w:rPr>
          <w:noProof/>
        </w:rPr>
      </w:r>
      <w:r>
        <w:rPr>
          <w:noProof/>
        </w:rPr>
        <w:fldChar w:fldCharType="separate"/>
      </w:r>
      <w:r>
        <w:rPr>
          <w:noProof/>
        </w:rPr>
        <w:t>7</w:t>
      </w:r>
      <w:r>
        <w:rPr>
          <w:noProof/>
        </w:rPr>
        <w:fldChar w:fldCharType="end"/>
      </w:r>
    </w:p>
    <w:p w14:paraId="235D0B4A" w14:textId="27E07E88" w:rsidR="00406697" w:rsidRDefault="00406697">
      <w:pPr>
        <w:pStyle w:val="TOC1"/>
        <w:rPr>
          <w:rFonts w:eastAsiaTheme="minorEastAsia" w:cstheme="minorBidi"/>
          <w:b w:val="0"/>
          <w:smallCaps w:val="0"/>
          <w:noProof/>
          <w:szCs w:val="22"/>
          <w:lang w:eastAsia="en-AU"/>
        </w:rPr>
      </w:pPr>
      <w:r>
        <w:rPr>
          <w:noProof/>
        </w:rPr>
        <w:t>How suitable were the governance and implementation arrangements?</w:t>
      </w:r>
      <w:r>
        <w:rPr>
          <w:noProof/>
        </w:rPr>
        <w:tab/>
      </w:r>
      <w:r>
        <w:rPr>
          <w:noProof/>
        </w:rPr>
        <w:fldChar w:fldCharType="begin"/>
      </w:r>
      <w:r>
        <w:rPr>
          <w:noProof/>
        </w:rPr>
        <w:instrText xml:space="preserve"> PAGEREF _Toc505838179 \h </w:instrText>
      </w:r>
      <w:r>
        <w:rPr>
          <w:noProof/>
        </w:rPr>
      </w:r>
      <w:r>
        <w:rPr>
          <w:noProof/>
        </w:rPr>
        <w:fldChar w:fldCharType="separate"/>
      </w:r>
      <w:r>
        <w:rPr>
          <w:noProof/>
        </w:rPr>
        <w:t>8</w:t>
      </w:r>
      <w:r>
        <w:rPr>
          <w:noProof/>
        </w:rPr>
        <w:fldChar w:fldCharType="end"/>
      </w:r>
    </w:p>
    <w:p w14:paraId="4386DD5D" w14:textId="2AA1115D" w:rsidR="00406697" w:rsidRDefault="00406697">
      <w:pPr>
        <w:pStyle w:val="TOC1"/>
        <w:rPr>
          <w:rFonts w:eastAsiaTheme="minorEastAsia" w:cstheme="minorBidi"/>
          <w:b w:val="0"/>
          <w:smallCaps w:val="0"/>
          <w:noProof/>
          <w:szCs w:val="22"/>
          <w:lang w:eastAsia="en-AU"/>
        </w:rPr>
      </w:pPr>
      <w:r>
        <w:rPr>
          <w:noProof/>
        </w:rPr>
        <w:t>How effective was the program in delivering outcomes and adapting to change?</w:t>
      </w:r>
      <w:r>
        <w:rPr>
          <w:noProof/>
        </w:rPr>
        <w:tab/>
      </w:r>
      <w:r>
        <w:rPr>
          <w:noProof/>
        </w:rPr>
        <w:fldChar w:fldCharType="begin"/>
      </w:r>
      <w:r>
        <w:rPr>
          <w:noProof/>
        </w:rPr>
        <w:instrText xml:space="preserve"> PAGEREF _Toc505838180 \h </w:instrText>
      </w:r>
      <w:r>
        <w:rPr>
          <w:noProof/>
        </w:rPr>
      </w:r>
      <w:r>
        <w:rPr>
          <w:noProof/>
        </w:rPr>
        <w:fldChar w:fldCharType="separate"/>
      </w:r>
      <w:r>
        <w:rPr>
          <w:noProof/>
        </w:rPr>
        <w:t>11</w:t>
      </w:r>
      <w:r>
        <w:rPr>
          <w:noProof/>
        </w:rPr>
        <w:fldChar w:fldCharType="end"/>
      </w:r>
    </w:p>
    <w:p w14:paraId="27E71D91" w14:textId="20855081" w:rsidR="00406697" w:rsidRDefault="00406697">
      <w:pPr>
        <w:pStyle w:val="TOC1"/>
        <w:rPr>
          <w:rFonts w:eastAsiaTheme="minorEastAsia" w:cstheme="minorBidi"/>
          <w:b w:val="0"/>
          <w:smallCaps w:val="0"/>
          <w:noProof/>
          <w:szCs w:val="22"/>
          <w:lang w:eastAsia="en-AU"/>
        </w:rPr>
      </w:pPr>
      <w:r>
        <w:rPr>
          <w:noProof/>
        </w:rPr>
        <w:t>How relevant is the program overall as well as in terms of the individual investment choices made?</w:t>
      </w:r>
      <w:r>
        <w:rPr>
          <w:noProof/>
        </w:rPr>
        <w:tab/>
      </w:r>
      <w:r>
        <w:rPr>
          <w:noProof/>
        </w:rPr>
        <w:fldChar w:fldCharType="begin"/>
      </w:r>
      <w:r>
        <w:rPr>
          <w:noProof/>
        </w:rPr>
        <w:instrText xml:space="preserve"> PAGEREF _Toc505838181 \h </w:instrText>
      </w:r>
      <w:r>
        <w:rPr>
          <w:noProof/>
        </w:rPr>
      </w:r>
      <w:r>
        <w:rPr>
          <w:noProof/>
        </w:rPr>
        <w:fldChar w:fldCharType="separate"/>
      </w:r>
      <w:r>
        <w:rPr>
          <w:noProof/>
        </w:rPr>
        <w:t>14</w:t>
      </w:r>
      <w:r>
        <w:rPr>
          <w:noProof/>
        </w:rPr>
        <w:fldChar w:fldCharType="end"/>
      </w:r>
    </w:p>
    <w:p w14:paraId="686602EA" w14:textId="4B9A9C07" w:rsidR="00406697" w:rsidRDefault="00406697">
      <w:pPr>
        <w:pStyle w:val="TOC1"/>
        <w:rPr>
          <w:rFonts w:eastAsiaTheme="minorEastAsia" w:cstheme="minorBidi"/>
          <w:b w:val="0"/>
          <w:smallCaps w:val="0"/>
          <w:noProof/>
          <w:szCs w:val="22"/>
          <w:lang w:eastAsia="en-AU"/>
        </w:rPr>
      </w:pPr>
      <w:r>
        <w:rPr>
          <w:noProof/>
        </w:rPr>
        <w:t>Annex 1</w:t>
      </w:r>
      <w:r>
        <w:rPr>
          <w:noProof/>
        </w:rPr>
        <w:tab/>
      </w:r>
      <w:r>
        <w:rPr>
          <w:noProof/>
        </w:rPr>
        <w:fldChar w:fldCharType="begin"/>
      </w:r>
      <w:r>
        <w:rPr>
          <w:noProof/>
        </w:rPr>
        <w:instrText xml:space="preserve"> PAGEREF _Toc505838182 \h </w:instrText>
      </w:r>
      <w:r>
        <w:rPr>
          <w:noProof/>
        </w:rPr>
      </w:r>
      <w:r>
        <w:rPr>
          <w:noProof/>
        </w:rPr>
        <w:fldChar w:fldCharType="separate"/>
      </w:r>
      <w:r>
        <w:rPr>
          <w:noProof/>
        </w:rPr>
        <w:t>18</w:t>
      </w:r>
      <w:r>
        <w:rPr>
          <w:noProof/>
        </w:rPr>
        <w:fldChar w:fldCharType="end"/>
      </w:r>
    </w:p>
    <w:p w14:paraId="2C8AB08A" w14:textId="0F784FFF" w:rsidR="00406697" w:rsidRDefault="00406697">
      <w:pPr>
        <w:pStyle w:val="TOC2"/>
        <w:rPr>
          <w:rFonts w:eastAsiaTheme="minorEastAsia" w:cstheme="minorBidi"/>
          <w:smallCaps w:val="0"/>
          <w:noProof/>
          <w:lang w:eastAsia="en-AU"/>
        </w:rPr>
      </w:pPr>
      <w:r>
        <w:rPr>
          <w:noProof/>
        </w:rPr>
        <w:t>History of INIS</w:t>
      </w:r>
      <w:r>
        <w:rPr>
          <w:noProof/>
        </w:rPr>
        <w:tab/>
      </w:r>
      <w:r>
        <w:rPr>
          <w:noProof/>
        </w:rPr>
        <w:fldChar w:fldCharType="begin"/>
      </w:r>
      <w:r>
        <w:rPr>
          <w:noProof/>
        </w:rPr>
        <w:instrText xml:space="preserve"> PAGEREF _Toc505838183 \h </w:instrText>
      </w:r>
      <w:r>
        <w:rPr>
          <w:noProof/>
        </w:rPr>
      </w:r>
      <w:r>
        <w:rPr>
          <w:noProof/>
        </w:rPr>
        <w:fldChar w:fldCharType="separate"/>
      </w:r>
      <w:r>
        <w:rPr>
          <w:noProof/>
        </w:rPr>
        <w:t>18</w:t>
      </w:r>
      <w:r>
        <w:rPr>
          <w:noProof/>
        </w:rPr>
        <w:fldChar w:fldCharType="end"/>
      </w:r>
    </w:p>
    <w:p w14:paraId="5FA35654" w14:textId="09DA9776" w:rsidR="00406697" w:rsidRDefault="00406697">
      <w:pPr>
        <w:pStyle w:val="TOC2"/>
        <w:rPr>
          <w:rFonts w:eastAsiaTheme="minorEastAsia" w:cstheme="minorBidi"/>
          <w:smallCaps w:val="0"/>
          <w:noProof/>
          <w:lang w:eastAsia="en-AU"/>
        </w:rPr>
      </w:pPr>
      <w:r>
        <w:rPr>
          <w:noProof/>
        </w:rPr>
        <w:t>History of SIAP</w:t>
      </w:r>
      <w:r>
        <w:rPr>
          <w:noProof/>
        </w:rPr>
        <w:tab/>
      </w:r>
      <w:r>
        <w:rPr>
          <w:noProof/>
        </w:rPr>
        <w:fldChar w:fldCharType="begin"/>
      </w:r>
      <w:r>
        <w:rPr>
          <w:noProof/>
        </w:rPr>
        <w:instrText xml:space="preserve"> PAGEREF _Toc505838184 \h </w:instrText>
      </w:r>
      <w:r>
        <w:rPr>
          <w:noProof/>
        </w:rPr>
      </w:r>
      <w:r>
        <w:rPr>
          <w:noProof/>
        </w:rPr>
        <w:fldChar w:fldCharType="separate"/>
      </w:r>
      <w:r>
        <w:rPr>
          <w:noProof/>
        </w:rPr>
        <w:t>18</w:t>
      </w:r>
      <w:r>
        <w:rPr>
          <w:noProof/>
        </w:rPr>
        <w:fldChar w:fldCharType="end"/>
      </w:r>
    </w:p>
    <w:p w14:paraId="1833B733" w14:textId="505558DF" w:rsidR="00406697" w:rsidRDefault="00406697">
      <w:pPr>
        <w:pStyle w:val="TOC1"/>
        <w:rPr>
          <w:rFonts w:eastAsiaTheme="minorEastAsia" w:cstheme="minorBidi"/>
          <w:b w:val="0"/>
          <w:smallCaps w:val="0"/>
          <w:noProof/>
          <w:szCs w:val="22"/>
          <w:lang w:eastAsia="en-AU"/>
        </w:rPr>
      </w:pPr>
      <w:r>
        <w:rPr>
          <w:noProof/>
        </w:rPr>
        <w:t>Annex 2: Analytical and Evaluation Framework</w:t>
      </w:r>
      <w:r>
        <w:rPr>
          <w:noProof/>
        </w:rPr>
        <w:tab/>
      </w:r>
      <w:r>
        <w:rPr>
          <w:noProof/>
        </w:rPr>
        <w:fldChar w:fldCharType="begin"/>
      </w:r>
      <w:r>
        <w:rPr>
          <w:noProof/>
        </w:rPr>
        <w:instrText xml:space="preserve"> PAGEREF _Toc505838185 \h </w:instrText>
      </w:r>
      <w:r>
        <w:rPr>
          <w:noProof/>
        </w:rPr>
      </w:r>
      <w:r>
        <w:rPr>
          <w:noProof/>
        </w:rPr>
        <w:fldChar w:fldCharType="separate"/>
      </w:r>
      <w:r>
        <w:rPr>
          <w:noProof/>
        </w:rPr>
        <w:t>20</w:t>
      </w:r>
      <w:r>
        <w:rPr>
          <w:noProof/>
        </w:rPr>
        <w:fldChar w:fldCharType="end"/>
      </w:r>
    </w:p>
    <w:p w14:paraId="1307DB79" w14:textId="36FC429A" w:rsidR="00406697" w:rsidRDefault="00406697">
      <w:pPr>
        <w:pStyle w:val="TOC2"/>
        <w:rPr>
          <w:rFonts w:eastAsiaTheme="minorEastAsia" w:cstheme="minorBidi"/>
          <w:smallCaps w:val="0"/>
          <w:noProof/>
          <w:lang w:eastAsia="en-AU"/>
        </w:rPr>
      </w:pPr>
      <w:r>
        <w:rPr>
          <w:noProof/>
        </w:rPr>
        <w:t>Objective</w:t>
      </w:r>
      <w:r>
        <w:rPr>
          <w:noProof/>
        </w:rPr>
        <w:tab/>
      </w:r>
      <w:r>
        <w:rPr>
          <w:noProof/>
        </w:rPr>
        <w:fldChar w:fldCharType="begin"/>
      </w:r>
      <w:r>
        <w:rPr>
          <w:noProof/>
        </w:rPr>
        <w:instrText xml:space="preserve"> PAGEREF _Toc505838186 \h </w:instrText>
      </w:r>
      <w:r>
        <w:rPr>
          <w:noProof/>
        </w:rPr>
      </w:r>
      <w:r>
        <w:rPr>
          <w:noProof/>
        </w:rPr>
        <w:fldChar w:fldCharType="separate"/>
      </w:r>
      <w:r>
        <w:rPr>
          <w:noProof/>
        </w:rPr>
        <w:t>20</w:t>
      </w:r>
      <w:r>
        <w:rPr>
          <w:noProof/>
        </w:rPr>
        <w:fldChar w:fldCharType="end"/>
      </w:r>
    </w:p>
    <w:p w14:paraId="2F7B706C" w14:textId="2DD06FE4" w:rsidR="00406697" w:rsidRDefault="00406697">
      <w:pPr>
        <w:pStyle w:val="TOC2"/>
        <w:rPr>
          <w:rFonts w:eastAsiaTheme="minorEastAsia" w:cstheme="minorBidi"/>
          <w:smallCaps w:val="0"/>
          <w:noProof/>
          <w:lang w:eastAsia="en-AU"/>
        </w:rPr>
      </w:pPr>
      <w:r>
        <w:rPr>
          <w:noProof/>
        </w:rPr>
        <w:t>Scope</w:t>
      </w:r>
      <w:r>
        <w:rPr>
          <w:noProof/>
        </w:rPr>
        <w:tab/>
      </w:r>
      <w:r>
        <w:rPr>
          <w:noProof/>
        </w:rPr>
        <w:fldChar w:fldCharType="begin"/>
      </w:r>
      <w:r>
        <w:rPr>
          <w:noProof/>
        </w:rPr>
        <w:instrText xml:space="preserve"> PAGEREF _Toc505838187 \h </w:instrText>
      </w:r>
      <w:r>
        <w:rPr>
          <w:noProof/>
        </w:rPr>
      </w:r>
      <w:r>
        <w:rPr>
          <w:noProof/>
        </w:rPr>
        <w:fldChar w:fldCharType="separate"/>
      </w:r>
      <w:r>
        <w:rPr>
          <w:noProof/>
        </w:rPr>
        <w:t>20</w:t>
      </w:r>
      <w:r>
        <w:rPr>
          <w:noProof/>
        </w:rPr>
        <w:fldChar w:fldCharType="end"/>
      </w:r>
    </w:p>
    <w:p w14:paraId="2D94B34E" w14:textId="352094BE" w:rsidR="00406697" w:rsidRDefault="00406697">
      <w:pPr>
        <w:pStyle w:val="TOC2"/>
        <w:rPr>
          <w:rFonts w:eastAsiaTheme="minorEastAsia" w:cstheme="minorBidi"/>
          <w:smallCaps w:val="0"/>
          <w:noProof/>
          <w:lang w:eastAsia="en-AU"/>
        </w:rPr>
      </w:pPr>
      <w:r>
        <w:rPr>
          <w:noProof/>
        </w:rPr>
        <w:t>Team</w:t>
      </w:r>
      <w:r>
        <w:rPr>
          <w:noProof/>
        </w:rPr>
        <w:tab/>
      </w:r>
      <w:r>
        <w:rPr>
          <w:noProof/>
        </w:rPr>
        <w:tab/>
      </w:r>
      <w:r>
        <w:rPr>
          <w:noProof/>
        </w:rPr>
        <w:fldChar w:fldCharType="begin"/>
      </w:r>
      <w:r>
        <w:rPr>
          <w:noProof/>
        </w:rPr>
        <w:instrText xml:space="preserve"> PAGEREF _Toc505838188 \h </w:instrText>
      </w:r>
      <w:r>
        <w:rPr>
          <w:noProof/>
        </w:rPr>
      </w:r>
      <w:r>
        <w:rPr>
          <w:noProof/>
        </w:rPr>
        <w:fldChar w:fldCharType="separate"/>
      </w:r>
      <w:r>
        <w:rPr>
          <w:noProof/>
        </w:rPr>
        <w:t>20</w:t>
      </w:r>
      <w:r>
        <w:rPr>
          <w:noProof/>
        </w:rPr>
        <w:fldChar w:fldCharType="end"/>
      </w:r>
    </w:p>
    <w:p w14:paraId="3CAF8988" w14:textId="1EDDE1C0" w:rsidR="00406697" w:rsidRDefault="00406697">
      <w:pPr>
        <w:pStyle w:val="TOC2"/>
        <w:rPr>
          <w:rFonts w:eastAsiaTheme="minorEastAsia" w:cstheme="minorBidi"/>
          <w:smallCaps w:val="0"/>
          <w:noProof/>
          <w:lang w:eastAsia="en-AU"/>
        </w:rPr>
      </w:pPr>
      <w:r>
        <w:rPr>
          <w:noProof/>
        </w:rPr>
        <w:t>Evaluation questions</w:t>
      </w:r>
      <w:r>
        <w:rPr>
          <w:noProof/>
        </w:rPr>
        <w:tab/>
      </w:r>
      <w:r>
        <w:rPr>
          <w:noProof/>
        </w:rPr>
        <w:fldChar w:fldCharType="begin"/>
      </w:r>
      <w:r>
        <w:rPr>
          <w:noProof/>
        </w:rPr>
        <w:instrText xml:space="preserve"> PAGEREF _Toc505838189 \h </w:instrText>
      </w:r>
      <w:r>
        <w:rPr>
          <w:noProof/>
        </w:rPr>
      </w:r>
      <w:r>
        <w:rPr>
          <w:noProof/>
        </w:rPr>
        <w:fldChar w:fldCharType="separate"/>
      </w:r>
      <w:r>
        <w:rPr>
          <w:noProof/>
        </w:rPr>
        <w:t>20</w:t>
      </w:r>
      <w:r>
        <w:rPr>
          <w:noProof/>
        </w:rPr>
        <w:fldChar w:fldCharType="end"/>
      </w:r>
    </w:p>
    <w:p w14:paraId="353C0A36" w14:textId="32C092E6" w:rsidR="00406697" w:rsidRDefault="00406697">
      <w:pPr>
        <w:pStyle w:val="TOC2"/>
        <w:rPr>
          <w:rFonts w:eastAsiaTheme="minorEastAsia" w:cstheme="minorBidi"/>
          <w:smallCaps w:val="0"/>
          <w:noProof/>
          <w:lang w:eastAsia="en-AU"/>
        </w:rPr>
      </w:pPr>
      <w:r>
        <w:rPr>
          <w:noProof/>
        </w:rPr>
        <w:t>Evaluation Framework</w:t>
      </w:r>
      <w:r>
        <w:rPr>
          <w:noProof/>
        </w:rPr>
        <w:tab/>
      </w:r>
      <w:r>
        <w:rPr>
          <w:noProof/>
        </w:rPr>
        <w:fldChar w:fldCharType="begin"/>
      </w:r>
      <w:r>
        <w:rPr>
          <w:noProof/>
        </w:rPr>
        <w:instrText xml:space="preserve"> PAGEREF _Toc505838190 \h </w:instrText>
      </w:r>
      <w:r>
        <w:rPr>
          <w:noProof/>
        </w:rPr>
      </w:r>
      <w:r>
        <w:rPr>
          <w:noProof/>
        </w:rPr>
        <w:fldChar w:fldCharType="separate"/>
      </w:r>
      <w:r>
        <w:rPr>
          <w:noProof/>
        </w:rPr>
        <w:t>21</w:t>
      </w:r>
      <w:r>
        <w:rPr>
          <w:noProof/>
        </w:rPr>
        <w:fldChar w:fldCharType="end"/>
      </w:r>
    </w:p>
    <w:p w14:paraId="5B60915B" w14:textId="55AAC576" w:rsidR="00406697" w:rsidRDefault="00406697">
      <w:pPr>
        <w:pStyle w:val="TOC2"/>
        <w:rPr>
          <w:rFonts w:eastAsiaTheme="minorEastAsia" w:cstheme="minorBidi"/>
          <w:smallCaps w:val="0"/>
          <w:noProof/>
          <w:lang w:eastAsia="en-AU"/>
        </w:rPr>
      </w:pPr>
      <w:r>
        <w:rPr>
          <w:noProof/>
        </w:rPr>
        <w:t>Evaluation Methods</w:t>
      </w:r>
      <w:r>
        <w:rPr>
          <w:noProof/>
        </w:rPr>
        <w:tab/>
      </w:r>
      <w:r>
        <w:rPr>
          <w:noProof/>
        </w:rPr>
        <w:fldChar w:fldCharType="begin"/>
      </w:r>
      <w:r>
        <w:rPr>
          <w:noProof/>
        </w:rPr>
        <w:instrText xml:space="preserve"> PAGEREF _Toc505838191 \h </w:instrText>
      </w:r>
      <w:r>
        <w:rPr>
          <w:noProof/>
        </w:rPr>
      </w:r>
      <w:r>
        <w:rPr>
          <w:noProof/>
        </w:rPr>
        <w:fldChar w:fldCharType="separate"/>
      </w:r>
      <w:r>
        <w:rPr>
          <w:noProof/>
        </w:rPr>
        <w:t>24</w:t>
      </w:r>
      <w:r>
        <w:rPr>
          <w:noProof/>
        </w:rPr>
        <w:fldChar w:fldCharType="end"/>
      </w:r>
    </w:p>
    <w:p w14:paraId="22B544CD" w14:textId="47EF1270" w:rsidR="00406697" w:rsidRDefault="00406697">
      <w:pPr>
        <w:pStyle w:val="TOC2"/>
        <w:rPr>
          <w:rFonts w:eastAsiaTheme="minorEastAsia" w:cstheme="minorBidi"/>
          <w:smallCaps w:val="0"/>
          <w:noProof/>
          <w:lang w:eastAsia="en-AU"/>
        </w:rPr>
      </w:pPr>
      <w:r>
        <w:rPr>
          <w:noProof/>
        </w:rPr>
        <w:t>Acknowledgements</w:t>
      </w:r>
      <w:r>
        <w:rPr>
          <w:noProof/>
        </w:rPr>
        <w:tab/>
      </w:r>
      <w:r>
        <w:rPr>
          <w:noProof/>
        </w:rPr>
        <w:fldChar w:fldCharType="begin"/>
      </w:r>
      <w:r>
        <w:rPr>
          <w:noProof/>
        </w:rPr>
        <w:instrText xml:space="preserve"> PAGEREF _Toc505838192 \h </w:instrText>
      </w:r>
      <w:r>
        <w:rPr>
          <w:noProof/>
        </w:rPr>
      </w:r>
      <w:r>
        <w:rPr>
          <w:noProof/>
        </w:rPr>
        <w:fldChar w:fldCharType="separate"/>
      </w:r>
      <w:r>
        <w:rPr>
          <w:noProof/>
        </w:rPr>
        <w:t>24</w:t>
      </w:r>
      <w:r>
        <w:rPr>
          <w:noProof/>
        </w:rPr>
        <w:fldChar w:fldCharType="end"/>
      </w:r>
    </w:p>
    <w:p w14:paraId="1F1D1FCD" w14:textId="1A034402" w:rsidR="00406697" w:rsidRDefault="00406697">
      <w:pPr>
        <w:pStyle w:val="TOC1"/>
        <w:rPr>
          <w:rFonts w:eastAsiaTheme="minorEastAsia" w:cstheme="minorBidi"/>
          <w:b w:val="0"/>
          <w:smallCaps w:val="0"/>
          <w:noProof/>
          <w:szCs w:val="22"/>
          <w:lang w:eastAsia="en-AU"/>
        </w:rPr>
      </w:pPr>
      <w:r>
        <w:rPr>
          <w:noProof/>
        </w:rPr>
        <w:t>Annex 3: Economic Infrastructure Development Strategy Theory of Change</w:t>
      </w:r>
      <w:r>
        <w:rPr>
          <w:noProof/>
        </w:rPr>
        <w:tab/>
      </w:r>
      <w:r>
        <w:rPr>
          <w:noProof/>
        </w:rPr>
        <w:fldChar w:fldCharType="begin"/>
      </w:r>
      <w:r>
        <w:rPr>
          <w:noProof/>
        </w:rPr>
        <w:instrText xml:space="preserve"> PAGEREF _Toc505838193 \h </w:instrText>
      </w:r>
      <w:r>
        <w:rPr>
          <w:noProof/>
        </w:rPr>
      </w:r>
      <w:r>
        <w:rPr>
          <w:noProof/>
        </w:rPr>
        <w:fldChar w:fldCharType="separate"/>
      </w:r>
      <w:r>
        <w:rPr>
          <w:noProof/>
        </w:rPr>
        <w:t>25</w:t>
      </w:r>
      <w:r>
        <w:rPr>
          <w:noProof/>
        </w:rPr>
        <w:fldChar w:fldCharType="end"/>
      </w:r>
    </w:p>
    <w:p w14:paraId="3B59BF35" w14:textId="348A4F5F" w:rsidR="00406697" w:rsidRDefault="00406697">
      <w:pPr>
        <w:pStyle w:val="TOC1"/>
        <w:rPr>
          <w:rFonts w:eastAsiaTheme="minorEastAsia" w:cstheme="minorBidi"/>
          <w:b w:val="0"/>
          <w:smallCaps w:val="0"/>
          <w:noProof/>
          <w:szCs w:val="22"/>
          <w:lang w:eastAsia="en-AU"/>
        </w:rPr>
      </w:pPr>
      <w:r>
        <w:rPr>
          <w:noProof/>
        </w:rPr>
        <w:t>Annex 4: Parties consulted as part of this evaluation</w:t>
      </w:r>
      <w:r>
        <w:rPr>
          <w:noProof/>
        </w:rPr>
        <w:tab/>
      </w:r>
      <w:r>
        <w:rPr>
          <w:noProof/>
        </w:rPr>
        <w:fldChar w:fldCharType="begin"/>
      </w:r>
      <w:r>
        <w:rPr>
          <w:noProof/>
        </w:rPr>
        <w:instrText xml:space="preserve"> PAGEREF _Toc505838194 \h </w:instrText>
      </w:r>
      <w:r>
        <w:rPr>
          <w:noProof/>
        </w:rPr>
      </w:r>
      <w:r>
        <w:rPr>
          <w:noProof/>
        </w:rPr>
        <w:fldChar w:fldCharType="separate"/>
      </w:r>
      <w:r>
        <w:rPr>
          <w:noProof/>
        </w:rPr>
        <w:t>26</w:t>
      </w:r>
      <w:r>
        <w:rPr>
          <w:noProof/>
        </w:rPr>
        <w:fldChar w:fldCharType="end"/>
      </w:r>
    </w:p>
    <w:p w14:paraId="7D0935E2" w14:textId="0D2973A9" w:rsidR="00406697" w:rsidRDefault="00406697">
      <w:pPr>
        <w:pStyle w:val="TOC1"/>
        <w:rPr>
          <w:rFonts w:eastAsiaTheme="minorEastAsia" w:cstheme="minorBidi"/>
          <w:b w:val="0"/>
          <w:smallCaps w:val="0"/>
          <w:noProof/>
          <w:szCs w:val="22"/>
          <w:lang w:eastAsia="en-AU"/>
        </w:rPr>
      </w:pPr>
      <w:r>
        <w:rPr>
          <w:noProof/>
        </w:rPr>
        <w:t>Annex 5: Documents reviewed as part of the evaluation</w:t>
      </w:r>
      <w:r>
        <w:rPr>
          <w:noProof/>
        </w:rPr>
        <w:tab/>
      </w:r>
      <w:r>
        <w:rPr>
          <w:noProof/>
        </w:rPr>
        <w:fldChar w:fldCharType="begin"/>
      </w:r>
      <w:r>
        <w:rPr>
          <w:noProof/>
        </w:rPr>
        <w:instrText xml:space="preserve"> PAGEREF _Toc505838195 \h </w:instrText>
      </w:r>
      <w:r>
        <w:rPr>
          <w:noProof/>
        </w:rPr>
      </w:r>
      <w:r>
        <w:rPr>
          <w:noProof/>
        </w:rPr>
        <w:fldChar w:fldCharType="separate"/>
      </w:r>
      <w:r>
        <w:rPr>
          <w:noProof/>
        </w:rPr>
        <w:t>28</w:t>
      </w:r>
      <w:r>
        <w:rPr>
          <w:noProof/>
        </w:rPr>
        <w:fldChar w:fldCharType="end"/>
      </w:r>
    </w:p>
    <w:p w14:paraId="1C593D72" w14:textId="6CD17342" w:rsidR="00D4448B" w:rsidRPr="00C04D8C" w:rsidRDefault="00D4448B" w:rsidP="00D4448B">
      <w:pPr>
        <w:rPr>
          <w:b/>
          <w:smallCaps/>
          <w:sz w:val="36"/>
        </w:rPr>
      </w:pPr>
      <w:r>
        <w:rPr>
          <w:rFonts w:asciiTheme="minorHAnsi" w:hAnsiTheme="minorHAnsi"/>
          <w:sz w:val="36"/>
          <w:szCs w:val="24"/>
        </w:rPr>
        <w:fldChar w:fldCharType="end"/>
      </w:r>
    </w:p>
    <w:p w14:paraId="3E58112F" w14:textId="6398E407" w:rsidR="00C776A5" w:rsidRDefault="00C776A5">
      <w:pPr>
        <w:spacing w:before="0" w:after="200" w:line="276" w:lineRule="auto"/>
      </w:pPr>
      <w:r>
        <w:br w:type="page"/>
      </w:r>
    </w:p>
    <w:p w14:paraId="7B70DCD8" w14:textId="1546D078" w:rsidR="00C776A5" w:rsidRDefault="000A2485" w:rsidP="00C776A5">
      <w:pPr>
        <w:pStyle w:val="Heading1"/>
      </w:pPr>
      <w:bookmarkStart w:id="2" w:name="_Toc505838174"/>
      <w:r>
        <w:lastRenderedPageBreak/>
        <w:t>Abbreviations</w:t>
      </w:r>
      <w:bookmarkEnd w:id="2"/>
      <w:r>
        <w:t xml:space="preserve"> </w:t>
      </w:r>
    </w:p>
    <w:p w14:paraId="441629B9" w14:textId="77777777" w:rsidR="00C776A5" w:rsidRPr="00C776A5" w:rsidRDefault="00C776A5" w:rsidP="00C776A5"/>
    <w:tbl>
      <w:tblPr>
        <w:tblStyle w:val="TableGrid"/>
        <w:tblW w:w="0" w:type="auto"/>
        <w:tblLook w:val="04A0" w:firstRow="1" w:lastRow="0" w:firstColumn="1" w:lastColumn="0" w:noHBand="0" w:noVBand="1"/>
      </w:tblPr>
      <w:tblGrid>
        <w:gridCol w:w="1696"/>
        <w:gridCol w:w="7313"/>
      </w:tblGrid>
      <w:tr w:rsidR="00C776A5" w:rsidRPr="00C776A5" w14:paraId="57B03D56" w14:textId="77777777" w:rsidTr="000A2485">
        <w:tc>
          <w:tcPr>
            <w:tcW w:w="1696" w:type="dxa"/>
          </w:tcPr>
          <w:p w14:paraId="0B6F73DD" w14:textId="7CAC100D" w:rsidR="00C776A5" w:rsidRPr="00C776A5" w:rsidRDefault="00C776A5" w:rsidP="00C776A5">
            <w:pPr>
              <w:spacing w:before="0" w:after="200" w:line="276" w:lineRule="auto"/>
            </w:pPr>
            <w:r w:rsidRPr="00C776A5">
              <w:t>ADB</w:t>
            </w:r>
          </w:p>
        </w:tc>
        <w:tc>
          <w:tcPr>
            <w:tcW w:w="7313" w:type="dxa"/>
          </w:tcPr>
          <w:p w14:paraId="4DBC9BC2" w14:textId="07CFD19D" w:rsidR="00C776A5" w:rsidRPr="00C776A5" w:rsidRDefault="00C776A5" w:rsidP="00C776A5">
            <w:pPr>
              <w:spacing w:before="0" w:after="200" w:line="276" w:lineRule="auto"/>
            </w:pPr>
            <w:r w:rsidRPr="00C776A5">
              <w:t>Asian Development Bank</w:t>
            </w:r>
          </w:p>
        </w:tc>
      </w:tr>
      <w:tr w:rsidR="000A2485" w:rsidRPr="00C776A5" w14:paraId="1D91A9D6" w14:textId="77777777" w:rsidTr="000A2485">
        <w:tc>
          <w:tcPr>
            <w:tcW w:w="1696" w:type="dxa"/>
          </w:tcPr>
          <w:p w14:paraId="0B929E89" w14:textId="20552932" w:rsidR="000A2485" w:rsidRPr="00C776A5" w:rsidRDefault="000A2485" w:rsidP="00C776A5">
            <w:pPr>
              <w:spacing w:before="0" w:after="200" w:line="276" w:lineRule="auto"/>
            </w:pPr>
            <w:r w:rsidRPr="000A2485">
              <w:t>BAPPENAS</w:t>
            </w:r>
          </w:p>
        </w:tc>
        <w:tc>
          <w:tcPr>
            <w:tcW w:w="7313" w:type="dxa"/>
          </w:tcPr>
          <w:p w14:paraId="12D8ADD6" w14:textId="47C4BD4E" w:rsidR="000A2485" w:rsidRPr="00C776A5" w:rsidRDefault="000A2485" w:rsidP="000A2485">
            <w:pPr>
              <w:spacing w:before="0" w:after="200" w:line="276" w:lineRule="auto"/>
            </w:pPr>
            <w:r w:rsidRPr="000A2485">
              <w:t>Badan</w:t>
            </w:r>
            <w:r>
              <w:t xml:space="preserve"> </w:t>
            </w:r>
            <w:r w:rsidRPr="000A2485">
              <w:t>Perencanaan</w:t>
            </w:r>
            <w:r>
              <w:t xml:space="preserve"> </w:t>
            </w:r>
            <w:r w:rsidRPr="000A2485">
              <w:t>Pembangunan</w:t>
            </w:r>
            <w:r>
              <w:t xml:space="preserve"> </w:t>
            </w:r>
            <w:r w:rsidRPr="000A2485">
              <w:t>Nasional</w:t>
            </w:r>
            <w:r>
              <w:t xml:space="preserve"> (the Government of Indonesia’s National </w:t>
            </w:r>
            <w:r w:rsidRPr="000A2485">
              <w:t>Development</w:t>
            </w:r>
            <w:r>
              <w:t xml:space="preserve"> Planning </w:t>
            </w:r>
            <w:r w:rsidRPr="000A2485">
              <w:t>Agency,</w:t>
            </w:r>
            <w:r>
              <w:t xml:space="preserve"> </w:t>
            </w:r>
            <w:r w:rsidRPr="000A2485">
              <w:t>with</w:t>
            </w:r>
            <w:r>
              <w:t xml:space="preserve"> </w:t>
            </w:r>
            <w:r w:rsidRPr="000A2485">
              <w:t>responsibility for</w:t>
            </w:r>
            <w:r>
              <w:t xml:space="preserve"> </w:t>
            </w:r>
            <w:r w:rsidRPr="000A2485">
              <w:t>donor</w:t>
            </w:r>
            <w:r>
              <w:t xml:space="preserve"> </w:t>
            </w:r>
            <w:r w:rsidRPr="000A2485">
              <w:t>coordination</w:t>
            </w:r>
            <w:r>
              <w:t>)</w:t>
            </w:r>
          </w:p>
        </w:tc>
      </w:tr>
      <w:tr w:rsidR="00C776A5" w:rsidRPr="00C776A5" w14:paraId="43C521A8" w14:textId="77777777" w:rsidTr="000A2485">
        <w:tc>
          <w:tcPr>
            <w:tcW w:w="1696" w:type="dxa"/>
          </w:tcPr>
          <w:p w14:paraId="1F2E009C" w14:textId="30758622" w:rsidR="00C776A5" w:rsidRPr="00C776A5" w:rsidRDefault="00C776A5" w:rsidP="00C776A5">
            <w:pPr>
              <w:spacing w:before="0" w:after="200" w:line="276" w:lineRule="auto"/>
            </w:pPr>
            <w:r w:rsidRPr="00C776A5">
              <w:t>DFAT</w:t>
            </w:r>
          </w:p>
        </w:tc>
        <w:tc>
          <w:tcPr>
            <w:tcW w:w="7313" w:type="dxa"/>
          </w:tcPr>
          <w:p w14:paraId="42DA1785" w14:textId="27A7A0A4" w:rsidR="00C776A5" w:rsidRPr="00C776A5" w:rsidRDefault="00C776A5" w:rsidP="00C776A5">
            <w:pPr>
              <w:spacing w:before="0" w:after="200" w:line="276" w:lineRule="auto"/>
            </w:pPr>
            <w:r w:rsidRPr="00C776A5">
              <w:t xml:space="preserve">Australian Department of Foreign Affairs and Trade </w:t>
            </w:r>
          </w:p>
        </w:tc>
      </w:tr>
      <w:tr w:rsidR="00C776A5" w:rsidRPr="00C776A5" w14:paraId="6E5FAE27" w14:textId="77777777" w:rsidTr="000A2485">
        <w:tc>
          <w:tcPr>
            <w:tcW w:w="1696" w:type="dxa"/>
          </w:tcPr>
          <w:p w14:paraId="79DD26EB" w14:textId="243F9198" w:rsidR="00C776A5" w:rsidRPr="00C776A5" w:rsidRDefault="00C776A5" w:rsidP="00C776A5">
            <w:pPr>
              <w:spacing w:before="0" w:after="200" w:line="276" w:lineRule="auto"/>
            </w:pPr>
            <w:r w:rsidRPr="00C776A5">
              <w:t>GoA</w:t>
            </w:r>
          </w:p>
        </w:tc>
        <w:tc>
          <w:tcPr>
            <w:tcW w:w="7313" w:type="dxa"/>
          </w:tcPr>
          <w:p w14:paraId="342AF0AB" w14:textId="35C14A9D" w:rsidR="00C776A5" w:rsidRPr="00C776A5" w:rsidRDefault="00C776A5" w:rsidP="00C776A5">
            <w:pPr>
              <w:spacing w:before="0" w:after="200" w:line="276" w:lineRule="auto"/>
            </w:pPr>
            <w:r w:rsidRPr="00C776A5">
              <w:t>Government of Australia</w:t>
            </w:r>
          </w:p>
        </w:tc>
      </w:tr>
      <w:tr w:rsidR="00C776A5" w:rsidRPr="00C776A5" w14:paraId="114D0881" w14:textId="77777777" w:rsidTr="000A2485">
        <w:tc>
          <w:tcPr>
            <w:tcW w:w="1696" w:type="dxa"/>
          </w:tcPr>
          <w:p w14:paraId="67A90CCB" w14:textId="53582D12" w:rsidR="00C776A5" w:rsidRPr="00C776A5" w:rsidRDefault="00C776A5" w:rsidP="00C776A5">
            <w:pPr>
              <w:spacing w:before="0" w:after="200" w:line="276" w:lineRule="auto"/>
            </w:pPr>
            <w:r w:rsidRPr="00C776A5">
              <w:t>GoI</w:t>
            </w:r>
          </w:p>
        </w:tc>
        <w:tc>
          <w:tcPr>
            <w:tcW w:w="7313" w:type="dxa"/>
          </w:tcPr>
          <w:p w14:paraId="5B5CC70C" w14:textId="78C5E2AD" w:rsidR="00C776A5" w:rsidRPr="00C776A5" w:rsidRDefault="00C776A5" w:rsidP="00C776A5">
            <w:pPr>
              <w:spacing w:before="0" w:after="200" w:line="276" w:lineRule="auto"/>
            </w:pPr>
            <w:r w:rsidRPr="00C776A5">
              <w:t>Government of Indonesia</w:t>
            </w:r>
          </w:p>
        </w:tc>
      </w:tr>
      <w:tr w:rsidR="00C776A5" w:rsidRPr="00C776A5" w14:paraId="6FC68B6F" w14:textId="77777777" w:rsidTr="000A2485">
        <w:tc>
          <w:tcPr>
            <w:tcW w:w="1696" w:type="dxa"/>
          </w:tcPr>
          <w:p w14:paraId="36D8C822" w14:textId="717BF6EF" w:rsidR="00C776A5" w:rsidRPr="00C776A5" w:rsidRDefault="00C776A5" w:rsidP="00C776A5">
            <w:pPr>
              <w:spacing w:before="0" w:after="200" w:line="276" w:lineRule="auto"/>
            </w:pPr>
            <w:r w:rsidRPr="00C776A5">
              <w:rPr>
                <w:lang w:val="en-AU"/>
              </w:rPr>
              <w:t>IndII</w:t>
            </w:r>
          </w:p>
        </w:tc>
        <w:tc>
          <w:tcPr>
            <w:tcW w:w="7313" w:type="dxa"/>
          </w:tcPr>
          <w:p w14:paraId="3582A37C" w14:textId="6CA89C02" w:rsidR="00C776A5" w:rsidRPr="00C776A5" w:rsidRDefault="00C776A5" w:rsidP="009D58FA">
            <w:pPr>
              <w:spacing w:before="0" w:after="200" w:line="276" w:lineRule="auto"/>
            </w:pPr>
            <w:r w:rsidRPr="00C776A5">
              <w:rPr>
                <w:lang w:val="en-AU"/>
              </w:rPr>
              <w:t>Indonesia Infrastructure Initiative - an Australian-funded infrastructure assistance program</w:t>
            </w:r>
          </w:p>
        </w:tc>
      </w:tr>
      <w:tr w:rsidR="00C776A5" w:rsidRPr="00C776A5" w14:paraId="08891955" w14:textId="77777777" w:rsidTr="000A2485">
        <w:tc>
          <w:tcPr>
            <w:tcW w:w="1696" w:type="dxa"/>
          </w:tcPr>
          <w:p w14:paraId="2EE014CA" w14:textId="6229C3A7" w:rsidR="00C776A5" w:rsidRPr="00C776A5" w:rsidRDefault="00C776A5" w:rsidP="00C776A5">
            <w:pPr>
              <w:spacing w:before="0" w:after="200" w:line="276" w:lineRule="auto"/>
            </w:pPr>
            <w:r w:rsidRPr="00C776A5">
              <w:t>INIS</w:t>
            </w:r>
          </w:p>
        </w:tc>
        <w:tc>
          <w:tcPr>
            <w:tcW w:w="7313" w:type="dxa"/>
          </w:tcPr>
          <w:p w14:paraId="658A5FC6" w14:textId="519BEEB8" w:rsidR="00C776A5" w:rsidRPr="00C776A5" w:rsidRDefault="00C776A5" w:rsidP="00C776A5">
            <w:pPr>
              <w:spacing w:before="0" w:after="200" w:line="276" w:lineRule="auto"/>
            </w:pPr>
            <w:r w:rsidRPr="00C776A5">
              <w:rPr>
                <w:rFonts w:asciiTheme="minorHAnsi" w:hAnsiTheme="minorHAnsi" w:cs="Calibri"/>
              </w:rPr>
              <w:t>Indonesia Infrastructure Support (INIS) Trust Fund</w:t>
            </w:r>
            <w:r w:rsidRPr="00C776A5">
              <w:rPr>
                <w:rFonts w:cs="Calibri"/>
              </w:rPr>
              <w:t xml:space="preserve"> managed by </w:t>
            </w:r>
            <w:r w:rsidRPr="00C776A5">
              <w:rPr>
                <w:rFonts w:asciiTheme="minorHAnsi" w:hAnsiTheme="minorHAnsi"/>
              </w:rPr>
              <w:t>the World Bank</w:t>
            </w:r>
          </w:p>
        </w:tc>
      </w:tr>
      <w:tr w:rsidR="00C776A5" w:rsidRPr="00C776A5" w14:paraId="5EF48C42" w14:textId="77777777" w:rsidTr="000A2485">
        <w:tc>
          <w:tcPr>
            <w:tcW w:w="1696" w:type="dxa"/>
          </w:tcPr>
          <w:p w14:paraId="0E9D82A9" w14:textId="0CC0C230" w:rsidR="00C776A5" w:rsidRPr="00C776A5" w:rsidRDefault="00C776A5" w:rsidP="00C776A5">
            <w:pPr>
              <w:spacing w:before="0" w:after="200" w:line="276" w:lineRule="auto"/>
            </w:pPr>
            <w:r w:rsidRPr="00C776A5">
              <w:t>KIAT</w:t>
            </w:r>
          </w:p>
        </w:tc>
        <w:tc>
          <w:tcPr>
            <w:tcW w:w="7313" w:type="dxa"/>
          </w:tcPr>
          <w:p w14:paraId="4BAA4A63" w14:textId="4F1EB510" w:rsidR="00C776A5" w:rsidRPr="00C776A5" w:rsidRDefault="00C776A5" w:rsidP="00C776A5">
            <w:pPr>
              <w:spacing w:before="0" w:after="200" w:line="276" w:lineRule="auto"/>
            </w:pPr>
            <w:r w:rsidRPr="00C776A5">
              <w:t xml:space="preserve">The </w:t>
            </w:r>
            <w:r w:rsidRPr="00C776A5">
              <w:rPr>
                <w:rFonts w:asciiTheme="minorHAnsi" w:hAnsiTheme="minorHAnsi" w:cs="Calibri"/>
              </w:rPr>
              <w:t xml:space="preserve">Indonesia Australia Infrastructure Partnership facility program is known as </w:t>
            </w:r>
            <w:r w:rsidRPr="00C776A5">
              <w:rPr>
                <w:rFonts w:asciiTheme="minorHAnsi" w:hAnsiTheme="minorHAnsi" w:cs="Calibri"/>
                <w:i/>
              </w:rPr>
              <w:t>Kemitraan Indonesia Australia Untuk Instrasruktur</w:t>
            </w:r>
            <w:r w:rsidRPr="00C776A5">
              <w:rPr>
                <w:rFonts w:asciiTheme="minorHAnsi" w:hAnsiTheme="minorHAnsi" w:cs="Calibri"/>
              </w:rPr>
              <w:t xml:space="preserve"> (KIAT). The KIAT officially commenced in July 2017 and replaces the IndII facility that ended in June 2017.</w:t>
            </w:r>
          </w:p>
        </w:tc>
      </w:tr>
      <w:tr w:rsidR="00C776A5" w:rsidRPr="00C776A5" w14:paraId="1DB50422" w14:textId="77777777" w:rsidTr="000A2485">
        <w:tc>
          <w:tcPr>
            <w:tcW w:w="1696" w:type="dxa"/>
          </w:tcPr>
          <w:p w14:paraId="4A5A23E9" w14:textId="75039F06" w:rsidR="00C776A5" w:rsidRPr="00C776A5" w:rsidRDefault="00C776A5" w:rsidP="00C776A5">
            <w:pPr>
              <w:spacing w:before="0" w:after="200" w:line="276" w:lineRule="auto"/>
            </w:pPr>
            <w:r w:rsidRPr="00C776A5">
              <w:t>MDB-IAP</w:t>
            </w:r>
          </w:p>
        </w:tc>
        <w:tc>
          <w:tcPr>
            <w:tcW w:w="7313" w:type="dxa"/>
          </w:tcPr>
          <w:p w14:paraId="7F2085AC" w14:textId="1E7E8DB1" w:rsidR="00C776A5" w:rsidRPr="00C776A5" w:rsidRDefault="00C776A5" w:rsidP="00C776A5">
            <w:pPr>
              <w:spacing w:before="0" w:after="200" w:line="276" w:lineRule="auto"/>
            </w:pPr>
            <w:r w:rsidRPr="00C776A5">
              <w:t>Multilateral Development Bank – Infrastructure Assistance Program</w:t>
            </w:r>
          </w:p>
        </w:tc>
      </w:tr>
      <w:tr w:rsidR="00C776A5" w:rsidRPr="00C776A5" w14:paraId="317AC688" w14:textId="77777777" w:rsidTr="000A2485">
        <w:tc>
          <w:tcPr>
            <w:tcW w:w="1696" w:type="dxa"/>
          </w:tcPr>
          <w:p w14:paraId="062C521C" w14:textId="3CE8BA5D" w:rsidR="00C776A5" w:rsidRPr="00C776A5" w:rsidRDefault="00C776A5" w:rsidP="00C776A5">
            <w:pPr>
              <w:spacing w:before="0" w:after="200" w:line="276" w:lineRule="auto"/>
            </w:pPr>
            <w:r w:rsidRPr="00C776A5">
              <w:t>M&amp;E</w:t>
            </w:r>
          </w:p>
        </w:tc>
        <w:tc>
          <w:tcPr>
            <w:tcW w:w="7313" w:type="dxa"/>
          </w:tcPr>
          <w:p w14:paraId="6D56AEBF" w14:textId="47426032" w:rsidR="00C776A5" w:rsidRPr="00C776A5" w:rsidRDefault="00C776A5" w:rsidP="00C776A5">
            <w:pPr>
              <w:spacing w:before="0" w:after="200" w:line="276" w:lineRule="auto"/>
            </w:pPr>
            <w:r w:rsidRPr="00C776A5">
              <w:t>Monitoring and Evaluation</w:t>
            </w:r>
          </w:p>
        </w:tc>
      </w:tr>
      <w:tr w:rsidR="000A2485" w:rsidRPr="00C776A5" w14:paraId="6D807EBE" w14:textId="77777777" w:rsidTr="000A2485">
        <w:tc>
          <w:tcPr>
            <w:tcW w:w="1696" w:type="dxa"/>
          </w:tcPr>
          <w:p w14:paraId="1701446A" w14:textId="22E80AEA" w:rsidR="000A2485" w:rsidRPr="00C776A5" w:rsidRDefault="000A2485" w:rsidP="00C776A5">
            <w:pPr>
              <w:spacing w:before="0" w:after="200" w:line="276" w:lineRule="auto"/>
            </w:pPr>
            <w:r>
              <w:rPr>
                <w:rFonts w:asciiTheme="minorHAnsi" w:hAnsiTheme="minorHAnsi"/>
              </w:rPr>
              <w:t>OECD-DAC</w:t>
            </w:r>
          </w:p>
        </w:tc>
        <w:tc>
          <w:tcPr>
            <w:tcW w:w="7313" w:type="dxa"/>
          </w:tcPr>
          <w:p w14:paraId="26AA475D" w14:textId="18F43419" w:rsidR="000A2485" w:rsidRPr="00C776A5" w:rsidRDefault="000A2485" w:rsidP="000A2485">
            <w:pPr>
              <w:spacing w:before="0" w:after="200" w:line="276" w:lineRule="auto"/>
            </w:pPr>
            <w:r>
              <w:rPr>
                <w:rFonts w:asciiTheme="minorHAnsi" w:hAnsiTheme="minorHAnsi"/>
              </w:rPr>
              <w:t>Organisation for Economic Cooperation and Development – Development Assistance Committee</w:t>
            </w:r>
          </w:p>
        </w:tc>
      </w:tr>
      <w:tr w:rsidR="00C776A5" w:rsidRPr="00C776A5" w14:paraId="07513AC3" w14:textId="77777777" w:rsidTr="000A2485">
        <w:tc>
          <w:tcPr>
            <w:tcW w:w="1696" w:type="dxa"/>
          </w:tcPr>
          <w:p w14:paraId="6A3BF736" w14:textId="06E2AA60" w:rsidR="00C776A5" w:rsidRPr="00C776A5" w:rsidRDefault="00C776A5" w:rsidP="00C776A5">
            <w:pPr>
              <w:spacing w:before="0" w:after="200" w:line="276" w:lineRule="auto"/>
            </w:pPr>
            <w:r w:rsidRPr="00C776A5">
              <w:t>PLN</w:t>
            </w:r>
          </w:p>
        </w:tc>
        <w:tc>
          <w:tcPr>
            <w:tcW w:w="7313" w:type="dxa"/>
          </w:tcPr>
          <w:p w14:paraId="1987BC58" w14:textId="40AEDF65" w:rsidR="00C776A5" w:rsidRPr="00C776A5" w:rsidRDefault="00C776A5" w:rsidP="00C776A5">
            <w:pPr>
              <w:spacing w:before="0" w:after="200" w:line="276" w:lineRule="auto"/>
            </w:pPr>
            <w:r w:rsidRPr="00C776A5">
              <w:t>Perusahaan Listik Negara (the National Electricity Company)</w:t>
            </w:r>
          </w:p>
        </w:tc>
      </w:tr>
      <w:tr w:rsidR="00C776A5" w:rsidRPr="00C776A5" w14:paraId="4CCD8772" w14:textId="77777777" w:rsidTr="000A2485">
        <w:tc>
          <w:tcPr>
            <w:tcW w:w="1696" w:type="dxa"/>
          </w:tcPr>
          <w:p w14:paraId="5248068F" w14:textId="5FD3D3C2" w:rsidR="00C776A5" w:rsidRPr="00C776A5" w:rsidRDefault="00C776A5" w:rsidP="00C776A5">
            <w:pPr>
              <w:spacing w:before="0" w:after="200" w:line="276" w:lineRule="auto"/>
            </w:pPr>
            <w:r w:rsidRPr="00C776A5">
              <w:t>SIAP</w:t>
            </w:r>
          </w:p>
        </w:tc>
        <w:tc>
          <w:tcPr>
            <w:tcW w:w="7313" w:type="dxa"/>
          </w:tcPr>
          <w:p w14:paraId="30306CE0" w14:textId="309AC3D2" w:rsidR="00C776A5" w:rsidRPr="00C776A5" w:rsidRDefault="00C776A5" w:rsidP="009D58FA">
            <w:pPr>
              <w:spacing w:before="0" w:after="200" w:line="276" w:lineRule="auto"/>
            </w:pPr>
            <w:r w:rsidRPr="00C776A5">
              <w:rPr>
                <w:rFonts w:asciiTheme="minorHAnsi" w:hAnsiTheme="minorHAnsi" w:cs="Calibri"/>
              </w:rPr>
              <w:t>Sustainable Infrastructure Assistance Program (SIAP) – Technical Assistance Cluster administered by</w:t>
            </w:r>
            <w:r w:rsidRPr="00C776A5">
              <w:rPr>
                <w:rFonts w:asciiTheme="minorHAnsi" w:hAnsiTheme="minorHAnsi"/>
              </w:rPr>
              <w:t xml:space="preserve"> the Asian Development Bank</w:t>
            </w:r>
          </w:p>
        </w:tc>
      </w:tr>
    </w:tbl>
    <w:p w14:paraId="2696EC7F" w14:textId="55447562" w:rsidR="00D4448B" w:rsidRDefault="00D4448B">
      <w:pPr>
        <w:spacing w:before="0" w:after="200" w:line="276" w:lineRule="auto"/>
      </w:pPr>
      <w:r>
        <w:br w:type="page"/>
      </w:r>
    </w:p>
    <w:p w14:paraId="06FB92D1" w14:textId="77777777" w:rsidR="00FD11CF" w:rsidRPr="00FD11CF" w:rsidRDefault="00FD11CF" w:rsidP="00D4448B">
      <w:pPr>
        <w:pStyle w:val="Heading1"/>
      </w:pPr>
      <w:bookmarkStart w:id="3" w:name="_Toc505838175"/>
      <w:r w:rsidRPr="00FD11CF">
        <w:lastRenderedPageBreak/>
        <w:t>Executive Summary</w:t>
      </w:r>
      <w:bookmarkEnd w:id="3"/>
    </w:p>
    <w:p w14:paraId="7C3C04C2" w14:textId="7F3D53EE" w:rsidR="00BE359D" w:rsidRDefault="00BE359D" w:rsidP="00BE359D">
      <w:pPr>
        <w:spacing w:before="60" w:after="60" w:line="240" w:lineRule="auto"/>
      </w:pPr>
      <w:r w:rsidRPr="00C95DD3">
        <w:t xml:space="preserve">This report </w:t>
      </w:r>
      <w:r>
        <w:t xml:space="preserve">is the culmination of the </w:t>
      </w:r>
      <w:r w:rsidR="0016542C" w:rsidRPr="00C95DD3">
        <w:t xml:space="preserve">analysis </w:t>
      </w:r>
      <w:r w:rsidR="0016542C">
        <w:t xml:space="preserve">and </w:t>
      </w:r>
      <w:r w:rsidRPr="00C95DD3">
        <w:t xml:space="preserve">findings </w:t>
      </w:r>
      <w:r>
        <w:t xml:space="preserve">of the extent to which the Multilateral Development Bank – Infrastructure Assistance Program (MDB-IAP) has achieved against </w:t>
      </w:r>
      <w:r w:rsidR="0016542C">
        <w:t>the evaluation objectives</w:t>
      </w:r>
      <w:r>
        <w:rPr>
          <w:rFonts w:asciiTheme="minorHAnsi" w:hAnsiTheme="minorHAnsi"/>
        </w:rPr>
        <w:t>. It provides a</w:t>
      </w:r>
      <w:r w:rsidRPr="000521B7">
        <w:rPr>
          <w:rFonts w:asciiTheme="minorHAnsi" w:hAnsiTheme="minorHAnsi"/>
        </w:rPr>
        <w:t xml:space="preserve"> determination on whether the </w:t>
      </w:r>
      <w:r w:rsidR="0090730A">
        <w:rPr>
          <w:rFonts w:asciiTheme="minorHAnsi" w:hAnsiTheme="minorHAnsi"/>
        </w:rPr>
        <w:t xml:space="preserve">partner-led </w:t>
      </w:r>
      <w:r w:rsidRPr="000521B7">
        <w:rPr>
          <w:rFonts w:asciiTheme="minorHAnsi" w:hAnsiTheme="minorHAnsi"/>
        </w:rPr>
        <w:t xml:space="preserve">program modality is effective and </w:t>
      </w:r>
      <w:r w:rsidR="00660BEF">
        <w:rPr>
          <w:rFonts w:asciiTheme="minorHAnsi" w:hAnsiTheme="minorHAnsi"/>
        </w:rPr>
        <w:t xml:space="preserve">is </w:t>
      </w:r>
      <w:r w:rsidRPr="000521B7">
        <w:rPr>
          <w:rFonts w:asciiTheme="minorHAnsi" w:hAnsiTheme="minorHAnsi"/>
        </w:rPr>
        <w:t>delivering expected outcomes</w:t>
      </w:r>
      <w:r>
        <w:rPr>
          <w:rFonts w:asciiTheme="minorHAnsi" w:hAnsiTheme="minorHAnsi"/>
        </w:rPr>
        <w:t>. The</w:t>
      </w:r>
      <w:r w:rsidR="0090730A">
        <w:rPr>
          <w:rFonts w:asciiTheme="minorHAnsi" w:hAnsiTheme="minorHAnsi"/>
        </w:rPr>
        <w:t xml:space="preserve"> </w:t>
      </w:r>
      <w:r>
        <w:rPr>
          <w:rFonts w:asciiTheme="minorHAnsi" w:hAnsiTheme="minorHAnsi"/>
        </w:rPr>
        <w:t>report also identifies how adaptive the MDB-partners have been to emerging themes and the extent to which this adaptation has benefited the program</w:t>
      </w:r>
      <w:r w:rsidRPr="00C95DD3">
        <w:t xml:space="preserve">. </w:t>
      </w:r>
    </w:p>
    <w:p w14:paraId="258F8675" w14:textId="18004817" w:rsidR="005A6EF6" w:rsidRDefault="005A6EF6" w:rsidP="005A6EF6">
      <w:pPr>
        <w:rPr>
          <w:rFonts w:asciiTheme="minorHAnsi" w:hAnsiTheme="minorHAnsi"/>
        </w:rPr>
      </w:pPr>
      <w:r>
        <w:t>The overarching objective of the Government of Australia’s (GoA’s) investment through the MDB-IAP is to</w:t>
      </w:r>
      <w:r w:rsidRPr="00954444">
        <w:rPr>
          <w:rFonts w:cs="Calibri"/>
        </w:rPr>
        <w:t xml:space="preserve"> </w:t>
      </w:r>
      <w:r>
        <w:rPr>
          <w:rFonts w:asciiTheme="minorHAnsi" w:hAnsiTheme="minorHAnsi" w:cs="Calibri"/>
        </w:rPr>
        <w:t>contribute to Indonesia’s rapid, sustainable, and inclusive development by supporting its efforts to expand and improve infrastructure</w:t>
      </w:r>
      <w:r>
        <w:rPr>
          <w:rFonts w:cs="Calibri"/>
        </w:rPr>
        <w:t xml:space="preserve">. This is achieved by providing </w:t>
      </w:r>
      <w:r w:rsidR="00146A82">
        <w:rPr>
          <w:rFonts w:cs="Calibri"/>
        </w:rPr>
        <w:t xml:space="preserve">a </w:t>
      </w:r>
      <w:r w:rsidR="003E01A0">
        <w:rPr>
          <w:rFonts w:cs="Calibri"/>
        </w:rPr>
        <w:t xml:space="preserve">combined </w:t>
      </w:r>
      <w:r w:rsidR="00146A82">
        <w:rPr>
          <w:rFonts w:cs="Calibri"/>
        </w:rPr>
        <w:t xml:space="preserve">level of </w:t>
      </w:r>
      <w:r w:rsidR="003E01A0">
        <w:rPr>
          <w:rFonts w:cs="Calibri"/>
        </w:rPr>
        <w:t xml:space="preserve">funding of AUD50 million </w:t>
      </w:r>
      <w:r>
        <w:rPr>
          <w:rFonts w:cs="Calibri"/>
        </w:rPr>
        <w:t>for the delivery of technical assistance through two trust funds</w:t>
      </w:r>
      <w:r w:rsidR="00660BEF">
        <w:rPr>
          <w:rFonts w:cs="Calibri"/>
        </w:rPr>
        <w:t>;</w:t>
      </w:r>
      <w:r>
        <w:rPr>
          <w:rFonts w:cs="Calibri"/>
        </w:rPr>
        <w:t xml:space="preserve"> </w:t>
      </w:r>
      <w:r>
        <w:rPr>
          <w:rFonts w:asciiTheme="minorHAnsi" w:hAnsiTheme="minorHAnsi" w:cs="Calibri"/>
        </w:rPr>
        <w:t xml:space="preserve">the </w:t>
      </w:r>
      <w:r w:rsidRPr="000404FE">
        <w:rPr>
          <w:rFonts w:asciiTheme="minorHAnsi" w:hAnsiTheme="minorHAnsi" w:cs="Calibri"/>
        </w:rPr>
        <w:t>Indonesia Infrastructure Support (INIS) Trust Fund</w:t>
      </w:r>
      <w:r>
        <w:rPr>
          <w:rFonts w:cs="Calibri"/>
        </w:rPr>
        <w:t xml:space="preserve"> managed by </w:t>
      </w:r>
      <w:r>
        <w:rPr>
          <w:rFonts w:asciiTheme="minorHAnsi" w:hAnsiTheme="minorHAnsi"/>
        </w:rPr>
        <w:t xml:space="preserve">the World Bank and </w:t>
      </w:r>
      <w:r>
        <w:rPr>
          <w:rFonts w:asciiTheme="minorHAnsi" w:hAnsiTheme="minorHAnsi" w:cs="Calibri"/>
        </w:rPr>
        <w:t xml:space="preserve">the </w:t>
      </w:r>
      <w:r w:rsidRPr="000404FE">
        <w:rPr>
          <w:rFonts w:asciiTheme="minorHAnsi" w:hAnsiTheme="minorHAnsi" w:cs="Calibri"/>
        </w:rPr>
        <w:t>Sustainable Infrastructure Assistance Program (SIAP) – Technical Assistance Cluster administered by</w:t>
      </w:r>
      <w:r>
        <w:rPr>
          <w:rFonts w:asciiTheme="minorHAnsi" w:hAnsiTheme="minorHAnsi"/>
        </w:rPr>
        <w:t xml:space="preserve"> the Asian Development Bank.</w:t>
      </w:r>
      <w:r w:rsidR="00146A82">
        <w:rPr>
          <w:rFonts w:asciiTheme="minorHAnsi" w:hAnsiTheme="minorHAnsi"/>
        </w:rPr>
        <w:t xml:space="preserve"> </w:t>
      </w:r>
      <w:r w:rsidR="00146A82">
        <w:t xml:space="preserve">Actual allocation </w:t>
      </w:r>
      <w:r w:rsidR="0017180B">
        <w:t xml:space="preserve">of funding </w:t>
      </w:r>
      <w:r w:rsidR="00146A82">
        <w:t xml:space="preserve">per year to each trust fund was to be assessed based on </w:t>
      </w:r>
      <w:r w:rsidR="00146A82" w:rsidRPr="0004035A">
        <w:t>performance, demonstrated capacity to deliver and the quality of the pipeline proposals presented</w:t>
      </w:r>
      <w:r w:rsidR="00146A82">
        <w:t>.</w:t>
      </w:r>
    </w:p>
    <w:p w14:paraId="0E25F346" w14:textId="004045C1" w:rsidR="005A6EF6" w:rsidRPr="00BC2812" w:rsidRDefault="005A6EF6" w:rsidP="005A6EF6">
      <w:pPr>
        <w:rPr>
          <w:rFonts w:cs="Calibri"/>
        </w:rPr>
      </w:pPr>
      <w:r>
        <w:rPr>
          <w:rFonts w:asciiTheme="minorHAnsi" w:hAnsiTheme="minorHAnsi" w:cs="Calibri"/>
        </w:rPr>
        <w:t>T</w:t>
      </w:r>
      <w:r w:rsidRPr="00BC2812">
        <w:rPr>
          <w:rFonts w:asciiTheme="minorHAnsi" w:hAnsiTheme="minorHAnsi" w:cs="Calibri"/>
        </w:rPr>
        <w:t xml:space="preserve">he MDB-IAP was </w:t>
      </w:r>
      <w:r w:rsidRPr="00BC2812">
        <w:rPr>
          <w:rFonts w:cs="Calibri"/>
        </w:rPr>
        <w:t>established to finance quality technical assistance through partner-led activities that are aimed at strengthening the policy and institutional framework for infrastructure provision, and improving the preparation and delivery of infrastructure investment and maintenance programs</w:t>
      </w:r>
      <w:r w:rsidR="003F5141">
        <w:rPr>
          <w:rFonts w:cs="Calibri"/>
        </w:rPr>
        <w:t xml:space="preserve"> in </w:t>
      </w:r>
      <w:r w:rsidR="009B3EE7">
        <w:rPr>
          <w:rFonts w:cs="Calibri"/>
        </w:rPr>
        <w:t>I</w:t>
      </w:r>
      <w:r w:rsidR="003F5141">
        <w:rPr>
          <w:rFonts w:cs="Calibri"/>
        </w:rPr>
        <w:t>ndonesia</w:t>
      </w:r>
      <w:r w:rsidRPr="00BC2812">
        <w:rPr>
          <w:rFonts w:cs="Calibri"/>
        </w:rPr>
        <w:t>.</w:t>
      </w:r>
    </w:p>
    <w:p w14:paraId="60F283D1" w14:textId="77777777" w:rsidR="003E01A0" w:rsidRPr="002A3C6E" w:rsidRDefault="003E01A0" w:rsidP="003E01A0">
      <w:pPr>
        <w:rPr>
          <w:rFonts w:cs="Calibri"/>
        </w:rPr>
      </w:pPr>
      <w:r>
        <w:rPr>
          <w:rFonts w:cs="Calibri"/>
        </w:rPr>
        <w:t xml:space="preserve">It was </w:t>
      </w:r>
      <w:r w:rsidRPr="002A3C6E">
        <w:rPr>
          <w:rFonts w:cs="Calibri"/>
        </w:rPr>
        <w:t xml:space="preserve">anticipated </w:t>
      </w:r>
      <w:r>
        <w:rPr>
          <w:rFonts w:cs="Calibri"/>
        </w:rPr>
        <w:t xml:space="preserve">that the outcomes </w:t>
      </w:r>
      <w:r w:rsidRPr="002A3C6E">
        <w:rPr>
          <w:rFonts w:cs="Calibri"/>
        </w:rPr>
        <w:t>from</w:t>
      </w:r>
      <w:r>
        <w:rPr>
          <w:rFonts w:cs="Calibri"/>
        </w:rPr>
        <w:t xml:space="preserve"> these GoA-</w:t>
      </w:r>
      <w:r w:rsidRPr="002A3C6E">
        <w:rPr>
          <w:rFonts w:cs="Calibri"/>
        </w:rPr>
        <w:t>fund</w:t>
      </w:r>
      <w:r>
        <w:rPr>
          <w:rFonts w:cs="Calibri"/>
        </w:rPr>
        <w:t>ed</w:t>
      </w:r>
      <w:r w:rsidRPr="002A3C6E">
        <w:rPr>
          <w:rFonts w:cs="Calibri"/>
        </w:rPr>
        <w:t xml:space="preserve"> activities would result in leveraged investment </w:t>
      </w:r>
      <w:r>
        <w:rPr>
          <w:rFonts w:cs="Calibri"/>
        </w:rPr>
        <w:t xml:space="preserve">by the Government of Indonesia (GoI) and the MDBs </w:t>
      </w:r>
      <w:r w:rsidRPr="002A3C6E">
        <w:rPr>
          <w:rFonts w:cs="Calibri"/>
        </w:rPr>
        <w:t>using the project preparation outputs. It was also anticipated that project outputs would influence new G</w:t>
      </w:r>
      <w:r>
        <w:rPr>
          <w:rFonts w:cs="Calibri"/>
        </w:rPr>
        <w:t>oI</w:t>
      </w:r>
      <w:r w:rsidRPr="002A3C6E">
        <w:rPr>
          <w:rFonts w:cs="Calibri"/>
        </w:rPr>
        <w:t xml:space="preserve"> policy decisions and contribute to reforms in focus areas</w:t>
      </w:r>
      <w:r w:rsidR="003F5141">
        <w:rPr>
          <w:rFonts w:cs="Calibri"/>
        </w:rPr>
        <w:t xml:space="preserve"> on infrastructure</w:t>
      </w:r>
      <w:r w:rsidRPr="002A3C6E">
        <w:rPr>
          <w:rFonts w:cs="Calibri"/>
        </w:rPr>
        <w:t xml:space="preserve">.  </w:t>
      </w:r>
    </w:p>
    <w:p w14:paraId="52B7DC64" w14:textId="79EFD058" w:rsidR="003E01A0" w:rsidRDefault="005A6EF6" w:rsidP="003E01A0">
      <w:r>
        <w:t xml:space="preserve">The </w:t>
      </w:r>
      <w:r w:rsidR="00F87CE8">
        <w:t xml:space="preserve">evaluation </w:t>
      </w:r>
      <w:r w:rsidR="00660BEF">
        <w:t xml:space="preserve">found that the </w:t>
      </w:r>
      <w:r>
        <w:t xml:space="preserve">governance and implementation arrangements for each trust fund are sufficient to achieve the overall objective of the MDB-IAP. However, due to inconsistencies in the governance and implementation arrangements </w:t>
      </w:r>
      <w:r w:rsidRPr="00FD11CF">
        <w:rPr>
          <w:u w:val="single"/>
        </w:rPr>
        <w:t>between</w:t>
      </w:r>
      <w:r>
        <w:t xml:space="preserve"> the two trust funds</w:t>
      </w:r>
      <w:r w:rsidR="00660BEF">
        <w:t>,</w:t>
      </w:r>
      <w:r>
        <w:t xml:space="preserve"> it is difficult to </w:t>
      </w:r>
      <w:r w:rsidR="00660BEF">
        <w:t>dire</w:t>
      </w:r>
      <w:r w:rsidR="0016542C">
        <w:t>c</w:t>
      </w:r>
      <w:r w:rsidR="00660BEF">
        <w:t xml:space="preserve">tly </w:t>
      </w:r>
      <w:r>
        <w:t>compare performance and achievement of outcomes.</w:t>
      </w:r>
      <w:r w:rsidR="003E01A0">
        <w:t xml:space="preserve"> </w:t>
      </w:r>
      <w:r w:rsidR="003E01A0">
        <w:rPr>
          <w:rFonts w:asciiTheme="minorHAnsi" w:hAnsiTheme="minorHAnsi" w:cs="Calibri"/>
        </w:rPr>
        <w:t xml:space="preserve">The different identification and basis of </w:t>
      </w:r>
      <w:r w:rsidR="000D0793">
        <w:rPr>
          <w:rFonts w:asciiTheme="minorHAnsi" w:hAnsiTheme="minorHAnsi" w:cs="Calibri"/>
        </w:rPr>
        <w:t xml:space="preserve">grouping, tracking and reporting on </w:t>
      </w:r>
      <w:r w:rsidR="003E01A0">
        <w:rPr>
          <w:rFonts w:asciiTheme="minorHAnsi" w:hAnsiTheme="minorHAnsi" w:cs="Calibri"/>
        </w:rPr>
        <w:t xml:space="preserve">projects between INIS and SIAP also makes it difficult to compare and contrast effectiveness of performance and quality of pipeline projects between to the two trust funds. </w:t>
      </w:r>
      <w:r w:rsidR="00660BEF">
        <w:t xml:space="preserve">The </w:t>
      </w:r>
      <w:r w:rsidR="003E01A0">
        <w:t xml:space="preserve">inability to </w:t>
      </w:r>
      <w:r w:rsidR="00660BEF">
        <w:t xml:space="preserve">directly </w:t>
      </w:r>
      <w:r w:rsidR="003E01A0">
        <w:t xml:space="preserve">compare success between the trust funds is compounded by the lack of an agreed, consistently applied </w:t>
      </w:r>
      <w:r w:rsidR="0040271F">
        <w:t>M</w:t>
      </w:r>
      <w:r w:rsidR="003E01A0">
        <w:t xml:space="preserve">onitoring and </w:t>
      </w:r>
      <w:r w:rsidR="0040271F">
        <w:t>E</w:t>
      </w:r>
      <w:r w:rsidR="003E01A0">
        <w:t>valuation</w:t>
      </w:r>
      <w:r w:rsidR="0040271F">
        <w:t xml:space="preserve"> (M&amp;E)</w:t>
      </w:r>
      <w:r w:rsidR="003E01A0">
        <w:t xml:space="preserve"> </w:t>
      </w:r>
      <w:r w:rsidR="0040271F">
        <w:t>f</w:t>
      </w:r>
      <w:r w:rsidR="003E01A0">
        <w:t xml:space="preserve">ramework across the program. </w:t>
      </w:r>
    </w:p>
    <w:p w14:paraId="728EBEA5" w14:textId="5DDA50C0" w:rsidR="005A6EF6" w:rsidRDefault="005A6EF6" w:rsidP="005A6EF6">
      <w:pPr>
        <w:rPr>
          <w:rFonts w:cs="Calibri"/>
        </w:rPr>
      </w:pPr>
      <w:r>
        <w:t xml:space="preserve">Notwithstanding the differences in governance arrangements and the methods for measuring success, MDB-IAB funded activities </w:t>
      </w:r>
      <w:r w:rsidR="00660BEF">
        <w:t xml:space="preserve">were found to </w:t>
      </w:r>
      <w:r>
        <w:t>have been effective in delivering against the program outcome</w:t>
      </w:r>
      <w:r w:rsidR="0017180B">
        <w:t>s</w:t>
      </w:r>
      <w:r>
        <w:t>.</w:t>
      </w:r>
      <w:r>
        <w:rPr>
          <w:rFonts w:cs="Calibri"/>
        </w:rPr>
        <w:t xml:space="preserve"> Numerous examples of </w:t>
      </w:r>
      <w:r w:rsidR="00B958FC">
        <w:rPr>
          <w:rFonts w:cs="Calibri"/>
        </w:rPr>
        <w:t>Australian-</w:t>
      </w:r>
      <w:r>
        <w:rPr>
          <w:rFonts w:cs="Calibri"/>
        </w:rPr>
        <w:t xml:space="preserve">funded technical assistance being use in the establishment or subsequent oversight of loan funding arrangements were identified. Examples were also identified of targeted project </w:t>
      </w:r>
      <w:r w:rsidRPr="002A3C6E">
        <w:rPr>
          <w:rFonts w:cs="Calibri"/>
        </w:rPr>
        <w:t>outputs</w:t>
      </w:r>
      <w:r>
        <w:rPr>
          <w:rFonts w:cs="Calibri"/>
        </w:rPr>
        <w:t xml:space="preserve"> influencing GoI policy decisions and contributing to reforms in certain focus areas.</w:t>
      </w:r>
      <w:r w:rsidRPr="002A3C6E">
        <w:rPr>
          <w:rFonts w:cs="Calibri"/>
        </w:rPr>
        <w:t xml:space="preserve"> </w:t>
      </w:r>
      <w:r>
        <w:rPr>
          <w:rFonts w:cs="Calibri"/>
        </w:rPr>
        <w:t xml:space="preserve">While the actual quantification and reporting of the level of impact </w:t>
      </w:r>
      <w:r w:rsidR="003E01A0">
        <w:rPr>
          <w:rFonts w:cs="Calibri"/>
        </w:rPr>
        <w:t xml:space="preserve">for funds expended </w:t>
      </w:r>
      <w:r>
        <w:rPr>
          <w:rFonts w:cs="Calibri"/>
        </w:rPr>
        <w:t>has varied between the trust funds</w:t>
      </w:r>
      <w:r w:rsidR="00660BEF">
        <w:rPr>
          <w:rFonts w:cs="Calibri"/>
        </w:rPr>
        <w:t>,</w:t>
      </w:r>
      <w:r>
        <w:rPr>
          <w:rFonts w:cs="Calibri"/>
        </w:rPr>
        <w:t xml:space="preserve"> due to no clear or consistent definition of how this was to be captured, MDB calculated levels of leveraged investment </w:t>
      </w:r>
      <w:r w:rsidR="006C2444">
        <w:rPr>
          <w:rFonts w:cs="Calibri"/>
        </w:rPr>
        <w:t>in i</w:t>
      </w:r>
      <w:r w:rsidR="009B3EE7">
        <w:rPr>
          <w:rFonts w:cs="Calibri"/>
        </w:rPr>
        <w:t xml:space="preserve">nfrastructure </w:t>
      </w:r>
      <w:r>
        <w:rPr>
          <w:rFonts w:cs="Calibri"/>
        </w:rPr>
        <w:t xml:space="preserve">at the time of this evaluation amount to some </w:t>
      </w:r>
      <w:r w:rsidR="000D0793">
        <w:rPr>
          <w:rFonts w:cs="Calibri"/>
        </w:rPr>
        <w:t>USD</w:t>
      </w:r>
      <w:r>
        <w:rPr>
          <w:rFonts w:cs="Calibri"/>
        </w:rPr>
        <w:t>6</w:t>
      </w:r>
      <w:r w:rsidR="006C2444">
        <w:rPr>
          <w:rFonts w:cs="Calibri"/>
        </w:rPr>
        <w:t xml:space="preserve"> </w:t>
      </w:r>
      <w:r>
        <w:rPr>
          <w:rFonts w:cs="Calibri"/>
        </w:rPr>
        <w:t>billion.</w:t>
      </w:r>
    </w:p>
    <w:p w14:paraId="6934A35E" w14:textId="4B0D850D" w:rsidR="005A6EF6" w:rsidRDefault="005A6EF6" w:rsidP="005A6EF6">
      <w:pPr>
        <w:rPr>
          <w:rFonts w:cs="Calibri"/>
        </w:rPr>
      </w:pPr>
      <w:r>
        <w:rPr>
          <w:rFonts w:cs="Calibri"/>
        </w:rPr>
        <w:t xml:space="preserve">The MDB-IAP governance and administrative arrangements </w:t>
      </w:r>
      <w:r w:rsidR="00660BEF">
        <w:rPr>
          <w:rFonts w:cs="Calibri"/>
        </w:rPr>
        <w:t xml:space="preserve">were found to </w:t>
      </w:r>
      <w:r>
        <w:rPr>
          <w:rFonts w:cs="Calibri"/>
        </w:rPr>
        <w:t xml:space="preserve">have </w:t>
      </w:r>
      <w:r w:rsidR="00660BEF">
        <w:rPr>
          <w:rFonts w:cs="Calibri"/>
        </w:rPr>
        <w:t xml:space="preserve">been </w:t>
      </w:r>
      <w:r>
        <w:rPr>
          <w:rFonts w:cs="Calibri"/>
        </w:rPr>
        <w:t>either sufficiently broad</w:t>
      </w:r>
      <w:r w:rsidR="0016542C">
        <w:rPr>
          <w:rFonts w:cs="Calibri"/>
        </w:rPr>
        <w:t xml:space="preserve"> enough</w:t>
      </w:r>
      <w:r w:rsidR="00660BEF">
        <w:rPr>
          <w:rFonts w:cs="Calibri"/>
        </w:rPr>
        <w:t>,</w:t>
      </w:r>
      <w:r>
        <w:rPr>
          <w:rFonts w:cs="Calibri"/>
        </w:rPr>
        <w:t xml:space="preserve"> or readily </w:t>
      </w:r>
      <w:r w:rsidR="00660BEF">
        <w:rPr>
          <w:rFonts w:cs="Calibri"/>
        </w:rPr>
        <w:t xml:space="preserve">amendable, </w:t>
      </w:r>
      <w:r>
        <w:rPr>
          <w:rFonts w:cs="Calibri"/>
        </w:rPr>
        <w:t xml:space="preserve">to adapt to changing GoI and MDB infrastructure priorities over the life of the program. </w:t>
      </w:r>
      <w:r w:rsidR="005557DB">
        <w:rPr>
          <w:rFonts w:cs="Calibri"/>
        </w:rPr>
        <w:t xml:space="preserve">There is no requirement </w:t>
      </w:r>
      <w:r w:rsidR="00571D2F">
        <w:rPr>
          <w:rFonts w:cs="Calibri"/>
        </w:rPr>
        <w:t xml:space="preserve">in these arrangements </w:t>
      </w:r>
      <w:r w:rsidR="005557DB">
        <w:rPr>
          <w:rFonts w:cs="Calibri"/>
        </w:rPr>
        <w:t>to specifically consider Australia’s priorities in project selection or delivery and n</w:t>
      </w:r>
      <w:r>
        <w:rPr>
          <w:rFonts w:cs="Calibri"/>
        </w:rPr>
        <w:t xml:space="preserve">o such adjustments were observed </w:t>
      </w:r>
      <w:r w:rsidR="00571D2F">
        <w:rPr>
          <w:rFonts w:cs="Calibri"/>
        </w:rPr>
        <w:t xml:space="preserve">over the life for the MDB-IAP </w:t>
      </w:r>
      <w:r>
        <w:rPr>
          <w:rFonts w:cs="Calibri"/>
        </w:rPr>
        <w:t>in response to emerging themes</w:t>
      </w:r>
      <w:r w:rsidR="00146A82">
        <w:rPr>
          <w:rFonts w:cs="Calibri"/>
        </w:rPr>
        <w:t xml:space="preserve"> </w:t>
      </w:r>
      <w:r>
        <w:rPr>
          <w:rFonts w:cs="Calibri"/>
        </w:rPr>
        <w:t>or changing priorities from the GoA perspective</w:t>
      </w:r>
      <w:r w:rsidR="00146A82">
        <w:rPr>
          <w:rFonts w:cs="Calibri"/>
        </w:rPr>
        <w:t xml:space="preserve"> (such as Australia’s position on social inclusion and gender equality)</w:t>
      </w:r>
      <w:r>
        <w:rPr>
          <w:rFonts w:cs="Calibri"/>
        </w:rPr>
        <w:t>.</w:t>
      </w:r>
    </w:p>
    <w:p w14:paraId="236C4EDA" w14:textId="7D39D5D1" w:rsidR="005A6EF6" w:rsidRDefault="005A6EF6" w:rsidP="005A6EF6">
      <w:r>
        <w:lastRenderedPageBreak/>
        <w:t xml:space="preserve">As a result, the funding of specific activities under the MDB-IAP </w:t>
      </w:r>
      <w:r w:rsidR="002A5E48">
        <w:t xml:space="preserve">is </w:t>
      </w:r>
      <w:r>
        <w:t xml:space="preserve">consistent with the evolving GoI and MDB investment priorities. The </w:t>
      </w:r>
      <w:r w:rsidR="002A5E48">
        <w:t xml:space="preserve">provision of </w:t>
      </w:r>
      <w:r>
        <w:t>non-core</w:t>
      </w:r>
      <w:r w:rsidR="003E01A0">
        <w:t xml:space="preserve"> component</w:t>
      </w:r>
      <w:r>
        <w:t xml:space="preserve"> funding to MDBs is consistent with broader objectives of the Australian aid program </w:t>
      </w:r>
      <w:r w:rsidR="00ED3C5F">
        <w:t>and the Indonesia-specific Aid Investment Plan</w:t>
      </w:r>
      <w:r w:rsidR="004A2D37">
        <w:t xml:space="preserve">, </w:t>
      </w:r>
      <w:r>
        <w:t xml:space="preserve">and </w:t>
      </w:r>
      <w:r w:rsidR="002A5E48">
        <w:t xml:space="preserve">is </w:t>
      </w:r>
      <w:r>
        <w:t xml:space="preserve">considered an effective way of delivering Australia aid. However, as there </w:t>
      </w:r>
      <w:r w:rsidR="00E50045">
        <w:t>wa</w:t>
      </w:r>
      <w:r>
        <w:t xml:space="preserve">s no clear or explicit strategy </w:t>
      </w:r>
      <w:r w:rsidR="00571D2F">
        <w:t xml:space="preserve">prioritising </w:t>
      </w:r>
      <w:r>
        <w:t>Australia’s investment in infrastructure within Indonesia</w:t>
      </w:r>
      <w:r w:rsidR="0016542C">
        <w:t>,</w:t>
      </w:r>
      <w:r>
        <w:t xml:space="preserve"> the evaluation is unable to assess how aligned actual funding decisions for individual activities </w:t>
      </w:r>
      <w:r w:rsidR="00E50045">
        <w:t>have been</w:t>
      </w:r>
      <w:r w:rsidR="00571D2F">
        <w:t xml:space="preserve"> </w:t>
      </w:r>
      <w:r>
        <w:t xml:space="preserve">with Australia’s priorities. This </w:t>
      </w:r>
      <w:r w:rsidR="005557DB">
        <w:t xml:space="preserve">also </w:t>
      </w:r>
      <w:r>
        <w:t xml:space="preserve">creates a risk that other, </w:t>
      </w:r>
      <w:r w:rsidR="0016542C">
        <w:t xml:space="preserve">and potentially </w:t>
      </w:r>
      <w:r>
        <w:t>more mutually relevant projects to the GoA</w:t>
      </w:r>
      <w:r w:rsidR="0016542C">
        <w:t>,</w:t>
      </w:r>
      <w:r>
        <w:t xml:space="preserve"> are not being identified and</w:t>
      </w:r>
      <w:r w:rsidR="005557DB">
        <w:t>/or</w:t>
      </w:r>
      <w:r>
        <w:t xml:space="preserve"> considered for funding.</w:t>
      </w:r>
    </w:p>
    <w:p w14:paraId="0D19C4C9" w14:textId="4EDBAB68" w:rsidR="005A6EF6" w:rsidRDefault="005A6EF6" w:rsidP="005A6EF6">
      <w:r>
        <w:t xml:space="preserve">The report makes five recommendations aimed at fine tuning the existing arrangements </w:t>
      </w:r>
      <w:r w:rsidR="00AB3137">
        <w:t>and any future trust fund investments</w:t>
      </w:r>
      <w:r w:rsidR="00262833">
        <w:t>,</w:t>
      </w:r>
      <w:r w:rsidR="00AB3137">
        <w:t xml:space="preserve"> to</w:t>
      </w:r>
      <w:r>
        <w:t xml:space="preserve"> develop an increased level of consistency and comparability between the trust funds as envisaged in the investment design. These refinements, balanced against a proportional and risk based assessment of available D</w:t>
      </w:r>
      <w:r w:rsidR="00C776A5">
        <w:t>epartment of Foreign Affairs and Trade (D</w:t>
      </w:r>
      <w:r>
        <w:t>FAT</w:t>
      </w:r>
      <w:r w:rsidR="00C776A5">
        <w:t>)</w:t>
      </w:r>
      <w:r>
        <w:t xml:space="preserve"> staff resources, are recommended to ensure that outcomes are better able to be considered over the remaining life of the program, that additional activities are in line with Australia’s priority areas and, recognising the existing bilateral investment program in infrastructure, that new technical assistance </w:t>
      </w:r>
      <w:r w:rsidR="00014114">
        <w:t>activit</w:t>
      </w:r>
      <w:r w:rsidR="00262833">
        <w:t>i</w:t>
      </w:r>
      <w:r w:rsidR="00014114">
        <w:t>es</w:t>
      </w:r>
      <w:r>
        <w:t xml:space="preserve"> are funded through the most appropriate </w:t>
      </w:r>
      <w:r w:rsidR="00262833">
        <w:t xml:space="preserve">available </w:t>
      </w:r>
      <w:r>
        <w:t xml:space="preserve">funding modality. </w:t>
      </w:r>
    </w:p>
    <w:p w14:paraId="309F005A" w14:textId="77777777" w:rsidR="005A6EF6" w:rsidRDefault="005A6EF6" w:rsidP="005A6EF6">
      <w:pPr>
        <w:pStyle w:val="Heading1"/>
      </w:pPr>
      <w:bookmarkStart w:id="4" w:name="_Toc505838176"/>
      <w:r>
        <w:t>Recommendations</w:t>
      </w:r>
      <w:bookmarkEnd w:id="4"/>
    </w:p>
    <w:p w14:paraId="5EDD5269" w14:textId="77777777" w:rsidR="003E01A0" w:rsidRDefault="003E01A0" w:rsidP="003E01A0">
      <w:pPr>
        <w:pStyle w:val="Heading3"/>
      </w:pPr>
      <w:r>
        <w:t>Recommendation 1</w:t>
      </w:r>
    </w:p>
    <w:p w14:paraId="588C3E65" w14:textId="25BA0FAB" w:rsidR="006E78B9" w:rsidRDefault="006E78B9" w:rsidP="00666BF3">
      <w:pPr>
        <w:rPr>
          <w:rFonts w:asciiTheme="minorHAnsi" w:hAnsiTheme="minorHAnsi" w:cs="Calibri"/>
        </w:rPr>
      </w:pPr>
      <w:r>
        <w:rPr>
          <w:rFonts w:asciiTheme="minorHAnsi" w:hAnsiTheme="minorHAnsi" w:cs="Calibri"/>
        </w:rPr>
        <w:t xml:space="preserve">If DFAT is to provide future funding through Multilateral Development Banks Infrastructure Trust Funds, a minimum set of </w:t>
      </w:r>
      <w:r>
        <w:t xml:space="preserve">common governance arrangements, reporting requirements and overarching </w:t>
      </w:r>
      <w:r w:rsidR="00411CE1">
        <w:t xml:space="preserve">Monitoring and Evaluation </w:t>
      </w:r>
      <w:r>
        <w:t>framework should be developed and implemented to enable performance to be assessed in a consistent and comparable manner across the multiple trust funds.</w:t>
      </w:r>
    </w:p>
    <w:p w14:paraId="4696E374" w14:textId="77777777" w:rsidR="003E01A0" w:rsidRDefault="003E01A0" w:rsidP="003E01A0">
      <w:pPr>
        <w:pStyle w:val="Heading3"/>
      </w:pPr>
      <w:r>
        <w:t>Recommendation 2</w:t>
      </w:r>
    </w:p>
    <w:p w14:paraId="2833E30B" w14:textId="4FD60938" w:rsidR="006E78B9" w:rsidRDefault="006E78B9" w:rsidP="006E78B9">
      <w:r>
        <w:t>Consistent with the establishment of a specific M</w:t>
      </w:r>
      <w:r w:rsidR="00016FEA">
        <w:t xml:space="preserve">onitoring and </w:t>
      </w:r>
      <w:r>
        <w:t>E</w:t>
      </w:r>
      <w:r w:rsidR="00016FEA">
        <w:t>valuation</w:t>
      </w:r>
      <w:r>
        <w:t xml:space="preserve"> framework for the program if additional funding is to be provided through Multilateral Development Bank Infrastructure Trust Funds, specific operational-level outcomes and outputs should be identified, agreed and promulgated up front, including the associated definitions for measuring and reporting success.</w:t>
      </w:r>
    </w:p>
    <w:p w14:paraId="6999EDC4" w14:textId="77777777" w:rsidR="006E78B9" w:rsidRPr="00E2228C" w:rsidRDefault="006E78B9" w:rsidP="006E78B9">
      <w:pPr>
        <w:rPr>
          <w:b/>
        </w:rPr>
      </w:pPr>
      <w:r w:rsidRPr="00E2228C">
        <w:rPr>
          <w:b/>
        </w:rPr>
        <w:t>Recommendation 3</w:t>
      </w:r>
    </w:p>
    <w:p w14:paraId="51437110" w14:textId="61D156A5" w:rsidR="006E78B9" w:rsidRDefault="006E78B9" w:rsidP="006E78B9">
      <w:r>
        <w:t>A mechanism should be developed and implemented with M</w:t>
      </w:r>
      <w:r w:rsidR="00411CE1">
        <w:t>ultilateral Development Banks</w:t>
      </w:r>
      <w:r>
        <w:t xml:space="preserve"> that enables G</w:t>
      </w:r>
      <w:r w:rsidR="00411CE1">
        <w:t>overnment of Australia</w:t>
      </w:r>
      <w:r>
        <w:t xml:space="preserve"> priorities and emerging themes to be clearly incorporated in</w:t>
      </w:r>
      <w:r w:rsidR="00411CE1">
        <w:t>to</w:t>
      </w:r>
      <w:r>
        <w:t xml:space="preserve"> </w:t>
      </w:r>
      <w:r w:rsidR="00411CE1">
        <w:t xml:space="preserve">Multilateral Development Bank Infrastructure Trust Fund </w:t>
      </w:r>
      <w:r>
        <w:t>decision-making processes and project delivery activities.</w:t>
      </w:r>
    </w:p>
    <w:p w14:paraId="7C102388" w14:textId="77777777" w:rsidR="00B319DE" w:rsidRDefault="00B319DE" w:rsidP="00B319DE">
      <w:pPr>
        <w:pStyle w:val="Heading3"/>
      </w:pPr>
      <w:r>
        <w:t>Recommendation 4</w:t>
      </w:r>
    </w:p>
    <w:p w14:paraId="337C9C58" w14:textId="7C972C4A" w:rsidR="006E78B9" w:rsidRDefault="006E78B9" w:rsidP="006E78B9">
      <w:r>
        <w:t xml:space="preserve">A set of selection and evaluation criteria for future </w:t>
      </w:r>
      <w:r w:rsidR="00411CE1">
        <w:t>Multilateral Development Bank Infrastructure Trust Fund</w:t>
      </w:r>
      <w:r>
        <w:t>-funded activities should be developed that ensures consideration of key priority areas for the G</w:t>
      </w:r>
      <w:r w:rsidR="00411CE1">
        <w:t>overnment of Australia</w:t>
      </w:r>
      <w:r>
        <w:t xml:space="preserve">. Consideration should also be given to sustainability criteria where it is known upfront that particular technical assistance is required for the duration of a loan arrangement. </w:t>
      </w:r>
    </w:p>
    <w:p w14:paraId="4E86A459" w14:textId="77777777" w:rsidR="006E78B9" w:rsidRDefault="006E78B9" w:rsidP="006E78B9">
      <w:pPr>
        <w:pStyle w:val="Heading3"/>
      </w:pPr>
      <w:r>
        <w:t>Recommendation 5</w:t>
      </w:r>
    </w:p>
    <w:p w14:paraId="1E5BD602" w14:textId="16FEADAB" w:rsidR="006E78B9" w:rsidRDefault="006E78B9" w:rsidP="006E78B9">
      <w:r>
        <w:t>A feedback mechanism should be developed to capture G</w:t>
      </w:r>
      <w:r w:rsidR="00411CE1">
        <w:t xml:space="preserve">overnment of Indonesia </w:t>
      </w:r>
      <w:r>
        <w:t xml:space="preserve">feedback on </w:t>
      </w:r>
      <w:r w:rsidR="00411CE1">
        <w:t>Multilateral Development Bank Infrastructure Trust Fund</w:t>
      </w:r>
      <w:r w:rsidR="00411CE1" w:rsidDel="00411CE1">
        <w:t xml:space="preserve"> </w:t>
      </w:r>
      <w:r>
        <w:t>project selection and delivery to ensure future technical assistance activities are being funded under the most appropriate available modality of assistance</w:t>
      </w:r>
      <w:r w:rsidR="001815D9">
        <w:t>.</w:t>
      </w:r>
      <w:r>
        <w:t xml:space="preserve"> </w:t>
      </w:r>
    </w:p>
    <w:p w14:paraId="4745786D" w14:textId="77777777" w:rsidR="00D647A2" w:rsidRDefault="00D647A2">
      <w:pPr>
        <w:spacing w:before="0" w:after="200" w:line="276" w:lineRule="auto"/>
        <w:rPr>
          <w:rFonts w:ascii="Arial" w:hAnsi="Arial"/>
          <w:b/>
          <w:smallCaps/>
          <w:sz w:val="36"/>
          <w:szCs w:val="36"/>
        </w:rPr>
      </w:pPr>
      <w:r>
        <w:lastRenderedPageBreak/>
        <w:br w:type="page"/>
      </w:r>
    </w:p>
    <w:p w14:paraId="4F29D380" w14:textId="77777777" w:rsidR="00783F97" w:rsidRPr="00383C7C" w:rsidRDefault="00B036A0" w:rsidP="00D4448B">
      <w:pPr>
        <w:pStyle w:val="Heading1"/>
        <w:rPr>
          <w:rFonts w:asciiTheme="minorHAnsi" w:hAnsiTheme="minorHAnsi"/>
        </w:rPr>
      </w:pPr>
      <w:bookmarkStart w:id="5" w:name="_Toc505838177"/>
      <w:r>
        <w:lastRenderedPageBreak/>
        <w:t>Background</w:t>
      </w:r>
      <w:bookmarkEnd w:id="0"/>
      <w:bookmarkEnd w:id="5"/>
    </w:p>
    <w:p w14:paraId="12A3B08A" w14:textId="77777777" w:rsidR="000404FE" w:rsidRDefault="003671BC" w:rsidP="003671BC">
      <w:pPr>
        <w:rPr>
          <w:rFonts w:asciiTheme="minorHAnsi" w:hAnsiTheme="minorHAnsi" w:cs="Calibri"/>
        </w:rPr>
      </w:pPr>
      <w:r>
        <w:t xml:space="preserve">The overarching objective of the </w:t>
      </w:r>
      <w:r w:rsidR="00297727">
        <w:t xml:space="preserve">Government of </w:t>
      </w:r>
      <w:r>
        <w:t>Australia</w:t>
      </w:r>
      <w:r w:rsidR="00297727">
        <w:t>’s (GoA’s)</w:t>
      </w:r>
      <w:r>
        <w:t xml:space="preserve"> investment through the </w:t>
      </w:r>
      <w:r w:rsidR="000521B7">
        <w:t>M</w:t>
      </w:r>
      <w:r w:rsidR="00D647A2">
        <w:t xml:space="preserve">ultilateral </w:t>
      </w:r>
      <w:r w:rsidR="000521B7">
        <w:t>D</w:t>
      </w:r>
      <w:r w:rsidR="00D647A2">
        <w:t xml:space="preserve">evelopment </w:t>
      </w:r>
      <w:r w:rsidR="000521B7">
        <w:t>B</w:t>
      </w:r>
      <w:r w:rsidR="00D647A2">
        <w:t xml:space="preserve">ank – </w:t>
      </w:r>
      <w:r w:rsidR="000521B7">
        <w:t>I</w:t>
      </w:r>
      <w:r w:rsidR="00D647A2">
        <w:t xml:space="preserve">nfrastructure </w:t>
      </w:r>
      <w:r w:rsidR="000521B7">
        <w:t>A</w:t>
      </w:r>
      <w:r w:rsidR="00D647A2">
        <w:t xml:space="preserve">ssistance </w:t>
      </w:r>
      <w:r w:rsidR="000521B7">
        <w:t>P</w:t>
      </w:r>
      <w:r w:rsidR="00D647A2">
        <w:t>rogram (MDB-IAP)</w:t>
      </w:r>
      <w:r>
        <w:t xml:space="preserve"> is to</w:t>
      </w:r>
      <w:r w:rsidRPr="00954444">
        <w:rPr>
          <w:rFonts w:cs="Calibri"/>
        </w:rPr>
        <w:t xml:space="preserve"> </w:t>
      </w:r>
      <w:r>
        <w:rPr>
          <w:rFonts w:asciiTheme="minorHAnsi" w:hAnsiTheme="minorHAnsi" w:cs="Calibri"/>
        </w:rPr>
        <w:t>contribute to Indonesia’s rapid, sustainable, and inclusive development by supporting its efforts to expand and improve infrastructure</w:t>
      </w:r>
      <w:r>
        <w:rPr>
          <w:rFonts w:cs="Calibri"/>
        </w:rPr>
        <w:t>.</w:t>
      </w:r>
    </w:p>
    <w:p w14:paraId="2CB86C36" w14:textId="77777777" w:rsidR="000404FE" w:rsidRDefault="000404FE" w:rsidP="00254D3F">
      <w:pPr>
        <w:spacing w:after="0"/>
        <w:rPr>
          <w:rFonts w:asciiTheme="minorHAnsi" w:hAnsiTheme="minorHAnsi" w:cs="Calibri"/>
        </w:rPr>
      </w:pPr>
      <w:r>
        <w:rPr>
          <w:rFonts w:asciiTheme="minorHAnsi" w:hAnsiTheme="minorHAnsi" w:cs="Calibri"/>
        </w:rPr>
        <w:t xml:space="preserve">The MDB-IAP </w:t>
      </w:r>
      <w:r w:rsidR="00D647A2">
        <w:rPr>
          <w:rFonts w:asciiTheme="minorHAnsi" w:hAnsiTheme="minorHAnsi" w:cs="Calibri"/>
        </w:rPr>
        <w:t xml:space="preserve">has </w:t>
      </w:r>
      <w:r>
        <w:rPr>
          <w:rFonts w:asciiTheme="minorHAnsi" w:hAnsiTheme="minorHAnsi" w:cs="Calibri"/>
        </w:rPr>
        <w:t>provide</w:t>
      </w:r>
      <w:r w:rsidR="00150F21">
        <w:rPr>
          <w:rFonts w:asciiTheme="minorHAnsi" w:hAnsiTheme="minorHAnsi" w:cs="Calibri"/>
        </w:rPr>
        <w:t xml:space="preserve">d </w:t>
      </w:r>
      <w:r>
        <w:rPr>
          <w:rFonts w:asciiTheme="minorHAnsi" w:hAnsiTheme="minorHAnsi" w:cs="Calibri"/>
        </w:rPr>
        <w:t>for up to A</w:t>
      </w:r>
      <w:r w:rsidR="00150F21">
        <w:rPr>
          <w:rFonts w:asciiTheme="minorHAnsi" w:hAnsiTheme="minorHAnsi" w:cs="Calibri"/>
        </w:rPr>
        <w:t>UD</w:t>
      </w:r>
      <w:r w:rsidR="003671BC">
        <w:rPr>
          <w:rFonts w:asciiTheme="minorHAnsi" w:hAnsiTheme="minorHAnsi" w:cs="Calibri"/>
        </w:rPr>
        <w:t>5</w:t>
      </w:r>
      <w:r>
        <w:rPr>
          <w:rFonts w:asciiTheme="minorHAnsi" w:hAnsiTheme="minorHAnsi" w:cs="Calibri"/>
        </w:rPr>
        <w:t>0</w:t>
      </w:r>
      <w:r w:rsidR="007E209B">
        <w:rPr>
          <w:rFonts w:asciiTheme="minorHAnsi" w:hAnsiTheme="minorHAnsi" w:cs="Calibri"/>
        </w:rPr>
        <w:t>.5</w:t>
      </w:r>
      <w:r w:rsidR="0085583A">
        <w:rPr>
          <w:rFonts w:asciiTheme="minorHAnsi" w:hAnsiTheme="minorHAnsi" w:cs="Calibri"/>
        </w:rPr>
        <w:t xml:space="preserve"> </w:t>
      </w:r>
      <w:r>
        <w:rPr>
          <w:rFonts w:asciiTheme="minorHAnsi" w:hAnsiTheme="minorHAnsi" w:cs="Calibri"/>
        </w:rPr>
        <w:t xml:space="preserve">million to be channelled </w:t>
      </w:r>
      <w:r w:rsidR="0085583A">
        <w:rPr>
          <w:rFonts w:asciiTheme="minorHAnsi" w:hAnsiTheme="minorHAnsi" w:cs="Calibri"/>
        </w:rPr>
        <w:t xml:space="preserve">to the World Bank and </w:t>
      </w:r>
      <w:r w:rsidR="0085583A" w:rsidRPr="000404FE">
        <w:rPr>
          <w:rFonts w:asciiTheme="minorHAnsi" w:hAnsiTheme="minorHAnsi" w:cs="Calibri"/>
        </w:rPr>
        <w:t>t</w:t>
      </w:r>
      <w:r w:rsidR="0085583A">
        <w:rPr>
          <w:rFonts w:asciiTheme="minorHAnsi" w:hAnsiTheme="minorHAnsi" w:cs="Calibri"/>
        </w:rPr>
        <w:t xml:space="preserve">he Asian Development Bank (ADB) </w:t>
      </w:r>
      <w:r>
        <w:rPr>
          <w:rFonts w:asciiTheme="minorHAnsi" w:hAnsiTheme="minorHAnsi" w:cs="Calibri"/>
        </w:rPr>
        <w:t xml:space="preserve">through </w:t>
      </w:r>
      <w:r w:rsidR="003D2290">
        <w:rPr>
          <w:rFonts w:asciiTheme="minorHAnsi" w:hAnsiTheme="minorHAnsi" w:cs="Calibri"/>
        </w:rPr>
        <w:t xml:space="preserve">two </w:t>
      </w:r>
      <w:r>
        <w:rPr>
          <w:rFonts w:asciiTheme="minorHAnsi" w:hAnsiTheme="minorHAnsi" w:cs="Calibri"/>
        </w:rPr>
        <w:t xml:space="preserve">trust funds over </w:t>
      </w:r>
      <w:r w:rsidR="0085583A">
        <w:rPr>
          <w:rFonts w:asciiTheme="minorHAnsi" w:hAnsiTheme="minorHAnsi" w:cs="Calibri"/>
        </w:rPr>
        <w:t xml:space="preserve">the </w:t>
      </w:r>
      <w:r>
        <w:rPr>
          <w:rFonts w:asciiTheme="minorHAnsi" w:hAnsiTheme="minorHAnsi" w:cs="Calibri"/>
        </w:rPr>
        <w:t>six-year period 2013 to 2019</w:t>
      </w:r>
      <w:r w:rsidR="000521B7">
        <w:rPr>
          <w:rStyle w:val="FootnoteReference"/>
          <w:rFonts w:asciiTheme="minorHAnsi" w:hAnsiTheme="minorHAnsi" w:cs="Calibri"/>
        </w:rPr>
        <w:footnoteReference w:id="1"/>
      </w:r>
      <w:r>
        <w:rPr>
          <w:rFonts w:asciiTheme="minorHAnsi" w:hAnsiTheme="minorHAnsi" w:cs="Calibri"/>
        </w:rPr>
        <w:t>:</w:t>
      </w:r>
    </w:p>
    <w:p w14:paraId="3A1C116F" w14:textId="77777777" w:rsidR="000404FE" w:rsidRPr="000404FE" w:rsidRDefault="003671BC" w:rsidP="00254D3F">
      <w:pPr>
        <w:pStyle w:val="ListParagraph"/>
        <w:numPr>
          <w:ilvl w:val="0"/>
          <w:numId w:val="53"/>
        </w:numPr>
        <w:spacing w:before="0"/>
        <w:ind w:left="357" w:hanging="357"/>
        <w:rPr>
          <w:rFonts w:asciiTheme="minorHAnsi" w:hAnsiTheme="minorHAnsi" w:cs="Calibri"/>
        </w:rPr>
      </w:pPr>
      <w:r>
        <w:rPr>
          <w:rFonts w:asciiTheme="minorHAnsi" w:hAnsiTheme="minorHAnsi" w:cs="Calibri"/>
        </w:rPr>
        <w:t xml:space="preserve">the </w:t>
      </w:r>
      <w:r w:rsidR="000404FE" w:rsidRPr="000404FE">
        <w:rPr>
          <w:rFonts w:asciiTheme="minorHAnsi" w:hAnsiTheme="minorHAnsi" w:cs="Calibri"/>
        </w:rPr>
        <w:t xml:space="preserve">Indonesia Infrastructure Support (INIS) Trust Fund administered by the </w:t>
      </w:r>
      <w:r w:rsidR="001648E2">
        <w:rPr>
          <w:rFonts w:asciiTheme="minorHAnsi" w:hAnsiTheme="minorHAnsi" w:cs="Calibri"/>
        </w:rPr>
        <w:t>World Bank</w:t>
      </w:r>
      <w:r>
        <w:rPr>
          <w:rFonts w:asciiTheme="minorHAnsi" w:hAnsiTheme="minorHAnsi" w:cs="Calibri"/>
        </w:rPr>
        <w:t xml:space="preserve">. This trust fund was established in 2008 as part of earlier technical assistance funding </w:t>
      </w:r>
      <w:r w:rsidR="00A5582F">
        <w:rPr>
          <w:rFonts w:asciiTheme="minorHAnsi" w:hAnsiTheme="minorHAnsi" w:cs="Calibri"/>
        </w:rPr>
        <w:t xml:space="preserve">provided by the </w:t>
      </w:r>
      <w:r w:rsidR="00335761">
        <w:rPr>
          <w:rFonts w:asciiTheme="minorHAnsi" w:hAnsiTheme="minorHAnsi" w:cs="Calibri"/>
        </w:rPr>
        <w:t>GoA</w:t>
      </w:r>
      <w:r w:rsidR="00A5582F">
        <w:rPr>
          <w:rFonts w:asciiTheme="minorHAnsi" w:hAnsiTheme="minorHAnsi" w:cs="Calibri"/>
        </w:rPr>
        <w:t xml:space="preserve"> </w:t>
      </w:r>
      <w:r>
        <w:rPr>
          <w:rFonts w:asciiTheme="minorHAnsi" w:hAnsiTheme="minorHAnsi" w:cs="Calibri"/>
        </w:rPr>
        <w:t xml:space="preserve">and the agreement was amended to reflect the </w:t>
      </w:r>
      <w:r w:rsidR="00C73A55">
        <w:rPr>
          <w:rFonts w:asciiTheme="minorHAnsi" w:hAnsiTheme="minorHAnsi" w:cs="Calibri"/>
        </w:rPr>
        <w:t>revised</w:t>
      </w:r>
      <w:r>
        <w:rPr>
          <w:rFonts w:asciiTheme="minorHAnsi" w:hAnsiTheme="minorHAnsi" w:cs="Calibri"/>
        </w:rPr>
        <w:t xml:space="preserve"> </w:t>
      </w:r>
      <w:r w:rsidR="00A5582F">
        <w:rPr>
          <w:rFonts w:asciiTheme="minorHAnsi" w:hAnsiTheme="minorHAnsi" w:cs="Calibri"/>
        </w:rPr>
        <w:t xml:space="preserve">administrative and governance </w:t>
      </w:r>
      <w:r>
        <w:rPr>
          <w:rFonts w:asciiTheme="minorHAnsi" w:hAnsiTheme="minorHAnsi" w:cs="Calibri"/>
        </w:rPr>
        <w:t>arrangement</w:t>
      </w:r>
      <w:r w:rsidR="00A5582F">
        <w:rPr>
          <w:rFonts w:asciiTheme="minorHAnsi" w:hAnsiTheme="minorHAnsi" w:cs="Calibri"/>
        </w:rPr>
        <w:t>s required for the MDB-IAP</w:t>
      </w:r>
      <w:r w:rsidR="000404FE" w:rsidRPr="000404FE">
        <w:rPr>
          <w:rFonts w:asciiTheme="minorHAnsi" w:hAnsiTheme="minorHAnsi" w:cs="Calibri"/>
        </w:rPr>
        <w:t>; and</w:t>
      </w:r>
    </w:p>
    <w:p w14:paraId="61D5A38B" w14:textId="77777777" w:rsidR="000404FE" w:rsidRDefault="003671BC" w:rsidP="000404FE">
      <w:pPr>
        <w:pStyle w:val="ListParagraph"/>
        <w:numPr>
          <w:ilvl w:val="0"/>
          <w:numId w:val="53"/>
        </w:numPr>
        <w:rPr>
          <w:rFonts w:asciiTheme="minorHAnsi" w:hAnsiTheme="minorHAnsi" w:cs="Calibri"/>
        </w:rPr>
      </w:pPr>
      <w:r>
        <w:rPr>
          <w:rFonts w:asciiTheme="minorHAnsi" w:hAnsiTheme="minorHAnsi" w:cs="Calibri"/>
        </w:rPr>
        <w:t xml:space="preserve">the </w:t>
      </w:r>
      <w:r w:rsidR="000404FE" w:rsidRPr="000404FE">
        <w:rPr>
          <w:rFonts w:asciiTheme="minorHAnsi" w:hAnsiTheme="minorHAnsi" w:cs="Calibri"/>
        </w:rPr>
        <w:t xml:space="preserve">Sustainable Infrastructure Assistance Program (SIAP) – Technical Assistance Cluster administered by </w:t>
      </w:r>
      <w:r w:rsidR="00150F21">
        <w:rPr>
          <w:rFonts w:asciiTheme="minorHAnsi" w:hAnsiTheme="minorHAnsi" w:cs="Calibri"/>
        </w:rPr>
        <w:t>the ADB</w:t>
      </w:r>
      <w:r>
        <w:rPr>
          <w:rFonts w:asciiTheme="minorHAnsi" w:hAnsiTheme="minorHAnsi" w:cs="Calibri"/>
        </w:rPr>
        <w:t xml:space="preserve">. This </w:t>
      </w:r>
      <w:r w:rsidR="00A5582F">
        <w:rPr>
          <w:rFonts w:asciiTheme="minorHAnsi" w:hAnsiTheme="minorHAnsi" w:cs="Calibri"/>
        </w:rPr>
        <w:t>mechanism was established specifically by ADB in response to the MDB-IAP initiative.</w:t>
      </w:r>
    </w:p>
    <w:p w14:paraId="5BEFEBA1" w14:textId="77777777" w:rsidR="003671BC" w:rsidRDefault="006B672C" w:rsidP="003671BC">
      <w:pPr>
        <w:rPr>
          <w:rFonts w:cs="Calibri"/>
        </w:rPr>
      </w:pPr>
      <w:r>
        <w:rPr>
          <w:rFonts w:asciiTheme="minorHAnsi" w:hAnsiTheme="minorHAnsi" w:cs="Calibri"/>
        </w:rPr>
        <w:t>The MDB-IAP is a partner-led program</w:t>
      </w:r>
      <w:r w:rsidR="002A28EB">
        <w:rPr>
          <w:rFonts w:cs="Calibri"/>
        </w:rPr>
        <w:t xml:space="preserve"> established </w:t>
      </w:r>
      <w:r w:rsidR="003671BC">
        <w:rPr>
          <w:rFonts w:cs="Calibri"/>
        </w:rPr>
        <w:t xml:space="preserve">to </w:t>
      </w:r>
      <w:r w:rsidR="003671BC" w:rsidRPr="006F17E8">
        <w:rPr>
          <w:rFonts w:cs="Calibri"/>
        </w:rPr>
        <w:t xml:space="preserve">finance quality technical assistance </w:t>
      </w:r>
      <w:r w:rsidR="003671BC">
        <w:rPr>
          <w:rFonts w:cs="Calibri"/>
        </w:rPr>
        <w:t xml:space="preserve">through partner-lead activities </w:t>
      </w:r>
      <w:r w:rsidR="003671BC" w:rsidRPr="006F17E8">
        <w:rPr>
          <w:rFonts w:cs="Calibri"/>
        </w:rPr>
        <w:t>aimed at strengthening the policy and institutional framework for infrastructure provision, and improving the preparation and delivery of infrastructure investment and maintenance programs.</w:t>
      </w:r>
      <w:r w:rsidR="003671BC">
        <w:rPr>
          <w:rFonts w:cs="Calibri"/>
        </w:rPr>
        <w:t xml:space="preserve"> </w:t>
      </w:r>
    </w:p>
    <w:p w14:paraId="1E2F5B0E" w14:textId="77777777" w:rsidR="003671BC" w:rsidRPr="002A3C6E" w:rsidRDefault="003671BC" w:rsidP="003671BC">
      <w:pPr>
        <w:rPr>
          <w:rFonts w:cs="Calibri"/>
        </w:rPr>
      </w:pPr>
      <w:r>
        <w:rPr>
          <w:rFonts w:cs="Calibri"/>
        </w:rPr>
        <w:t xml:space="preserve">The design of the program was broad in nature and it was widely understood that the actual </w:t>
      </w:r>
      <w:r w:rsidRPr="002A3C6E">
        <w:rPr>
          <w:rFonts w:cs="Calibri"/>
        </w:rPr>
        <w:t xml:space="preserve">technical assistance outputs would depend on the nature of </w:t>
      </w:r>
      <w:r w:rsidR="0085583A">
        <w:rPr>
          <w:rFonts w:cs="Calibri"/>
        </w:rPr>
        <w:t xml:space="preserve">the </w:t>
      </w:r>
      <w:r w:rsidRPr="002A3C6E">
        <w:rPr>
          <w:rFonts w:cs="Calibri"/>
        </w:rPr>
        <w:t>specific activities recommended by partner MDBs. Anticipated activities included those that would directly support project preparation and implementation (such as feasibility studies and detailed engineering designs) and those intended to support sector policy, regulatory and institutional development and reform (</w:t>
      </w:r>
      <w:r>
        <w:rPr>
          <w:rFonts w:cs="Calibri"/>
        </w:rPr>
        <w:t xml:space="preserve">such as </w:t>
      </w:r>
      <w:r w:rsidRPr="002A3C6E">
        <w:rPr>
          <w:rFonts w:cs="Calibri"/>
        </w:rPr>
        <w:t>draft regulations, recommendations for reform, sector/sub sector diagnostics).</w:t>
      </w:r>
    </w:p>
    <w:p w14:paraId="19C4DA37" w14:textId="77777777" w:rsidR="003671BC" w:rsidRPr="002A3C6E" w:rsidRDefault="003D2290" w:rsidP="003671BC">
      <w:pPr>
        <w:rPr>
          <w:rFonts w:cs="Calibri"/>
        </w:rPr>
      </w:pPr>
      <w:r>
        <w:rPr>
          <w:rFonts w:cs="Calibri"/>
        </w:rPr>
        <w:t xml:space="preserve">It was </w:t>
      </w:r>
      <w:r w:rsidR="003671BC" w:rsidRPr="002A3C6E">
        <w:rPr>
          <w:rFonts w:cs="Calibri"/>
        </w:rPr>
        <w:t xml:space="preserve">anticipated </w:t>
      </w:r>
      <w:r>
        <w:rPr>
          <w:rFonts w:cs="Calibri"/>
        </w:rPr>
        <w:t xml:space="preserve">that the outcomes </w:t>
      </w:r>
      <w:r w:rsidR="003671BC" w:rsidRPr="002A3C6E">
        <w:rPr>
          <w:rFonts w:cs="Calibri"/>
        </w:rPr>
        <w:t>from</w:t>
      </w:r>
      <w:r w:rsidR="00297727">
        <w:rPr>
          <w:rFonts w:cs="Calibri"/>
        </w:rPr>
        <w:t xml:space="preserve"> </w:t>
      </w:r>
      <w:r>
        <w:rPr>
          <w:rFonts w:cs="Calibri"/>
        </w:rPr>
        <w:t xml:space="preserve">these </w:t>
      </w:r>
      <w:r w:rsidR="00297727">
        <w:rPr>
          <w:rFonts w:cs="Calibri"/>
        </w:rPr>
        <w:t>GoA</w:t>
      </w:r>
      <w:r>
        <w:rPr>
          <w:rFonts w:cs="Calibri"/>
        </w:rPr>
        <w:t>-</w:t>
      </w:r>
      <w:r w:rsidR="003671BC" w:rsidRPr="002A3C6E">
        <w:rPr>
          <w:rFonts w:cs="Calibri"/>
        </w:rPr>
        <w:t>fund</w:t>
      </w:r>
      <w:r>
        <w:rPr>
          <w:rFonts w:cs="Calibri"/>
        </w:rPr>
        <w:t>ed</w:t>
      </w:r>
      <w:r w:rsidR="003671BC" w:rsidRPr="002A3C6E">
        <w:rPr>
          <w:rFonts w:cs="Calibri"/>
        </w:rPr>
        <w:t xml:space="preserve"> activities would result in leveraged investment </w:t>
      </w:r>
      <w:r w:rsidR="002F08EE">
        <w:rPr>
          <w:rFonts w:cs="Calibri"/>
        </w:rPr>
        <w:t xml:space="preserve">by the Government of Indonesia (GoI) and the MDBs </w:t>
      </w:r>
      <w:r w:rsidR="003671BC" w:rsidRPr="002A3C6E">
        <w:rPr>
          <w:rFonts w:cs="Calibri"/>
        </w:rPr>
        <w:t>using the project preparation outputs. It was also anticipated that project outputs would influence new G</w:t>
      </w:r>
      <w:r w:rsidR="002F08EE">
        <w:rPr>
          <w:rFonts w:cs="Calibri"/>
        </w:rPr>
        <w:t>oI</w:t>
      </w:r>
      <w:r w:rsidR="003671BC" w:rsidRPr="002A3C6E">
        <w:rPr>
          <w:rFonts w:cs="Calibri"/>
        </w:rPr>
        <w:t xml:space="preserve"> policy decisions and contribute to reforms in </w:t>
      </w:r>
      <w:r w:rsidR="0070323C">
        <w:rPr>
          <w:rFonts w:cs="Calibri"/>
        </w:rPr>
        <w:t xml:space="preserve">infrastructure </w:t>
      </w:r>
      <w:r w:rsidR="003671BC" w:rsidRPr="002A3C6E">
        <w:rPr>
          <w:rFonts w:cs="Calibri"/>
        </w:rPr>
        <w:t xml:space="preserve">focus areas.  </w:t>
      </w:r>
    </w:p>
    <w:p w14:paraId="2FF43750" w14:textId="5AF4D6CE" w:rsidR="002A28EB" w:rsidRDefault="002F08EE" w:rsidP="000F63B4">
      <w:pPr>
        <w:rPr>
          <w:rFonts w:asciiTheme="minorHAnsi" w:hAnsiTheme="minorHAnsi" w:cs="Calibri"/>
        </w:rPr>
      </w:pPr>
      <w:r>
        <w:rPr>
          <w:rFonts w:asciiTheme="minorHAnsi" w:hAnsiTheme="minorHAnsi" w:cs="Calibri"/>
        </w:rPr>
        <w:t xml:space="preserve">Notwithstanding </w:t>
      </w:r>
      <w:r w:rsidR="0085583A">
        <w:rPr>
          <w:rFonts w:asciiTheme="minorHAnsi" w:hAnsiTheme="minorHAnsi" w:cs="Calibri"/>
        </w:rPr>
        <w:t xml:space="preserve">that </w:t>
      </w:r>
      <w:r>
        <w:rPr>
          <w:rFonts w:asciiTheme="minorHAnsi" w:hAnsiTheme="minorHAnsi" w:cs="Calibri"/>
        </w:rPr>
        <w:t xml:space="preserve">the MDB-IAP </w:t>
      </w:r>
      <w:r w:rsidR="0085583A">
        <w:rPr>
          <w:rFonts w:asciiTheme="minorHAnsi" w:hAnsiTheme="minorHAnsi" w:cs="Calibri"/>
        </w:rPr>
        <w:t xml:space="preserve">was </w:t>
      </w:r>
      <w:r>
        <w:rPr>
          <w:rFonts w:asciiTheme="minorHAnsi" w:hAnsiTheme="minorHAnsi" w:cs="Calibri"/>
        </w:rPr>
        <w:t>being delivered through two different MDBs and associated trust fund mechanisms, the original design anticipated consis</w:t>
      </w:r>
      <w:r w:rsidR="0049029D">
        <w:rPr>
          <w:rFonts w:asciiTheme="minorHAnsi" w:hAnsiTheme="minorHAnsi" w:cs="Calibri"/>
        </w:rPr>
        <w:t xml:space="preserve">tent </w:t>
      </w:r>
      <w:r>
        <w:rPr>
          <w:rFonts w:asciiTheme="minorHAnsi" w:hAnsiTheme="minorHAnsi" w:cs="Calibri"/>
        </w:rPr>
        <w:t xml:space="preserve">governance arrangements for both trust funds and the </w:t>
      </w:r>
      <w:r w:rsidR="002A28EB">
        <w:rPr>
          <w:rFonts w:asciiTheme="minorHAnsi" w:hAnsiTheme="minorHAnsi" w:cs="Calibri"/>
        </w:rPr>
        <w:t xml:space="preserve">then </w:t>
      </w:r>
      <w:r w:rsidR="0049029D">
        <w:rPr>
          <w:rFonts w:asciiTheme="minorHAnsi" w:hAnsiTheme="minorHAnsi" w:cs="Calibri"/>
        </w:rPr>
        <w:t>Australia</w:t>
      </w:r>
      <w:r w:rsidR="002A28EB">
        <w:rPr>
          <w:rFonts w:asciiTheme="minorHAnsi" w:hAnsiTheme="minorHAnsi" w:cs="Calibri"/>
        </w:rPr>
        <w:t>n-</w:t>
      </w:r>
      <w:r w:rsidR="0049029D">
        <w:rPr>
          <w:rFonts w:asciiTheme="minorHAnsi" w:hAnsiTheme="minorHAnsi" w:cs="Calibri"/>
        </w:rPr>
        <w:t>funded infrastructure initiative (IndII)</w:t>
      </w:r>
      <w:r w:rsidR="0085583A">
        <w:rPr>
          <w:rFonts w:asciiTheme="minorHAnsi" w:hAnsiTheme="minorHAnsi" w:cs="Calibri"/>
        </w:rPr>
        <w:t>. This</w:t>
      </w:r>
      <w:r w:rsidR="0049029D">
        <w:rPr>
          <w:rFonts w:asciiTheme="minorHAnsi" w:hAnsiTheme="minorHAnsi" w:cs="Calibri"/>
        </w:rPr>
        <w:t xml:space="preserve"> includ</w:t>
      </w:r>
      <w:r w:rsidR="0085583A">
        <w:rPr>
          <w:rFonts w:asciiTheme="minorHAnsi" w:hAnsiTheme="minorHAnsi" w:cs="Calibri"/>
        </w:rPr>
        <w:t>ed</w:t>
      </w:r>
      <w:r w:rsidR="0049029D">
        <w:rPr>
          <w:rFonts w:asciiTheme="minorHAnsi" w:hAnsiTheme="minorHAnsi" w:cs="Calibri"/>
        </w:rPr>
        <w:t xml:space="preserve"> </w:t>
      </w:r>
      <w:r>
        <w:rPr>
          <w:rFonts w:asciiTheme="minorHAnsi" w:hAnsiTheme="minorHAnsi" w:cs="Calibri"/>
        </w:rPr>
        <w:t>common reporting, monitoring and evaluation</w:t>
      </w:r>
      <w:r w:rsidR="0085583A">
        <w:rPr>
          <w:rFonts w:asciiTheme="minorHAnsi" w:hAnsiTheme="minorHAnsi" w:cs="Calibri"/>
        </w:rPr>
        <w:t>,</w:t>
      </w:r>
      <w:r>
        <w:rPr>
          <w:rFonts w:asciiTheme="minorHAnsi" w:hAnsiTheme="minorHAnsi" w:cs="Calibri"/>
        </w:rPr>
        <w:t xml:space="preserve"> and an </w:t>
      </w:r>
      <w:r w:rsidR="00C6123A">
        <w:rPr>
          <w:rFonts w:asciiTheme="minorHAnsi" w:hAnsiTheme="minorHAnsi" w:cs="Calibri"/>
        </w:rPr>
        <w:t>‘</w:t>
      </w:r>
      <w:r>
        <w:rPr>
          <w:rFonts w:asciiTheme="minorHAnsi" w:hAnsiTheme="minorHAnsi" w:cs="Calibri"/>
        </w:rPr>
        <w:t>overlay</w:t>
      </w:r>
      <w:r w:rsidR="00EC222F">
        <w:rPr>
          <w:rFonts w:asciiTheme="minorHAnsi" w:hAnsiTheme="minorHAnsi" w:cs="Calibri"/>
        </w:rPr>
        <w:t>’</w:t>
      </w:r>
      <w:r>
        <w:rPr>
          <w:rFonts w:asciiTheme="minorHAnsi" w:hAnsiTheme="minorHAnsi" w:cs="Calibri"/>
        </w:rPr>
        <w:t xml:space="preserve"> of </w:t>
      </w:r>
      <w:r w:rsidR="00EC222F">
        <w:rPr>
          <w:rFonts w:asciiTheme="minorHAnsi" w:hAnsiTheme="minorHAnsi" w:cs="Calibri"/>
        </w:rPr>
        <w:t xml:space="preserve">Australia’s </w:t>
      </w:r>
      <w:r>
        <w:rPr>
          <w:rFonts w:asciiTheme="minorHAnsi" w:hAnsiTheme="minorHAnsi" w:cs="Calibri"/>
        </w:rPr>
        <w:t xml:space="preserve">priorities across the program. </w:t>
      </w:r>
      <w:r w:rsidR="0049029D">
        <w:rPr>
          <w:rFonts w:asciiTheme="minorHAnsi" w:hAnsiTheme="minorHAnsi" w:cs="Calibri"/>
        </w:rPr>
        <w:t xml:space="preserve">Consistent monitoring and evaluation standards across the two </w:t>
      </w:r>
      <w:r w:rsidR="00335761">
        <w:rPr>
          <w:rFonts w:asciiTheme="minorHAnsi" w:hAnsiTheme="minorHAnsi" w:cs="Calibri"/>
        </w:rPr>
        <w:t xml:space="preserve">trust </w:t>
      </w:r>
      <w:r w:rsidR="0049029D">
        <w:rPr>
          <w:rFonts w:asciiTheme="minorHAnsi" w:hAnsiTheme="minorHAnsi" w:cs="Calibri"/>
        </w:rPr>
        <w:t xml:space="preserve">funds was considered critical to ensure adequate performance was achieved and to provide adequate information to inform steering committee decision makers. </w:t>
      </w:r>
      <w:r>
        <w:rPr>
          <w:rFonts w:asciiTheme="minorHAnsi" w:hAnsiTheme="minorHAnsi" w:cs="Calibri"/>
        </w:rPr>
        <w:t xml:space="preserve">The priorities for investment were to be in accordance with the </w:t>
      </w:r>
      <w:r w:rsidR="0049029D">
        <w:rPr>
          <w:rFonts w:asciiTheme="minorHAnsi" w:hAnsiTheme="minorHAnsi" w:cs="Calibri"/>
        </w:rPr>
        <w:t xml:space="preserve">then AusAID’s </w:t>
      </w:r>
      <w:r>
        <w:rPr>
          <w:rFonts w:asciiTheme="minorHAnsi" w:hAnsiTheme="minorHAnsi" w:cs="Calibri"/>
        </w:rPr>
        <w:t xml:space="preserve">anticipated </w:t>
      </w:r>
      <w:r w:rsidR="0049029D">
        <w:rPr>
          <w:rFonts w:asciiTheme="minorHAnsi" w:hAnsiTheme="minorHAnsi" w:cs="Calibri"/>
        </w:rPr>
        <w:t>infrastructure delivery strategy that was scheduled for completion by 31 October 2013</w:t>
      </w:r>
      <w:r w:rsidR="00555B09">
        <w:rPr>
          <w:rFonts w:asciiTheme="minorHAnsi" w:hAnsiTheme="minorHAnsi" w:cs="Calibri"/>
        </w:rPr>
        <w:t xml:space="preserve"> </w:t>
      </w:r>
      <w:r w:rsidR="00AB3137">
        <w:rPr>
          <w:rFonts w:asciiTheme="minorHAnsi" w:hAnsiTheme="minorHAnsi" w:cs="Calibri"/>
        </w:rPr>
        <w:t>however</w:t>
      </w:r>
      <w:r w:rsidR="00555B09">
        <w:rPr>
          <w:rFonts w:asciiTheme="minorHAnsi" w:hAnsiTheme="minorHAnsi" w:cs="Calibri"/>
        </w:rPr>
        <w:t>,</w:t>
      </w:r>
      <w:r w:rsidR="00AB3137">
        <w:rPr>
          <w:rFonts w:asciiTheme="minorHAnsi" w:hAnsiTheme="minorHAnsi" w:cs="Calibri"/>
        </w:rPr>
        <w:t xml:space="preserve"> this strategy </w:t>
      </w:r>
      <w:r w:rsidR="000E55FA">
        <w:rPr>
          <w:rFonts w:asciiTheme="minorHAnsi" w:hAnsiTheme="minorHAnsi" w:cs="Calibri"/>
        </w:rPr>
        <w:t>was</w:t>
      </w:r>
      <w:r w:rsidR="00AB3137">
        <w:rPr>
          <w:rFonts w:asciiTheme="minorHAnsi" w:hAnsiTheme="minorHAnsi" w:cs="Calibri"/>
        </w:rPr>
        <w:t xml:space="preserve"> never </w:t>
      </w:r>
      <w:r w:rsidR="000E55FA">
        <w:rPr>
          <w:rFonts w:asciiTheme="minorHAnsi" w:hAnsiTheme="minorHAnsi" w:cs="Calibri"/>
        </w:rPr>
        <w:t>promulgated</w:t>
      </w:r>
      <w:r w:rsidR="0049029D">
        <w:rPr>
          <w:rFonts w:asciiTheme="minorHAnsi" w:hAnsiTheme="minorHAnsi" w:cs="Calibri"/>
        </w:rPr>
        <w:t>.</w:t>
      </w:r>
      <w:r w:rsidR="00EC222F">
        <w:rPr>
          <w:rStyle w:val="FootnoteReference"/>
          <w:rFonts w:asciiTheme="minorHAnsi" w:hAnsiTheme="minorHAnsi" w:cs="Calibri"/>
        </w:rPr>
        <w:footnoteReference w:id="2"/>
      </w:r>
      <w:r w:rsidR="00555B09">
        <w:rPr>
          <w:rFonts w:asciiTheme="minorHAnsi" w:hAnsiTheme="minorHAnsi" w:cs="Calibri"/>
        </w:rPr>
        <w:t xml:space="preserve"> </w:t>
      </w:r>
      <w:r w:rsidR="00AB3137">
        <w:rPr>
          <w:rFonts w:asciiTheme="minorHAnsi" w:hAnsiTheme="minorHAnsi" w:cs="Calibri"/>
        </w:rPr>
        <w:t xml:space="preserve"> </w:t>
      </w:r>
    </w:p>
    <w:p w14:paraId="46FACEE7" w14:textId="77777777" w:rsidR="00FD11CF" w:rsidRDefault="00FD11CF" w:rsidP="00D4448B">
      <w:pPr>
        <w:pStyle w:val="Heading1"/>
      </w:pPr>
      <w:bookmarkStart w:id="6" w:name="_Toc505838178"/>
      <w:r>
        <w:lastRenderedPageBreak/>
        <w:t>Evaluation Purpose and Methodology</w:t>
      </w:r>
      <w:bookmarkEnd w:id="6"/>
    </w:p>
    <w:p w14:paraId="1EE061C4" w14:textId="72C95D2A" w:rsidR="00530611" w:rsidRDefault="00530611" w:rsidP="00530611">
      <w:pPr>
        <w:spacing w:after="0"/>
        <w:rPr>
          <w:rFonts w:asciiTheme="minorHAnsi" w:hAnsiTheme="minorHAnsi"/>
        </w:rPr>
      </w:pPr>
      <w:r>
        <w:rPr>
          <w:rFonts w:asciiTheme="minorHAnsi" w:hAnsiTheme="minorHAnsi"/>
        </w:rPr>
        <w:t xml:space="preserve">There </w:t>
      </w:r>
      <w:r w:rsidR="0070323C">
        <w:rPr>
          <w:rFonts w:asciiTheme="minorHAnsi" w:hAnsiTheme="minorHAnsi"/>
        </w:rPr>
        <w:t xml:space="preserve">were </w:t>
      </w:r>
      <w:r>
        <w:rPr>
          <w:rFonts w:asciiTheme="minorHAnsi" w:hAnsiTheme="minorHAnsi"/>
        </w:rPr>
        <w:t xml:space="preserve">three core objectives for the evaluation of the MDB-IAP. These </w:t>
      </w:r>
      <w:r w:rsidR="0070323C">
        <w:rPr>
          <w:rFonts w:asciiTheme="minorHAnsi" w:hAnsiTheme="minorHAnsi"/>
        </w:rPr>
        <w:t xml:space="preserve">were </w:t>
      </w:r>
      <w:r>
        <w:rPr>
          <w:rFonts w:asciiTheme="minorHAnsi" w:hAnsiTheme="minorHAnsi"/>
        </w:rPr>
        <w:t>to:</w:t>
      </w:r>
    </w:p>
    <w:p w14:paraId="21135A9F" w14:textId="77777777" w:rsidR="00530611" w:rsidRPr="0074698F" w:rsidRDefault="00530611" w:rsidP="00530611">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assess the extent to which expected outcomes of MDB-IAP were achieved </w:t>
      </w:r>
    </w:p>
    <w:p w14:paraId="7E8844FF" w14:textId="77777777" w:rsidR="00530611" w:rsidRPr="0074698F" w:rsidRDefault="00530611" w:rsidP="00530611">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determine whether the program modality is effective and delivering expected outcomes </w:t>
      </w:r>
    </w:p>
    <w:p w14:paraId="4CCBF687" w14:textId="77777777" w:rsidR="00530611" w:rsidRPr="0074698F" w:rsidRDefault="00530611" w:rsidP="00530611">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identify if the </w:t>
      </w:r>
      <w:r w:rsidR="001648E2">
        <w:rPr>
          <w:rFonts w:asciiTheme="minorHAnsi" w:hAnsiTheme="minorHAnsi"/>
        </w:rPr>
        <w:t>World Bank</w:t>
      </w:r>
      <w:r w:rsidRPr="0074698F">
        <w:rPr>
          <w:rFonts w:asciiTheme="minorHAnsi" w:hAnsiTheme="minorHAnsi"/>
        </w:rPr>
        <w:t xml:space="preserve"> and ADB have been adaptive to change and emerging themes and if so has this benefited the program. </w:t>
      </w:r>
    </w:p>
    <w:p w14:paraId="47BD77AD" w14:textId="4E1DB5CB" w:rsidR="00530611" w:rsidRPr="008656A1" w:rsidRDefault="00530611" w:rsidP="00530611">
      <w:pPr>
        <w:rPr>
          <w:rFonts w:asciiTheme="minorHAnsi" w:hAnsiTheme="minorHAnsi"/>
        </w:rPr>
      </w:pPr>
      <w:r>
        <w:rPr>
          <w:rFonts w:asciiTheme="minorHAnsi" w:hAnsiTheme="minorHAnsi"/>
        </w:rPr>
        <w:t>The primary</w:t>
      </w:r>
      <w:r w:rsidRPr="008656A1">
        <w:rPr>
          <w:rFonts w:asciiTheme="minorHAnsi" w:hAnsiTheme="minorHAnsi"/>
        </w:rPr>
        <w:t xml:space="preserve"> evaluation questions </w:t>
      </w:r>
      <w:r>
        <w:rPr>
          <w:rFonts w:asciiTheme="minorHAnsi" w:hAnsiTheme="minorHAnsi"/>
        </w:rPr>
        <w:t>underpinning the evaluation of the MDB-IAP</w:t>
      </w:r>
      <w:r w:rsidR="00262833">
        <w:rPr>
          <w:rFonts w:asciiTheme="minorHAnsi" w:hAnsiTheme="minorHAnsi"/>
        </w:rPr>
        <w:t xml:space="preserve"> </w:t>
      </w:r>
      <w:r w:rsidR="0070323C">
        <w:rPr>
          <w:rFonts w:asciiTheme="minorHAnsi" w:hAnsiTheme="minorHAnsi"/>
        </w:rPr>
        <w:t>were</w:t>
      </w:r>
      <w:r w:rsidRPr="008656A1">
        <w:rPr>
          <w:rFonts w:asciiTheme="minorHAnsi" w:hAnsiTheme="minorHAnsi"/>
        </w:rPr>
        <w:t>:</w:t>
      </w:r>
    </w:p>
    <w:p w14:paraId="4AA5117F" w14:textId="77777777" w:rsidR="00530611" w:rsidRPr="008656A1" w:rsidRDefault="00530611" w:rsidP="00530611">
      <w:pPr>
        <w:pStyle w:val="ListParagraph"/>
        <w:numPr>
          <w:ilvl w:val="0"/>
          <w:numId w:val="49"/>
        </w:numPr>
        <w:spacing w:before="60" w:after="60"/>
        <w:ind w:left="357" w:hanging="357"/>
        <w:contextualSpacing w:val="0"/>
        <w:rPr>
          <w:rFonts w:asciiTheme="minorHAnsi" w:hAnsiTheme="minorHAnsi"/>
        </w:rPr>
      </w:pPr>
      <w:r w:rsidRPr="008656A1">
        <w:rPr>
          <w:rFonts w:asciiTheme="minorHAnsi" w:hAnsiTheme="minorHAnsi"/>
        </w:rPr>
        <w:t xml:space="preserve">How suitable were the governance and implementation arrangements?  </w:t>
      </w:r>
    </w:p>
    <w:p w14:paraId="399D1353" w14:textId="77777777" w:rsidR="00530611" w:rsidRPr="008656A1" w:rsidRDefault="00530611" w:rsidP="00530611">
      <w:pPr>
        <w:pStyle w:val="ListParagraph"/>
        <w:numPr>
          <w:ilvl w:val="0"/>
          <w:numId w:val="49"/>
        </w:numPr>
        <w:spacing w:before="60" w:after="60"/>
        <w:ind w:left="357" w:hanging="357"/>
        <w:contextualSpacing w:val="0"/>
        <w:rPr>
          <w:rFonts w:asciiTheme="minorHAnsi" w:hAnsiTheme="minorHAnsi"/>
        </w:rPr>
      </w:pPr>
      <w:r w:rsidRPr="008656A1">
        <w:rPr>
          <w:rFonts w:asciiTheme="minorHAnsi" w:hAnsiTheme="minorHAnsi"/>
        </w:rPr>
        <w:t xml:space="preserve">How effective was the program in delivering outcomes and adapting to change? </w:t>
      </w:r>
    </w:p>
    <w:p w14:paraId="59FB16FD" w14:textId="77777777" w:rsidR="00530611" w:rsidRDefault="00530611" w:rsidP="00530611">
      <w:pPr>
        <w:pStyle w:val="ListParagraph"/>
        <w:numPr>
          <w:ilvl w:val="0"/>
          <w:numId w:val="49"/>
        </w:numPr>
        <w:spacing w:before="60" w:after="60"/>
        <w:ind w:left="357" w:hanging="357"/>
        <w:contextualSpacing w:val="0"/>
        <w:rPr>
          <w:rFonts w:asciiTheme="minorHAnsi" w:hAnsiTheme="minorHAnsi"/>
        </w:rPr>
      </w:pPr>
      <w:r w:rsidRPr="008656A1">
        <w:rPr>
          <w:rFonts w:asciiTheme="minorHAnsi" w:hAnsiTheme="minorHAnsi"/>
        </w:rPr>
        <w:t xml:space="preserve">How relevant is the program overall as well as in terms of the individual investment choices made? </w:t>
      </w:r>
    </w:p>
    <w:p w14:paraId="10ADDED3" w14:textId="57770023" w:rsidR="00D647A2" w:rsidRDefault="00530611" w:rsidP="00530611">
      <w:pPr>
        <w:rPr>
          <w:rFonts w:asciiTheme="minorHAnsi" w:hAnsiTheme="minorHAnsi"/>
        </w:rPr>
      </w:pPr>
      <w:r>
        <w:rPr>
          <w:rFonts w:asciiTheme="minorHAnsi" w:hAnsiTheme="minorHAnsi"/>
        </w:rPr>
        <w:t>The evaluation and analytical framework for investigating these questions</w:t>
      </w:r>
      <w:r w:rsidR="0070323C">
        <w:rPr>
          <w:rFonts w:asciiTheme="minorHAnsi" w:hAnsiTheme="minorHAnsi"/>
        </w:rPr>
        <w:t xml:space="preserve"> was</w:t>
      </w:r>
      <w:r>
        <w:rPr>
          <w:rFonts w:asciiTheme="minorHAnsi" w:hAnsiTheme="minorHAnsi"/>
        </w:rPr>
        <w:t xml:space="preserve"> </w:t>
      </w:r>
      <w:r w:rsidRPr="002F3C28">
        <w:rPr>
          <w:rFonts w:asciiTheme="minorHAnsi" w:hAnsiTheme="minorHAnsi"/>
        </w:rPr>
        <w:t>in</w:t>
      </w:r>
      <w:r>
        <w:rPr>
          <w:rFonts w:asciiTheme="minorHAnsi" w:hAnsiTheme="minorHAnsi"/>
        </w:rPr>
        <w:t xml:space="preserve">formed by the </w:t>
      </w:r>
      <w:r w:rsidR="00D647A2">
        <w:rPr>
          <w:rFonts w:asciiTheme="minorHAnsi" w:hAnsiTheme="minorHAnsi"/>
        </w:rPr>
        <w:t>Organisation for Economic Cooperation and Development – Development Assistance Committee (OECD-</w:t>
      </w:r>
      <w:r>
        <w:rPr>
          <w:rFonts w:asciiTheme="minorHAnsi" w:hAnsiTheme="minorHAnsi"/>
        </w:rPr>
        <w:t>DAC</w:t>
      </w:r>
      <w:r w:rsidR="00D647A2">
        <w:rPr>
          <w:rFonts w:asciiTheme="minorHAnsi" w:hAnsiTheme="minorHAnsi"/>
        </w:rPr>
        <w:t>)</w:t>
      </w:r>
      <w:r>
        <w:rPr>
          <w:rFonts w:asciiTheme="minorHAnsi" w:hAnsiTheme="minorHAnsi"/>
        </w:rPr>
        <w:t xml:space="preserve"> Criteria, including specific reference to </w:t>
      </w:r>
      <w:r w:rsidRPr="002F3C28">
        <w:rPr>
          <w:rFonts w:asciiTheme="minorHAnsi" w:hAnsiTheme="minorHAnsi"/>
        </w:rPr>
        <w:t>relevance, efficiency,</w:t>
      </w:r>
      <w:r>
        <w:rPr>
          <w:rFonts w:asciiTheme="minorHAnsi" w:hAnsiTheme="minorHAnsi"/>
        </w:rPr>
        <w:t xml:space="preserve"> effectiveness, </w:t>
      </w:r>
      <w:r w:rsidRPr="002F3C28">
        <w:rPr>
          <w:rFonts w:asciiTheme="minorHAnsi" w:hAnsiTheme="minorHAnsi"/>
        </w:rPr>
        <w:t xml:space="preserve">sustainability and impact. </w:t>
      </w:r>
      <w:r w:rsidR="00D647A2">
        <w:rPr>
          <w:rFonts w:asciiTheme="minorHAnsi" w:hAnsiTheme="minorHAnsi"/>
        </w:rPr>
        <w:t>Annex 2 provides the full detail of the analytical and evaluation framework.</w:t>
      </w:r>
    </w:p>
    <w:p w14:paraId="794A023D" w14:textId="77777777" w:rsidR="00530611" w:rsidRDefault="00530611" w:rsidP="00D4448B">
      <w:pPr>
        <w:pStyle w:val="Heading3"/>
      </w:pPr>
      <w:r>
        <w:t>Examination of MDB-IAP-funded activities</w:t>
      </w:r>
    </w:p>
    <w:p w14:paraId="2744EA34" w14:textId="77777777" w:rsidR="00530611" w:rsidRPr="00DE34E8" w:rsidRDefault="00530611" w:rsidP="00530611">
      <w:r>
        <w:t xml:space="preserve">While there was not the scope for an exhaustive assessment of individual sub-projects, the evaluation examined a sample of sub-projects / activities approved and funded under each INIS and SIAP. The project name and basis of selection is listed in the following table. </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0"/>
        <w:gridCol w:w="4677"/>
        <w:gridCol w:w="3202"/>
      </w:tblGrid>
      <w:tr w:rsidR="00530611" w:rsidRPr="007B3282" w14:paraId="31B68021" w14:textId="77777777" w:rsidTr="006A21D6">
        <w:tc>
          <w:tcPr>
            <w:tcW w:w="627" w:type="pct"/>
            <w:shd w:val="clear" w:color="auto" w:fill="EAF1DD" w:themeFill="accent3" w:themeFillTint="33"/>
          </w:tcPr>
          <w:p w14:paraId="19D9931A" w14:textId="77777777" w:rsidR="00530611" w:rsidRPr="007B3282" w:rsidRDefault="00530611" w:rsidP="006A21D6">
            <w:pPr>
              <w:tabs>
                <w:tab w:val="left" w:pos="318"/>
              </w:tabs>
              <w:spacing w:before="20" w:after="20" w:line="240" w:lineRule="auto"/>
              <w:rPr>
                <w:rFonts w:ascii="Arial Narrow" w:hAnsi="Arial Narrow"/>
                <w:b/>
                <w:sz w:val="20"/>
              </w:rPr>
            </w:pPr>
            <w:r w:rsidRPr="007B3282">
              <w:rPr>
                <w:rFonts w:ascii="Arial Narrow" w:hAnsi="Arial Narrow"/>
                <w:b/>
                <w:sz w:val="20"/>
              </w:rPr>
              <w:t>Trust Fund</w:t>
            </w:r>
          </w:p>
        </w:tc>
        <w:tc>
          <w:tcPr>
            <w:tcW w:w="2596" w:type="pct"/>
            <w:shd w:val="clear" w:color="auto" w:fill="EAF1DD" w:themeFill="accent3" w:themeFillTint="33"/>
          </w:tcPr>
          <w:p w14:paraId="4AED077D" w14:textId="77777777" w:rsidR="00530611" w:rsidRPr="007B3282" w:rsidRDefault="00530611" w:rsidP="006A21D6">
            <w:pPr>
              <w:tabs>
                <w:tab w:val="left" w:pos="318"/>
              </w:tabs>
              <w:spacing w:before="20" w:after="20" w:line="240" w:lineRule="auto"/>
              <w:rPr>
                <w:rFonts w:ascii="Arial Narrow" w:hAnsi="Arial Narrow"/>
                <w:b/>
                <w:sz w:val="20"/>
              </w:rPr>
            </w:pPr>
            <w:r w:rsidRPr="007B3282">
              <w:rPr>
                <w:rFonts w:ascii="Arial Narrow" w:hAnsi="Arial Narrow"/>
                <w:b/>
                <w:sz w:val="20"/>
              </w:rPr>
              <w:t>Project</w:t>
            </w:r>
          </w:p>
        </w:tc>
        <w:tc>
          <w:tcPr>
            <w:tcW w:w="1777" w:type="pct"/>
            <w:shd w:val="clear" w:color="auto" w:fill="EAF1DD" w:themeFill="accent3" w:themeFillTint="33"/>
          </w:tcPr>
          <w:p w14:paraId="02452559" w14:textId="77777777" w:rsidR="00530611" w:rsidRPr="007B3282" w:rsidRDefault="00530611" w:rsidP="006A21D6">
            <w:pPr>
              <w:tabs>
                <w:tab w:val="left" w:pos="318"/>
              </w:tabs>
              <w:spacing w:before="20" w:after="20" w:line="240" w:lineRule="auto"/>
              <w:rPr>
                <w:rFonts w:ascii="Arial Narrow" w:hAnsi="Arial Narrow"/>
                <w:b/>
                <w:sz w:val="20"/>
              </w:rPr>
            </w:pPr>
            <w:r w:rsidRPr="007B3282">
              <w:rPr>
                <w:rFonts w:ascii="Arial Narrow" w:hAnsi="Arial Narrow"/>
                <w:b/>
                <w:sz w:val="20"/>
              </w:rPr>
              <w:t>Rationale</w:t>
            </w:r>
          </w:p>
        </w:tc>
      </w:tr>
      <w:tr w:rsidR="00530611" w:rsidRPr="007B3282" w14:paraId="60249253" w14:textId="77777777" w:rsidTr="006A21D6">
        <w:tc>
          <w:tcPr>
            <w:tcW w:w="627" w:type="pct"/>
            <w:vAlign w:val="center"/>
          </w:tcPr>
          <w:p w14:paraId="415E3FB1" w14:textId="77777777" w:rsidR="00530611" w:rsidRPr="007B3282" w:rsidRDefault="00530611" w:rsidP="006A21D6">
            <w:pPr>
              <w:tabs>
                <w:tab w:val="left" w:pos="318"/>
              </w:tabs>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57BE41A4" w14:textId="77777777" w:rsidR="00530611" w:rsidRPr="007B3282" w:rsidRDefault="00530611" w:rsidP="006A21D6">
            <w:pPr>
              <w:spacing w:before="20" w:after="20" w:line="240" w:lineRule="auto"/>
              <w:rPr>
                <w:rFonts w:ascii="Arial Narrow" w:eastAsiaTheme="minorHAnsi" w:hAnsi="Arial Narrow"/>
                <w:color w:val="000000"/>
                <w:sz w:val="20"/>
                <w:lang w:eastAsia="en-AU"/>
              </w:rPr>
            </w:pPr>
            <w:r w:rsidRPr="007B3282">
              <w:rPr>
                <w:rFonts w:ascii="Arial Narrow" w:hAnsi="Arial Narrow"/>
                <w:color w:val="000000"/>
                <w:sz w:val="20"/>
                <w:lang w:eastAsia="en-AU"/>
              </w:rPr>
              <w:t xml:space="preserve">Urban </w:t>
            </w:r>
            <w:r w:rsidRPr="007B3282">
              <w:rPr>
                <w:rFonts w:ascii="Arial Narrow" w:hAnsi="Arial Narrow"/>
                <w:b/>
                <w:bCs/>
                <w:color w:val="000000"/>
                <w:sz w:val="20"/>
                <w:lang w:eastAsia="en-AU"/>
              </w:rPr>
              <w:t>Transport</w:t>
            </w:r>
            <w:r w:rsidRPr="007B3282">
              <w:rPr>
                <w:rFonts w:ascii="Arial Narrow" w:hAnsi="Arial Narrow"/>
                <w:color w:val="000000"/>
                <w:sz w:val="20"/>
                <w:lang w:eastAsia="en-AU"/>
              </w:rPr>
              <w:t xml:space="preserve"> Corridor Development in Surabaya-RETF</w:t>
            </w:r>
          </w:p>
        </w:tc>
        <w:tc>
          <w:tcPr>
            <w:tcW w:w="1777" w:type="pct"/>
            <w:vAlign w:val="center"/>
          </w:tcPr>
          <w:p w14:paraId="38E91056" w14:textId="77777777" w:rsidR="00530611" w:rsidRPr="007B3282" w:rsidRDefault="00530611" w:rsidP="006A21D6">
            <w:pPr>
              <w:spacing w:before="20" w:after="20" w:line="240" w:lineRule="auto"/>
              <w:rPr>
                <w:rFonts w:ascii="Arial Narrow" w:eastAsiaTheme="minorHAnsi" w:hAnsi="Arial Narrow"/>
                <w:color w:val="000000"/>
                <w:sz w:val="20"/>
                <w:lang w:eastAsia="en-AU"/>
              </w:rPr>
            </w:pPr>
            <w:r w:rsidRPr="007B3282">
              <w:rPr>
                <w:rFonts w:ascii="Arial Narrow" w:hAnsi="Arial Narrow"/>
                <w:color w:val="000000"/>
                <w:sz w:val="20"/>
                <w:lang w:eastAsia="en-AU"/>
              </w:rPr>
              <w:t>RETF - possibility of modification from original proposal</w:t>
            </w:r>
          </w:p>
        </w:tc>
      </w:tr>
      <w:tr w:rsidR="00530611" w:rsidRPr="007B3282" w14:paraId="480CB38B" w14:textId="77777777" w:rsidTr="006A21D6">
        <w:tc>
          <w:tcPr>
            <w:tcW w:w="627" w:type="pct"/>
            <w:vAlign w:val="center"/>
          </w:tcPr>
          <w:p w14:paraId="760E673F"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219BC7B6"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Technical Assistance to Support the National Affordable </w:t>
            </w:r>
            <w:r w:rsidRPr="007B3282">
              <w:rPr>
                <w:rFonts w:ascii="Arial Narrow" w:hAnsi="Arial Narrow"/>
                <w:b/>
                <w:bCs/>
                <w:color w:val="000000"/>
                <w:sz w:val="20"/>
                <w:lang w:eastAsia="en-AU"/>
              </w:rPr>
              <w:t>Housing</w:t>
            </w:r>
            <w:r w:rsidRPr="007B3282">
              <w:rPr>
                <w:rFonts w:ascii="Arial Narrow" w:hAnsi="Arial Narrow"/>
                <w:color w:val="000000"/>
                <w:sz w:val="20"/>
                <w:lang w:eastAsia="en-AU"/>
              </w:rPr>
              <w:t xml:space="preserve"> Program</w:t>
            </w:r>
          </w:p>
        </w:tc>
        <w:tc>
          <w:tcPr>
            <w:tcW w:w="1777" w:type="pct"/>
            <w:vAlign w:val="center"/>
          </w:tcPr>
          <w:p w14:paraId="70495347"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Leverage </w:t>
            </w:r>
            <w:r w:rsidR="001648E2">
              <w:rPr>
                <w:rFonts w:ascii="Arial Narrow" w:hAnsi="Arial Narrow"/>
                <w:color w:val="000000"/>
                <w:sz w:val="20"/>
                <w:lang w:eastAsia="en-AU"/>
              </w:rPr>
              <w:t>World Bank</w:t>
            </w:r>
            <w:r w:rsidRPr="007B3282">
              <w:rPr>
                <w:rFonts w:ascii="Arial Narrow" w:hAnsi="Arial Narrow"/>
                <w:color w:val="000000"/>
                <w:sz w:val="20"/>
                <w:lang w:eastAsia="en-AU"/>
              </w:rPr>
              <w:t xml:space="preserve"> lending, large budget allocation</w:t>
            </w:r>
          </w:p>
        </w:tc>
      </w:tr>
      <w:tr w:rsidR="00530611" w:rsidRPr="007B3282" w14:paraId="4BC3EFDE" w14:textId="77777777" w:rsidTr="006A21D6">
        <w:tc>
          <w:tcPr>
            <w:tcW w:w="627" w:type="pct"/>
            <w:vAlign w:val="center"/>
          </w:tcPr>
          <w:p w14:paraId="2A50B2F0"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74ED7A0D"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Indonesia </w:t>
            </w:r>
            <w:r w:rsidRPr="007B3282">
              <w:rPr>
                <w:rFonts w:ascii="Arial Narrow" w:hAnsi="Arial Narrow"/>
                <w:b/>
                <w:bCs/>
                <w:color w:val="000000"/>
                <w:sz w:val="20"/>
                <w:lang w:eastAsia="en-AU"/>
              </w:rPr>
              <w:t>Water Resources</w:t>
            </w:r>
            <w:r w:rsidRPr="007B3282">
              <w:rPr>
                <w:rFonts w:ascii="Arial Narrow" w:hAnsi="Arial Narrow"/>
                <w:color w:val="000000"/>
                <w:sz w:val="20"/>
                <w:lang w:eastAsia="en-AU"/>
              </w:rPr>
              <w:t xml:space="preserve"> Sector Support</w:t>
            </w:r>
          </w:p>
        </w:tc>
        <w:tc>
          <w:tcPr>
            <w:tcW w:w="1777" w:type="pct"/>
            <w:vAlign w:val="center"/>
          </w:tcPr>
          <w:p w14:paraId="55702EE5"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Leverage </w:t>
            </w:r>
            <w:r w:rsidR="001648E2">
              <w:rPr>
                <w:rFonts w:ascii="Arial Narrow" w:hAnsi="Arial Narrow"/>
                <w:color w:val="000000"/>
                <w:sz w:val="20"/>
                <w:lang w:eastAsia="en-AU"/>
              </w:rPr>
              <w:t>World Bank</w:t>
            </w:r>
            <w:r w:rsidRPr="007B3282">
              <w:rPr>
                <w:rFonts w:ascii="Arial Narrow" w:hAnsi="Arial Narrow"/>
                <w:color w:val="000000"/>
                <w:sz w:val="20"/>
                <w:lang w:eastAsia="en-AU"/>
              </w:rPr>
              <w:t xml:space="preserve"> lending</w:t>
            </w:r>
          </w:p>
        </w:tc>
      </w:tr>
      <w:tr w:rsidR="00530611" w:rsidRPr="007B3282" w14:paraId="502FD14A" w14:textId="77777777" w:rsidTr="006A21D6">
        <w:tc>
          <w:tcPr>
            <w:tcW w:w="627" w:type="pct"/>
            <w:vAlign w:val="center"/>
          </w:tcPr>
          <w:p w14:paraId="36D5E7F9"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47310A82"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Indonesia Infrastructure Support (INIS) Improving </w:t>
            </w:r>
            <w:r w:rsidRPr="007B3282">
              <w:rPr>
                <w:rFonts w:ascii="Arial Narrow" w:hAnsi="Arial Narrow"/>
                <w:b/>
                <w:bCs/>
                <w:color w:val="000000"/>
                <w:sz w:val="20"/>
                <w:lang w:eastAsia="en-AU"/>
              </w:rPr>
              <w:t xml:space="preserve">Energy </w:t>
            </w:r>
            <w:r w:rsidRPr="007B3282">
              <w:rPr>
                <w:rFonts w:ascii="Arial Narrow" w:hAnsi="Arial Narrow"/>
                <w:color w:val="000000"/>
                <w:sz w:val="20"/>
                <w:lang w:eastAsia="en-AU"/>
              </w:rPr>
              <w:t>Project Delivery Project</w:t>
            </w:r>
          </w:p>
        </w:tc>
        <w:tc>
          <w:tcPr>
            <w:tcW w:w="1777" w:type="pct"/>
            <w:vAlign w:val="center"/>
          </w:tcPr>
          <w:p w14:paraId="3F6CE8E8"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RETF - large budget allocation</w:t>
            </w:r>
          </w:p>
        </w:tc>
      </w:tr>
      <w:tr w:rsidR="00530611" w:rsidRPr="007B3282" w14:paraId="65BBC66C" w14:textId="77777777" w:rsidTr="006A21D6">
        <w:tc>
          <w:tcPr>
            <w:tcW w:w="627" w:type="pct"/>
            <w:vAlign w:val="center"/>
          </w:tcPr>
          <w:p w14:paraId="557CE8E3"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33FF209C"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Advisory Support on Infrastructure for </w:t>
            </w:r>
            <w:r w:rsidRPr="007B3282">
              <w:rPr>
                <w:rFonts w:ascii="Arial Narrow" w:hAnsi="Arial Narrow"/>
                <w:b/>
                <w:bCs/>
                <w:color w:val="000000"/>
                <w:sz w:val="20"/>
                <w:lang w:eastAsia="en-AU"/>
              </w:rPr>
              <w:t>Tourism</w:t>
            </w:r>
          </w:p>
        </w:tc>
        <w:tc>
          <w:tcPr>
            <w:tcW w:w="1777" w:type="pct"/>
            <w:vAlign w:val="center"/>
          </w:tcPr>
          <w:p w14:paraId="5D92D9D6"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Large funding allocation - Linked to RETF Integrated Tourism Master Plans</w:t>
            </w:r>
          </w:p>
        </w:tc>
      </w:tr>
      <w:tr w:rsidR="00530611" w:rsidRPr="007B3282" w14:paraId="133CF9FF" w14:textId="77777777" w:rsidTr="006A21D6">
        <w:tc>
          <w:tcPr>
            <w:tcW w:w="627" w:type="pct"/>
            <w:vAlign w:val="center"/>
          </w:tcPr>
          <w:p w14:paraId="6FB81BB6"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050C0656"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Development of National </w:t>
            </w:r>
            <w:r w:rsidRPr="007B3282">
              <w:rPr>
                <w:rFonts w:ascii="Arial Narrow" w:hAnsi="Arial Narrow"/>
                <w:b/>
                <w:bCs/>
                <w:color w:val="000000"/>
                <w:sz w:val="20"/>
                <w:lang w:eastAsia="en-AU"/>
              </w:rPr>
              <w:t>Urban Water Supply</w:t>
            </w:r>
            <w:r w:rsidRPr="007B3282">
              <w:rPr>
                <w:rFonts w:ascii="Arial Narrow" w:hAnsi="Arial Narrow"/>
                <w:color w:val="000000"/>
                <w:sz w:val="20"/>
                <w:lang w:eastAsia="en-AU"/>
              </w:rPr>
              <w:t xml:space="preserve"> Program</w:t>
            </w:r>
          </w:p>
        </w:tc>
        <w:tc>
          <w:tcPr>
            <w:tcW w:w="1777" w:type="pct"/>
            <w:vAlign w:val="center"/>
          </w:tcPr>
          <w:p w14:paraId="395BD667"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Large budget allocation</w:t>
            </w:r>
          </w:p>
        </w:tc>
      </w:tr>
      <w:tr w:rsidR="00530611" w:rsidRPr="007B3282" w14:paraId="071DE159" w14:textId="77777777" w:rsidTr="006A21D6">
        <w:tc>
          <w:tcPr>
            <w:tcW w:w="627" w:type="pct"/>
            <w:vAlign w:val="center"/>
          </w:tcPr>
          <w:p w14:paraId="254F778B" w14:textId="77777777" w:rsidR="00530611" w:rsidRPr="007B3282" w:rsidRDefault="00530611" w:rsidP="006A21D6">
            <w:pPr>
              <w:spacing w:before="20" w:after="20" w:line="240" w:lineRule="auto"/>
              <w:rPr>
                <w:rFonts w:ascii="Arial Narrow" w:hAnsi="Arial Narrow"/>
                <w:sz w:val="20"/>
              </w:rPr>
            </w:pPr>
            <w:r w:rsidRPr="007B3282">
              <w:rPr>
                <w:rFonts w:ascii="Arial Narrow" w:hAnsi="Arial Narrow"/>
                <w:sz w:val="20"/>
              </w:rPr>
              <w:t>INIS</w:t>
            </w:r>
          </w:p>
        </w:tc>
        <w:tc>
          <w:tcPr>
            <w:tcW w:w="2596" w:type="pct"/>
            <w:vAlign w:val="center"/>
          </w:tcPr>
          <w:p w14:paraId="74A9C30B"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City Technical Capacity Support for </w:t>
            </w:r>
            <w:r w:rsidRPr="007B3282">
              <w:rPr>
                <w:rFonts w:ascii="Arial Narrow" w:hAnsi="Arial Narrow"/>
                <w:b/>
                <w:bCs/>
                <w:color w:val="000000"/>
                <w:sz w:val="20"/>
                <w:lang w:eastAsia="en-AU"/>
              </w:rPr>
              <w:t>Solid Waste Management</w:t>
            </w:r>
            <w:r w:rsidRPr="007B3282">
              <w:rPr>
                <w:rFonts w:ascii="Arial Narrow" w:hAnsi="Arial Narrow"/>
                <w:color w:val="000000"/>
                <w:sz w:val="20"/>
                <w:lang w:eastAsia="en-AU"/>
              </w:rPr>
              <w:t xml:space="preserve"> Investment Preparation</w:t>
            </w:r>
          </w:p>
        </w:tc>
        <w:tc>
          <w:tcPr>
            <w:tcW w:w="1777" w:type="pct"/>
            <w:vAlign w:val="center"/>
          </w:tcPr>
          <w:p w14:paraId="2FAC7C00"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Leverage </w:t>
            </w:r>
            <w:r w:rsidR="001648E2">
              <w:rPr>
                <w:rFonts w:ascii="Arial Narrow" w:hAnsi="Arial Narrow"/>
                <w:color w:val="000000"/>
                <w:sz w:val="20"/>
                <w:lang w:eastAsia="en-AU"/>
              </w:rPr>
              <w:t>World Bank</w:t>
            </w:r>
            <w:r w:rsidRPr="007B3282">
              <w:rPr>
                <w:rFonts w:ascii="Arial Narrow" w:hAnsi="Arial Narrow"/>
                <w:color w:val="000000"/>
                <w:sz w:val="20"/>
                <w:lang w:eastAsia="en-AU"/>
              </w:rPr>
              <w:t xml:space="preserve"> lending</w:t>
            </w:r>
          </w:p>
        </w:tc>
      </w:tr>
      <w:tr w:rsidR="00530611" w:rsidRPr="007B3282" w14:paraId="37E3FA16" w14:textId="77777777" w:rsidTr="006A21D6">
        <w:tc>
          <w:tcPr>
            <w:tcW w:w="627" w:type="pct"/>
            <w:vAlign w:val="center"/>
          </w:tcPr>
          <w:p w14:paraId="205AC28A" w14:textId="77777777" w:rsidR="00530611" w:rsidRPr="007B3282" w:rsidRDefault="00530611" w:rsidP="006A21D6">
            <w:pPr>
              <w:tabs>
                <w:tab w:val="left" w:pos="318"/>
              </w:tabs>
              <w:spacing w:before="20" w:after="20" w:line="240" w:lineRule="auto"/>
              <w:rPr>
                <w:rFonts w:ascii="Arial Narrow" w:hAnsi="Arial Narrow"/>
                <w:sz w:val="20"/>
              </w:rPr>
            </w:pPr>
            <w:r w:rsidRPr="007B3282">
              <w:rPr>
                <w:rFonts w:ascii="Arial Narrow" w:hAnsi="Arial Narrow"/>
                <w:sz w:val="20"/>
              </w:rPr>
              <w:t>SIAP</w:t>
            </w:r>
          </w:p>
        </w:tc>
        <w:tc>
          <w:tcPr>
            <w:tcW w:w="2596" w:type="pct"/>
            <w:vAlign w:val="center"/>
          </w:tcPr>
          <w:p w14:paraId="54E5EC3E" w14:textId="77777777" w:rsidR="00530611" w:rsidRPr="007B3282" w:rsidRDefault="00530611" w:rsidP="006A21D6">
            <w:pPr>
              <w:spacing w:before="20" w:after="20" w:line="240" w:lineRule="auto"/>
              <w:rPr>
                <w:rFonts w:ascii="Arial Narrow" w:eastAsiaTheme="minorHAnsi" w:hAnsi="Arial Narrow"/>
                <w:color w:val="000000"/>
                <w:sz w:val="20"/>
                <w:lang w:eastAsia="en-AU"/>
              </w:rPr>
            </w:pPr>
            <w:r w:rsidRPr="007B3282">
              <w:rPr>
                <w:rFonts w:ascii="Arial Narrow" w:hAnsi="Arial Narrow"/>
                <w:color w:val="000000"/>
                <w:sz w:val="20"/>
                <w:lang w:eastAsia="en-AU"/>
              </w:rPr>
              <w:t xml:space="preserve">Accelerating </w:t>
            </w:r>
            <w:r w:rsidRPr="007B3282">
              <w:rPr>
                <w:rFonts w:ascii="Arial Narrow" w:hAnsi="Arial Narrow"/>
                <w:b/>
                <w:bCs/>
                <w:color w:val="000000"/>
                <w:sz w:val="20"/>
                <w:lang w:eastAsia="en-AU"/>
              </w:rPr>
              <w:t>Infrastructure Delivery</w:t>
            </w:r>
            <w:r w:rsidRPr="007B3282">
              <w:rPr>
                <w:rFonts w:ascii="Arial Narrow" w:hAnsi="Arial Narrow"/>
                <w:color w:val="000000"/>
                <w:sz w:val="20"/>
                <w:lang w:eastAsia="en-AU"/>
              </w:rPr>
              <w:t xml:space="preserve"> through Better Engineering Services Project</w:t>
            </w:r>
          </w:p>
        </w:tc>
        <w:tc>
          <w:tcPr>
            <w:tcW w:w="1777" w:type="pct"/>
            <w:vAlign w:val="center"/>
          </w:tcPr>
          <w:p w14:paraId="13A4E4A3" w14:textId="77777777" w:rsidR="00530611" w:rsidRPr="007B3282" w:rsidRDefault="00530611" w:rsidP="006A21D6">
            <w:pPr>
              <w:spacing w:before="20" w:after="20" w:line="240" w:lineRule="auto"/>
              <w:rPr>
                <w:rFonts w:ascii="Arial Narrow" w:eastAsiaTheme="minorHAnsi" w:hAnsi="Arial Narrow"/>
                <w:color w:val="000000"/>
                <w:sz w:val="20"/>
                <w:lang w:eastAsia="en-AU"/>
              </w:rPr>
            </w:pPr>
            <w:r w:rsidRPr="007B3282">
              <w:rPr>
                <w:rFonts w:ascii="Arial Narrow" w:hAnsi="Arial Narrow"/>
                <w:color w:val="000000"/>
                <w:sz w:val="20"/>
                <w:lang w:eastAsia="en-AU"/>
              </w:rPr>
              <w:t>Leverage ADB lending</w:t>
            </w:r>
          </w:p>
        </w:tc>
      </w:tr>
      <w:tr w:rsidR="00530611" w:rsidRPr="007B3282" w14:paraId="5CBEDCC5" w14:textId="77777777" w:rsidTr="006A21D6">
        <w:tc>
          <w:tcPr>
            <w:tcW w:w="627" w:type="pct"/>
            <w:vAlign w:val="center"/>
          </w:tcPr>
          <w:p w14:paraId="3FFDF2A9" w14:textId="77777777" w:rsidR="00530611" w:rsidRPr="007B3282" w:rsidRDefault="00530611" w:rsidP="006A21D6">
            <w:pPr>
              <w:tabs>
                <w:tab w:val="left" w:pos="318"/>
              </w:tabs>
              <w:spacing w:before="20" w:after="20" w:line="240" w:lineRule="auto"/>
              <w:rPr>
                <w:rFonts w:ascii="Arial Narrow" w:hAnsi="Arial Narrow"/>
                <w:sz w:val="20"/>
              </w:rPr>
            </w:pPr>
            <w:r w:rsidRPr="007B3282">
              <w:rPr>
                <w:rFonts w:ascii="Arial Narrow" w:hAnsi="Arial Narrow"/>
                <w:sz w:val="20"/>
              </w:rPr>
              <w:t>SIAP</w:t>
            </w:r>
          </w:p>
        </w:tc>
        <w:tc>
          <w:tcPr>
            <w:tcW w:w="2596" w:type="pct"/>
            <w:vAlign w:val="center"/>
          </w:tcPr>
          <w:p w14:paraId="0C5320FA"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b/>
                <w:bCs/>
                <w:color w:val="000000"/>
                <w:sz w:val="20"/>
                <w:lang w:eastAsia="en-AU"/>
              </w:rPr>
              <w:t>Electricity</w:t>
            </w:r>
            <w:r w:rsidRPr="007B3282">
              <w:rPr>
                <w:rFonts w:ascii="Arial Narrow" w:hAnsi="Arial Narrow"/>
                <w:color w:val="000000"/>
                <w:sz w:val="20"/>
                <w:lang w:eastAsia="en-AU"/>
              </w:rPr>
              <w:t xml:space="preserve"> Grid Strengthening Program, Sumatera</w:t>
            </w:r>
          </w:p>
        </w:tc>
        <w:tc>
          <w:tcPr>
            <w:tcW w:w="1777" w:type="pct"/>
            <w:vAlign w:val="center"/>
          </w:tcPr>
          <w:p w14:paraId="6C24D9A7"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Leverage ADB lending</w:t>
            </w:r>
          </w:p>
        </w:tc>
      </w:tr>
      <w:tr w:rsidR="00530611" w:rsidRPr="007B3282" w14:paraId="48D2F163" w14:textId="77777777" w:rsidTr="006A21D6">
        <w:tc>
          <w:tcPr>
            <w:tcW w:w="627" w:type="pct"/>
            <w:vAlign w:val="center"/>
          </w:tcPr>
          <w:p w14:paraId="21284A35" w14:textId="77777777" w:rsidR="00530611" w:rsidRPr="007B3282" w:rsidRDefault="00530611" w:rsidP="006A21D6">
            <w:pPr>
              <w:tabs>
                <w:tab w:val="left" w:pos="318"/>
              </w:tabs>
              <w:spacing w:before="20" w:after="20" w:line="240" w:lineRule="auto"/>
              <w:rPr>
                <w:rFonts w:ascii="Arial Narrow" w:hAnsi="Arial Narrow"/>
                <w:sz w:val="20"/>
              </w:rPr>
            </w:pPr>
            <w:r w:rsidRPr="007B3282">
              <w:rPr>
                <w:rFonts w:ascii="Arial Narrow" w:hAnsi="Arial Narrow"/>
                <w:sz w:val="20"/>
              </w:rPr>
              <w:t>SIAP</w:t>
            </w:r>
          </w:p>
        </w:tc>
        <w:tc>
          <w:tcPr>
            <w:tcW w:w="2596" w:type="pct"/>
            <w:vAlign w:val="center"/>
          </w:tcPr>
          <w:p w14:paraId="21B3A886"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 xml:space="preserve">Improving </w:t>
            </w:r>
            <w:r w:rsidRPr="007B3282">
              <w:rPr>
                <w:rFonts w:ascii="Arial Narrow" w:hAnsi="Arial Narrow"/>
                <w:b/>
                <w:bCs/>
                <w:color w:val="000000"/>
                <w:sz w:val="20"/>
                <w:lang w:eastAsia="en-AU"/>
              </w:rPr>
              <w:t xml:space="preserve">Multimodal Connectivity </w:t>
            </w:r>
            <w:r w:rsidRPr="007B3282">
              <w:rPr>
                <w:rFonts w:ascii="Arial Narrow" w:hAnsi="Arial Narrow"/>
                <w:color w:val="000000"/>
                <w:sz w:val="20"/>
                <w:lang w:eastAsia="en-AU"/>
              </w:rPr>
              <w:t>to Support Integrated Land and Sea Tollway</w:t>
            </w:r>
          </w:p>
        </w:tc>
        <w:tc>
          <w:tcPr>
            <w:tcW w:w="1777" w:type="pct"/>
            <w:vAlign w:val="center"/>
          </w:tcPr>
          <w:p w14:paraId="0454EB49"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Low disbursement</w:t>
            </w:r>
          </w:p>
        </w:tc>
      </w:tr>
      <w:tr w:rsidR="00530611" w:rsidRPr="007B3282" w14:paraId="2C88A62B" w14:textId="77777777" w:rsidTr="006A21D6">
        <w:tc>
          <w:tcPr>
            <w:tcW w:w="627" w:type="pct"/>
            <w:vAlign w:val="center"/>
          </w:tcPr>
          <w:p w14:paraId="5F8340B3" w14:textId="77777777" w:rsidR="00530611" w:rsidRPr="007B3282" w:rsidRDefault="00530611" w:rsidP="006A21D6">
            <w:pPr>
              <w:tabs>
                <w:tab w:val="left" w:pos="318"/>
              </w:tabs>
              <w:spacing w:before="20" w:after="20" w:line="240" w:lineRule="auto"/>
              <w:rPr>
                <w:rFonts w:ascii="Arial Narrow" w:hAnsi="Arial Narrow"/>
                <w:sz w:val="20"/>
              </w:rPr>
            </w:pPr>
            <w:r w:rsidRPr="007B3282">
              <w:rPr>
                <w:rFonts w:ascii="Arial Narrow" w:hAnsi="Arial Narrow"/>
                <w:sz w:val="20"/>
              </w:rPr>
              <w:t>SIAP</w:t>
            </w:r>
          </w:p>
        </w:tc>
        <w:tc>
          <w:tcPr>
            <w:tcW w:w="2596" w:type="pct"/>
            <w:vAlign w:val="center"/>
          </w:tcPr>
          <w:p w14:paraId="4955F5C8"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Technical Assistance Cluster Management Facility</w:t>
            </w:r>
          </w:p>
        </w:tc>
        <w:tc>
          <w:tcPr>
            <w:tcW w:w="1777" w:type="pct"/>
            <w:vAlign w:val="center"/>
          </w:tcPr>
          <w:p w14:paraId="01C2E2EF" w14:textId="77777777" w:rsidR="00530611" w:rsidRPr="007B3282" w:rsidRDefault="00530611" w:rsidP="006A21D6">
            <w:pPr>
              <w:spacing w:before="20" w:after="20" w:line="240" w:lineRule="auto"/>
              <w:rPr>
                <w:rFonts w:ascii="Arial Narrow" w:hAnsi="Arial Narrow"/>
                <w:color w:val="000000"/>
                <w:sz w:val="20"/>
                <w:lang w:eastAsia="en-AU"/>
              </w:rPr>
            </w:pPr>
            <w:r w:rsidRPr="007B3282">
              <w:rPr>
                <w:rFonts w:ascii="Arial Narrow" w:hAnsi="Arial Narrow"/>
                <w:color w:val="000000"/>
                <w:sz w:val="20"/>
                <w:lang w:eastAsia="en-AU"/>
              </w:rPr>
              <w:t>Large budget allocation</w:t>
            </w:r>
          </w:p>
        </w:tc>
      </w:tr>
    </w:tbl>
    <w:p w14:paraId="115B9412" w14:textId="124482B9" w:rsidR="00530611" w:rsidRPr="0074698F" w:rsidRDefault="00530611" w:rsidP="00530611">
      <w:r>
        <w:t>The examination of project specific information, and discussions with Task Team Leaders and GoI officials provided a level of insight into the activities of the MDB-IAP that would not otherwise have been possible. These discussions provided insight into the operation of the program</w:t>
      </w:r>
      <w:r w:rsidR="005557DB">
        <w:t xml:space="preserve"> and examples have been cited where relevant in this report</w:t>
      </w:r>
      <w:r w:rsidRPr="003634A3">
        <w:t>.</w:t>
      </w:r>
    </w:p>
    <w:p w14:paraId="014C35DC" w14:textId="77777777" w:rsidR="00E6092A" w:rsidRPr="008656A1" w:rsidRDefault="00E6092A" w:rsidP="00D4448B">
      <w:pPr>
        <w:pStyle w:val="Heading1"/>
      </w:pPr>
      <w:bookmarkStart w:id="7" w:name="_Toc505838179"/>
      <w:r w:rsidRPr="008656A1">
        <w:lastRenderedPageBreak/>
        <w:t>How suitable were the governance and implementation arrangements?</w:t>
      </w:r>
      <w:bookmarkEnd w:id="7"/>
      <w:r w:rsidRPr="008656A1">
        <w:t xml:space="preserve">  </w:t>
      </w:r>
    </w:p>
    <w:tbl>
      <w:tblPr>
        <w:tblStyle w:val="TableGrid"/>
        <w:tblW w:w="4912"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50"/>
      </w:tblGrid>
      <w:tr w:rsidR="00530611" w:rsidRPr="00280FD9" w14:paraId="1217D8BE" w14:textId="77777777" w:rsidTr="006A21D6">
        <w:tc>
          <w:tcPr>
            <w:tcW w:w="1484" w:type="pct"/>
            <w:shd w:val="clear" w:color="auto" w:fill="auto"/>
          </w:tcPr>
          <w:p w14:paraId="63BAD8B1" w14:textId="77777777" w:rsidR="00530611" w:rsidRPr="00280FD9" w:rsidRDefault="00530611" w:rsidP="006A21D6">
            <w:pPr>
              <w:spacing w:before="60" w:after="60" w:line="260" w:lineRule="exact"/>
              <w:rPr>
                <w:rFonts w:ascii="Arial Narrow" w:hAnsi="Arial Narrow"/>
                <w:i/>
              </w:rPr>
            </w:pPr>
            <w:r w:rsidRPr="00280FD9">
              <w:rPr>
                <w:rFonts w:ascii="Arial Narrow" w:hAnsi="Arial Narrow"/>
              </w:rPr>
              <w:t>Are the governance arrangements appropriate, effective and functioning as envisaged?</w:t>
            </w:r>
          </w:p>
        </w:tc>
      </w:tr>
      <w:tr w:rsidR="00530611" w:rsidRPr="00280FD9" w14:paraId="0FE6F07B" w14:textId="77777777" w:rsidTr="006A21D6">
        <w:tc>
          <w:tcPr>
            <w:tcW w:w="1484" w:type="pct"/>
            <w:shd w:val="clear" w:color="auto" w:fill="auto"/>
          </w:tcPr>
          <w:p w14:paraId="37E2B92E" w14:textId="77777777" w:rsidR="00530611" w:rsidRPr="00280FD9" w:rsidRDefault="00530611" w:rsidP="006A21D6">
            <w:pPr>
              <w:spacing w:before="60" w:after="60" w:line="260" w:lineRule="exact"/>
              <w:rPr>
                <w:rFonts w:ascii="Arial Narrow" w:hAnsi="Arial Narrow"/>
              </w:rPr>
            </w:pPr>
            <w:r>
              <w:rPr>
                <w:rFonts w:ascii="Arial Narrow" w:hAnsi="Arial Narrow"/>
              </w:rPr>
              <w:t xml:space="preserve">Are </w:t>
            </w:r>
            <w:r w:rsidRPr="00280FD9">
              <w:rPr>
                <w:rFonts w:ascii="Arial Narrow" w:hAnsi="Arial Narrow"/>
              </w:rPr>
              <w:t xml:space="preserve">the </w:t>
            </w:r>
            <w:r w:rsidR="001648E2">
              <w:rPr>
                <w:rFonts w:ascii="Arial Narrow" w:hAnsi="Arial Narrow"/>
              </w:rPr>
              <w:t>World Bank</w:t>
            </w:r>
            <w:r w:rsidRPr="00280FD9">
              <w:rPr>
                <w:rFonts w:ascii="Arial Narrow" w:hAnsi="Arial Narrow"/>
              </w:rPr>
              <w:t xml:space="preserve"> and ADB managing their activities</w:t>
            </w:r>
            <w:r>
              <w:rPr>
                <w:rFonts w:ascii="Arial Narrow" w:hAnsi="Arial Narrow"/>
              </w:rPr>
              <w:t xml:space="preserve"> in accordance with the agreed administrative arrangements</w:t>
            </w:r>
            <w:r w:rsidRPr="00280FD9">
              <w:rPr>
                <w:rFonts w:ascii="Arial Narrow" w:hAnsi="Arial Narrow"/>
              </w:rPr>
              <w:t>?</w:t>
            </w:r>
          </w:p>
        </w:tc>
      </w:tr>
      <w:tr w:rsidR="00530611" w:rsidRPr="00280FD9" w14:paraId="21E4EA11" w14:textId="77777777" w:rsidTr="006A21D6">
        <w:trPr>
          <w:cantSplit/>
        </w:trPr>
        <w:tc>
          <w:tcPr>
            <w:tcW w:w="1484" w:type="pct"/>
            <w:shd w:val="clear" w:color="auto" w:fill="auto"/>
          </w:tcPr>
          <w:p w14:paraId="29A45F33" w14:textId="77777777" w:rsidR="00530611" w:rsidRPr="00280FD9" w:rsidRDefault="00530611" w:rsidP="006A21D6">
            <w:pPr>
              <w:spacing w:before="60" w:after="60" w:line="260" w:lineRule="exact"/>
              <w:rPr>
                <w:rFonts w:ascii="Arial Narrow" w:hAnsi="Arial Narrow"/>
              </w:rPr>
            </w:pPr>
            <w:r w:rsidRPr="00280FD9">
              <w:rPr>
                <w:rFonts w:ascii="Arial Narrow" w:hAnsi="Arial Narrow"/>
              </w:rPr>
              <w:t>Is the program’s Monitoring and Evaluation (M&amp;E) system providing DFAT with the information needed to confidently understand and report on progress?</w:t>
            </w:r>
          </w:p>
        </w:tc>
      </w:tr>
    </w:tbl>
    <w:p w14:paraId="65F44D0A" w14:textId="5EF9A961" w:rsidR="00DE34E8" w:rsidRDefault="00645BA4" w:rsidP="00DE34E8">
      <w:r>
        <w:t>The</w:t>
      </w:r>
      <w:r w:rsidR="004976A9">
        <w:t xml:space="preserve"> MDB-IAP</w:t>
      </w:r>
      <w:r>
        <w:t xml:space="preserve"> initial investment strategy provided for AUD40</w:t>
      </w:r>
      <w:r w:rsidR="004976A9">
        <w:t xml:space="preserve"> </w:t>
      </w:r>
      <w:r>
        <w:t xml:space="preserve">million to be paid </w:t>
      </w:r>
      <w:r w:rsidR="006360D2">
        <w:t>between</w:t>
      </w:r>
      <w:r>
        <w:t xml:space="preserve"> the </w:t>
      </w:r>
      <w:r w:rsidR="001648E2">
        <w:t>World Bank</w:t>
      </w:r>
      <w:r>
        <w:t xml:space="preserve"> and </w:t>
      </w:r>
      <w:r w:rsidR="00262833">
        <w:t>A</w:t>
      </w:r>
      <w:r w:rsidR="00846D8D">
        <w:t xml:space="preserve">DB </w:t>
      </w:r>
      <w:r w:rsidR="002449C8">
        <w:t>for activities to be undertaken between May 2013 and 2017</w:t>
      </w:r>
      <w:r>
        <w:t>.</w:t>
      </w:r>
      <w:r w:rsidR="0004035A">
        <w:t xml:space="preserve"> Actual allocation per year to each </w:t>
      </w:r>
      <w:r w:rsidR="00F92CAA">
        <w:t xml:space="preserve">trust </w:t>
      </w:r>
      <w:r w:rsidR="0004035A">
        <w:t xml:space="preserve">fund was to be assessed based on </w:t>
      </w:r>
      <w:r w:rsidR="0004035A" w:rsidRPr="0004035A">
        <w:t>performance, demonstrated capacity to deliver and the quality of the pipeline proposals presented</w:t>
      </w:r>
      <w:r w:rsidR="0004035A">
        <w:t>.</w:t>
      </w:r>
      <w:r>
        <w:t xml:space="preserve"> </w:t>
      </w:r>
      <w:r w:rsidR="0004035A">
        <w:t xml:space="preserve">To enable this assessment, </w:t>
      </w:r>
      <w:r w:rsidR="002449C8">
        <w:t xml:space="preserve">consistent governance and reporting arrangements </w:t>
      </w:r>
      <w:r w:rsidR="0004035A">
        <w:t>w</w:t>
      </w:r>
      <w:r w:rsidR="00F92CAA">
        <w:t>ere</w:t>
      </w:r>
      <w:r w:rsidR="0004035A">
        <w:t xml:space="preserve"> to be developed </w:t>
      </w:r>
      <w:r w:rsidR="002449C8">
        <w:t>between the two delivery mechanisms (of INIS and SIAP).</w:t>
      </w:r>
      <w:r w:rsidR="002241B8">
        <w:t xml:space="preserve"> </w:t>
      </w:r>
      <w:r w:rsidR="00AD0DD7">
        <w:t>The program design anticipated that t</w:t>
      </w:r>
      <w:r w:rsidR="002241B8">
        <w:t xml:space="preserve">he quality of pipeline activities </w:t>
      </w:r>
      <w:r w:rsidR="00AD0DD7">
        <w:t xml:space="preserve">would be </w:t>
      </w:r>
      <w:r w:rsidR="002241B8">
        <w:t xml:space="preserve">assessed against base criteria </w:t>
      </w:r>
      <w:r w:rsidR="00AD0DD7">
        <w:t>and consider such things as</w:t>
      </w:r>
      <w:r w:rsidR="002241B8">
        <w:t xml:space="preserve"> ali</w:t>
      </w:r>
      <w:r w:rsidR="00AD0DD7">
        <w:t>g</w:t>
      </w:r>
      <w:r w:rsidR="002241B8">
        <w:t>nment with GoI priorities</w:t>
      </w:r>
      <w:r w:rsidR="00AD0DD7">
        <w:t xml:space="preserve">, evidence of stakeholder buy-in and the general fit of the activity against existing infrastructure activities funded by GoA. </w:t>
      </w:r>
      <w:r w:rsidR="003E4BC6">
        <w:t xml:space="preserve">However, </w:t>
      </w:r>
      <w:r w:rsidR="005557DB">
        <w:t xml:space="preserve">this intended flexibility in funding allocations was not supported by the governance arrangements put in place, for example, by including the </w:t>
      </w:r>
      <w:r w:rsidR="003E4BC6">
        <w:t>overall amount and anticipated annual allocations of funding</w:t>
      </w:r>
      <w:r w:rsidR="005557DB">
        <w:t xml:space="preserve"> in the original 2013 ADB agreement (see Annex 2</w:t>
      </w:r>
      <w:r w:rsidR="00937833">
        <w:t xml:space="preserve"> for details</w:t>
      </w:r>
      <w:r w:rsidR="005557DB">
        <w:t>)</w:t>
      </w:r>
      <w:r w:rsidR="003E4BC6">
        <w:t xml:space="preserve">. </w:t>
      </w:r>
    </w:p>
    <w:p w14:paraId="683C61AE" w14:textId="0D89E7B3" w:rsidR="00CF2525" w:rsidRDefault="00016AF8" w:rsidP="00016AF8">
      <w:pPr>
        <w:rPr>
          <w:rFonts w:asciiTheme="minorHAnsi" w:hAnsiTheme="minorHAnsi" w:cs="Calibri"/>
        </w:rPr>
      </w:pPr>
      <w:r>
        <w:t>As a result of the various amendments to each partner-</w:t>
      </w:r>
      <w:r w:rsidR="0070323C">
        <w:t xml:space="preserve">led </w:t>
      </w:r>
      <w:r>
        <w:t xml:space="preserve">mechanism, the MDB-IAP’s intended establishment of </w:t>
      </w:r>
      <w:r>
        <w:rPr>
          <w:rFonts w:asciiTheme="minorHAnsi" w:hAnsiTheme="minorHAnsi" w:cs="Calibri"/>
        </w:rPr>
        <w:t>common reporting</w:t>
      </w:r>
      <w:r w:rsidR="00A96B6F">
        <w:rPr>
          <w:rFonts w:asciiTheme="minorHAnsi" w:hAnsiTheme="minorHAnsi" w:cs="Calibri"/>
        </w:rPr>
        <w:t xml:space="preserve"> and</w:t>
      </w:r>
      <w:r>
        <w:rPr>
          <w:rFonts w:asciiTheme="minorHAnsi" w:hAnsiTheme="minorHAnsi" w:cs="Calibri"/>
        </w:rPr>
        <w:t xml:space="preserve"> monitoring and evaluation </w:t>
      </w:r>
      <w:r w:rsidR="005557DB">
        <w:rPr>
          <w:rFonts w:asciiTheme="minorHAnsi" w:hAnsiTheme="minorHAnsi" w:cs="Calibri"/>
        </w:rPr>
        <w:t xml:space="preserve">also </w:t>
      </w:r>
      <w:r>
        <w:rPr>
          <w:rFonts w:asciiTheme="minorHAnsi" w:hAnsiTheme="minorHAnsi" w:cs="Calibri"/>
        </w:rPr>
        <w:t>has not occurred. Rather, INIS and SIAP continue to each operate in a standalone environment with subtly different objectives and intentions to the overarching MDB-IAP.</w:t>
      </w:r>
      <w:r w:rsidR="005A6EF6">
        <w:rPr>
          <w:rFonts w:asciiTheme="minorHAnsi" w:hAnsiTheme="minorHAnsi" w:cs="Calibri"/>
        </w:rPr>
        <w:t xml:space="preserve"> </w:t>
      </w:r>
      <w:r>
        <w:rPr>
          <w:rFonts w:asciiTheme="minorHAnsi" w:hAnsiTheme="minorHAnsi" w:cs="Calibri"/>
        </w:rPr>
        <w:t xml:space="preserve"> </w:t>
      </w:r>
    </w:p>
    <w:p w14:paraId="6F7C4360" w14:textId="77777777" w:rsidR="00CF2525" w:rsidRDefault="004F547C" w:rsidP="00016AF8">
      <w:pPr>
        <w:rPr>
          <w:rFonts w:asciiTheme="minorHAnsi" w:hAnsiTheme="minorHAnsi" w:cs="Calibri"/>
        </w:rPr>
      </w:pPr>
      <w:r>
        <w:rPr>
          <w:rFonts w:asciiTheme="minorHAnsi" w:hAnsiTheme="minorHAnsi" w:cs="Calibri"/>
        </w:rPr>
        <w:t xml:space="preserve">Each trust fund has administrative arrangements that have been agreed between the MDB and the GoA. </w:t>
      </w:r>
      <w:r w:rsidR="00673AD3">
        <w:rPr>
          <w:rFonts w:asciiTheme="minorHAnsi" w:hAnsiTheme="minorHAnsi" w:cs="Calibri"/>
        </w:rPr>
        <w:t>A</w:t>
      </w:r>
      <w:r w:rsidR="00B4019B">
        <w:rPr>
          <w:rFonts w:asciiTheme="minorHAnsi" w:hAnsiTheme="minorHAnsi" w:cs="Calibri"/>
        </w:rPr>
        <w:t xml:space="preserve">ctual </w:t>
      </w:r>
      <w:r w:rsidR="00673AD3">
        <w:rPr>
          <w:rFonts w:asciiTheme="minorHAnsi" w:hAnsiTheme="minorHAnsi" w:cs="Calibri"/>
        </w:rPr>
        <w:t xml:space="preserve">project application and </w:t>
      </w:r>
      <w:r w:rsidR="00B4019B">
        <w:rPr>
          <w:rFonts w:asciiTheme="minorHAnsi" w:hAnsiTheme="minorHAnsi" w:cs="Calibri"/>
        </w:rPr>
        <w:t xml:space="preserve">approval </w:t>
      </w:r>
      <w:r w:rsidR="00673AD3">
        <w:rPr>
          <w:rFonts w:asciiTheme="minorHAnsi" w:hAnsiTheme="minorHAnsi" w:cs="Calibri"/>
        </w:rPr>
        <w:t>approaches, administrative processes</w:t>
      </w:r>
      <w:r w:rsidR="00B4019B">
        <w:rPr>
          <w:rFonts w:asciiTheme="minorHAnsi" w:hAnsiTheme="minorHAnsi" w:cs="Calibri"/>
        </w:rPr>
        <w:t xml:space="preserve"> and progress reporting submitted to GoA differs in form and substance between each</w:t>
      </w:r>
      <w:r w:rsidR="00673AD3">
        <w:rPr>
          <w:rFonts w:asciiTheme="minorHAnsi" w:hAnsiTheme="minorHAnsi" w:cs="Calibri"/>
        </w:rPr>
        <w:t xml:space="preserve"> trust fund</w:t>
      </w:r>
      <w:r w:rsidR="00B4019B">
        <w:rPr>
          <w:rFonts w:asciiTheme="minorHAnsi" w:hAnsiTheme="minorHAnsi" w:cs="Calibri"/>
        </w:rPr>
        <w:t xml:space="preserve">. </w:t>
      </w:r>
      <w:r w:rsidR="00953329">
        <w:rPr>
          <w:rFonts w:asciiTheme="minorHAnsi" w:hAnsiTheme="minorHAnsi" w:cs="Calibri"/>
        </w:rPr>
        <w:t>While regular reporting is specified in the administrative arrangements, guidance on what this entails is not. As a result, different progress reporting is provided to GoA under INIS compared to SIAP</w:t>
      </w:r>
      <w:r w:rsidR="00F92CAA">
        <w:rPr>
          <w:rFonts w:asciiTheme="minorHAnsi" w:hAnsiTheme="minorHAnsi" w:cs="Calibri"/>
        </w:rPr>
        <w:t>,</w:t>
      </w:r>
      <w:r w:rsidR="00AC5C64">
        <w:rPr>
          <w:rFonts w:asciiTheme="minorHAnsi" w:hAnsiTheme="minorHAnsi" w:cs="Calibri"/>
        </w:rPr>
        <w:t xml:space="preserve"> and each has differed over the life of the program</w:t>
      </w:r>
      <w:r w:rsidR="005A6EF6">
        <w:rPr>
          <w:rFonts w:asciiTheme="minorHAnsi" w:hAnsiTheme="minorHAnsi" w:cs="Calibri"/>
        </w:rPr>
        <w:t xml:space="preserve"> making a </w:t>
      </w:r>
      <w:r w:rsidR="00F87CE8">
        <w:rPr>
          <w:rFonts w:asciiTheme="minorHAnsi" w:hAnsiTheme="minorHAnsi" w:cs="Calibri"/>
        </w:rPr>
        <w:t xml:space="preserve">direct </w:t>
      </w:r>
      <w:r w:rsidR="005A6EF6">
        <w:rPr>
          <w:rFonts w:asciiTheme="minorHAnsi" w:hAnsiTheme="minorHAnsi" w:cs="Calibri"/>
        </w:rPr>
        <w:t>comparison of performance over time or between each trust fund difficult</w:t>
      </w:r>
      <w:r w:rsidR="00953329">
        <w:rPr>
          <w:rFonts w:asciiTheme="minorHAnsi" w:hAnsiTheme="minorHAnsi" w:cs="Calibri"/>
        </w:rPr>
        <w:t xml:space="preserve">. </w:t>
      </w:r>
    </w:p>
    <w:p w14:paraId="0D319AB0" w14:textId="2BA178DC" w:rsidR="009028B6" w:rsidRDefault="009028B6" w:rsidP="009028B6">
      <w:pPr>
        <w:rPr>
          <w:rFonts w:asciiTheme="minorHAnsi" w:hAnsiTheme="minorHAnsi" w:cs="Calibri"/>
        </w:rPr>
      </w:pPr>
      <w:r>
        <w:rPr>
          <w:rFonts w:asciiTheme="minorHAnsi" w:hAnsiTheme="minorHAnsi" w:cs="Calibri"/>
        </w:rPr>
        <w:t xml:space="preserve">For example, under the </w:t>
      </w:r>
      <w:r w:rsidR="001648E2">
        <w:rPr>
          <w:rFonts w:asciiTheme="minorHAnsi" w:hAnsiTheme="minorHAnsi" w:cs="Calibri"/>
        </w:rPr>
        <w:t>World Bank</w:t>
      </w:r>
      <w:r>
        <w:rPr>
          <w:rFonts w:asciiTheme="minorHAnsi" w:hAnsiTheme="minorHAnsi" w:cs="Calibri"/>
        </w:rPr>
        <w:t xml:space="preserve">-administered INIS trust fund, each technical assistance activity is managed as a standalone project with current funding proposals and annual reporting of progress against a specifically developed template. At the time of this review, INIS had funded or was currently funding 61 activities. By comparison, the </w:t>
      </w:r>
      <w:r w:rsidR="0070323C">
        <w:rPr>
          <w:rFonts w:asciiTheme="minorHAnsi" w:hAnsiTheme="minorHAnsi" w:cs="Calibri"/>
        </w:rPr>
        <w:t>ADB</w:t>
      </w:r>
      <w:r>
        <w:rPr>
          <w:rFonts w:asciiTheme="minorHAnsi" w:hAnsiTheme="minorHAnsi" w:cs="Calibri"/>
        </w:rPr>
        <w:t>-administered SIAP trust fund has individual activities funded and reported against a ‘cluster’ activity that contains administrative funding as well as funding for rapid response technical assistance activities. While individual activities funded under the ‘cluster’ activities are identified, the actual reporting is combined and therefore not as comprehensive as individually approved technical assistance initiatives</w:t>
      </w:r>
      <w:r w:rsidR="00D90FAD">
        <w:rPr>
          <w:rFonts w:asciiTheme="minorHAnsi" w:hAnsiTheme="minorHAnsi" w:cs="Calibri"/>
        </w:rPr>
        <w:t>.</w:t>
      </w:r>
      <w:r w:rsidR="000F0DE4">
        <w:rPr>
          <w:rFonts w:asciiTheme="minorHAnsi" w:hAnsiTheme="minorHAnsi" w:cs="Calibri"/>
        </w:rPr>
        <w:t xml:space="preserve"> </w:t>
      </w:r>
      <w:r>
        <w:rPr>
          <w:rFonts w:asciiTheme="minorHAnsi" w:hAnsiTheme="minorHAnsi" w:cs="Calibri"/>
        </w:rPr>
        <w:t xml:space="preserve">At the time of this review, SIAP had funded or was currently funding 12 specific activities. The different identification and basis of </w:t>
      </w:r>
      <w:r w:rsidR="000D0793">
        <w:rPr>
          <w:rFonts w:asciiTheme="minorHAnsi" w:hAnsiTheme="minorHAnsi" w:cs="Calibri"/>
        </w:rPr>
        <w:t xml:space="preserve">grouping, tracking and reporting on </w:t>
      </w:r>
      <w:r>
        <w:rPr>
          <w:rFonts w:asciiTheme="minorHAnsi" w:hAnsiTheme="minorHAnsi" w:cs="Calibri"/>
        </w:rPr>
        <w:t xml:space="preserve">projects between INIS and SIAP </w:t>
      </w:r>
      <w:r w:rsidR="005A6EF6">
        <w:rPr>
          <w:rFonts w:asciiTheme="minorHAnsi" w:hAnsiTheme="minorHAnsi" w:cs="Calibri"/>
        </w:rPr>
        <w:t xml:space="preserve">also </w:t>
      </w:r>
      <w:r>
        <w:rPr>
          <w:rFonts w:asciiTheme="minorHAnsi" w:hAnsiTheme="minorHAnsi" w:cs="Calibri"/>
        </w:rPr>
        <w:t xml:space="preserve">makes it difficult to </w:t>
      </w:r>
      <w:r w:rsidR="00F87CE8">
        <w:rPr>
          <w:rFonts w:asciiTheme="minorHAnsi" w:hAnsiTheme="minorHAnsi" w:cs="Calibri"/>
        </w:rPr>
        <w:t xml:space="preserve">directly </w:t>
      </w:r>
      <w:r>
        <w:rPr>
          <w:rFonts w:asciiTheme="minorHAnsi" w:hAnsiTheme="minorHAnsi" w:cs="Calibri"/>
        </w:rPr>
        <w:t>compare and contrast effectiveness of performance and quality of pipeline projects between to the two trust funds.</w:t>
      </w:r>
    </w:p>
    <w:p w14:paraId="4307F920" w14:textId="194507A7" w:rsidR="00561BE8" w:rsidRDefault="00323C92" w:rsidP="00016AF8">
      <w:pPr>
        <w:rPr>
          <w:rFonts w:asciiTheme="minorHAnsi" w:hAnsiTheme="minorHAnsi" w:cs="Calibri"/>
        </w:rPr>
      </w:pPr>
      <w:r>
        <w:rPr>
          <w:rFonts w:asciiTheme="minorHAnsi" w:hAnsiTheme="minorHAnsi" w:cs="Calibri"/>
        </w:rPr>
        <w:t>Individual</w:t>
      </w:r>
      <w:r w:rsidR="00893EB5">
        <w:rPr>
          <w:rFonts w:asciiTheme="minorHAnsi" w:hAnsiTheme="minorHAnsi" w:cs="Calibri"/>
        </w:rPr>
        <w:t xml:space="preserve"> </w:t>
      </w:r>
      <w:r>
        <w:rPr>
          <w:rFonts w:asciiTheme="minorHAnsi" w:hAnsiTheme="minorHAnsi" w:cs="Calibri"/>
        </w:rPr>
        <w:t>M&amp;E</w:t>
      </w:r>
      <w:r w:rsidR="00893EB5">
        <w:rPr>
          <w:rFonts w:asciiTheme="minorHAnsi" w:hAnsiTheme="minorHAnsi" w:cs="Calibri"/>
        </w:rPr>
        <w:t xml:space="preserve"> system</w:t>
      </w:r>
      <w:r>
        <w:rPr>
          <w:rFonts w:asciiTheme="minorHAnsi" w:hAnsiTheme="minorHAnsi" w:cs="Calibri"/>
        </w:rPr>
        <w:t>s are referred to in reporting documentation of each trust fund however there is no overarching M&amp;E system in place for the MDB-IAP</w:t>
      </w:r>
      <w:r w:rsidR="005557DB">
        <w:rPr>
          <w:rFonts w:asciiTheme="minorHAnsi" w:hAnsiTheme="minorHAnsi" w:cs="Calibri"/>
        </w:rPr>
        <w:t xml:space="preserve"> which </w:t>
      </w:r>
      <w:r w:rsidR="006E64E4">
        <w:rPr>
          <w:rFonts w:asciiTheme="minorHAnsi" w:hAnsiTheme="minorHAnsi" w:cs="Calibri"/>
        </w:rPr>
        <w:t>captures</w:t>
      </w:r>
      <w:r w:rsidR="005557DB">
        <w:rPr>
          <w:rFonts w:asciiTheme="minorHAnsi" w:hAnsiTheme="minorHAnsi" w:cs="Calibri"/>
        </w:rPr>
        <w:t xml:space="preserve"> how the funding of certain activities is contributing to achieving the program’s overall objective</w:t>
      </w:r>
      <w:r>
        <w:rPr>
          <w:rFonts w:asciiTheme="minorHAnsi" w:hAnsiTheme="minorHAnsi" w:cs="Calibri"/>
        </w:rPr>
        <w:t xml:space="preserve">. In this absence, DFAT staff at Post manually extract information from annual progress reports for internal reporting and </w:t>
      </w:r>
      <w:r>
        <w:rPr>
          <w:rFonts w:asciiTheme="minorHAnsi" w:hAnsiTheme="minorHAnsi" w:cs="Calibri"/>
        </w:rPr>
        <w:lastRenderedPageBreak/>
        <w:t xml:space="preserve">tracking purposes. This internal briefing enables GoA to </w:t>
      </w:r>
      <w:r w:rsidR="00561BE8">
        <w:rPr>
          <w:rFonts w:asciiTheme="minorHAnsi" w:hAnsiTheme="minorHAnsi" w:cs="Calibri"/>
        </w:rPr>
        <w:t xml:space="preserve">consider </w:t>
      </w:r>
      <w:r>
        <w:rPr>
          <w:rFonts w:asciiTheme="minorHAnsi" w:hAnsiTheme="minorHAnsi" w:cs="Calibri"/>
        </w:rPr>
        <w:t>a one-page snapshot of each trust fund by approved activity sector, including an overall assessment of funding allocations for ongoing activities (covering ongoing</w:t>
      </w:r>
      <w:r w:rsidR="00883AE5">
        <w:rPr>
          <w:rFonts w:asciiTheme="minorHAnsi" w:hAnsiTheme="minorHAnsi" w:cs="Calibri"/>
        </w:rPr>
        <w:t xml:space="preserve"> and</w:t>
      </w:r>
      <w:r>
        <w:rPr>
          <w:rFonts w:asciiTheme="minorHAnsi" w:hAnsiTheme="minorHAnsi" w:cs="Calibri"/>
        </w:rPr>
        <w:t xml:space="preserve"> completed). </w:t>
      </w:r>
      <w:r w:rsidR="00D90FAD">
        <w:rPr>
          <w:rFonts w:asciiTheme="minorHAnsi" w:hAnsiTheme="minorHAnsi" w:cs="Calibri"/>
        </w:rPr>
        <w:t>In this reporting, the SI</w:t>
      </w:r>
      <w:r w:rsidR="002241B8">
        <w:rPr>
          <w:rFonts w:asciiTheme="minorHAnsi" w:hAnsiTheme="minorHAnsi" w:cs="Calibri"/>
        </w:rPr>
        <w:t>AP ‘c</w:t>
      </w:r>
      <w:r w:rsidR="00D90FAD">
        <w:rPr>
          <w:rFonts w:asciiTheme="minorHAnsi" w:hAnsiTheme="minorHAnsi" w:cs="Calibri"/>
        </w:rPr>
        <w:t>luster</w:t>
      </w:r>
      <w:r w:rsidR="002241B8">
        <w:rPr>
          <w:rFonts w:asciiTheme="minorHAnsi" w:hAnsiTheme="minorHAnsi" w:cs="Calibri"/>
        </w:rPr>
        <w:t>’</w:t>
      </w:r>
      <w:r w:rsidR="00D90FAD">
        <w:rPr>
          <w:rFonts w:asciiTheme="minorHAnsi" w:hAnsiTheme="minorHAnsi" w:cs="Calibri"/>
        </w:rPr>
        <w:t xml:space="preserve"> of technical assistance projects are tracked at the consolidated ‘multisector’ level rather than the specific sector that each sub-activity is operating. </w:t>
      </w:r>
      <w:r w:rsidR="00561BE8">
        <w:rPr>
          <w:rFonts w:asciiTheme="minorHAnsi" w:hAnsiTheme="minorHAnsi" w:cs="Calibri"/>
        </w:rPr>
        <w:t xml:space="preserve">An extraction from the </w:t>
      </w:r>
      <w:r w:rsidR="00F87CE8">
        <w:rPr>
          <w:rFonts w:asciiTheme="minorHAnsi" w:hAnsiTheme="minorHAnsi" w:cs="Calibri"/>
        </w:rPr>
        <w:t xml:space="preserve">August </w:t>
      </w:r>
      <w:r w:rsidR="00561BE8">
        <w:rPr>
          <w:rFonts w:asciiTheme="minorHAnsi" w:hAnsiTheme="minorHAnsi" w:cs="Calibri"/>
        </w:rPr>
        <w:t>2017 reporting is shown in Figure 1.</w:t>
      </w:r>
    </w:p>
    <w:p w14:paraId="23ED1A64" w14:textId="77777777" w:rsidR="00D90FAD" w:rsidRPr="00561BE8" w:rsidRDefault="00561BE8" w:rsidP="00561BE8">
      <w:pPr>
        <w:keepNext/>
        <w:keepLines/>
        <w:rPr>
          <w:rFonts w:asciiTheme="minorHAnsi" w:hAnsiTheme="minorHAnsi" w:cs="Calibri"/>
          <w:b/>
        </w:rPr>
      </w:pPr>
      <w:r w:rsidRPr="00561BE8">
        <w:rPr>
          <w:rFonts w:asciiTheme="minorHAnsi" w:hAnsiTheme="minorHAnsi" w:cs="Calibri"/>
          <w:b/>
        </w:rPr>
        <w:t xml:space="preserve">Figure 1: </w:t>
      </w:r>
      <w:r>
        <w:rPr>
          <w:rFonts w:asciiTheme="minorHAnsi" w:hAnsiTheme="minorHAnsi" w:cs="Calibri"/>
          <w:b/>
        </w:rPr>
        <w:t xml:space="preserve">Consolidated reporting by sector of INIS and SIAP funded activities as at </w:t>
      </w:r>
      <w:r w:rsidR="00883AE5">
        <w:rPr>
          <w:rFonts w:asciiTheme="minorHAnsi" w:hAnsiTheme="minorHAnsi" w:cs="Calibri"/>
          <w:b/>
        </w:rPr>
        <w:t>August</w:t>
      </w:r>
      <w:r w:rsidRPr="00561BE8">
        <w:rPr>
          <w:rFonts w:asciiTheme="minorHAnsi" w:hAnsiTheme="minorHAnsi" w:cs="Calibri"/>
          <w:b/>
        </w:rPr>
        <w:t xml:space="preserve"> 2017</w:t>
      </w:r>
    </w:p>
    <w:tbl>
      <w:tblPr>
        <w:tblStyle w:val="TableGrid"/>
        <w:tblW w:w="0" w:type="auto"/>
        <w:tblLayout w:type="fixed"/>
        <w:tblLook w:val="04A0" w:firstRow="1" w:lastRow="0" w:firstColumn="1" w:lastColumn="0" w:noHBand="0" w:noVBand="1"/>
      </w:tblPr>
      <w:tblGrid>
        <w:gridCol w:w="2163"/>
        <w:gridCol w:w="6621"/>
      </w:tblGrid>
      <w:tr w:rsidR="009602D5" w14:paraId="064BF37C" w14:textId="77777777" w:rsidTr="009166BE">
        <w:tc>
          <w:tcPr>
            <w:tcW w:w="2163" w:type="dxa"/>
          </w:tcPr>
          <w:p w14:paraId="5A1A3908" w14:textId="77777777" w:rsidR="00883AE5" w:rsidRPr="00883AE5" w:rsidRDefault="00883AE5" w:rsidP="00883AE5">
            <w:pPr>
              <w:rPr>
                <w:rFonts w:ascii="Arial Narrow" w:hAnsi="Arial Narrow" w:cs="Calibri"/>
                <w:b/>
                <w:sz w:val="20"/>
              </w:rPr>
            </w:pPr>
            <w:r>
              <w:rPr>
                <w:rFonts w:ascii="Arial Narrow" w:hAnsi="Arial Narrow" w:cs="Calibri"/>
                <w:b/>
                <w:sz w:val="20"/>
              </w:rPr>
              <w:t xml:space="preserve">Snapshot of </w:t>
            </w:r>
            <w:r w:rsidR="00D90FAD" w:rsidRPr="00FE5409">
              <w:rPr>
                <w:rFonts w:ascii="Arial Narrow" w:hAnsi="Arial Narrow" w:cs="Calibri"/>
                <w:b/>
                <w:sz w:val="20"/>
              </w:rPr>
              <w:t>W</w:t>
            </w:r>
            <w:r w:rsidRPr="00883AE5">
              <w:rPr>
                <w:rFonts w:ascii="Arial Narrow" w:hAnsi="Arial Narrow" w:cs="Calibri"/>
                <w:b/>
                <w:sz w:val="20"/>
              </w:rPr>
              <w:t>orld Bank INIS Trust Fund ((since 2008) AUD 40mio=</w:t>
            </w:r>
            <w:r w:rsidR="000D7609">
              <w:rPr>
                <w:rFonts w:ascii="Arial Narrow" w:hAnsi="Arial Narrow" w:cs="Calibri"/>
                <w:b/>
                <w:sz w:val="20"/>
              </w:rPr>
              <w:t xml:space="preserve"> </w:t>
            </w:r>
            <w:r w:rsidRPr="00883AE5">
              <w:rPr>
                <w:rFonts w:ascii="Arial Narrow" w:hAnsi="Arial Narrow" w:cs="Calibri"/>
                <w:b/>
                <w:sz w:val="20"/>
              </w:rPr>
              <w:t xml:space="preserve">US$34.5mio) </w:t>
            </w:r>
          </w:p>
          <w:p w14:paraId="3B0AC56B" w14:textId="77777777" w:rsidR="00883AE5" w:rsidRPr="00FE5409" w:rsidRDefault="00883AE5" w:rsidP="00883AE5">
            <w:pPr>
              <w:rPr>
                <w:rFonts w:ascii="Arial Narrow" w:hAnsi="Arial Narrow" w:cs="Calibri"/>
                <w:sz w:val="20"/>
              </w:rPr>
            </w:pPr>
            <w:r w:rsidRPr="00883AE5">
              <w:rPr>
                <w:rFonts w:ascii="Arial Narrow" w:hAnsi="Arial Narrow" w:cs="Calibri"/>
                <w:sz w:val="20"/>
              </w:rPr>
              <w:t>On-going (US$17,190,955); Completed (US$9,431,594)</w:t>
            </w:r>
          </w:p>
        </w:tc>
        <w:tc>
          <w:tcPr>
            <w:tcW w:w="6621" w:type="dxa"/>
          </w:tcPr>
          <w:p w14:paraId="274467B9" w14:textId="77777777" w:rsidR="00D90FAD" w:rsidRPr="00FE5409" w:rsidRDefault="009602D5" w:rsidP="00D90FAD">
            <w:pPr>
              <w:rPr>
                <w:rFonts w:ascii="Arial Narrow" w:hAnsi="Arial Narrow"/>
                <w:noProof/>
                <w:sz w:val="20"/>
                <w:lang w:eastAsia="en-AU"/>
              </w:rPr>
            </w:pPr>
            <w:r>
              <w:rPr>
                <w:noProof/>
                <w:lang w:eastAsia="en-AU"/>
              </w:rPr>
              <w:drawing>
                <wp:inline distT="0" distB="0" distL="0" distR="0" wp14:anchorId="469B4C5C" wp14:editId="4ECD4A0D">
                  <wp:extent cx="4054475" cy="299901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9602D5" w14:paraId="187EEB8B" w14:textId="77777777" w:rsidTr="009166BE">
        <w:tc>
          <w:tcPr>
            <w:tcW w:w="2163" w:type="dxa"/>
          </w:tcPr>
          <w:p w14:paraId="2AC89645" w14:textId="77777777" w:rsidR="009602D5" w:rsidRDefault="009602D5" w:rsidP="009602D5">
            <w:pPr>
              <w:rPr>
                <w:rFonts w:ascii="Arial Narrow" w:hAnsi="Arial Narrow"/>
                <w:b/>
                <w:noProof/>
                <w:sz w:val="20"/>
                <w:lang w:eastAsia="en-AU"/>
              </w:rPr>
            </w:pPr>
            <w:r w:rsidRPr="00883AE5">
              <w:rPr>
                <w:rFonts w:ascii="Arial Narrow" w:hAnsi="Arial Narrow"/>
                <w:b/>
                <w:noProof/>
                <w:sz w:val="20"/>
                <w:lang w:eastAsia="en-AU"/>
              </w:rPr>
              <w:t>Snapshot on ADB SIAP TA (AUD 20mio=</w:t>
            </w:r>
            <w:r w:rsidR="000D7609">
              <w:rPr>
                <w:rFonts w:ascii="Arial Narrow" w:hAnsi="Arial Narrow"/>
                <w:b/>
                <w:noProof/>
                <w:sz w:val="20"/>
                <w:lang w:eastAsia="en-AU"/>
              </w:rPr>
              <w:t xml:space="preserve"> US$</w:t>
            </w:r>
            <w:r w:rsidRPr="00883AE5">
              <w:rPr>
                <w:rFonts w:ascii="Arial Narrow" w:hAnsi="Arial Narrow"/>
                <w:b/>
                <w:noProof/>
                <w:sz w:val="20"/>
                <w:lang w:eastAsia="en-AU"/>
              </w:rPr>
              <w:t xml:space="preserve">16.9mio) </w:t>
            </w:r>
          </w:p>
          <w:p w14:paraId="6C398DB6" w14:textId="77777777" w:rsidR="009602D5" w:rsidRDefault="009602D5" w:rsidP="009602D5">
            <w:pPr>
              <w:rPr>
                <w:rFonts w:ascii="Arial Narrow" w:hAnsi="Arial Narrow" w:cs="Calibri"/>
                <w:b/>
                <w:sz w:val="20"/>
              </w:rPr>
            </w:pPr>
            <w:r w:rsidRPr="00883AE5">
              <w:rPr>
                <w:rFonts w:ascii="Arial Narrow" w:hAnsi="Arial Narrow"/>
                <w:noProof/>
                <w:sz w:val="20"/>
                <w:lang w:eastAsia="en-AU"/>
              </w:rPr>
              <w:t>On-going (US$12,725,000); Completed: (US$3,086,264)</w:t>
            </w:r>
          </w:p>
        </w:tc>
        <w:tc>
          <w:tcPr>
            <w:tcW w:w="6621" w:type="dxa"/>
          </w:tcPr>
          <w:p w14:paraId="76FE653E" w14:textId="77777777" w:rsidR="009602D5" w:rsidRPr="00883AE5" w:rsidRDefault="009602D5" w:rsidP="009602D5">
            <w:pPr>
              <w:rPr>
                <w:rFonts w:ascii="Arial Narrow" w:hAnsi="Arial Narrow"/>
                <w:b/>
                <w:noProof/>
                <w:sz w:val="20"/>
                <w:lang w:eastAsia="en-AU"/>
              </w:rPr>
            </w:pPr>
            <w:r>
              <w:rPr>
                <w:noProof/>
                <w:lang w:eastAsia="en-AU"/>
              </w:rPr>
              <w:drawing>
                <wp:inline distT="0" distB="0" distL="0" distR="0" wp14:anchorId="349EAC64" wp14:editId="46483FBC">
                  <wp:extent cx="4054929" cy="3080658"/>
                  <wp:effectExtent l="0" t="0" r="0" b="57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581EFC40" w14:textId="77777777" w:rsidR="00D90FAD" w:rsidRPr="00FE5409" w:rsidRDefault="00561BE8" w:rsidP="00561BE8">
      <w:pPr>
        <w:spacing w:before="60" w:line="240" w:lineRule="auto"/>
        <w:rPr>
          <w:rFonts w:asciiTheme="minorHAnsi" w:hAnsiTheme="minorHAnsi" w:cs="Calibri"/>
          <w:sz w:val="18"/>
        </w:rPr>
      </w:pPr>
      <w:r w:rsidRPr="00FE5409">
        <w:rPr>
          <w:rFonts w:asciiTheme="minorHAnsi" w:hAnsiTheme="minorHAnsi" w:cs="Calibri"/>
          <w:sz w:val="18"/>
        </w:rPr>
        <w:t>Source:</w:t>
      </w:r>
      <w:r w:rsidR="00FE5409" w:rsidRPr="00FE5409">
        <w:rPr>
          <w:rFonts w:asciiTheme="minorHAnsi" w:hAnsiTheme="minorHAnsi" w:cs="Calibri"/>
          <w:sz w:val="18"/>
        </w:rPr>
        <w:t xml:space="preserve"> </w:t>
      </w:r>
      <w:r w:rsidR="00ED4E2B">
        <w:rPr>
          <w:rFonts w:asciiTheme="minorHAnsi" w:hAnsiTheme="minorHAnsi" w:cs="Calibri"/>
          <w:sz w:val="18"/>
        </w:rPr>
        <w:t>Based on information contained in</w:t>
      </w:r>
      <w:r w:rsidR="00FE5409" w:rsidRPr="00FE5409">
        <w:rPr>
          <w:rFonts w:asciiTheme="minorHAnsi" w:hAnsiTheme="minorHAnsi" w:cs="Calibri"/>
          <w:sz w:val="18"/>
        </w:rPr>
        <w:t xml:space="preserve"> </w:t>
      </w:r>
      <w:r w:rsidRPr="00FE5409">
        <w:rPr>
          <w:rFonts w:asciiTheme="minorHAnsi" w:hAnsiTheme="minorHAnsi" w:cs="Calibri"/>
          <w:sz w:val="18"/>
        </w:rPr>
        <w:t xml:space="preserve">DFAT </w:t>
      </w:r>
      <w:r w:rsidRPr="00FE5409">
        <w:rPr>
          <w:rFonts w:asciiTheme="minorHAnsi" w:hAnsiTheme="minorHAnsi" w:cs="Calibri"/>
          <w:i/>
          <w:sz w:val="18"/>
        </w:rPr>
        <w:t xml:space="preserve">MDB Briefing per </w:t>
      </w:r>
      <w:r w:rsidR="00883AE5">
        <w:rPr>
          <w:rFonts w:asciiTheme="minorHAnsi" w:hAnsiTheme="minorHAnsi" w:cs="Calibri"/>
          <w:i/>
          <w:sz w:val="18"/>
        </w:rPr>
        <w:t>August</w:t>
      </w:r>
      <w:r w:rsidRPr="00FE5409">
        <w:rPr>
          <w:rFonts w:asciiTheme="minorHAnsi" w:hAnsiTheme="minorHAnsi" w:cs="Calibri"/>
          <w:i/>
          <w:sz w:val="18"/>
        </w:rPr>
        <w:t xml:space="preserve"> 2017</w:t>
      </w:r>
    </w:p>
    <w:p w14:paraId="17F79ECC" w14:textId="25BADE0D" w:rsidR="00E52D34" w:rsidRDefault="00AD0DD7" w:rsidP="00AD0DD7">
      <w:pPr>
        <w:rPr>
          <w:rFonts w:asciiTheme="minorHAnsi" w:hAnsiTheme="minorHAnsi" w:cs="Calibri"/>
        </w:rPr>
      </w:pPr>
      <w:r>
        <w:rPr>
          <w:rFonts w:asciiTheme="minorHAnsi" w:hAnsiTheme="minorHAnsi" w:cs="Calibri"/>
        </w:rPr>
        <w:t xml:space="preserve">While a steering committee has been established for each trust fund, in each case there have been difficulties in meetings being held as scheduled due to availability of nominated senior officers. </w:t>
      </w:r>
      <w:r w:rsidR="00E52D34">
        <w:rPr>
          <w:rFonts w:asciiTheme="minorHAnsi" w:hAnsiTheme="minorHAnsi" w:cs="Calibri"/>
        </w:rPr>
        <w:t>As a result, the set of steering committee minutes</w:t>
      </w:r>
      <w:r w:rsidR="005557DB">
        <w:rPr>
          <w:rFonts w:asciiTheme="minorHAnsi" w:hAnsiTheme="minorHAnsi" w:cs="Calibri"/>
        </w:rPr>
        <w:t xml:space="preserve"> examined</w:t>
      </w:r>
      <w:r w:rsidR="00E52D34">
        <w:rPr>
          <w:rFonts w:asciiTheme="minorHAnsi" w:hAnsiTheme="minorHAnsi" w:cs="Calibri"/>
        </w:rPr>
        <w:t xml:space="preserve"> for each trust fund does not provide a comprehensive coverage of trust fund decision making. In the absence of the formally scheduled meetings being held,</w:t>
      </w:r>
      <w:r>
        <w:rPr>
          <w:rFonts w:asciiTheme="minorHAnsi" w:hAnsiTheme="minorHAnsi" w:cs="Calibri"/>
        </w:rPr>
        <w:t xml:space="preserve"> an out of session ‘no objection’ approval process has been established for each </w:t>
      </w:r>
      <w:r>
        <w:rPr>
          <w:rFonts w:asciiTheme="minorHAnsi" w:hAnsiTheme="minorHAnsi" w:cs="Calibri"/>
        </w:rPr>
        <w:lastRenderedPageBreak/>
        <w:t xml:space="preserve">trust fund and has been frequently used for both INIS and SIAP activities. The approval of projects out of session facilitates an operational efficiency notwithstanding </w:t>
      </w:r>
      <w:r w:rsidR="003556CA">
        <w:rPr>
          <w:rFonts w:asciiTheme="minorHAnsi" w:hAnsiTheme="minorHAnsi" w:cs="Calibri"/>
        </w:rPr>
        <w:t xml:space="preserve">that </w:t>
      </w:r>
      <w:r>
        <w:rPr>
          <w:rFonts w:asciiTheme="minorHAnsi" w:hAnsiTheme="minorHAnsi" w:cs="Calibri"/>
        </w:rPr>
        <w:t xml:space="preserve">meetings </w:t>
      </w:r>
      <w:r w:rsidR="003556CA">
        <w:rPr>
          <w:rFonts w:asciiTheme="minorHAnsi" w:hAnsiTheme="minorHAnsi" w:cs="Calibri"/>
        </w:rPr>
        <w:t xml:space="preserve">are </w:t>
      </w:r>
      <w:r>
        <w:rPr>
          <w:rFonts w:asciiTheme="minorHAnsi" w:hAnsiTheme="minorHAnsi" w:cs="Calibri"/>
        </w:rPr>
        <w:t xml:space="preserve">not being held as scheduled; however, it also </w:t>
      </w:r>
      <w:r w:rsidR="003556CA">
        <w:rPr>
          <w:rFonts w:asciiTheme="minorHAnsi" w:hAnsiTheme="minorHAnsi" w:cs="Calibri"/>
        </w:rPr>
        <w:t xml:space="preserve">inhibits </w:t>
      </w:r>
      <w:r>
        <w:rPr>
          <w:rFonts w:asciiTheme="minorHAnsi" w:hAnsiTheme="minorHAnsi" w:cs="Calibri"/>
        </w:rPr>
        <w:t xml:space="preserve">the overarching strategic influence, coordination and performance assessment envisaged by each steering committee. No formal assessment of pipeline activities against specific base criteria was evident for either INIS or SIAP. </w:t>
      </w:r>
    </w:p>
    <w:p w14:paraId="37C00B67" w14:textId="54B026C3" w:rsidR="00AD0DD7" w:rsidRDefault="00AD0DD7" w:rsidP="00AD0DD7">
      <w:pPr>
        <w:rPr>
          <w:rFonts w:asciiTheme="minorHAnsi" w:hAnsiTheme="minorHAnsi" w:cs="Calibri"/>
        </w:rPr>
      </w:pPr>
      <w:r>
        <w:rPr>
          <w:rFonts w:asciiTheme="minorHAnsi" w:hAnsiTheme="minorHAnsi" w:cs="Calibri"/>
        </w:rPr>
        <w:t>Lack of regular steering committee meetings has also reduced the opportunity for relative performance assessment being undertaken between the two trust funds and optimising potential synergies between funded activities across the MDB-IAP.</w:t>
      </w:r>
    </w:p>
    <w:p w14:paraId="790C85A4" w14:textId="5BFFD537" w:rsidR="00CD53D8" w:rsidRDefault="00CD53D8" w:rsidP="00CD53D8">
      <w:pPr>
        <w:rPr>
          <w:rFonts w:asciiTheme="minorHAnsi" w:hAnsiTheme="minorHAnsi" w:cs="Calibri"/>
        </w:rPr>
      </w:pPr>
      <w:r>
        <w:rPr>
          <w:rFonts w:asciiTheme="minorHAnsi" w:hAnsiTheme="minorHAnsi" w:cs="Calibri"/>
        </w:rPr>
        <w:t xml:space="preserve">For example, while it was intended that the SIAP Steering Committee meet at a minimum of twice a year, meeting minutes show one meeting was held in 2014 and another in 2017. </w:t>
      </w:r>
      <w:r w:rsidR="00435EB1">
        <w:rPr>
          <w:rFonts w:asciiTheme="minorHAnsi" w:hAnsiTheme="minorHAnsi" w:cs="Calibri"/>
        </w:rPr>
        <w:t xml:space="preserve">In </w:t>
      </w:r>
      <w:r>
        <w:rPr>
          <w:rFonts w:asciiTheme="minorHAnsi" w:hAnsiTheme="minorHAnsi" w:cs="Calibri"/>
        </w:rPr>
        <w:t xml:space="preserve">the absence of these meetings, committee members approved funding and consideration of projects and advisory services </w:t>
      </w:r>
      <w:r w:rsidR="00DC5B57">
        <w:rPr>
          <w:rFonts w:asciiTheme="minorHAnsi" w:hAnsiTheme="minorHAnsi" w:cs="Calibri"/>
        </w:rPr>
        <w:t>through email and/or letters. The June</w:t>
      </w:r>
      <w:r>
        <w:rPr>
          <w:rFonts w:asciiTheme="minorHAnsi" w:hAnsiTheme="minorHAnsi" w:cs="Calibri"/>
        </w:rPr>
        <w:t xml:space="preserve"> 2016 SIAP </w:t>
      </w:r>
      <w:r w:rsidR="00DC5B57">
        <w:rPr>
          <w:rFonts w:asciiTheme="minorHAnsi" w:hAnsiTheme="minorHAnsi" w:cs="Calibri"/>
        </w:rPr>
        <w:t xml:space="preserve">review </w:t>
      </w:r>
      <w:r>
        <w:rPr>
          <w:rFonts w:asciiTheme="minorHAnsi" w:hAnsiTheme="minorHAnsi" w:cs="Calibri"/>
        </w:rPr>
        <w:t>report noted that, while the S</w:t>
      </w:r>
      <w:r w:rsidR="005557DB">
        <w:rPr>
          <w:rFonts w:asciiTheme="minorHAnsi" w:hAnsiTheme="minorHAnsi" w:cs="Calibri"/>
        </w:rPr>
        <w:t>ecretariat met with individual S</w:t>
      </w:r>
      <w:r>
        <w:rPr>
          <w:rFonts w:asciiTheme="minorHAnsi" w:hAnsiTheme="minorHAnsi" w:cs="Calibri"/>
        </w:rPr>
        <w:t xml:space="preserve">teering </w:t>
      </w:r>
      <w:r w:rsidR="005557DB">
        <w:rPr>
          <w:rFonts w:asciiTheme="minorHAnsi" w:hAnsiTheme="minorHAnsi" w:cs="Calibri"/>
        </w:rPr>
        <w:t>C</w:t>
      </w:r>
      <w:r>
        <w:rPr>
          <w:rFonts w:asciiTheme="minorHAnsi" w:hAnsiTheme="minorHAnsi" w:cs="Calibri"/>
        </w:rPr>
        <w:t>ommittee members to discuss performance and proposals as required, by not meeting as a group there was no opportunity to discuss strategic direction, collaboratively discuss performance issues or jointly discuss a proposed project being considered for funding. The report also noted that the level of Steering Committee membership</w:t>
      </w:r>
      <w:r w:rsidR="00435EB1">
        <w:rPr>
          <w:rFonts w:asciiTheme="minorHAnsi" w:hAnsiTheme="minorHAnsi" w:cs="Calibri"/>
        </w:rPr>
        <w:t xml:space="preserve"> from the </w:t>
      </w:r>
      <w:r>
        <w:rPr>
          <w:rFonts w:asciiTheme="minorHAnsi" w:hAnsiTheme="minorHAnsi" w:cs="Calibri"/>
        </w:rPr>
        <w:t>GoI,</w:t>
      </w:r>
      <w:r w:rsidR="00435EB1">
        <w:rPr>
          <w:rFonts w:asciiTheme="minorHAnsi" w:hAnsiTheme="minorHAnsi" w:cs="Calibri"/>
        </w:rPr>
        <w:t xml:space="preserve"> at the Deputy Minister level,</w:t>
      </w:r>
      <w:r>
        <w:rPr>
          <w:rFonts w:asciiTheme="minorHAnsi" w:hAnsiTheme="minorHAnsi" w:cs="Calibri"/>
        </w:rPr>
        <w:t xml:space="preserve"> resulted in a significant lack of </w:t>
      </w:r>
      <w:r w:rsidR="00435EB1">
        <w:rPr>
          <w:rFonts w:asciiTheme="minorHAnsi" w:hAnsiTheme="minorHAnsi" w:cs="Calibri"/>
        </w:rPr>
        <w:t>predictability</w:t>
      </w:r>
      <w:r>
        <w:rPr>
          <w:rFonts w:asciiTheme="minorHAnsi" w:hAnsiTheme="minorHAnsi" w:cs="Calibri"/>
        </w:rPr>
        <w:t xml:space="preserve"> in f</w:t>
      </w:r>
      <w:r w:rsidR="00435EB1">
        <w:rPr>
          <w:rFonts w:asciiTheme="minorHAnsi" w:hAnsiTheme="minorHAnsi" w:cs="Calibri"/>
        </w:rPr>
        <w:t>irm meeting arran</w:t>
      </w:r>
      <w:r>
        <w:rPr>
          <w:rFonts w:asciiTheme="minorHAnsi" w:hAnsiTheme="minorHAnsi" w:cs="Calibri"/>
        </w:rPr>
        <w:t>g</w:t>
      </w:r>
      <w:r w:rsidR="00435EB1">
        <w:rPr>
          <w:rFonts w:asciiTheme="minorHAnsi" w:hAnsiTheme="minorHAnsi" w:cs="Calibri"/>
        </w:rPr>
        <w:t>ements du</w:t>
      </w:r>
      <w:r>
        <w:rPr>
          <w:rFonts w:asciiTheme="minorHAnsi" w:hAnsiTheme="minorHAnsi" w:cs="Calibri"/>
        </w:rPr>
        <w:t>e to their Cabinet obligations.</w:t>
      </w:r>
    </w:p>
    <w:p w14:paraId="5D823453" w14:textId="606119E7" w:rsidR="0070323C" w:rsidRDefault="00FA5762" w:rsidP="00016AF8">
      <w:pPr>
        <w:rPr>
          <w:rFonts w:asciiTheme="minorHAnsi" w:hAnsiTheme="minorHAnsi" w:cs="Calibri"/>
        </w:rPr>
      </w:pPr>
      <w:r>
        <w:rPr>
          <w:rFonts w:asciiTheme="minorHAnsi" w:hAnsiTheme="minorHAnsi" w:cs="Calibri"/>
        </w:rPr>
        <w:t>In the absence of the</w:t>
      </w:r>
      <w:r w:rsidR="00016AF8">
        <w:rPr>
          <w:rFonts w:asciiTheme="minorHAnsi" w:hAnsiTheme="minorHAnsi" w:cs="Calibri"/>
        </w:rPr>
        <w:t xml:space="preserve"> anticipated GoA infrastructure delivery strategy for Indonesia </w:t>
      </w:r>
      <w:r>
        <w:rPr>
          <w:rFonts w:asciiTheme="minorHAnsi" w:hAnsiTheme="minorHAnsi" w:cs="Calibri"/>
        </w:rPr>
        <w:t xml:space="preserve">being finalised </w:t>
      </w:r>
      <w:r w:rsidR="00374068">
        <w:rPr>
          <w:rFonts w:asciiTheme="minorHAnsi" w:hAnsiTheme="minorHAnsi" w:cs="Calibri"/>
        </w:rPr>
        <w:t xml:space="preserve">in 2013 </w:t>
      </w:r>
      <w:r>
        <w:rPr>
          <w:rFonts w:asciiTheme="minorHAnsi" w:hAnsiTheme="minorHAnsi" w:cs="Calibri"/>
        </w:rPr>
        <w:t>and providing the ‘overlay</w:t>
      </w:r>
      <w:r w:rsidR="002241B8">
        <w:rPr>
          <w:rFonts w:asciiTheme="minorHAnsi" w:hAnsiTheme="minorHAnsi" w:cs="Calibri"/>
        </w:rPr>
        <w:t>’</w:t>
      </w:r>
      <w:r>
        <w:rPr>
          <w:rFonts w:asciiTheme="minorHAnsi" w:hAnsiTheme="minorHAnsi" w:cs="Calibri"/>
        </w:rPr>
        <w:t xml:space="preserve"> of Australia’s priorities in the investment </w:t>
      </w:r>
      <w:r w:rsidR="00374068">
        <w:rPr>
          <w:rFonts w:asciiTheme="minorHAnsi" w:hAnsiTheme="minorHAnsi" w:cs="Calibri"/>
        </w:rPr>
        <w:t>decisions</w:t>
      </w:r>
      <w:r>
        <w:rPr>
          <w:rFonts w:asciiTheme="minorHAnsi" w:hAnsiTheme="minorHAnsi" w:cs="Calibri"/>
        </w:rPr>
        <w:t xml:space="preserve">, the MDB-IAP governance and implementation arrangements have focused on the MDB’s priorities and lending pipeline within Indonesia. </w:t>
      </w:r>
      <w:r w:rsidR="00374068">
        <w:rPr>
          <w:rFonts w:asciiTheme="minorHAnsi" w:hAnsiTheme="minorHAnsi" w:cs="Calibri"/>
        </w:rPr>
        <w:t>While many amendments to the formal agreements of INIS and SIAP have occurred over the life of the program</w:t>
      </w:r>
      <w:r w:rsidR="00192E83">
        <w:rPr>
          <w:rFonts w:asciiTheme="minorHAnsi" w:hAnsiTheme="minorHAnsi" w:cs="Calibri"/>
        </w:rPr>
        <w:t xml:space="preserve"> (see Annex 2 for details)</w:t>
      </w:r>
      <w:r w:rsidR="00374068">
        <w:rPr>
          <w:rFonts w:asciiTheme="minorHAnsi" w:hAnsiTheme="minorHAnsi" w:cs="Calibri"/>
        </w:rPr>
        <w:t xml:space="preserve">, the arrangements have not been amended to </w:t>
      </w:r>
      <w:r w:rsidR="0039690A">
        <w:rPr>
          <w:rFonts w:asciiTheme="minorHAnsi" w:hAnsiTheme="minorHAnsi" w:cs="Calibri"/>
        </w:rPr>
        <w:t xml:space="preserve">specifically </w:t>
      </w:r>
      <w:r w:rsidR="00374068">
        <w:rPr>
          <w:rFonts w:asciiTheme="minorHAnsi" w:hAnsiTheme="minorHAnsi" w:cs="Calibri"/>
        </w:rPr>
        <w:t xml:space="preserve">include Australia’s priorities for </w:t>
      </w:r>
      <w:r>
        <w:rPr>
          <w:rFonts w:asciiTheme="minorHAnsi" w:hAnsiTheme="minorHAnsi" w:cs="Calibri"/>
        </w:rPr>
        <w:t>consideration when making decisions on infrastructure development and investment</w:t>
      </w:r>
      <w:r w:rsidR="00374068">
        <w:rPr>
          <w:rFonts w:asciiTheme="minorHAnsi" w:hAnsiTheme="minorHAnsi" w:cs="Calibri"/>
        </w:rPr>
        <w:t xml:space="preserve"> as outlined in the </w:t>
      </w:r>
      <w:r w:rsidR="003E4BC6" w:rsidRPr="00262833">
        <w:rPr>
          <w:rFonts w:asciiTheme="minorHAnsi" w:hAnsiTheme="minorHAnsi" w:cs="Calibri"/>
          <w:i/>
        </w:rPr>
        <w:t>Aid Investment Plan</w:t>
      </w:r>
      <w:r w:rsidR="00DC5B57">
        <w:rPr>
          <w:rFonts w:asciiTheme="minorHAnsi" w:hAnsiTheme="minorHAnsi" w:cs="Calibri"/>
          <w:i/>
        </w:rPr>
        <w:t>: Indonesia</w:t>
      </w:r>
      <w:r w:rsidR="003E4BC6">
        <w:rPr>
          <w:rFonts w:asciiTheme="minorHAnsi" w:hAnsiTheme="minorHAnsi" w:cs="Calibri"/>
        </w:rPr>
        <w:t xml:space="preserve"> for the period 2015</w:t>
      </w:r>
      <w:r w:rsidR="0017180B">
        <w:rPr>
          <w:rFonts w:asciiTheme="minorHAnsi" w:hAnsiTheme="minorHAnsi" w:cs="Calibri"/>
        </w:rPr>
        <w:t>/</w:t>
      </w:r>
      <w:r w:rsidR="003E4BC6">
        <w:rPr>
          <w:rFonts w:asciiTheme="minorHAnsi" w:hAnsiTheme="minorHAnsi" w:cs="Calibri"/>
        </w:rPr>
        <w:t>16 to 2</w:t>
      </w:r>
      <w:r w:rsidR="0017180B">
        <w:rPr>
          <w:rFonts w:asciiTheme="minorHAnsi" w:hAnsiTheme="minorHAnsi" w:cs="Calibri"/>
        </w:rPr>
        <w:t>0</w:t>
      </w:r>
      <w:r w:rsidR="003E4BC6">
        <w:rPr>
          <w:rFonts w:asciiTheme="minorHAnsi" w:hAnsiTheme="minorHAnsi" w:cs="Calibri"/>
        </w:rPr>
        <w:t>18</w:t>
      </w:r>
      <w:r w:rsidR="0017180B">
        <w:rPr>
          <w:rFonts w:asciiTheme="minorHAnsi" w:hAnsiTheme="minorHAnsi" w:cs="Calibri"/>
        </w:rPr>
        <w:t>/</w:t>
      </w:r>
      <w:r w:rsidR="003E4BC6">
        <w:rPr>
          <w:rFonts w:asciiTheme="minorHAnsi" w:hAnsiTheme="minorHAnsi" w:cs="Calibri"/>
        </w:rPr>
        <w:t xml:space="preserve">19 or the overarching </w:t>
      </w:r>
      <w:r w:rsidR="00374068">
        <w:rPr>
          <w:rFonts w:asciiTheme="minorHAnsi" w:hAnsiTheme="minorHAnsi" w:cs="Calibri"/>
        </w:rPr>
        <w:t xml:space="preserve">2015 </w:t>
      </w:r>
      <w:r w:rsidR="00374068" w:rsidRPr="00374068">
        <w:rPr>
          <w:rFonts w:asciiTheme="minorHAnsi" w:hAnsiTheme="minorHAnsi" w:cs="Calibri"/>
          <w:i/>
        </w:rPr>
        <w:t>Strategy for Australia’s Aid Investment in Economic Infrastructure</w:t>
      </w:r>
      <w:r w:rsidR="00374068">
        <w:rPr>
          <w:rFonts w:asciiTheme="minorHAnsi" w:hAnsiTheme="minorHAnsi" w:cs="Calibri"/>
        </w:rPr>
        <w:t xml:space="preserve">. </w:t>
      </w:r>
      <w:r w:rsidR="00953329">
        <w:rPr>
          <w:rFonts w:asciiTheme="minorHAnsi" w:hAnsiTheme="minorHAnsi" w:cs="Calibri"/>
        </w:rPr>
        <w:t xml:space="preserve">Other than requiring a potential project to fall within technical ‘windows’ or sectors of investment and approval by the relevant steering committee, there is no apparent governing </w:t>
      </w:r>
      <w:r w:rsidR="00205607">
        <w:rPr>
          <w:rFonts w:asciiTheme="minorHAnsi" w:hAnsiTheme="minorHAnsi" w:cs="Calibri"/>
        </w:rPr>
        <w:t xml:space="preserve">or administrative </w:t>
      </w:r>
      <w:r w:rsidR="00953329">
        <w:rPr>
          <w:rFonts w:asciiTheme="minorHAnsi" w:hAnsiTheme="minorHAnsi" w:cs="Calibri"/>
        </w:rPr>
        <w:t xml:space="preserve">arrangement for project selection under either trust fund. </w:t>
      </w:r>
    </w:p>
    <w:p w14:paraId="57982D7E" w14:textId="2C5EA1C6" w:rsidR="008639AA" w:rsidRDefault="00F833D8" w:rsidP="00016AF8">
      <w:pPr>
        <w:rPr>
          <w:rFonts w:asciiTheme="minorHAnsi" w:hAnsiTheme="minorHAnsi" w:cs="Calibri"/>
        </w:rPr>
      </w:pPr>
      <w:r>
        <w:rPr>
          <w:rFonts w:asciiTheme="minorHAnsi" w:hAnsiTheme="minorHAnsi" w:cs="Calibri"/>
        </w:rPr>
        <w:t xml:space="preserve">While this lack of specificity </w:t>
      </w:r>
      <w:r w:rsidR="00C6123A">
        <w:rPr>
          <w:rFonts w:asciiTheme="minorHAnsi" w:hAnsiTheme="minorHAnsi" w:cs="Calibri"/>
        </w:rPr>
        <w:t xml:space="preserve">enables the </w:t>
      </w:r>
      <w:r w:rsidR="006A238A">
        <w:rPr>
          <w:rFonts w:asciiTheme="minorHAnsi" w:hAnsiTheme="minorHAnsi" w:cs="Calibri"/>
        </w:rPr>
        <w:t>MDB-IAP</w:t>
      </w:r>
      <w:r w:rsidR="00C6123A">
        <w:rPr>
          <w:rFonts w:asciiTheme="minorHAnsi" w:hAnsiTheme="minorHAnsi" w:cs="Calibri"/>
        </w:rPr>
        <w:t xml:space="preserve"> to be responsive</w:t>
      </w:r>
      <w:r w:rsidR="00205607">
        <w:rPr>
          <w:rFonts w:asciiTheme="minorHAnsi" w:hAnsiTheme="minorHAnsi" w:cs="Calibri"/>
        </w:rPr>
        <w:t xml:space="preserve"> to emerging priorities</w:t>
      </w:r>
      <w:r w:rsidR="006A238A">
        <w:rPr>
          <w:rFonts w:asciiTheme="minorHAnsi" w:hAnsiTheme="minorHAnsi" w:cs="Calibri"/>
        </w:rPr>
        <w:t>,</w:t>
      </w:r>
      <w:r w:rsidR="00C6123A">
        <w:rPr>
          <w:rFonts w:asciiTheme="minorHAnsi" w:hAnsiTheme="minorHAnsi" w:cs="Calibri"/>
        </w:rPr>
        <w:t xml:space="preserve"> </w:t>
      </w:r>
      <w:r w:rsidR="00953329">
        <w:rPr>
          <w:rFonts w:asciiTheme="minorHAnsi" w:hAnsiTheme="minorHAnsi" w:cs="Calibri"/>
        </w:rPr>
        <w:t>there is a risk that other,</w:t>
      </w:r>
      <w:r w:rsidR="00F87CE8">
        <w:t xml:space="preserve"> and potentially </w:t>
      </w:r>
      <w:r w:rsidR="00953329">
        <w:rPr>
          <w:rFonts w:asciiTheme="minorHAnsi" w:hAnsiTheme="minorHAnsi" w:cs="Calibri"/>
        </w:rPr>
        <w:t>more mutually relevant projects to the GoA</w:t>
      </w:r>
      <w:r w:rsidR="00F87CE8">
        <w:rPr>
          <w:rFonts w:asciiTheme="minorHAnsi" w:hAnsiTheme="minorHAnsi" w:cs="Calibri"/>
        </w:rPr>
        <w:t>,</w:t>
      </w:r>
      <w:r w:rsidR="00953329">
        <w:rPr>
          <w:rFonts w:asciiTheme="minorHAnsi" w:hAnsiTheme="minorHAnsi" w:cs="Calibri"/>
        </w:rPr>
        <w:t xml:space="preserve"> are not being identified and</w:t>
      </w:r>
      <w:r w:rsidR="000B24EA">
        <w:rPr>
          <w:rFonts w:asciiTheme="minorHAnsi" w:hAnsiTheme="minorHAnsi" w:cs="Calibri"/>
        </w:rPr>
        <w:t>/or</w:t>
      </w:r>
      <w:r w:rsidR="00953329">
        <w:rPr>
          <w:rFonts w:asciiTheme="minorHAnsi" w:hAnsiTheme="minorHAnsi" w:cs="Calibri"/>
        </w:rPr>
        <w:t xml:space="preserve"> considered for funding</w:t>
      </w:r>
      <w:r w:rsidR="008639AA">
        <w:rPr>
          <w:rFonts w:asciiTheme="minorHAnsi" w:hAnsiTheme="minorHAnsi" w:cs="Calibri"/>
        </w:rPr>
        <w:t xml:space="preserve"> through the current arrangements</w:t>
      </w:r>
      <w:r w:rsidR="00953329">
        <w:rPr>
          <w:rFonts w:asciiTheme="minorHAnsi" w:hAnsiTheme="minorHAnsi" w:cs="Calibri"/>
        </w:rPr>
        <w:t>.</w:t>
      </w:r>
      <w:r w:rsidR="008479FD">
        <w:rPr>
          <w:rFonts w:asciiTheme="minorHAnsi" w:hAnsiTheme="minorHAnsi" w:cs="Calibri"/>
        </w:rPr>
        <w:t xml:space="preserve"> </w:t>
      </w:r>
      <w:r w:rsidR="003E4BC6">
        <w:rPr>
          <w:rFonts w:asciiTheme="minorHAnsi" w:hAnsiTheme="minorHAnsi" w:cs="Calibri"/>
        </w:rPr>
        <w:t xml:space="preserve">For example, during the </w:t>
      </w:r>
      <w:r w:rsidR="00F412B1">
        <w:t xml:space="preserve">in-country mission </w:t>
      </w:r>
      <w:r w:rsidR="003E4BC6">
        <w:rPr>
          <w:rFonts w:asciiTheme="minorHAnsi" w:hAnsiTheme="minorHAnsi" w:cs="Calibri"/>
        </w:rPr>
        <w:t xml:space="preserve">the evaluation team </w:t>
      </w:r>
      <w:r w:rsidR="000B24EA">
        <w:rPr>
          <w:rFonts w:asciiTheme="minorHAnsi" w:hAnsiTheme="minorHAnsi" w:cs="Calibri"/>
        </w:rPr>
        <w:t xml:space="preserve">became aware of </w:t>
      </w:r>
      <w:r w:rsidR="003E4BC6">
        <w:rPr>
          <w:rFonts w:asciiTheme="minorHAnsi" w:hAnsiTheme="minorHAnsi" w:cs="Calibri"/>
        </w:rPr>
        <w:t>a</w:t>
      </w:r>
      <w:r w:rsidR="003B3D63">
        <w:rPr>
          <w:rFonts w:asciiTheme="minorHAnsi" w:hAnsiTheme="minorHAnsi" w:cs="Calibri"/>
        </w:rPr>
        <w:t xml:space="preserve"> GoA priority project </w:t>
      </w:r>
      <w:r w:rsidR="008639AA">
        <w:rPr>
          <w:rFonts w:asciiTheme="minorHAnsi" w:hAnsiTheme="minorHAnsi" w:cs="Calibri"/>
        </w:rPr>
        <w:t xml:space="preserve">that an INIS funding proposal had been developed for. This </w:t>
      </w:r>
      <w:r w:rsidR="005535AC">
        <w:rPr>
          <w:rFonts w:asciiTheme="minorHAnsi" w:hAnsiTheme="minorHAnsi" w:cs="Calibri"/>
        </w:rPr>
        <w:t xml:space="preserve">funding </w:t>
      </w:r>
      <w:r w:rsidR="008639AA">
        <w:rPr>
          <w:rFonts w:asciiTheme="minorHAnsi" w:hAnsiTheme="minorHAnsi" w:cs="Calibri"/>
        </w:rPr>
        <w:t>proposal had been developed in conjunction with GoI and World Bank staff however, rather than being submitted to the INIS Steering Committee for consideration</w:t>
      </w:r>
      <w:r w:rsidR="00205607">
        <w:rPr>
          <w:rFonts w:asciiTheme="minorHAnsi" w:hAnsiTheme="minorHAnsi" w:cs="Calibri"/>
        </w:rPr>
        <w:t xml:space="preserve"> as expected</w:t>
      </w:r>
      <w:r w:rsidR="008639AA">
        <w:rPr>
          <w:rFonts w:asciiTheme="minorHAnsi" w:hAnsiTheme="minorHAnsi" w:cs="Calibri"/>
        </w:rPr>
        <w:t xml:space="preserve">, the </w:t>
      </w:r>
      <w:r w:rsidR="00132F13">
        <w:rPr>
          <w:rFonts w:asciiTheme="minorHAnsi" w:hAnsiTheme="minorHAnsi" w:cs="Calibri"/>
        </w:rPr>
        <w:t>proposal was</w:t>
      </w:r>
      <w:r w:rsidR="008639AA">
        <w:rPr>
          <w:rFonts w:asciiTheme="minorHAnsi" w:hAnsiTheme="minorHAnsi" w:cs="Calibri"/>
        </w:rPr>
        <w:t xml:space="preserve"> ‘shortlisted out’ through </w:t>
      </w:r>
      <w:r w:rsidR="00306BE0">
        <w:rPr>
          <w:rFonts w:asciiTheme="minorHAnsi" w:hAnsiTheme="minorHAnsi" w:cs="Calibri"/>
        </w:rPr>
        <w:t xml:space="preserve">earlier </w:t>
      </w:r>
      <w:r w:rsidR="008639AA">
        <w:rPr>
          <w:rFonts w:asciiTheme="minorHAnsi" w:hAnsiTheme="minorHAnsi" w:cs="Calibri"/>
        </w:rPr>
        <w:t xml:space="preserve">internal INIS processes. </w:t>
      </w:r>
      <w:r w:rsidR="005535AC">
        <w:rPr>
          <w:rFonts w:asciiTheme="minorHAnsi" w:hAnsiTheme="minorHAnsi" w:cs="Calibri"/>
        </w:rPr>
        <w:t xml:space="preserve">The </w:t>
      </w:r>
      <w:r w:rsidR="00D14D2E">
        <w:rPr>
          <w:rFonts w:asciiTheme="minorHAnsi" w:hAnsiTheme="minorHAnsi" w:cs="Calibri"/>
        </w:rPr>
        <w:t xml:space="preserve">transparency of </w:t>
      </w:r>
      <w:r w:rsidR="005535AC">
        <w:rPr>
          <w:rFonts w:asciiTheme="minorHAnsi" w:hAnsiTheme="minorHAnsi" w:cs="Calibri"/>
        </w:rPr>
        <w:t>this outcome was not clear</w:t>
      </w:r>
      <w:r w:rsidR="000B24EA">
        <w:rPr>
          <w:rFonts w:asciiTheme="minorHAnsi" w:hAnsiTheme="minorHAnsi" w:cs="Calibri"/>
        </w:rPr>
        <w:t xml:space="preserve">. </w:t>
      </w:r>
      <w:r w:rsidR="00306BE0">
        <w:rPr>
          <w:rFonts w:asciiTheme="minorHAnsi" w:hAnsiTheme="minorHAnsi" w:cs="Calibri"/>
        </w:rPr>
        <w:t xml:space="preserve">This example </w:t>
      </w:r>
      <w:r w:rsidR="005535AC">
        <w:rPr>
          <w:rFonts w:asciiTheme="minorHAnsi" w:hAnsiTheme="minorHAnsi" w:cs="Calibri"/>
        </w:rPr>
        <w:t xml:space="preserve">highlights that, while the </w:t>
      </w:r>
      <w:r w:rsidR="00306BE0">
        <w:rPr>
          <w:rFonts w:asciiTheme="minorHAnsi" w:hAnsiTheme="minorHAnsi" w:cs="Calibri"/>
        </w:rPr>
        <w:t>MDB-IAP is partner-led</w:t>
      </w:r>
      <w:r w:rsidR="005535AC">
        <w:rPr>
          <w:rFonts w:asciiTheme="minorHAnsi" w:hAnsiTheme="minorHAnsi" w:cs="Calibri"/>
        </w:rPr>
        <w:t xml:space="preserve"> and</w:t>
      </w:r>
      <w:r w:rsidR="00306BE0">
        <w:rPr>
          <w:rFonts w:asciiTheme="minorHAnsi" w:hAnsiTheme="minorHAnsi" w:cs="Calibri"/>
        </w:rPr>
        <w:t xml:space="preserve"> notwithstanding the </w:t>
      </w:r>
      <w:r w:rsidR="000B24EA">
        <w:rPr>
          <w:rFonts w:asciiTheme="minorHAnsi" w:hAnsiTheme="minorHAnsi" w:cs="Calibri"/>
        </w:rPr>
        <w:t>S</w:t>
      </w:r>
      <w:r w:rsidR="00306BE0">
        <w:rPr>
          <w:rFonts w:asciiTheme="minorHAnsi" w:hAnsiTheme="minorHAnsi" w:cs="Calibri"/>
        </w:rPr>
        <w:t xml:space="preserve">teering </w:t>
      </w:r>
      <w:r w:rsidR="000B24EA">
        <w:rPr>
          <w:rFonts w:asciiTheme="minorHAnsi" w:hAnsiTheme="minorHAnsi" w:cs="Calibri"/>
        </w:rPr>
        <w:t>C</w:t>
      </w:r>
      <w:r w:rsidR="00306BE0">
        <w:rPr>
          <w:rFonts w:asciiTheme="minorHAnsi" w:hAnsiTheme="minorHAnsi" w:cs="Calibri"/>
        </w:rPr>
        <w:t xml:space="preserve">ommittee process, </w:t>
      </w:r>
      <w:r w:rsidR="005535AC">
        <w:rPr>
          <w:rFonts w:asciiTheme="minorHAnsi" w:hAnsiTheme="minorHAnsi" w:cs="Calibri"/>
        </w:rPr>
        <w:t xml:space="preserve">transparency of project options </w:t>
      </w:r>
      <w:r w:rsidR="000B24EA">
        <w:rPr>
          <w:rFonts w:asciiTheme="minorHAnsi" w:hAnsiTheme="minorHAnsi" w:cs="Calibri"/>
        </w:rPr>
        <w:t xml:space="preserve">being put forward to the </w:t>
      </w:r>
      <w:r w:rsidR="00D14D2E">
        <w:rPr>
          <w:rFonts w:asciiTheme="minorHAnsi" w:hAnsiTheme="minorHAnsi" w:cs="Calibri"/>
        </w:rPr>
        <w:t>C</w:t>
      </w:r>
      <w:r w:rsidR="000B24EA">
        <w:rPr>
          <w:rFonts w:asciiTheme="minorHAnsi" w:hAnsiTheme="minorHAnsi" w:cs="Calibri"/>
        </w:rPr>
        <w:t xml:space="preserve">ommittee for consideration </w:t>
      </w:r>
      <w:r w:rsidR="00205607">
        <w:rPr>
          <w:rFonts w:asciiTheme="minorHAnsi" w:hAnsiTheme="minorHAnsi" w:cs="Calibri"/>
        </w:rPr>
        <w:t>are</w:t>
      </w:r>
      <w:r w:rsidR="005535AC">
        <w:rPr>
          <w:rFonts w:asciiTheme="minorHAnsi" w:hAnsiTheme="minorHAnsi" w:cs="Calibri"/>
        </w:rPr>
        <w:t xml:space="preserve"> limited and </w:t>
      </w:r>
      <w:r w:rsidR="00306BE0">
        <w:rPr>
          <w:rFonts w:asciiTheme="minorHAnsi" w:hAnsiTheme="minorHAnsi" w:cs="Calibri"/>
        </w:rPr>
        <w:t xml:space="preserve">focused around </w:t>
      </w:r>
      <w:r w:rsidR="00006979">
        <w:rPr>
          <w:rFonts w:asciiTheme="minorHAnsi" w:hAnsiTheme="minorHAnsi" w:cs="Calibri"/>
        </w:rPr>
        <w:t xml:space="preserve">GoI and </w:t>
      </w:r>
      <w:r w:rsidR="00306BE0">
        <w:rPr>
          <w:rFonts w:asciiTheme="minorHAnsi" w:hAnsiTheme="minorHAnsi" w:cs="Calibri"/>
        </w:rPr>
        <w:t xml:space="preserve">MDB priorities. </w:t>
      </w:r>
      <w:r w:rsidR="00D14D2E">
        <w:rPr>
          <w:rFonts w:asciiTheme="minorHAnsi" w:hAnsiTheme="minorHAnsi" w:cs="Calibri"/>
        </w:rPr>
        <w:t xml:space="preserve">This situation is compounded by there being is no mutually agreed selection or evaluation criteria </w:t>
      </w:r>
      <w:r w:rsidR="00205607">
        <w:rPr>
          <w:rFonts w:asciiTheme="minorHAnsi" w:hAnsiTheme="minorHAnsi" w:cs="Calibri"/>
        </w:rPr>
        <w:t>used for consistent and transparent decision</w:t>
      </w:r>
      <w:r w:rsidR="00006979">
        <w:rPr>
          <w:rFonts w:asciiTheme="minorHAnsi" w:hAnsiTheme="minorHAnsi" w:cs="Calibri"/>
        </w:rPr>
        <w:t>-</w:t>
      </w:r>
      <w:r w:rsidR="00205607">
        <w:rPr>
          <w:rFonts w:asciiTheme="minorHAnsi" w:hAnsiTheme="minorHAnsi" w:cs="Calibri"/>
        </w:rPr>
        <w:t>making.</w:t>
      </w:r>
    </w:p>
    <w:p w14:paraId="671E400C" w14:textId="0E400C4F" w:rsidR="00953329" w:rsidRDefault="008479FD" w:rsidP="00016AF8">
      <w:pPr>
        <w:rPr>
          <w:rFonts w:asciiTheme="minorHAnsi" w:hAnsiTheme="minorHAnsi" w:cs="Calibri"/>
        </w:rPr>
      </w:pPr>
      <w:r>
        <w:rPr>
          <w:rFonts w:asciiTheme="minorHAnsi" w:hAnsiTheme="minorHAnsi" w:cs="Calibri"/>
        </w:rPr>
        <w:t>Th</w:t>
      </w:r>
      <w:r w:rsidR="00306BE0">
        <w:rPr>
          <w:rFonts w:asciiTheme="minorHAnsi" w:hAnsiTheme="minorHAnsi" w:cs="Calibri"/>
        </w:rPr>
        <w:t xml:space="preserve">e lack of specificity around project selection within the MDB-IAP </w:t>
      </w:r>
      <w:r>
        <w:rPr>
          <w:rFonts w:asciiTheme="minorHAnsi" w:hAnsiTheme="minorHAnsi" w:cs="Calibri"/>
        </w:rPr>
        <w:t>also raises the question on whether the MDB-IAP is the most appropriate mechanism for funding</w:t>
      </w:r>
      <w:r w:rsidR="002B5D04">
        <w:rPr>
          <w:rFonts w:asciiTheme="minorHAnsi" w:hAnsiTheme="minorHAnsi" w:cs="Calibri"/>
        </w:rPr>
        <w:t xml:space="preserve"> </w:t>
      </w:r>
      <w:r w:rsidR="005535AC">
        <w:rPr>
          <w:rFonts w:asciiTheme="minorHAnsi" w:hAnsiTheme="minorHAnsi" w:cs="Calibri"/>
        </w:rPr>
        <w:t xml:space="preserve">certain </w:t>
      </w:r>
      <w:r>
        <w:rPr>
          <w:rFonts w:asciiTheme="minorHAnsi" w:hAnsiTheme="minorHAnsi" w:cs="Calibri"/>
        </w:rPr>
        <w:t xml:space="preserve">technical assistance noting the </w:t>
      </w:r>
      <w:r w:rsidR="002B5D04">
        <w:rPr>
          <w:rFonts w:asciiTheme="minorHAnsi" w:hAnsiTheme="minorHAnsi" w:cs="Calibri"/>
        </w:rPr>
        <w:t xml:space="preserve">different comparative advantages between the MDB-IAP and the </w:t>
      </w:r>
      <w:r w:rsidR="002241B8">
        <w:rPr>
          <w:rFonts w:asciiTheme="minorHAnsi" w:hAnsiTheme="minorHAnsi" w:cs="Calibri"/>
        </w:rPr>
        <w:t xml:space="preserve">alternate GoA </w:t>
      </w:r>
      <w:r>
        <w:rPr>
          <w:rFonts w:asciiTheme="minorHAnsi" w:hAnsiTheme="minorHAnsi" w:cs="Calibri"/>
        </w:rPr>
        <w:t>infrastructure initiative KIAT</w:t>
      </w:r>
      <w:r w:rsidR="002E6223">
        <w:rPr>
          <w:rFonts w:asciiTheme="minorHAnsi" w:hAnsiTheme="minorHAnsi" w:cs="Calibri"/>
        </w:rPr>
        <w:t>.</w:t>
      </w:r>
      <w:r>
        <w:rPr>
          <w:rStyle w:val="FootnoteReference"/>
          <w:rFonts w:asciiTheme="minorHAnsi" w:hAnsiTheme="minorHAnsi" w:cs="Calibri"/>
        </w:rPr>
        <w:footnoteReference w:id="3"/>
      </w:r>
      <w:r w:rsidR="00953329">
        <w:rPr>
          <w:rFonts w:asciiTheme="minorHAnsi" w:hAnsiTheme="minorHAnsi" w:cs="Calibri"/>
        </w:rPr>
        <w:t xml:space="preserve"> Feedback from stakeholders highlighted the importance of retaining flexibility of the program</w:t>
      </w:r>
      <w:r w:rsidR="002E6223">
        <w:rPr>
          <w:rFonts w:asciiTheme="minorHAnsi" w:hAnsiTheme="minorHAnsi" w:cs="Calibri"/>
        </w:rPr>
        <w:t>,</w:t>
      </w:r>
      <w:r w:rsidR="00953329">
        <w:rPr>
          <w:rFonts w:asciiTheme="minorHAnsi" w:hAnsiTheme="minorHAnsi" w:cs="Calibri"/>
        </w:rPr>
        <w:t xml:space="preserve"> but </w:t>
      </w:r>
      <w:r w:rsidR="002E6223">
        <w:rPr>
          <w:rFonts w:asciiTheme="minorHAnsi" w:hAnsiTheme="minorHAnsi" w:cs="Calibri"/>
        </w:rPr>
        <w:t xml:space="preserve">indicated that </w:t>
      </w:r>
      <w:r w:rsidR="00953329">
        <w:rPr>
          <w:rFonts w:asciiTheme="minorHAnsi" w:hAnsiTheme="minorHAnsi" w:cs="Calibri"/>
        </w:rPr>
        <w:t>an enhancement of mutual</w:t>
      </w:r>
      <w:r w:rsidR="006A238A">
        <w:rPr>
          <w:rFonts w:asciiTheme="minorHAnsi" w:hAnsiTheme="minorHAnsi" w:cs="Calibri"/>
        </w:rPr>
        <w:t>ly beneficial</w:t>
      </w:r>
      <w:r w:rsidR="00953329">
        <w:rPr>
          <w:rFonts w:asciiTheme="minorHAnsi" w:hAnsiTheme="minorHAnsi" w:cs="Calibri"/>
        </w:rPr>
        <w:t xml:space="preserve"> project </w:t>
      </w:r>
      <w:r w:rsidR="00953329">
        <w:rPr>
          <w:rFonts w:asciiTheme="minorHAnsi" w:hAnsiTheme="minorHAnsi" w:cs="Calibri"/>
        </w:rPr>
        <w:lastRenderedPageBreak/>
        <w:t xml:space="preserve">identification across the MDB-IAP </w:t>
      </w:r>
      <w:r w:rsidR="00ED18F9">
        <w:rPr>
          <w:rFonts w:asciiTheme="minorHAnsi" w:hAnsiTheme="minorHAnsi" w:cs="Calibri"/>
        </w:rPr>
        <w:t xml:space="preserve">trust funds </w:t>
      </w:r>
      <w:r w:rsidR="00953329">
        <w:rPr>
          <w:rFonts w:asciiTheme="minorHAnsi" w:hAnsiTheme="minorHAnsi" w:cs="Calibri"/>
        </w:rPr>
        <w:t xml:space="preserve">and </w:t>
      </w:r>
      <w:r>
        <w:rPr>
          <w:rFonts w:asciiTheme="minorHAnsi" w:hAnsiTheme="minorHAnsi" w:cs="Calibri"/>
        </w:rPr>
        <w:t>KIAT</w:t>
      </w:r>
      <w:r w:rsidR="00953329">
        <w:rPr>
          <w:rFonts w:asciiTheme="minorHAnsi" w:hAnsiTheme="minorHAnsi" w:cs="Calibri"/>
        </w:rPr>
        <w:t xml:space="preserve"> would be </w:t>
      </w:r>
      <w:r w:rsidR="00BA07C0">
        <w:rPr>
          <w:rFonts w:asciiTheme="minorHAnsi" w:hAnsiTheme="minorHAnsi" w:cs="Calibri"/>
        </w:rPr>
        <w:t>valuable</w:t>
      </w:r>
      <w:r w:rsidR="00953329">
        <w:rPr>
          <w:rFonts w:asciiTheme="minorHAnsi" w:hAnsiTheme="minorHAnsi" w:cs="Calibri"/>
        </w:rPr>
        <w:t xml:space="preserve">. </w:t>
      </w:r>
      <w:r w:rsidR="002B5D04">
        <w:rPr>
          <w:rFonts w:asciiTheme="minorHAnsi" w:hAnsiTheme="minorHAnsi" w:cs="Calibri"/>
        </w:rPr>
        <w:t>In this respect, the design and implementation of KIAT identifies the importance of close liaison between the two programs.</w:t>
      </w:r>
    </w:p>
    <w:p w14:paraId="0E8BFBC8" w14:textId="77777777" w:rsidR="00AD0DD7" w:rsidRDefault="00AD0DD7" w:rsidP="00D4448B">
      <w:pPr>
        <w:pStyle w:val="Heading3"/>
      </w:pPr>
      <w:r>
        <w:t>Conclusion</w:t>
      </w:r>
    </w:p>
    <w:p w14:paraId="2B46DEF4" w14:textId="3F7755E1" w:rsidR="001B395E" w:rsidRDefault="00192E83" w:rsidP="00192E83">
      <w:r>
        <w:t xml:space="preserve">The governance and implementation arrangements for each trust fund are suitable to achieve the overall objective of </w:t>
      </w:r>
      <w:r>
        <w:rPr>
          <w:rFonts w:asciiTheme="minorHAnsi" w:hAnsiTheme="minorHAnsi" w:cs="Calibri"/>
        </w:rPr>
        <w:t>contributing to Indonesia’s rapid, sustainable, and inclusive development by supporting its efforts to expand and improve infrastructure</w:t>
      </w:r>
      <w:r>
        <w:t xml:space="preserve">. However, due to </w:t>
      </w:r>
      <w:r w:rsidR="001B395E">
        <w:t xml:space="preserve">ongoing </w:t>
      </w:r>
      <w:r>
        <w:t xml:space="preserve">inconsistencies in the governance and implementation arrangements </w:t>
      </w:r>
      <w:r w:rsidRPr="00AC29D2">
        <w:rPr>
          <w:u w:val="single"/>
        </w:rPr>
        <w:t>between</w:t>
      </w:r>
      <w:r>
        <w:t xml:space="preserve"> the two trust funds it is </w:t>
      </w:r>
      <w:r w:rsidR="00F87CE8">
        <w:t xml:space="preserve">difficult </w:t>
      </w:r>
      <w:r>
        <w:t xml:space="preserve">to </w:t>
      </w:r>
      <w:r w:rsidR="00840795">
        <w:t xml:space="preserve">effectively </w:t>
      </w:r>
      <w:r>
        <w:t xml:space="preserve">compare performance and </w:t>
      </w:r>
      <w:r w:rsidR="001B395E">
        <w:t>progress against program objectives over the life of the MDB-IAP</w:t>
      </w:r>
      <w:r>
        <w:t xml:space="preserve">. </w:t>
      </w:r>
      <w:r w:rsidR="001B395E">
        <w:t xml:space="preserve">This inability to </w:t>
      </w:r>
      <w:r w:rsidR="00F87CE8">
        <w:t xml:space="preserve">directly </w:t>
      </w:r>
      <w:r w:rsidR="001B395E">
        <w:t xml:space="preserve">compare success between the trust funds is compounded by the lack of an agreed, consistently applied M&amp;E </w:t>
      </w:r>
      <w:r w:rsidR="003B0663">
        <w:t>framework</w:t>
      </w:r>
      <w:r w:rsidR="001B395E">
        <w:t xml:space="preserve"> </w:t>
      </w:r>
      <w:r w:rsidR="0001592E">
        <w:t xml:space="preserve">that </w:t>
      </w:r>
      <w:r w:rsidR="00C70016">
        <w:t xml:space="preserve">outlines </w:t>
      </w:r>
      <w:r w:rsidR="0001592E">
        <w:t xml:space="preserve">how funding certain activities </w:t>
      </w:r>
      <w:r w:rsidR="00C70016">
        <w:t xml:space="preserve">will in-turn </w:t>
      </w:r>
      <w:r w:rsidR="0001592E">
        <w:t xml:space="preserve">support the overall achievement of </w:t>
      </w:r>
      <w:r w:rsidR="0090730A">
        <w:t xml:space="preserve">the MDB-IAP’s </w:t>
      </w:r>
      <w:r w:rsidR="001B395E">
        <w:t>program</w:t>
      </w:r>
      <w:r w:rsidR="0001592E">
        <w:t xml:space="preserve"> objective</w:t>
      </w:r>
      <w:r w:rsidR="0017180B">
        <w:t>s</w:t>
      </w:r>
      <w:r w:rsidR="001B395E">
        <w:t xml:space="preserve">. </w:t>
      </w:r>
    </w:p>
    <w:p w14:paraId="6B2F5EE6" w14:textId="1668720F" w:rsidR="005535AC" w:rsidRDefault="005535AC" w:rsidP="00192E83">
      <w:r>
        <w:t xml:space="preserve">While the MDB-IAP </w:t>
      </w:r>
      <w:r w:rsidR="00937833">
        <w:t xml:space="preserve">has </w:t>
      </w:r>
      <w:r>
        <w:t xml:space="preserve">delivered </w:t>
      </w:r>
      <w:r w:rsidR="00937833">
        <w:t xml:space="preserve">against </w:t>
      </w:r>
      <w:r>
        <w:t xml:space="preserve">some of Australia’s </w:t>
      </w:r>
      <w:r w:rsidR="00937833">
        <w:t xml:space="preserve">broad </w:t>
      </w:r>
      <w:r>
        <w:t>strategic priorities</w:t>
      </w:r>
      <w:r w:rsidR="00937833">
        <w:t>,</w:t>
      </w:r>
      <w:r w:rsidR="00937833">
        <w:rPr>
          <w:rStyle w:val="FootnoteReference"/>
        </w:rPr>
        <w:footnoteReference w:id="4"/>
      </w:r>
      <w:r w:rsidR="00937833">
        <w:t xml:space="preserve"> </w:t>
      </w:r>
      <w:r w:rsidR="00C70016">
        <w:t>this could be enhanced by including an explicit requirement in the governance arrangements to have regard to Australia’s priorities as part of project funding considerations.</w:t>
      </w:r>
      <w:r w:rsidR="00B75F8D">
        <w:t xml:space="preserve"> </w:t>
      </w:r>
    </w:p>
    <w:p w14:paraId="58E4126D" w14:textId="77777777" w:rsidR="003B0663" w:rsidRDefault="00192E83" w:rsidP="003B0663">
      <w:pPr>
        <w:pStyle w:val="Heading3"/>
      </w:pPr>
      <w:r>
        <w:t>Recommendation</w:t>
      </w:r>
      <w:r w:rsidR="003B0663">
        <w:t xml:space="preserve"> 1</w:t>
      </w:r>
    </w:p>
    <w:p w14:paraId="40A3CCFE" w14:textId="711E45CA" w:rsidR="001B395E" w:rsidRDefault="002E6223" w:rsidP="003B0663">
      <w:r>
        <w:rPr>
          <w:rFonts w:asciiTheme="minorHAnsi" w:hAnsiTheme="minorHAnsi" w:cs="Calibri"/>
        </w:rPr>
        <w:t xml:space="preserve">If </w:t>
      </w:r>
      <w:r w:rsidR="008316A4">
        <w:rPr>
          <w:rFonts w:asciiTheme="minorHAnsi" w:hAnsiTheme="minorHAnsi" w:cs="Calibri"/>
        </w:rPr>
        <w:t>DFAT is to provide future</w:t>
      </w:r>
      <w:r w:rsidR="003B0663">
        <w:rPr>
          <w:rFonts w:asciiTheme="minorHAnsi" w:hAnsiTheme="minorHAnsi" w:cs="Calibri"/>
        </w:rPr>
        <w:t xml:space="preserve"> funding </w:t>
      </w:r>
      <w:r w:rsidR="008316A4">
        <w:rPr>
          <w:rFonts w:asciiTheme="minorHAnsi" w:hAnsiTheme="minorHAnsi" w:cs="Calibri"/>
        </w:rPr>
        <w:t xml:space="preserve">through </w:t>
      </w:r>
      <w:r w:rsidR="00666BF3">
        <w:rPr>
          <w:rFonts w:asciiTheme="minorHAnsi" w:hAnsiTheme="minorHAnsi" w:cs="Calibri"/>
        </w:rPr>
        <w:t>Multilateral Development Banks Infrastructure Trust Funds</w:t>
      </w:r>
      <w:r w:rsidR="003B0663">
        <w:rPr>
          <w:rFonts w:asciiTheme="minorHAnsi" w:hAnsiTheme="minorHAnsi" w:cs="Calibri"/>
        </w:rPr>
        <w:t xml:space="preserve">, a </w:t>
      </w:r>
      <w:r w:rsidR="00E2228C">
        <w:rPr>
          <w:rFonts w:asciiTheme="minorHAnsi" w:hAnsiTheme="minorHAnsi" w:cs="Calibri"/>
        </w:rPr>
        <w:t xml:space="preserve">minimum </w:t>
      </w:r>
      <w:r w:rsidR="003B0663">
        <w:rPr>
          <w:rFonts w:asciiTheme="minorHAnsi" w:hAnsiTheme="minorHAnsi" w:cs="Calibri"/>
        </w:rPr>
        <w:t xml:space="preserve">set of </w:t>
      </w:r>
      <w:r w:rsidR="001B395E">
        <w:t>common governance arrangements</w:t>
      </w:r>
      <w:r w:rsidR="003B0663">
        <w:t xml:space="preserve">, </w:t>
      </w:r>
      <w:r w:rsidR="001B395E">
        <w:t xml:space="preserve">reporting requirements </w:t>
      </w:r>
      <w:r w:rsidR="003B0663">
        <w:t xml:space="preserve">and overarching M&amp;E framework </w:t>
      </w:r>
      <w:r w:rsidR="008316A4">
        <w:t xml:space="preserve">should be developed and implemented </w:t>
      </w:r>
      <w:r w:rsidR="001B395E">
        <w:t xml:space="preserve">to enable </w:t>
      </w:r>
      <w:r w:rsidR="003B0663">
        <w:t xml:space="preserve">performance to be assessed in a </w:t>
      </w:r>
      <w:r w:rsidR="001B395E">
        <w:t>consisten</w:t>
      </w:r>
      <w:r w:rsidR="003B0663">
        <w:t xml:space="preserve">t and comparable </w:t>
      </w:r>
      <w:r w:rsidR="00032948">
        <w:t xml:space="preserve">manner </w:t>
      </w:r>
      <w:r w:rsidR="00A918E8">
        <w:t xml:space="preserve">across </w:t>
      </w:r>
      <w:r w:rsidR="00C2383B">
        <w:t xml:space="preserve">the </w:t>
      </w:r>
      <w:r w:rsidR="00A918E8">
        <w:t>multiple trust funds</w:t>
      </w:r>
      <w:r w:rsidR="001B395E">
        <w:t xml:space="preserve">. </w:t>
      </w:r>
      <w:r w:rsidR="00032948">
        <w:t xml:space="preserve">The implementation of any revised arrangements should be </w:t>
      </w:r>
      <w:r w:rsidR="00C2383B">
        <w:t xml:space="preserve">proportional and risk based having regard to </w:t>
      </w:r>
      <w:r w:rsidR="00F70DEE">
        <w:t xml:space="preserve">the level of available DFAT staff </w:t>
      </w:r>
      <w:r w:rsidR="00E2228C">
        <w:t>resources for</w:t>
      </w:r>
      <w:r w:rsidR="00F70DEE">
        <w:t xml:space="preserve"> the associated management and</w:t>
      </w:r>
      <w:r w:rsidR="00E2228C">
        <w:t xml:space="preserve"> oversight </w:t>
      </w:r>
      <w:r w:rsidR="00F70DEE">
        <w:t>of such arrangements.</w:t>
      </w:r>
      <w:r w:rsidR="007715D1">
        <w:t xml:space="preserve"> </w:t>
      </w:r>
    </w:p>
    <w:p w14:paraId="66FC0D9A" w14:textId="77777777" w:rsidR="00E6092A" w:rsidRPr="008656A1" w:rsidRDefault="00E6092A" w:rsidP="00D4448B">
      <w:pPr>
        <w:pStyle w:val="Heading1"/>
      </w:pPr>
      <w:bookmarkStart w:id="8" w:name="_Toc505838180"/>
      <w:r w:rsidRPr="008656A1">
        <w:t>How effective was the program in delivering outcomes and adapting to change?</w:t>
      </w:r>
      <w:bookmarkEnd w:id="8"/>
      <w:r w:rsidRPr="008656A1">
        <w:t xml:space="preserve"> </w:t>
      </w:r>
    </w:p>
    <w:tbl>
      <w:tblPr>
        <w:tblStyle w:val="TableGrid"/>
        <w:tblW w:w="4912"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50"/>
      </w:tblGrid>
      <w:tr w:rsidR="00530611" w:rsidRPr="00280FD9" w14:paraId="765D1FB5" w14:textId="77777777" w:rsidTr="006A21D6">
        <w:trPr>
          <w:cantSplit/>
        </w:trPr>
        <w:tc>
          <w:tcPr>
            <w:tcW w:w="1484" w:type="pct"/>
          </w:tcPr>
          <w:p w14:paraId="6EA2CB46" w14:textId="77777777" w:rsidR="00530611" w:rsidRPr="00280FD9" w:rsidRDefault="00530611" w:rsidP="006A21D6">
            <w:pPr>
              <w:tabs>
                <w:tab w:val="left" w:pos="318"/>
              </w:tabs>
              <w:spacing w:before="60" w:after="60" w:line="260" w:lineRule="exact"/>
              <w:rPr>
                <w:rFonts w:ascii="Arial Narrow" w:hAnsi="Arial Narrow"/>
              </w:rPr>
            </w:pPr>
            <w:r>
              <w:rPr>
                <w:rFonts w:ascii="Arial Narrow" w:hAnsi="Arial Narrow"/>
              </w:rPr>
              <w:t>Are the program’s outcomes clearly defined</w:t>
            </w:r>
            <w:r w:rsidRPr="00280FD9">
              <w:rPr>
                <w:rFonts w:ascii="Arial Narrow" w:hAnsi="Arial Narrow"/>
              </w:rPr>
              <w:t>?</w:t>
            </w:r>
          </w:p>
        </w:tc>
      </w:tr>
      <w:tr w:rsidR="00530611" w:rsidRPr="00280FD9" w14:paraId="3B81F838" w14:textId="77777777" w:rsidTr="006A21D6">
        <w:trPr>
          <w:cantSplit/>
        </w:trPr>
        <w:tc>
          <w:tcPr>
            <w:tcW w:w="1484" w:type="pct"/>
          </w:tcPr>
          <w:p w14:paraId="6D965684" w14:textId="77777777" w:rsidR="00530611" w:rsidRPr="00280FD9" w:rsidRDefault="00530611" w:rsidP="006A21D6">
            <w:pPr>
              <w:tabs>
                <w:tab w:val="left" w:pos="318"/>
              </w:tabs>
              <w:spacing w:before="60" w:after="60" w:line="260" w:lineRule="exact"/>
              <w:rPr>
                <w:rFonts w:ascii="Arial Narrow" w:hAnsi="Arial Narrow"/>
              </w:rPr>
            </w:pPr>
            <w:r w:rsidRPr="00280FD9">
              <w:rPr>
                <w:rFonts w:ascii="Arial Narrow" w:hAnsi="Arial Narrow"/>
              </w:rPr>
              <w:t>Is the program effective in delivering on expected outcomes?</w:t>
            </w:r>
          </w:p>
        </w:tc>
      </w:tr>
      <w:tr w:rsidR="00530611" w:rsidRPr="00280FD9" w14:paraId="4E28DA7D" w14:textId="77777777" w:rsidTr="006A21D6">
        <w:tc>
          <w:tcPr>
            <w:tcW w:w="1484" w:type="pct"/>
          </w:tcPr>
          <w:p w14:paraId="041C5656" w14:textId="77777777" w:rsidR="00530611" w:rsidRPr="00280FD9" w:rsidRDefault="00530611" w:rsidP="006A21D6">
            <w:pPr>
              <w:tabs>
                <w:tab w:val="left" w:pos="318"/>
              </w:tabs>
              <w:spacing w:before="60" w:after="60" w:line="260" w:lineRule="exact"/>
              <w:rPr>
                <w:rFonts w:ascii="Arial Narrow" w:hAnsi="Arial Narrow"/>
              </w:rPr>
            </w:pPr>
            <w:r w:rsidRPr="00280FD9">
              <w:rPr>
                <w:rFonts w:ascii="Arial Narrow" w:hAnsi="Arial Narrow"/>
              </w:rPr>
              <w:t xml:space="preserve">Have the </w:t>
            </w:r>
            <w:r w:rsidR="001648E2">
              <w:rPr>
                <w:rFonts w:ascii="Arial Narrow" w:hAnsi="Arial Narrow"/>
              </w:rPr>
              <w:t>World Bank</w:t>
            </w:r>
            <w:r w:rsidRPr="00280FD9">
              <w:rPr>
                <w:rFonts w:ascii="Arial Narrow" w:hAnsi="Arial Narrow"/>
              </w:rPr>
              <w:t xml:space="preserve"> and ADB been adaptive to change (i.e. change in GOI priorities) and emerging themes (i.e. the Australian Government’s position on social inclusion and gender equality)?</w:t>
            </w:r>
          </w:p>
        </w:tc>
      </w:tr>
      <w:tr w:rsidR="00530611" w:rsidRPr="00280FD9" w14:paraId="516542EC" w14:textId="77777777" w:rsidTr="006A21D6">
        <w:trPr>
          <w:cantSplit/>
        </w:trPr>
        <w:tc>
          <w:tcPr>
            <w:tcW w:w="1484" w:type="pct"/>
          </w:tcPr>
          <w:p w14:paraId="1052BE90" w14:textId="77777777" w:rsidR="00530611" w:rsidRPr="00280FD9" w:rsidRDefault="00530611" w:rsidP="006A21D6">
            <w:pPr>
              <w:tabs>
                <w:tab w:val="left" w:pos="318"/>
              </w:tabs>
              <w:spacing w:before="60" w:after="60" w:line="260" w:lineRule="exact"/>
              <w:rPr>
                <w:rFonts w:ascii="Arial Narrow" w:hAnsi="Arial Narrow"/>
              </w:rPr>
            </w:pPr>
            <w:r w:rsidRPr="00280FD9">
              <w:rPr>
                <w:rFonts w:ascii="Arial Narrow" w:hAnsi="Arial Narrow"/>
              </w:rPr>
              <w:t>Has the program been successful in leveraging the investment made by the Australian Government?</w:t>
            </w:r>
          </w:p>
        </w:tc>
      </w:tr>
    </w:tbl>
    <w:p w14:paraId="34C542CF" w14:textId="23E38D90" w:rsidR="00A72685" w:rsidRDefault="00A918E8" w:rsidP="00016AF8">
      <w:pPr>
        <w:rPr>
          <w:rFonts w:cs="Calibri"/>
        </w:rPr>
      </w:pPr>
      <w:r>
        <w:rPr>
          <w:rFonts w:asciiTheme="minorHAnsi" w:hAnsiTheme="minorHAnsi" w:cs="Calibri"/>
        </w:rPr>
        <w:t xml:space="preserve">As noted earlier in this report, the </w:t>
      </w:r>
      <w:r w:rsidR="00A72685">
        <w:rPr>
          <w:rFonts w:asciiTheme="minorHAnsi" w:hAnsiTheme="minorHAnsi" w:cs="Calibri"/>
        </w:rPr>
        <w:t xml:space="preserve">MDB-IAP was </w:t>
      </w:r>
      <w:r w:rsidR="00A72685">
        <w:rPr>
          <w:rFonts w:cs="Calibri"/>
        </w:rPr>
        <w:t xml:space="preserve">established to </w:t>
      </w:r>
      <w:r w:rsidR="00A72685" w:rsidRPr="006F17E8">
        <w:rPr>
          <w:rFonts w:cs="Calibri"/>
        </w:rPr>
        <w:t xml:space="preserve">finance quality technical assistance </w:t>
      </w:r>
      <w:r w:rsidR="00A72685">
        <w:rPr>
          <w:rFonts w:cs="Calibri"/>
        </w:rPr>
        <w:t xml:space="preserve">through partner-led activities that are </w:t>
      </w:r>
      <w:r w:rsidR="00A72685" w:rsidRPr="006F17E8">
        <w:rPr>
          <w:rFonts w:cs="Calibri"/>
        </w:rPr>
        <w:t>aimed at strengthening the policy and institutional framework for infrastructure provision, and improving the preparation and delivery of infrastructure investment and maintenance programs</w:t>
      </w:r>
      <w:r w:rsidR="00A72685">
        <w:rPr>
          <w:rFonts w:cs="Calibri"/>
        </w:rPr>
        <w:t>.</w:t>
      </w:r>
    </w:p>
    <w:p w14:paraId="0EA0C855" w14:textId="212032C6" w:rsidR="00A918E8" w:rsidRDefault="00A72685" w:rsidP="00016AF8">
      <w:pPr>
        <w:rPr>
          <w:rFonts w:cs="Calibri"/>
        </w:rPr>
      </w:pPr>
      <w:r>
        <w:rPr>
          <w:rFonts w:asciiTheme="minorHAnsi" w:hAnsiTheme="minorHAnsi" w:cs="Calibri"/>
        </w:rPr>
        <w:t>The high level outcome</w:t>
      </w:r>
      <w:r w:rsidR="00A918E8">
        <w:rPr>
          <w:rFonts w:asciiTheme="minorHAnsi" w:hAnsiTheme="minorHAnsi" w:cs="Calibri"/>
        </w:rPr>
        <w:t xml:space="preserve"> </w:t>
      </w:r>
      <w:r w:rsidR="00A918E8" w:rsidRPr="002A3C6E">
        <w:rPr>
          <w:rFonts w:cs="Calibri"/>
        </w:rPr>
        <w:t>anticipated from</w:t>
      </w:r>
      <w:r w:rsidR="00A918E8">
        <w:rPr>
          <w:rFonts w:cs="Calibri"/>
        </w:rPr>
        <w:t xml:space="preserve"> GoA </w:t>
      </w:r>
      <w:r w:rsidR="00A918E8" w:rsidRPr="002A3C6E">
        <w:rPr>
          <w:rFonts w:cs="Calibri"/>
        </w:rPr>
        <w:t xml:space="preserve">funding </w:t>
      </w:r>
      <w:r>
        <w:rPr>
          <w:rFonts w:cs="Calibri"/>
        </w:rPr>
        <w:t>specific activities</w:t>
      </w:r>
      <w:r w:rsidR="00A918E8" w:rsidRPr="002A3C6E">
        <w:rPr>
          <w:rFonts w:cs="Calibri"/>
        </w:rPr>
        <w:t xml:space="preserve"> </w:t>
      </w:r>
      <w:r w:rsidR="00B123D6">
        <w:rPr>
          <w:rFonts w:cs="Calibri"/>
        </w:rPr>
        <w:t xml:space="preserve">was </w:t>
      </w:r>
      <w:r w:rsidR="00A918E8" w:rsidRPr="002A3C6E">
        <w:rPr>
          <w:rFonts w:cs="Calibri"/>
        </w:rPr>
        <w:t xml:space="preserve">leveraged </w:t>
      </w:r>
      <w:r w:rsidR="0017180B">
        <w:rPr>
          <w:rFonts w:cs="Calibri"/>
        </w:rPr>
        <w:t xml:space="preserve">infrastructure </w:t>
      </w:r>
      <w:r w:rsidR="00A918E8" w:rsidRPr="002A3C6E">
        <w:rPr>
          <w:rFonts w:cs="Calibri"/>
        </w:rPr>
        <w:t xml:space="preserve">investment </w:t>
      </w:r>
      <w:r w:rsidR="00A918E8">
        <w:rPr>
          <w:rFonts w:cs="Calibri"/>
        </w:rPr>
        <w:t>by the</w:t>
      </w:r>
      <w:r w:rsidR="00376997">
        <w:rPr>
          <w:rFonts w:cs="Calibri"/>
        </w:rPr>
        <w:t xml:space="preserve"> </w:t>
      </w:r>
      <w:r w:rsidR="00A918E8">
        <w:rPr>
          <w:rFonts w:cs="Calibri"/>
        </w:rPr>
        <w:t xml:space="preserve">GoI and the MDBs </w:t>
      </w:r>
      <w:r w:rsidR="00A918E8" w:rsidRPr="002A3C6E">
        <w:rPr>
          <w:rFonts w:cs="Calibri"/>
        </w:rPr>
        <w:t>using the project preparation outputs. It was also anticipated that project outputs would influence new G</w:t>
      </w:r>
      <w:r w:rsidR="00A918E8">
        <w:rPr>
          <w:rFonts w:cs="Calibri"/>
        </w:rPr>
        <w:t>oI</w:t>
      </w:r>
      <w:r w:rsidR="00A918E8" w:rsidRPr="002A3C6E">
        <w:rPr>
          <w:rFonts w:cs="Calibri"/>
        </w:rPr>
        <w:t xml:space="preserve"> policy decisions and contribute to reforms in focus areas. </w:t>
      </w:r>
    </w:p>
    <w:p w14:paraId="0A24D444" w14:textId="1818DFFC" w:rsidR="00725FCA" w:rsidRPr="003D352B" w:rsidRDefault="00A72685" w:rsidP="00016AF8">
      <w:pPr>
        <w:rPr>
          <w:rFonts w:asciiTheme="minorHAnsi" w:hAnsiTheme="minorHAnsi" w:cs="Calibri"/>
          <w:i/>
        </w:rPr>
      </w:pPr>
      <w:r>
        <w:rPr>
          <w:rFonts w:asciiTheme="minorHAnsi" w:hAnsiTheme="minorHAnsi" w:cs="Calibri"/>
        </w:rPr>
        <w:t xml:space="preserve">While the term leveraged investment is noted in the outcome, the actual definition of what this means and how this would be best measured </w:t>
      </w:r>
      <w:r w:rsidR="00B123D6">
        <w:rPr>
          <w:rFonts w:asciiTheme="minorHAnsi" w:hAnsiTheme="minorHAnsi" w:cs="Calibri"/>
        </w:rPr>
        <w:t>was not evident in MDB-IAP documentation</w:t>
      </w:r>
      <w:r>
        <w:rPr>
          <w:rFonts w:asciiTheme="minorHAnsi" w:hAnsiTheme="minorHAnsi" w:cs="Calibri"/>
        </w:rPr>
        <w:t xml:space="preserve">. As a result, </w:t>
      </w:r>
      <w:r w:rsidR="00376997">
        <w:rPr>
          <w:rFonts w:asciiTheme="minorHAnsi" w:hAnsiTheme="minorHAnsi" w:cs="Calibri"/>
        </w:rPr>
        <w:t xml:space="preserve">progress </w:t>
      </w:r>
      <w:r>
        <w:rPr>
          <w:rFonts w:asciiTheme="minorHAnsi" w:hAnsiTheme="minorHAnsi" w:cs="Calibri"/>
        </w:rPr>
        <w:t>reporting on the level of effectiveness against this outcome has varied</w:t>
      </w:r>
      <w:r w:rsidR="00376997">
        <w:rPr>
          <w:rFonts w:asciiTheme="minorHAnsi" w:hAnsiTheme="minorHAnsi" w:cs="Calibri"/>
        </w:rPr>
        <w:t xml:space="preserve"> over time</w:t>
      </w:r>
      <w:r>
        <w:rPr>
          <w:rFonts w:asciiTheme="minorHAnsi" w:hAnsiTheme="minorHAnsi" w:cs="Calibri"/>
        </w:rPr>
        <w:t xml:space="preserve">. Further, while the level of ‘leveraged investment’ it is </w:t>
      </w:r>
      <w:r w:rsidR="00B123D6">
        <w:rPr>
          <w:rFonts w:asciiTheme="minorHAnsi" w:hAnsiTheme="minorHAnsi" w:cs="Calibri"/>
        </w:rPr>
        <w:t xml:space="preserve">an </w:t>
      </w:r>
      <w:r>
        <w:rPr>
          <w:rFonts w:asciiTheme="minorHAnsi" w:hAnsiTheme="minorHAnsi" w:cs="Calibri"/>
        </w:rPr>
        <w:t>important</w:t>
      </w:r>
      <w:r w:rsidR="00376997">
        <w:rPr>
          <w:rFonts w:asciiTheme="minorHAnsi" w:hAnsiTheme="minorHAnsi" w:cs="Calibri"/>
        </w:rPr>
        <w:t xml:space="preserve"> indicator of success</w:t>
      </w:r>
      <w:r w:rsidR="00B123D6">
        <w:rPr>
          <w:rFonts w:asciiTheme="minorHAnsi" w:hAnsiTheme="minorHAnsi" w:cs="Calibri"/>
        </w:rPr>
        <w:t xml:space="preserve">; </w:t>
      </w:r>
      <w:r>
        <w:rPr>
          <w:rFonts w:asciiTheme="minorHAnsi" w:hAnsiTheme="minorHAnsi" w:cs="Calibri"/>
        </w:rPr>
        <w:t xml:space="preserve">it is more </w:t>
      </w:r>
      <w:r>
        <w:rPr>
          <w:rFonts w:asciiTheme="minorHAnsi" w:hAnsiTheme="minorHAnsi" w:cs="Calibri"/>
        </w:rPr>
        <w:lastRenderedPageBreak/>
        <w:t xml:space="preserve">difficult to </w:t>
      </w:r>
      <w:r w:rsidR="00376997">
        <w:rPr>
          <w:rFonts w:asciiTheme="minorHAnsi" w:hAnsiTheme="minorHAnsi" w:cs="Calibri"/>
        </w:rPr>
        <w:t>measure the value</w:t>
      </w:r>
      <w:r>
        <w:rPr>
          <w:rFonts w:asciiTheme="minorHAnsi" w:hAnsiTheme="minorHAnsi" w:cs="Calibri"/>
        </w:rPr>
        <w:t xml:space="preserve"> </w:t>
      </w:r>
      <w:r w:rsidR="00376997">
        <w:rPr>
          <w:rFonts w:asciiTheme="minorHAnsi" w:hAnsiTheme="minorHAnsi" w:cs="Calibri"/>
        </w:rPr>
        <w:t xml:space="preserve">of </w:t>
      </w:r>
      <w:r>
        <w:rPr>
          <w:rFonts w:asciiTheme="minorHAnsi" w:hAnsiTheme="minorHAnsi" w:cs="Calibri"/>
        </w:rPr>
        <w:t xml:space="preserve">intangible policy or institutional reform as a result of </w:t>
      </w:r>
      <w:r w:rsidR="00B123D6">
        <w:rPr>
          <w:rFonts w:asciiTheme="minorHAnsi" w:hAnsiTheme="minorHAnsi" w:cs="Calibri"/>
        </w:rPr>
        <w:t>GoA-funded technical assistance, or the cancelation of a potential loan investment as the result of a particular study</w:t>
      </w:r>
      <w:r>
        <w:rPr>
          <w:rFonts w:asciiTheme="minorHAnsi" w:hAnsiTheme="minorHAnsi" w:cs="Calibri"/>
        </w:rPr>
        <w:t>.</w:t>
      </w:r>
      <w:r w:rsidR="00376997">
        <w:rPr>
          <w:rFonts w:asciiTheme="minorHAnsi" w:hAnsiTheme="minorHAnsi" w:cs="Calibri"/>
        </w:rPr>
        <w:t xml:space="preserve"> </w:t>
      </w:r>
      <w:r w:rsidR="00725FCA">
        <w:rPr>
          <w:rFonts w:asciiTheme="minorHAnsi" w:hAnsiTheme="minorHAnsi" w:cs="Calibri"/>
        </w:rPr>
        <w:t xml:space="preserve">For example, the 2016 INIS </w:t>
      </w:r>
      <w:r w:rsidR="00C70016">
        <w:rPr>
          <w:rFonts w:asciiTheme="minorHAnsi" w:hAnsiTheme="minorHAnsi" w:cs="Calibri"/>
        </w:rPr>
        <w:t>a</w:t>
      </w:r>
      <w:r w:rsidR="00725FCA">
        <w:rPr>
          <w:rFonts w:asciiTheme="minorHAnsi" w:hAnsiTheme="minorHAnsi" w:cs="Calibri"/>
        </w:rPr>
        <w:t xml:space="preserve">nnual </w:t>
      </w:r>
      <w:r w:rsidR="00C70016">
        <w:rPr>
          <w:rFonts w:asciiTheme="minorHAnsi" w:hAnsiTheme="minorHAnsi" w:cs="Calibri"/>
        </w:rPr>
        <w:t>p</w:t>
      </w:r>
      <w:r w:rsidR="00725FCA">
        <w:rPr>
          <w:rFonts w:asciiTheme="minorHAnsi" w:hAnsiTheme="minorHAnsi" w:cs="Calibri"/>
        </w:rPr>
        <w:t xml:space="preserve">rogress </w:t>
      </w:r>
      <w:r w:rsidR="00C70016">
        <w:rPr>
          <w:rFonts w:asciiTheme="minorHAnsi" w:hAnsiTheme="minorHAnsi" w:cs="Calibri"/>
        </w:rPr>
        <w:t>r</w:t>
      </w:r>
      <w:r w:rsidR="00725FCA">
        <w:rPr>
          <w:rFonts w:asciiTheme="minorHAnsi" w:hAnsiTheme="minorHAnsi" w:cs="Calibri"/>
        </w:rPr>
        <w:t xml:space="preserve">eport noted that ongoing activities in the energy sector have promoted transparency, good governance and facilitated better policy making and streamlining of the regulatory framework. In particular, the </w:t>
      </w:r>
      <w:r w:rsidR="00725FCA">
        <w:rPr>
          <w:rFonts w:asciiTheme="minorHAnsi" w:hAnsiTheme="minorHAnsi" w:cs="Calibri"/>
          <w:i/>
        </w:rPr>
        <w:t xml:space="preserve">Improved Energy Project Delivery </w:t>
      </w:r>
      <w:r w:rsidR="003D352B">
        <w:rPr>
          <w:rFonts w:asciiTheme="minorHAnsi" w:hAnsiTheme="minorHAnsi" w:cs="Calibri"/>
        </w:rPr>
        <w:t>(invol</w:t>
      </w:r>
      <w:r w:rsidR="00082142">
        <w:rPr>
          <w:rFonts w:asciiTheme="minorHAnsi" w:hAnsiTheme="minorHAnsi" w:cs="Calibri"/>
        </w:rPr>
        <w:t>ving an INIS investment of USD</w:t>
      </w:r>
      <w:r w:rsidR="003D352B">
        <w:rPr>
          <w:rFonts w:asciiTheme="minorHAnsi" w:hAnsiTheme="minorHAnsi" w:cs="Calibri"/>
        </w:rPr>
        <w:t xml:space="preserve">1.5 million) project considered as part of this evaluation has supported work </w:t>
      </w:r>
      <w:r w:rsidR="00006979">
        <w:rPr>
          <w:rFonts w:asciiTheme="minorHAnsi" w:hAnsiTheme="minorHAnsi" w:cs="Calibri"/>
        </w:rPr>
        <w:t>within the Ministry</w:t>
      </w:r>
      <w:r w:rsidR="003D352B">
        <w:rPr>
          <w:rFonts w:asciiTheme="minorHAnsi" w:hAnsiTheme="minorHAnsi" w:cs="Calibri"/>
        </w:rPr>
        <w:t xml:space="preserve"> of Energy and Mineral Resources’ (MEMR) priorities, such as studies and analyses for fuel price, electricity tariff, and state budget adjustments; the development of regulations as the foundation for implementing decisions; and monitoring, facilitating, and debottlenecking the implementation of MEMR’s priority programs. </w:t>
      </w:r>
    </w:p>
    <w:p w14:paraId="11005293" w14:textId="13AE72DD" w:rsidR="00FE03B9" w:rsidRDefault="003D352B" w:rsidP="00016AF8">
      <w:pPr>
        <w:rPr>
          <w:rFonts w:asciiTheme="minorHAnsi" w:hAnsiTheme="minorHAnsi" w:cs="Calibri"/>
        </w:rPr>
      </w:pPr>
      <w:r>
        <w:rPr>
          <w:rFonts w:asciiTheme="minorHAnsi" w:hAnsiTheme="minorHAnsi" w:cs="Calibri"/>
        </w:rPr>
        <w:t>In relation to SIAP, the</w:t>
      </w:r>
      <w:r w:rsidR="00FE03B9">
        <w:rPr>
          <w:rFonts w:asciiTheme="minorHAnsi" w:hAnsiTheme="minorHAnsi" w:cs="Calibri"/>
        </w:rPr>
        <w:t xml:space="preserve"> </w:t>
      </w:r>
      <w:r>
        <w:rPr>
          <w:rFonts w:asciiTheme="minorHAnsi" w:hAnsiTheme="minorHAnsi" w:cs="Calibri"/>
        </w:rPr>
        <w:t xml:space="preserve">June </w:t>
      </w:r>
      <w:r w:rsidR="00FE03B9">
        <w:rPr>
          <w:rFonts w:asciiTheme="minorHAnsi" w:hAnsiTheme="minorHAnsi" w:cs="Calibri"/>
        </w:rPr>
        <w:t xml:space="preserve">2016 </w:t>
      </w:r>
      <w:r w:rsidR="00C70016">
        <w:rPr>
          <w:rFonts w:asciiTheme="minorHAnsi" w:hAnsiTheme="minorHAnsi" w:cs="Calibri"/>
        </w:rPr>
        <w:t>r</w:t>
      </w:r>
      <w:r w:rsidR="00FE03B9">
        <w:rPr>
          <w:rFonts w:asciiTheme="minorHAnsi" w:hAnsiTheme="minorHAnsi" w:cs="Calibri"/>
        </w:rPr>
        <w:t xml:space="preserve">eview </w:t>
      </w:r>
      <w:r w:rsidR="00C70016">
        <w:rPr>
          <w:rFonts w:asciiTheme="minorHAnsi" w:hAnsiTheme="minorHAnsi" w:cs="Calibri"/>
        </w:rPr>
        <w:t>r</w:t>
      </w:r>
      <w:r w:rsidR="00FE03B9">
        <w:rPr>
          <w:rFonts w:asciiTheme="minorHAnsi" w:hAnsiTheme="minorHAnsi" w:cs="Calibri"/>
        </w:rPr>
        <w:t>eport highlighted that two project preparatory technical assistance activities were financed to the value of just under USD1 million, without either proceeding to an investment loan. Similarly, one policy advisory support technical assistance engagement (costing USD120,000) of itself le</w:t>
      </w:r>
      <w:r w:rsidR="007B5B02">
        <w:rPr>
          <w:rFonts w:asciiTheme="minorHAnsi" w:hAnsiTheme="minorHAnsi" w:cs="Calibri"/>
        </w:rPr>
        <w:t>d to little b</w:t>
      </w:r>
      <w:r w:rsidR="00FE03B9">
        <w:rPr>
          <w:rFonts w:asciiTheme="minorHAnsi" w:hAnsiTheme="minorHAnsi" w:cs="Calibri"/>
        </w:rPr>
        <w:t xml:space="preserve">ut the issue it was examining – a land financing </w:t>
      </w:r>
      <w:r w:rsidR="007B5B02">
        <w:rPr>
          <w:rFonts w:asciiTheme="minorHAnsi" w:hAnsiTheme="minorHAnsi" w:cs="Calibri"/>
        </w:rPr>
        <w:t>initiative</w:t>
      </w:r>
      <w:r w:rsidR="00FE03B9">
        <w:rPr>
          <w:rFonts w:asciiTheme="minorHAnsi" w:hAnsiTheme="minorHAnsi" w:cs="Calibri"/>
        </w:rPr>
        <w:t xml:space="preserve"> – was taken up by GoA for support through an alternate delivery mechanism. </w:t>
      </w:r>
    </w:p>
    <w:p w14:paraId="49322325" w14:textId="7EE0AD73" w:rsidR="00A918E8" w:rsidRDefault="00376997" w:rsidP="00016AF8">
      <w:pPr>
        <w:rPr>
          <w:rFonts w:asciiTheme="minorHAnsi" w:hAnsiTheme="minorHAnsi" w:cs="Calibri"/>
        </w:rPr>
      </w:pPr>
      <w:r>
        <w:rPr>
          <w:rFonts w:asciiTheme="minorHAnsi" w:hAnsiTheme="minorHAnsi" w:cs="Calibri"/>
        </w:rPr>
        <w:t xml:space="preserve">Ongoing visibility of project impacts </w:t>
      </w:r>
      <w:r w:rsidR="00F373E9">
        <w:rPr>
          <w:rFonts w:asciiTheme="minorHAnsi" w:hAnsiTheme="minorHAnsi" w:cs="Calibri"/>
        </w:rPr>
        <w:t xml:space="preserve">was </w:t>
      </w:r>
      <w:r>
        <w:rPr>
          <w:rFonts w:asciiTheme="minorHAnsi" w:hAnsiTheme="minorHAnsi" w:cs="Calibri"/>
        </w:rPr>
        <w:t>also noted as being difficult where technical assistance funding was provided for initial studies but not later in the broader loan investment activity.</w:t>
      </w:r>
      <w:r w:rsidR="00DD7B2F">
        <w:rPr>
          <w:rFonts w:asciiTheme="minorHAnsi" w:hAnsiTheme="minorHAnsi" w:cs="Calibri"/>
        </w:rPr>
        <w:t xml:space="preserve"> For example, under INIS </w:t>
      </w:r>
      <w:r w:rsidR="00725FCA">
        <w:rPr>
          <w:rFonts w:asciiTheme="minorHAnsi" w:hAnsiTheme="minorHAnsi" w:cs="Calibri"/>
        </w:rPr>
        <w:t xml:space="preserve">reporting arrangements, </w:t>
      </w:r>
      <w:r w:rsidR="003D352B">
        <w:rPr>
          <w:rFonts w:asciiTheme="minorHAnsi" w:hAnsiTheme="minorHAnsi" w:cs="Calibri"/>
        </w:rPr>
        <w:t xml:space="preserve">while a completed activity </w:t>
      </w:r>
      <w:r w:rsidR="00082142">
        <w:rPr>
          <w:rFonts w:asciiTheme="minorHAnsi" w:hAnsiTheme="minorHAnsi" w:cs="Calibri"/>
        </w:rPr>
        <w:t>continues to be</w:t>
      </w:r>
      <w:r w:rsidR="003D352B">
        <w:rPr>
          <w:rFonts w:asciiTheme="minorHAnsi" w:hAnsiTheme="minorHAnsi" w:cs="Calibri"/>
        </w:rPr>
        <w:t xml:space="preserve"> included in annual progress reporting tables, </w:t>
      </w:r>
      <w:r w:rsidR="00C70016">
        <w:rPr>
          <w:rFonts w:asciiTheme="minorHAnsi" w:hAnsiTheme="minorHAnsi" w:cs="Calibri"/>
        </w:rPr>
        <w:t xml:space="preserve">no further information is forthcoming. </w:t>
      </w:r>
      <w:r w:rsidR="00082142">
        <w:rPr>
          <w:rFonts w:asciiTheme="minorHAnsi" w:hAnsiTheme="minorHAnsi" w:cs="Calibri"/>
        </w:rPr>
        <w:t xml:space="preserve">A particular project example is the INIS funded </w:t>
      </w:r>
      <w:r w:rsidR="00082142" w:rsidRPr="00262833">
        <w:rPr>
          <w:rFonts w:asciiTheme="minorHAnsi" w:hAnsiTheme="minorHAnsi" w:cs="Calibri"/>
          <w:i/>
        </w:rPr>
        <w:t>Technical Review and Support for Jakarta Flood Management System</w:t>
      </w:r>
      <w:r w:rsidR="00082142">
        <w:rPr>
          <w:rFonts w:asciiTheme="minorHAnsi" w:hAnsiTheme="minorHAnsi" w:cs="Calibri"/>
        </w:rPr>
        <w:t xml:space="preserve"> completed in August 2014 at a cost of USD170,000. While this technical review leveraged GoI investment and a World Bank loan for urgent flood mitigation activities in Jakarta, no further information is included in the annual progress report.</w:t>
      </w:r>
      <w:r w:rsidR="00DD7B2F">
        <w:rPr>
          <w:rFonts w:asciiTheme="minorHAnsi" w:hAnsiTheme="minorHAnsi" w:cs="Calibri"/>
        </w:rPr>
        <w:t xml:space="preserve"> </w:t>
      </w:r>
    </w:p>
    <w:p w14:paraId="237B1A1C" w14:textId="08931D8B" w:rsidR="00A96B6F" w:rsidRDefault="00A96B6F" w:rsidP="00016AF8">
      <w:pPr>
        <w:rPr>
          <w:rFonts w:asciiTheme="minorHAnsi" w:hAnsiTheme="minorHAnsi" w:cs="Calibri"/>
        </w:rPr>
      </w:pPr>
      <w:r>
        <w:rPr>
          <w:rFonts w:asciiTheme="minorHAnsi" w:hAnsiTheme="minorHAnsi" w:cs="Calibri"/>
        </w:rPr>
        <w:t xml:space="preserve">Notwithstanding </w:t>
      </w:r>
      <w:r w:rsidR="005E216E">
        <w:rPr>
          <w:rFonts w:asciiTheme="minorHAnsi" w:hAnsiTheme="minorHAnsi" w:cs="Calibri"/>
        </w:rPr>
        <w:t xml:space="preserve">differences </w:t>
      </w:r>
      <w:r w:rsidR="00AA699F">
        <w:rPr>
          <w:rFonts w:asciiTheme="minorHAnsi" w:hAnsiTheme="minorHAnsi" w:cs="Calibri"/>
        </w:rPr>
        <w:t xml:space="preserve">in governance </w:t>
      </w:r>
      <w:r w:rsidR="00840795">
        <w:rPr>
          <w:rFonts w:asciiTheme="minorHAnsi" w:hAnsiTheme="minorHAnsi" w:cs="Calibri"/>
        </w:rPr>
        <w:t xml:space="preserve">and administrative arrangements between the </w:t>
      </w:r>
      <w:r w:rsidR="00F373E9">
        <w:rPr>
          <w:rFonts w:asciiTheme="minorHAnsi" w:hAnsiTheme="minorHAnsi" w:cs="Calibri"/>
        </w:rPr>
        <w:t xml:space="preserve">two </w:t>
      </w:r>
      <w:r w:rsidR="00840795">
        <w:rPr>
          <w:rFonts w:asciiTheme="minorHAnsi" w:hAnsiTheme="minorHAnsi" w:cs="Calibri"/>
        </w:rPr>
        <w:t>trust funds</w:t>
      </w:r>
      <w:r w:rsidR="00A72685">
        <w:rPr>
          <w:rFonts w:asciiTheme="minorHAnsi" w:hAnsiTheme="minorHAnsi" w:cs="Calibri"/>
        </w:rPr>
        <w:t xml:space="preserve">, </w:t>
      </w:r>
      <w:r w:rsidR="00583FE9">
        <w:rPr>
          <w:rFonts w:asciiTheme="minorHAnsi" w:hAnsiTheme="minorHAnsi" w:cs="Calibri"/>
        </w:rPr>
        <w:t xml:space="preserve">overall </w:t>
      </w:r>
      <w:r>
        <w:rPr>
          <w:rFonts w:asciiTheme="minorHAnsi" w:hAnsiTheme="minorHAnsi" w:cs="Calibri"/>
        </w:rPr>
        <w:t xml:space="preserve">the activities and sub-projects that have been funded </w:t>
      </w:r>
      <w:r w:rsidR="00F833D8">
        <w:rPr>
          <w:rFonts w:asciiTheme="minorHAnsi" w:hAnsiTheme="minorHAnsi" w:cs="Calibri"/>
        </w:rPr>
        <w:t xml:space="preserve">to date </w:t>
      </w:r>
      <w:r>
        <w:rPr>
          <w:rFonts w:asciiTheme="minorHAnsi" w:hAnsiTheme="minorHAnsi" w:cs="Calibri"/>
        </w:rPr>
        <w:t xml:space="preserve">under INIS and SIAP </w:t>
      </w:r>
      <w:r w:rsidR="004702CA">
        <w:rPr>
          <w:rFonts w:asciiTheme="minorHAnsi" w:hAnsiTheme="minorHAnsi" w:cs="Calibri"/>
        </w:rPr>
        <w:t xml:space="preserve">are reported </w:t>
      </w:r>
      <w:r>
        <w:rPr>
          <w:rFonts w:asciiTheme="minorHAnsi" w:hAnsiTheme="minorHAnsi" w:cs="Calibri"/>
        </w:rPr>
        <w:t xml:space="preserve">to have made </w:t>
      </w:r>
      <w:r w:rsidR="00F373E9">
        <w:rPr>
          <w:rFonts w:asciiTheme="minorHAnsi" w:hAnsiTheme="minorHAnsi" w:cs="Calibri"/>
        </w:rPr>
        <w:t xml:space="preserve">a </w:t>
      </w:r>
      <w:r>
        <w:rPr>
          <w:rFonts w:asciiTheme="minorHAnsi" w:hAnsiTheme="minorHAnsi" w:cs="Calibri"/>
        </w:rPr>
        <w:t xml:space="preserve">substantial contribution to achieving the </w:t>
      </w:r>
      <w:r w:rsidR="00A918E8">
        <w:rPr>
          <w:rFonts w:asciiTheme="minorHAnsi" w:hAnsiTheme="minorHAnsi" w:cs="Calibri"/>
        </w:rPr>
        <w:t xml:space="preserve">overarching </w:t>
      </w:r>
      <w:r>
        <w:rPr>
          <w:rFonts w:asciiTheme="minorHAnsi" w:hAnsiTheme="minorHAnsi" w:cs="Calibri"/>
        </w:rPr>
        <w:t>o</w:t>
      </w:r>
      <w:r w:rsidR="00A72685">
        <w:rPr>
          <w:rFonts w:asciiTheme="minorHAnsi" w:hAnsiTheme="minorHAnsi" w:cs="Calibri"/>
        </w:rPr>
        <w:t xml:space="preserve">utcome </w:t>
      </w:r>
      <w:r>
        <w:rPr>
          <w:rFonts w:asciiTheme="minorHAnsi" w:hAnsiTheme="minorHAnsi" w:cs="Calibri"/>
        </w:rPr>
        <w:t>of the MDB-IAP</w:t>
      </w:r>
      <w:r w:rsidR="00AA699F">
        <w:rPr>
          <w:rFonts w:asciiTheme="minorHAnsi" w:hAnsiTheme="minorHAnsi" w:cs="Calibri"/>
        </w:rPr>
        <w:t xml:space="preserve"> and leveraging considerable investment</w:t>
      </w:r>
      <w:r>
        <w:rPr>
          <w:rFonts w:asciiTheme="minorHAnsi" w:hAnsiTheme="minorHAnsi" w:cs="Calibri"/>
        </w:rPr>
        <w:t>.</w:t>
      </w:r>
      <w:r w:rsidR="00583FE9">
        <w:rPr>
          <w:rFonts w:asciiTheme="minorHAnsi" w:hAnsiTheme="minorHAnsi" w:cs="Calibri"/>
        </w:rPr>
        <w:t xml:space="preserve"> </w:t>
      </w:r>
    </w:p>
    <w:p w14:paraId="44A56B94" w14:textId="22B0567F" w:rsidR="00A96B6F" w:rsidRDefault="00A96B6F" w:rsidP="00B9361B">
      <w:pPr>
        <w:rPr>
          <w:rFonts w:asciiTheme="minorHAnsi" w:hAnsiTheme="minorHAnsi" w:cs="Calibri"/>
        </w:rPr>
      </w:pPr>
      <w:r>
        <w:rPr>
          <w:rFonts w:asciiTheme="minorHAnsi" w:hAnsiTheme="minorHAnsi" w:cs="Calibri"/>
        </w:rPr>
        <w:t xml:space="preserve">For example, </w:t>
      </w:r>
      <w:r w:rsidR="00B9361B">
        <w:rPr>
          <w:rFonts w:asciiTheme="minorHAnsi" w:hAnsiTheme="minorHAnsi" w:cs="Calibri"/>
        </w:rPr>
        <w:t xml:space="preserve">the 2016 </w:t>
      </w:r>
      <w:r w:rsidR="005E216E">
        <w:rPr>
          <w:rFonts w:asciiTheme="minorHAnsi" w:hAnsiTheme="minorHAnsi" w:cs="Calibri"/>
        </w:rPr>
        <w:t xml:space="preserve">Annual </w:t>
      </w:r>
      <w:r w:rsidR="00B9361B">
        <w:rPr>
          <w:rFonts w:asciiTheme="minorHAnsi" w:hAnsiTheme="minorHAnsi" w:cs="Calibri"/>
        </w:rPr>
        <w:t xml:space="preserve">INIS progress report prepared by the </w:t>
      </w:r>
      <w:r w:rsidR="001648E2">
        <w:rPr>
          <w:rFonts w:asciiTheme="minorHAnsi" w:hAnsiTheme="minorHAnsi" w:cs="Calibri"/>
        </w:rPr>
        <w:t>World Bank</w:t>
      </w:r>
      <w:r w:rsidR="00B9361B">
        <w:rPr>
          <w:rFonts w:asciiTheme="minorHAnsi" w:hAnsiTheme="minorHAnsi" w:cs="Calibri"/>
        </w:rPr>
        <w:t xml:space="preserve"> highlighted that </w:t>
      </w:r>
      <w:r w:rsidR="00B9361B" w:rsidRPr="00B9361B">
        <w:rPr>
          <w:rFonts w:asciiTheme="minorHAnsi" w:hAnsiTheme="minorHAnsi" w:cs="Calibri"/>
        </w:rPr>
        <w:t>INIS engagement has focused on critical challenges as identified by GoI policymakers. The activities supported each sector’s strategic priorities, contributing significantly to the development of national policies and reforms, and cataly</w:t>
      </w:r>
      <w:r w:rsidR="00B9361B">
        <w:rPr>
          <w:rFonts w:asciiTheme="minorHAnsi" w:hAnsiTheme="minorHAnsi" w:cs="Calibri"/>
        </w:rPr>
        <w:t>s</w:t>
      </w:r>
      <w:r w:rsidR="00B9361B" w:rsidRPr="00B9361B">
        <w:rPr>
          <w:rFonts w:asciiTheme="minorHAnsi" w:hAnsiTheme="minorHAnsi" w:cs="Calibri"/>
        </w:rPr>
        <w:t>ing investments.</w:t>
      </w:r>
      <w:r w:rsidR="00B9361B">
        <w:rPr>
          <w:rFonts w:asciiTheme="minorHAnsi" w:hAnsiTheme="minorHAnsi" w:cs="Calibri"/>
        </w:rPr>
        <w:t xml:space="preserve"> </w:t>
      </w:r>
      <w:r w:rsidR="004702CA">
        <w:rPr>
          <w:rFonts w:asciiTheme="minorHAnsi" w:hAnsiTheme="minorHAnsi" w:cs="Calibri"/>
        </w:rPr>
        <w:t>The</w:t>
      </w:r>
      <w:r w:rsidR="00335761">
        <w:rPr>
          <w:rFonts w:asciiTheme="minorHAnsi" w:hAnsiTheme="minorHAnsi" w:cs="Calibri"/>
        </w:rPr>
        <w:t xml:space="preserve"> </w:t>
      </w:r>
      <w:r w:rsidR="005E216E">
        <w:rPr>
          <w:rFonts w:asciiTheme="minorHAnsi" w:hAnsiTheme="minorHAnsi" w:cs="Calibri"/>
        </w:rPr>
        <w:t xml:space="preserve">report </w:t>
      </w:r>
      <w:r w:rsidR="004702CA">
        <w:rPr>
          <w:rFonts w:asciiTheme="minorHAnsi" w:hAnsiTheme="minorHAnsi" w:cs="Calibri"/>
        </w:rPr>
        <w:t>also stated</w:t>
      </w:r>
      <w:r w:rsidR="00B9361B">
        <w:rPr>
          <w:rFonts w:asciiTheme="minorHAnsi" w:hAnsiTheme="minorHAnsi" w:cs="Calibri"/>
        </w:rPr>
        <w:t xml:space="preserve"> that USD4.6</w:t>
      </w:r>
      <w:r w:rsidR="001957E1">
        <w:rPr>
          <w:rFonts w:asciiTheme="minorHAnsi" w:hAnsiTheme="minorHAnsi" w:cs="Calibri"/>
        </w:rPr>
        <w:t> </w:t>
      </w:r>
      <w:r w:rsidR="00B9361B">
        <w:rPr>
          <w:rFonts w:asciiTheme="minorHAnsi" w:hAnsiTheme="minorHAnsi" w:cs="Calibri"/>
        </w:rPr>
        <w:t>mill</w:t>
      </w:r>
      <w:r w:rsidR="001957E1">
        <w:rPr>
          <w:rFonts w:asciiTheme="minorHAnsi" w:hAnsiTheme="minorHAnsi" w:cs="Calibri"/>
        </w:rPr>
        <w:t>i</w:t>
      </w:r>
      <w:r w:rsidR="00B9361B">
        <w:rPr>
          <w:rFonts w:asciiTheme="minorHAnsi" w:hAnsiTheme="minorHAnsi" w:cs="Calibri"/>
        </w:rPr>
        <w:t xml:space="preserve">on of INIS </w:t>
      </w:r>
      <w:r w:rsidR="005E216E">
        <w:rPr>
          <w:rFonts w:asciiTheme="minorHAnsi" w:hAnsiTheme="minorHAnsi" w:cs="Calibri"/>
        </w:rPr>
        <w:t xml:space="preserve">funded </w:t>
      </w:r>
      <w:r w:rsidR="00B9361B">
        <w:rPr>
          <w:rFonts w:asciiTheme="minorHAnsi" w:hAnsiTheme="minorHAnsi" w:cs="Calibri"/>
        </w:rPr>
        <w:t>activities could be directly linked to infrastructure loan investment</w:t>
      </w:r>
      <w:r w:rsidR="00335761">
        <w:rPr>
          <w:rFonts w:asciiTheme="minorHAnsi" w:hAnsiTheme="minorHAnsi" w:cs="Calibri"/>
        </w:rPr>
        <w:t xml:space="preserve"> in Indonesia</w:t>
      </w:r>
      <w:r w:rsidR="00B9361B">
        <w:rPr>
          <w:rFonts w:asciiTheme="minorHAnsi" w:hAnsiTheme="minorHAnsi" w:cs="Calibri"/>
        </w:rPr>
        <w:t xml:space="preserve"> of some USD2.9</w:t>
      </w:r>
      <w:r w:rsidR="00C169E3">
        <w:rPr>
          <w:rFonts w:asciiTheme="minorHAnsi" w:hAnsiTheme="minorHAnsi" w:cs="Calibri"/>
        </w:rPr>
        <w:t xml:space="preserve"> </w:t>
      </w:r>
      <w:r w:rsidR="00B9361B">
        <w:rPr>
          <w:rFonts w:asciiTheme="minorHAnsi" w:hAnsiTheme="minorHAnsi" w:cs="Calibri"/>
        </w:rPr>
        <w:t xml:space="preserve">billion. </w:t>
      </w:r>
      <w:r w:rsidR="00082142">
        <w:rPr>
          <w:rFonts w:asciiTheme="minorHAnsi" w:hAnsiTheme="minorHAnsi" w:cs="Calibri"/>
        </w:rPr>
        <w:t xml:space="preserve">For example, the </w:t>
      </w:r>
      <w:r w:rsidR="002E0FE1" w:rsidRPr="00262833">
        <w:rPr>
          <w:rFonts w:asciiTheme="minorHAnsi" w:hAnsiTheme="minorHAnsi" w:cs="Calibri"/>
          <w:i/>
        </w:rPr>
        <w:t>National Urban Slum Upgrading Program</w:t>
      </w:r>
      <w:r w:rsidR="002E0FE1">
        <w:rPr>
          <w:rFonts w:asciiTheme="minorHAnsi" w:hAnsiTheme="minorHAnsi" w:cs="Calibri"/>
        </w:rPr>
        <w:t xml:space="preserve"> activity funded by INIS for USD200,000 is reported to have leverage</w:t>
      </w:r>
      <w:r w:rsidR="00006979">
        <w:rPr>
          <w:rFonts w:asciiTheme="minorHAnsi" w:hAnsiTheme="minorHAnsi" w:cs="Calibri"/>
        </w:rPr>
        <w:t>d</w:t>
      </w:r>
      <w:r w:rsidR="002E0FE1">
        <w:rPr>
          <w:rFonts w:asciiTheme="minorHAnsi" w:hAnsiTheme="minorHAnsi" w:cs="Calibri"/>
        </w:rPr>
        <w:t xml:space="preserve"> a loan investment by the World Bank of USD1.5 billion for the </w:t>
      </w:r>
      <w:r w:rsidR="002E0FE1" w:rsidRPr="00262833">
        <w:rPr>
          <w:rFonts w:asciiTheme="minorHAnsi" w:hAnsiTheme="minorHAnsi" w:cs="Calibri"/>
          <w:i/>
        </w:rPr>
        <w:t>Indonesia National Slum Upgrading Project</w:t>
      </w:r>
      <w:r w:rsidR="002E0FE1">
        <w:rPr>
          <w:rFonts w:asciiTheme="minorHAnsi" w:hAnsiTheme="minorHAnsi" w:cs="Calibri"/>
        </w:rPr>
        <w:t xml:space="preserve">. </w:t>
      </w:r>
    </w:p>
    <w:p w14:paraId="191CEA94" w14:textId="06625A6C" w:rsidR="00B9361B" w:rsidRDefault="00B9361B" w:rsidP="001957E1">
      <w:r>
        <w:rPr>
          <w:rFonts w:asciiTheme="minorHAnsi" w:hAnsiTheme="minorHAnsi" w:cs="Calibri"/>
        </w:rPr>
        <w:t xml:space="preserve">Similarly, the </w:t>
      </w:r>
      <w:r w:rsidR="001957E1">
        <w:rPr>
          <w:rFonts w:asciiTheme="minorHAnsi" w:hAnsiTheme="minorHAnsi" w:cs="Calibri"/>
        </w:rPr>
        <w:t xml:space="preserve">June 2017 </w:t>
      </w:r>
      <w:r w:rsidR="005E216E">
        <w:rPr>
          <w:rFonts w:asciiTheme="minorHAnsi" w:hAnsiTheme="minorHAnsi" w:cs="Calibri"/>
        </w:rPr>
        <w:t>bi-annual SIAP</w:t>
      </w:r>
      <w:r>
        <w:rPr>
          <w:rFonts w:asciiTheme="minorHAnsi" w:hAnsiTheme="minorHAnsi" w:cs="Calibri"/>
        </w:rPr>
        <w:t xml:space="preserve"> report </w:t>
      </w:r>
      <w:r w:rsidR="001957E1">
        <w:rPr>
          <w:rFonts w:asciiTheme="minorHAnsi" w:hAnsiTheme="minorHAnsi" w:cs="Calibri"/>
        </w:rPr>
        <w:t>prepared by ADB</w:t>
      </w:r>
      <w:r>
        <w:rPr>
          <w:rFonts w:asciiTheme="minorHAnsi" w:hAnsiTheme="minorHAnsi" w:cs="Calibri"/>
        </w:rPr>
        <w:t xml:space="preserve"> reported that </w:t>
      </w:r>
      <w:r w:rsidRPr="005E08D9">
        <w:t xml:space="preserve">SIAP has </w:t>
      </w:r>
      <w:r w:rsidR="001957E1">
        <w:t>focused on</w:t>
      </w:r>
      <w:r w:rsidRPr="005E08D9">
        <w:t xml:space="preserve"> </w:t>
      </w:r>
      <w:r w:rsidR="001957E1">
        <w:t xml:space="preserve">providing </w:t>
      </w:r>
      <w:r w:rsidRPr="005E08D9">
        <w:t xml:space="preserve">support in strengthening infrastructure preparation; facilitating access to infrastructure financing; improving infrastructure implementation and project monitoring; and undertaking issue-specific analysis and providing policy advice. </w:t>
      </w:r>
      <w:r w:rsidR="001957E1">
        <w:t xml:space="preserve">Overall, ADB considers that </w:t>
      </w:r>
      <w:r w:rsidR="001957E1" w:rsidRPr="005E08D9">
        <w:t>SIAP has</w:t>
      </w:r>
      <w:r w:rsidR="00335761">
        <w:t xml:space="preserve"> had</w:t>
      </w:r>
      <w:r w:rsidR="001957E1" w:rsidRPr="005E08D9">
        <w:t xml:space="preserve"> </w:t>
      </w:r>
      <w:r w:rsidR="001957E1">
        <w:t>a</w:t>
      </w:r>
      <w:r w:rsidR="001957E1" w:rsidRPr="005E08D9">
        <w:t xml:space="preserve"> positive impact. </w:t>
      </w:r>
      <w:r w:rsidR="00F92CAA">
        <w:t>ADB reported that, w</w:t>
      </w:r>
      <w:r w:rsidR="001957E1">
        <w:t xml:space="preserve">ith some USD10 million committed in activities, </w:t>
      </w:r>
      <w:r w:rsidR="001957E1" w:rsidRPr="005E08D9">
        <w:t xml:space="preserve">SIAP has </w:t>
      </w:r>
      <w:r w:rsidR="001957E1">
        <w:t>con</w:t>
      </w:r>
      <w:r w:rsidR="001957E1" w:rsidRPr="005E08D9">
        <w:t xml:space="preserve">tributed to nearly </w:t>
      </w:r>
      <w:r w:rsidR="001957E1">
        <w:t>USD</w:t>
      </w:r>
      <w:r w:rsidR="001957E1" w:rsidRPr="005E08D9">
        <w:t>3</w:t>
      </w:r>
      <w:r w:rsidR="001957E1">
        <w:t> </w:t>
      </w:r>
      <w:r w:rsidR="001957E1" w:rsidRPr="005E08D9">
        <w:t xml:space="preserve">billion in ADB and </w:t>
      </w:r>
      <w:r w:rsidR="001957E1">
        <w:t>government</w:t>
      </w:r>
      <w:r w:rsidR="001957E1" w:rsidRPr="005E08D9">
        <w:t xml:space="preserve"> approvals for new priority infrastructure projects and policy based loans</w:t>
      </w:r>
      <w:r w:rsidR="00C169E3">
        <w:t>,</w:t>
      </w:r>
      <w:r w:rsidR="001957E1" w:rsidRPr="005E08D9">
        <w:t xml:space="preserve"> contributed to improved access to infrastructure financing, and helped create a better enabling environment for government service delivery in key areas of clean energy and water security.</w:t>
      </w:r>
      <w:r w:rsidR="00ED3C5F">
        <w:t xml:space="preserve"> For example, the </w:t>
      </w:r>
      <w:r w:rsidR="00006979">
        <w:t xml:space="preserve">SIAP funded </w:t>
      </w:r>
      <w:r w:rsidR="00ED3C5F" w:rsidRPr="00262833">
        <w:rPr>
          <w:i/>
        </w:rPr>
        <w:t>Electricity Grid Strengthening Program</w:t>
      </w:r>
      <w:r w:rsidR="00ED3C5F">
        <w:t xml:space="preserve"> </w:t>
      </w:r>
      <w:r w:rsidR="00006979">
        <w:t xml:space="preserve">originally provided funding of USD150,000 to undertake technical and due diligence </w:t>
      </w:r>
      <w:r w:rsidR="00F412B1">
        <w:t xml:space="preserve">‘audit’ </w:t>
      </w:r>
      <w:r w:rsidR="00006979">
        <w:t xml:space="preserve">assessments associated with </w:t>
      </w:r>
      <w:r w:rsidR="00262833">
        <w:t xml:space="preserve">disbursements of </w:t>
      </w:r>
      <w:r w:rsidR="00006979">
        <w:t>the USD600 million Result Based Loan provided by ADB to the PLN (</w:t>
      </w:r>
      <w:r w:rsidR="00006979" w:rsidRPr="00262833">
        <w:t>National Electricity Company)</w:t>
      </w:r>
      <w:r w:rsidR="00C70016">
        <w:t>. This loan provided funding</w:t>
      </w:r>
      <w:r w:rsidR="00006979">
        <w:t xml:space="preserve"> to carry our major power transmission and distribution system upgrades in Sumatra. </w:t>
      </w:r>
      <w:r w:rsidR="00C70016">
        <w:t>The</w:t>
      </w:r>
      <w:r w:rsidR="00006979">
        <w:t xml:space="preserve"> technical assistance has since been </w:t>
      </w:r>
      <w:r w:rsidR="00F412B1">
        <w:t xml:space="preserve">increased to </w:t>
      </w:r>
      <w:r w:rsidR="00006979">
        <w:t xml:space="preserve">USD500,000 </w:t>
      </w:r>
      <w:r w:rsidR="00F412B1">
        <w:t xml:space="preserve">and the audit team is also managing the technical and due diligence tasks associated with </w:t>
      </w:r>
      <w:r w:rsidR="00262833">
        <w:t xml:space="preserve">disbursements of </w:t>
      </w:r>
      <w:r w:rsidR="00F412B1">
        <w:t xml:space="preserve">an additional USD500 million Results Based Loan to PLN by the World Bank. </w:t>
      </w:r>
      <w:r w:rsidR="00F412B1">
        <w:lastRenderedPageBreak/>
        <w:t xml:space="preserve">The evaluation team was also advised during the in-country mission that an additional ADB loan to PLN was under development. </w:t>
      </w:r>
    </w:p>
    <w:p w14:paraId="055FF321" w14:textId="42B5AA7F" w:rsidR="0070323C" w:rsidRDefault="00376997" w:rsidP="00376997">
      <w:pPr>
        <w:rPr>
          <w:rFonts w:asciiTheme="minorHAnsi" w:hAnsiTheme="minorHAnsi" w:cs="Calibri"/>
        </w:rPr>
      </w:pPr>
      <w:r>
        <w:rPr>
          <w:rFonts w:asciiTheme="minorHAnsi" w:hAnsiTheme="minorHAnsi" w:cs="Calibri"/>
        </w:rPr>
        <w:t xml:space="preserve">Information obtained through the </w:t>
      </w:r>
      <w:r w:rsidR="0070323C">
        <w:rPr>
          <w:rFonts w:asciiTheme="minorHAnsi" w:hAnsiTheme="minorHAnsi" w:cs="Calibri"/>
        </w:rPr>
        <w:t>in-country m</w:t>
      </w:r>
      <w:r>
        <w:rPr>
          <w:rFonts w:asciiTheme="minorHAnsi" w:hAnsiTheme="minorHAnsi" w:cs="Calibri"/>
        </w:rPr>
        <w:t xml:space="preserve">ission consultations combined with examination of project documentation show that the World Bank and </w:t>
      </w:r>
      <w:r w:rsidR="002E6223">
        <w:rPr>
          <w:rFonts w:asciiTheme="minorHAnsi" w:hAnsiTheme="minorHAnsi" w:cs="Calibri"/>
        </w:rPr>
        <w:t xml:space="preserve">ADB </w:t>
      </w:r>
      <w:r>
        <w:rPr>
          <w:rFonts w:asciiTheme="minorHAnsi" w:hAnsiTheme="minorHAnsi" w:cs="Calibri"/>
        </w:rPr>
        <w:t xml:space="preserve">have both been adaptive to changing GoI infrastructure priorities over the life of the MDB-IAP, particularly where these priorities were consistent with the MDB’s own priorities. GoI officials did however comment that it was more difficult in obtaining support or assistance in preparing a proposal for funding where the activity was not a high priority of the </w:t>
      </w:r>
      <w:r w:rsidR="0017180B">
        <w:rPr>
          <w:rFonts w:asciiTheme="minorHAnsi" w:hAnsiTheme="minorHAnsi" w:cs="Calibri"/>
        </w:rPr>
        <w:t>MDB’s</w:t>
      </w:r>
      <w:r>
        <w:rPr>
          <w:rFonts w:asciiTheme="minorHAnsi" w:hAnsiTheme="minorHAnsi" w:cs="Calibri"/>
        </w:rPr>
        <w:t xml:space="preserve">. </w:t>
      </w:r>
    </w:p>
    <w:p w14:paraId="4CFEF7C7" w14:textId="4C494C11" w:rsidR="00376997" w:rsidRDefault="0070323C" w:rsidP="00376997">
      <w:pPr>
        <w:rPr>
          <w:rFonts w:asciiTheme="minorHAnsi" w:hAnsiTheme="minorHAnsi" w:cs="Calibri"/>
        </w:rPr>
      </w:pPr>
      <w:r>
        <w:rPr>
          <w:rFonts w:asciiTheme="minorHAnsi" w:hAnsiTheme="minorHAnsi" w:cs="Calibri"/>
        </w:rPr>
        <w:t xml:space="preserve">Additionally, as </w:t>
      </w:r>
      <w:r w:rsidR="00376997">
        <w:rPr>
          <w:rFonts w:asciiTheme="minorHAnsi" w:hAnsiTheme="minorHAnsi" w:cs="Calibri"/>
        </w:rPr>
        <w:t>a sign of being adaptive to change the formal trust fund arrangement for the INIS trust fund w</w:t>
      </w:r>
      <w:r w:rsidR="002E0FE1">
        <w:rPr>
          <w:rFonts w:asciiTheme="minorHAnsi" w:hAnsiTheme="minorHAnsi" w:cs="Calibri"/>
        </w:rPr>
        <w:t>as</w:t>
      </w:r>
      <w:r w:rsidR="00376997">
        <w:rPr>
          <w:rFonts w:asciiTheme="minorHAnsi" w:hAnsiTheme="minorHAnsi" w:cs="Calibri"/>
        </w:rPr>
        <w:t xml:space="preserve"> amended twice, once in 2012 and again in 2015, to revise the sector groupings and types of activities to be funded through the trust fund. </w:t>
      </w:r>
      <w:r w:rsidR="002E0FE1">
        <w:rPr>
          <w:rFonts w:asciiTheme="minorHAnsi" w:hAnsiTheme="minorHAnsi" w:cs="Calibri"/>
        </w:rPr>
        <w:t xml:space="preserve">These amendments were not connected to funding amounts to be paid between the trust funds. </w:t>
      </w:r>
    </w:p>
    <w:p w14:paraId="6C746F5F" w14:textId="3CF256F3" w:rsidR="00376997" w:rsidRDefault="00376997" w:rsidP="00B75F8D">
      <w:pPr>
        <w:rPr>
          <w:rFonts w:asciiTheme="minorHAnsi" w:hAnsiTheme="minorHAnsi" w:cs="Calibri"/>
        </w:rPr>
      </w:pPr>
      <w:r>
        <w:rPr>
          <w:rFonts w:asciiTheme="minorHAnsi" w:hAnsiTheme="minorHAnsi" w:cs="Calibri"/>
        </w:rPr>
        <w:t xml:space="preserve">While information was available to show that both the World Bank and ADB have been adaptive to changing GoI priorities, their ability to being adaptive to emerging themes or changes in GoA priorities such as </w:t>
      </w:r>
      <w:r w:rsidRPr="005C4C7E">
        <w:rPr>
          <w:rFonts w:asciiTheme="minorHAnsi" w:hAnsiTheme="minorHAnsi" w:cs="Calibri"/>
        </w:rPr>
        <w:t>the Australia</w:t>
      </w:r>
      <w:r w:rsidR="00F87CE8">
        <w:rPr>
          <w:rFonts w:asciiTheme="minorHAnsi" w:hAnsiTheme="minorHAnsi" w:cs="Calibri"/>
        </w:rPr>
        <w:t>’s</w:t>
      </w:r>
      <w:r w:rsidRPr="005C4C7E">
        <w:rPr>
          <w:rFonts w:asciiTheme="minorHAnsi" w:hAnsiTheme="minorHAnsi" w:cs="Calibri"/>
        </w:rPr>
        <w:t xml:space="preserve"> position on social inclusion and gender equality</w:t>
      </w:r>
      <w:r>
        <w:rPr>
          <w:rFonts w:asciiTheme="minorHAnsi" w:hAnsiTheme="minorHAnsi" w:cs="Calibri"/>
        </w:rPr>
        <w:t xml:space="preserve"> as part of </w:t>
      </w:r>
      <w:r w:rsidR="00F373E9">
        <w:rPr>
          <w:rFonts w:asciiTheme="minorHAnsi" w:hAnsiTheme="minorHAnsi" w:cs="Calibri"/>
        </w:rPr>
        <w:t>the</w:t>
      </w:r>
      <w:r w:rsidR="00923508">
        <w:rPr>
          <w:rFonts w:asciiTheme="minorHAnsi" w:hAnsiTheme="minorHAnsi" w:cs="Calibri"/>
        </w:rPr>
        <w:t xml:space="preserve"> MDB-IAPs</w:t>
      </w:r>
      <w:r>
        <w:rPr>
          <w:rFonts w:asciiTheme="minorHAnsi" w:hAnsiTheme="minorHAnsi" w:cs="Calibri"/>
        </w:rPr>
        <w:t xml:space="preserve"> project’s selection and delivery was less obvious.</w:t>
      </w:r>
      <w:r w:rsidR="00923508">
        <w:rPr>
          <w:rStyle w:val="FootnoteReference"/>
          <w:rFonts w:asciiTheme="minorHAnsi" w:hAnsiTheme="minorHAnsi" w:cs="Calibri"/>
        </w:rPr>
        <w:footnoteReference w:id="5"/>
      </w:r>
      <w:r>
        <w:rPr>
          <w:rFonts w:asciiTheme="minorHAnsi" w:hAnsiTheme="minorHAnsi" w:cs="Calibri"/>
        </w:rPr>
        <w:t xml:space="preserve"> It is recognised that the GoA’s emerging themes may have been incorporated as part of the standard MDB activity safeguard assessments, but no particular change was noted in the operation of the MDB-IAP in response to changing GoA priorities. </w:t>
      </w:r>
    </w:p>
    <w:p w14:paraId="49E186CC" w14:textId="77777777" w:rsidR="00AA699F" w:rsidRDefault="00AA699F" w:rsidP="00D4448B">
      <w:pPr>
        <w:pStyle w:val="Heading3"/>
      </w:pPr>
      <w:r>
        <w:t>Conclusion</w:t>
      </w:r>
    </w:p>
    <w:p w14:paraId="6BFD208A" w14:textId="7BCC022E" w:rsidR="00AA699F" w:rsidRDefault="00AA699F" w:rsidP="00AA699F">
      <w:pPr>
        <w:rPr>
          <w:rFonts w:cs="Calibri"/>
        </w:rPr>
      </w:pPr>
      <w:r>
        <w:t>Notwithstanding the differences in governance arrangements and potential differences in measuring success, MDB-IA</w:t>
      </w:r>
      <w:r w:rsidR="00F373E9">
        <w:t>P</w:t>
      </w:r>
      <w:r>
        <w:t xml:space="preserve"> funded activities have been effective in delivering </w:t>
      </w:r>
      <w:r w:rsidR="00F01839">
        <w:t>against the program outcome</w:t>
      </w:r>
      <w:r w:rsidR="0017180B">
        <w:t>s</w:t>
      </w:r>
      <w:r w:rsidR="00F01839">
        <w:t xml:space="preserve">, including </w:t>
      </w:r>
      <w:r w:rsidRPr="002A3C6E">
        <w:rPr>
          <w:rFonts w:cs="Calibri"/>
        </w:rPr>
        <w:t xml:space="preserve">leveraged investment </w:t>
      </w:r>
      <w:r w:rsidR="00F01839">
        <w:rPr>
          <w:rFonts w:cs="Calibri"/>
        </w:rPr>
        <w:t>in Indonesia</w:t>
      </w:r>
      <w:r w:rsidR="003A56DC">
        <w:rPr>
          <w:rFonts w:cs="Calibri"/>
        </w:rPr>
        <w:t xml:space="preserve">. </w:t>
      </w:r>
      <w:r w:rsidR="00F01839">
        <w:rPr>
          <w:rFonts w:cs="Calibri"/>
        </w:rPr>
        <w:t>Numerous</w:t>
      </w:r>
      <w:r w:rsidR="003A56DC">
        <w:rPr>
          <w:rFonts w:cs="Calibri"/>
        </w:rPr>
        <w:t xml:space="preserve"> e</w:t>
      </w:r>
      <w:r>
        <w:rPr>
          <w:rFonts w:cs="Calibri"/>
        </w:rPr>
        <w:t xml:space="preserve">xamples of funded technical assistance being use in the establishment or </w:t>
      </w:r>
      <w:r w:rsidR="003A56DC">
        <w:rPr>
          <w:rFonts w:cs="Calibri"/>
        </w:rPr>
        <w:t xml:space="preserve">subsequent </w:t>
      </w:r>
      <w:r>
        <w:rPr>
          <w:rFonts w:cs="Calibri"/>
        </w:rPr>
        <w:t>oversight of loan funding arrangements</w:t>
      </w:r>
      <w:r w:rsidR="003A56DC">
        <w:rPr>
          <w:rFonts w:cs="Calibri"/>
        </w:rPr>
        <w:t xml:space="preserve"> were identified</w:t>
      </w:r>
      <w:r>
        <w:rPr>
          <w:rFonts w:cs="Calibri"/>
        </w:rPr>
        <w:t>. Examples were also identified of</w:t>
      </w:r>
      <w:r w:rsidR="00F01839">
        <w:rPr>
          <w:rFonts w:cs="Calibri"/>
        </w:rPr>
        <w:t xml:space="preserve"> </w:t>
      </w:r>
      <w:r w:rsidR="003A56DC">
        <w:rPr>
          <w:rFonts w:cs="Calibri"/>
        </w:rPr>
        <w:t xml:space="preserve">targeted </w:t>
      </w:r>
      <w:r>
        <w:rPr>
          <w:rFonts w:cs="Calibri"/>
        </w:rPr>
        <w:t xml:space="preserve">project </w:t>
      </w:r>
      <w:r w:rsidRPr="002A3C6E">
        <w:rPr>
          <w:rFonts w:cs="Calibri"/>
        </w:rPr>
        <w:t>outputs</w:t>
      </w:r>
      <w:r>
        <w:rPr>
          <w:rFonts w:cs="Calibri"/>
        </w:rPr>
        <w:t xml:space="preserve"> influencing GoI policy decisions and contributing to reforms in </w:t>
      </w:r>
      <w:r w:rsidR="00224CBA">
        <w:rPr>
          <w:rFonts w:cs="Calibri"/>
        </w:rPr>
        <w:t xml:space="preserve">certain </w:t>
      </w:r>
      <w:r>
        <w:rPr>
          <w:rFonts w:cs="Calibri"/>
        </w:rPr>
        <w:t>focus areas.</w:t>
      </w:r>
      <w:r w:rsidRPr="002A3C6E">
        <w:rPr>
          <w:rFonts w:cs="Calibri"/>
        </w:rPr>
        <w:t xml:space="preserve"> </w:t>
      </w:r>
      <w:r w:rsidR="00F01839">
        <w:rPr>
          <w:rFonts w:cs="Calibri"/>
        </w:rPr>
        <w:t xml:space="preserve">The actual quantification and reporting of the level of impact has varied due to </w:t>
      </w:r>
      <w:r w:rsidR="002C2E2B">
        <w:rPr>
          <w:rFonts w:cs="Calibri"/>
        </w:rPr>
        <w:t xml:space="preserve">a lack of </w:t>
      </w:r>
      <w:r w:rsidR="00F01839">
        <w:rPr>
          <w:rFonts w:cs="Calibri"/>
        </w:rPr>
        <w:t>clear or consistent definition of how this is to be captured.</w:t>
      </w:r>
    </w:p>
    <w:p w14:paraId="68D64591" w14:textId="3AED5FAC" w:rsidR="003A56DC" w:rsidRDefault="00F87CE8" w:rsidP="00AD5EA1">
      <w:pPr>
        <w:rPr>
          <w:rFonts w:cs="Calibri"/>
        </w:rPr>
      </w:pPr>
      <w:r>
        <w:rPr>
          <w:rFonts w:cs="Calibri"/>
        </w:rPr>
        <w:t xml:space="preserve">The MDB-IAP governance and administrative arrangements were found to have been either sufficiently broad enough, or readily amendable, to adapt to changing GoI and MDB infrastructure priorities over the life of the program. </w:t>
      </w:r>
      <w:r w:rsidR="006C2444">
        <w:rPr>
          <w:rFonts w:cs="Calibri"/>
        </w:rPr>
        <w:t xml:space="preserve">There is no requirement in these arrangements to specifically consider </w:t>
      </w:r>
      <w:r w:rsidR="0017180B">
        <w:rPr>
          <w:rFonts w:cs="Calibri"/>
        </w:rPr>
        <w:t>G</w:t>
      </w:r>
      <w:r w:rsidR="00016FEA">
        <w:rPr>
          <w:rFonts w:cs="Calibri"/>
        </w:rPr>
        <w:t>o</w:t>
      </w:r>
      <w:r w:rsidR="0017180B">
        <w:rPr>
          <w:rFonts w:cs="Calibri"/>
        </w:rPr>
        <w:t xml:space="preserve">A </w:t>
      </w:r>
      <w:r w:rsidR="006C2444">
        <w:rPr>
          <w:rFonts w:cs="Calibri"/>
        </w:rPr>
        <w:t>priorities in project selection or delivery and no such adjustments were observed over the life for the MDB-IAP in response to emerging themes or changing priorities from the GoA perspective (such as Australia’s position on social inclusion and gender equality).</w:t>
      </w:r>
    </w:p>
    <w:p w14:paraId="7F37BA31" w14:textId="77777777" w:rsidR="003A56DC" w:rsidRDefault="003A56DC" w:rsidP="003A56DC">
      <w:pPr>
        <w:pStyle w:val="Heading3"/>
      </w:pPr>
      <w:r>
        <w:t>Recommendation 2</w:t>
      </w:r>
    </w:p>
    <w:p w14:paraId="27C23A98" w14:textId="77777777" w:rsidR="00411CE1" w:rsidRDefault="00411CE1" w:rsidP="00411CE1">
      <w:r>
        <w:t>Consistent with the establishment of a specific Monitoring and Evaluation framework for the program if additional funding is to be provided through Multilateral Development Bank Infrastructure Trust Funds, specific operational-level outcomes and outputs should be identified, agreed and promulgated up front, including the associated definitions for measuring and reporting success.</w:t>
      </w:r>
    </w:p>
    <w:p w14:paraId="431E1F7D" w14:textId="77777777" w:rsidR="00E2228C" w:rsidRPr="00E2228C" w:rsidRDefault="00E2228C" w:rsidP="003A56DC">
      <w:pPr>
        <w:rPr>
          <w:b/>
        </w:rPr>
      </w:pPr>
      <w:r w:rsidRPr="00E2228C">
        <w:rPr>
          <w:b/>
        </w:rPr>
        <w:t>Recommendation 3</w:t>
      </w:r>
    </w:p>
    <w:p w14:paraId="2E10BD01" w14:textId="77777777" w:rsidR="00411CE1" w:rsidRDefault="00411CE1" w:rsidP="00411CE1">
      <w:r>
        <w:t xml:space="preserve">A mechanism should be developed and implemented with Multilateral Development Banks that enables Government of Australia priorities and emerging themes to be clearly incorporated into </w:t>
      </w:r>
      <w:r>
        <w:lastRenderedPageBreak/>
        <w:t>Multilateral Development Bank Infrastructure Trust Fund decision-making processes and project delivery activities.</w:t>
      </w:r>
    </w:p>
    <w:p w14:paraId="75AACEE1" w14:textId="07748591" w:rsidR="00E2228C" w:rsidRDefault="00E2228C" w:rsidP="003A56DC"/>
    <w:p w14:paraId="640115BD" w14:textId="0B839DCD" w:rsidR="006E78B9" w:rsidRDefault="006E78B9">
      <w:pPr>
        <w:spacing w:before="0" w:after="200" w:line="276" w:lineRule="auto"/>
        <w:rPr>
          <w:rFonts w:ascii="Arial" w:hAnsi="Arial"/>
          <w:b/>
          <w:smallCaps/>
          <w:sz w:val="36"/>
          <w:szCs w:val="36"/>
        </w:rPr>
      </w:pPr>
    </w:p>
    <w:p w14:paraId="19FDE2DE" w14:textId="03941BF4" w:rsidR="00E6092A" w:rsidRDefault="00E6092A" w:rsidP="00D4448B">
      <w:pPr>
        <w:pStyle w:val="Heading1"/>
      </w:pPr>
      <w:bookmarkStart w:id="9" w:name="_Toc505838181"/>
      <w:r w:rsidRPr="008656A1">
        <w:t>How relevant is the program overall as well as in terms of the individual investment choices made?</w:t>
      </w:r>
      <w:bookmarkEnd w:id="9"/>
    </w:p>
    <w:tbl>
      <w:tblPr>
        <w:tblStyle w:val="TableGrid"/>
        <w:tblW w:w="4912"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50"/>
      </w:tblGrid>
      <w:tr w:rsidR="00D07E80" w:rsidRPr="00280FD9" w14:paraId="478DDBB7" w14:textId="77777777" w:rsidTr="001648E2">
        <w:trPr>
          <w:cantSplit/>
        </w:trPr>
        <w:tc>
          <w:tcPr>
            <w:tcW w:w="1484" w:type="pct"/>
          </w:tcPr>
          <w:p w14:paraId="3BF52B60" w14:textId="77777777" w:rsidR="00D07E80" w:rsidRPr="00280FD9" w:rsidRDefault="00D07E80" w:rsidP="001648E2">
            <w:pPr>
              <w:tabs>
                <w:tab w:val="left" w:pos="318"/>
              </w:tabs>
              <w:spacing w:before="60" w:after="60" w:line="260" w:lineRule="exact"/>
              <w:rPr>
                <w:rFonts w:ascii="Arial Narrow" w:hAnsi="Arial Narrow"/>
              </w:rPr>
            </w:pPr>
            <w:r w:rsidRPr="00280FD9">
              <w:rPr>
                <w:rFonts w:ascii="Arial Narrow" w:hAnsi="Arial Narrow"/>
              </w:rPr>
              <w:t>How aligned is the program to Australian and Indonesian Government priorities?</w:t>
            </w:r>
          </w:p>
        </w:tc>
      </w:tr>
      <w:tr w:rsidR="00D07E80" w:rsidRPr="00280FD9" w14:paraId="3FF52A8F" w14:textId="77777777" w:rsidTr="001648E2">
        <w:trPr>
          <w:cantSplit/>
        </w:trPr>
        <w:tc>
          <w:tcPr>
            <w:tcW w:w="1484" w:type="pct"/>
          </w:tcPr>
          <w:p w14:paraId="2832CD27" w14:textId="77777777" w:rsidR="00D07E80" w:rsidRPr="00280FD9" w:rsidRDefault="00D07E80" w:rsidP="001648E2">
            <w:pPr>
              <w:tabs>
                <w:tab w:val="left" w:pos="318"/>
              </w:tabs>
              <w:spacing w:before="60" w:after="60" w:line="260" w:lineRule="exact"/>
              <w:rPr>
                <w:rFonts w:ascii="Arial Narrow" w:hAnsi="Arial Narrow"/>
              </w:rPr>
            </w:pPr>
            <w:r w:rsidRPr="00280FD9">
              <w:rPr>
                <w:rFonts w:ascii="Arial Narrow" w:hAnsi="Arial Narrow"/>
              </w:rPr>
              <w:t xml:space="preserve">Does DFAT have sound decision making processes regarding investment decisions between </w:t>
            </w:r>
            <w:r w:rsidR="001648E2">
              <w:rPr>
                <w:rFonts w:ascii="Arial Narrow" w:hAnsi="Arial Narrow"/>
              </w:rPr>
              <w:t>World Bank</w:t>
            </w:r>
            <w:r w:rsidRPr="00280FD9">
              <w:rPr>
                <w:rFonts w:ascii="Arial Narrow" w:hAnsi="Arial Narrow"/>
              </w:rPr>
              <w:t xml:space="preserve"> and ADB?</w:t>
            </w:r>
          </w:p>
        </w:tc>
      </w:tr>
    </w:tbl>
    <w:p w14:paraId="3B6E7E2D" w14:textId="1D226BAC" w:rsidR="003E7216" w:rsidRDefault="00D66C8D" w:rsidP="001957E1">
      <w:r>
        <w:t xml:space="preserve">By being a partner-led program, the governance and administrative arrangements </w:t>
      </w:r>
      <w:r w:rsidR="007D11B2">
        <w:t xml:space="preserve">of the </w:t>
      </w:r>
      <w:r>
        <w:t xml:space="preserve">MDB-IAP </w:t>
      </w:r>
      <w:r w:rsidR="007D11B2">
        <w:t>are</w:t>
      </w:r>
      <w:r>
        <w:t xml:space="preserve"> primarily aligned to the priorities of the World Bank and the </w:t>
      </w:r>
      <w:r w:rsidR="002C2E2B">
        <w:t>ADB</w:t>
      </w:r>
      <w:r>
        <w:t xml:space="preserve">. These priorities are publicly communicated through </w:t>
      </w:r>
      <w:r w:rsidR="007D11B2">
        <w:t xml:space="preserve">applicable </w:t>
      </w:r>
      <w:r>
        <w:t xml:space="preserve">MDB aid investment plans and country strategies. As the technical assistance projects funded by the MDB-IAP are closely tied to the loan investment support activities of the GoI, the program is also heavily aligned to the GoI priorities. </w:t>
      </w:r>
      <w:r w:rsidR="00BF1B5C">
        <w:t xml:space="preserve">In particular, the GoI </w:t>
      </w:r>
      <w:r w:rsidR="00BF1B5C" w:rsidRPr="00BF1B5C">
        <w:rPr>
          <w:i/>
        </w:rPr>
        <w:t>List of Medium Term Planned External Loans 2015-2019</w:t>
      </w:r>
      <w:r w:rsidR="00BF1B5C">
        <w:t xml:space="preserve"> (the Blue Book) and the annual </w:t>
      </w:r>
      <w:r w:rsidR="00BF1B5C" w:rsidRPr="00BF1B5C">
        <w:rPr>
          <w:i/>
        </w:rPr>
        <w:t>List of Planned Priority External Loans</w:t>
      </w:r>
      <w:r w:rsidR="00BF1B5C">
        <w:t xml:space="preserve"> (the Green Book) publicly outline priority areas for investment. </w:t>
      </w:r>
    </w:p>
    <w:p w14:paraId="18EB501A" w14:textId="428C3C61" w:rsidR="009251CA" w:rsidRDefault="009251CA" w:rsidP="001957E1">
      <w:r>
        <w:t xml:space="preserve">As a modality, </w:t>
      </w:r>
      <w:r w:rsidR="003E7216">
        <w:t xml:space="preserve">the MDB-IAP providing non-core contributions to the World Bank and the ADB for the funding of infrastructure technical assistance </w:t>
      </w:r>
      <w:r>
        <w:t xml:space="preserve">in Indonesia </w:t>
      </w:r>
      <w:r w:rsidR="003E7216">
        <w:t xml:space="preserve">is well aligned to the Australian aid program. For example, the 2015 Office of Development Effectiveness </w:t>
      </w:r>
      <w:r>
        <w:t xml:space="preserve">(ODE) </w:t>
      </w:r>
      <w:r w:rsidR="003E7216">
        <w:t xml:space="preserve">report on </w:t>
      </w:r>
      <w:r w:rsidR="003E7216" w:rsidRPr="009251CA">
        <w:rPr>
          <w:i/>
        </w:rPr>
        <w:t xml:space="preserve">Banking </w:t>
      </w:r>
      <w:r w:rsidRPr="009251CA">
        <w:rPr>
          <w:i/>
        </w:rPr>
        <w:t xml:space="preserve">our </w:t>
      </w:r>
      <w:r>
        <w:rPr>
          <w:i/>
        </w:rPr>
        <w:t>a</w:t>
      </w:r>
      <w:r w:rsidRPr="009251CA">
        <w:rPr>
          <w:i/>
        </w:rPr>
        <w:t>id</w:t>
      </w:r>
      <w:r>
        <w:rPr>
          <w:i/>
        </w:rPr>
        <w:t>: Australia’s non-core funding to the Asian Development Bank and the World Bank</w:t>
      </w:r>
      <w:r>
        <w:t xml:space="preserve"> concluded</w:t>
      </w:r>
      <w:r w:rsidR="003E7216">
        <w:t xml:space="preserve"> that non-core funding to the </w:t>
      </w:r>
      <w:r w:rsidR="002C2E2B">
        <w:t xml:space="preserve">ADB </w:t>
      </w:r>
      <w:r w:rsidR="003E7216">
        <w:t xml:space="preserve">and World Bank is an effective and efficient way of delivering Australian aid. The ODE </w:t>
      </w:r>
      <w:r>
        <w:t xml:space="preserve">reported that, through non-core funding Australia has supported the </w:t>
      </w:r>
      <w:r w:rsidR="0017180B">
        <w:t xml:space="preserve">MDB’s </w:t>
      </w:r>
      <w:r>
        <w:t>to provide aid in places or to address issues that are central to Australia’s policy interests, work they could not have done without Australian funding. ODE also considered that non-core funding has provided access to the banks’ specialist expertise, and policy discussions with recipient governments.</w:t>
      </w:r>
      <w:r>
        <w:rPr>
          <w:rStyle w:val="FootnoteReference"/>
        </w:rPr>
        <w:footnoteReference w:id="6"/>
      </w:r>
    </w:p>
    <w:p w14:paraId="3C458AC1" w14:textId="4351A02D" w:rsidR="00B50A0F" w:rsidRDefault="00B77E71" w:rsidP="005A6EF6">
      <w:r>
        <w:t>T</w:t>
      </w:r>
      <w:r w:rsidR="009251CA">
        <w:t xml:space="preserve">he </w:t>
      </w:r>
      <w:r w:rsidR="002F165D">
        <w:t xml:space="preserve">publication </w:t>
      </w:r>
      <w:r w:rsidR="009251CA">
        <w:t xml:space="preserve">of Australia’s policy interests in relation to providing infrastructure assistance </w:t>
      </w:r>
      <w:r w:rsidR="008959CF">
        <w:t>to</w:t>
      </w:r>
      <w:r w:rsidR="009251CA">
        <w:t xml:space="preserve"> Indonesia </w:t>
      </w:r>
      <w:r w:rsidR="002F165D">
        <w:t>was</w:t>
      </w:r>
      <w:r w:rsidR="009251CA">
        <w:t xml:space="preserve"> not finalised</w:t>
      </w:r>
      <w:r w:rsidR="008959CF">
        <w:t xml:space="preserve"> by 31 October 2013 </w:t>
      </w:r>
      <w:r w:rsidR="009251CA">
        <w:t>as anticipated</w:t>
      </w:r>
      <w:r w:rsidR="008959CF">
        <w:t xml:space="preserve"> in</w:t>
      </w:r>
      <w:r w:rsidR="009251CA">
        <w:t xml:space="preserve"> the design of the MDB-IAP.</w:t>
      </w:r>
      <w:r w:rsidR="008959CF">
        <w:t xml:space="preserve"> </w:t>
      </w:r>
      <w:r w:rsidR="00CD76C3">
        <w:t xml:space="preserve">In 2015 DFAT published its </w:t>
      </w:r>
      <w:r w:rsidR="00CD76C3" w:rsidRPr="00B50A0F">
        <w:rPr>
          <w:i/>
        </w:rPr>
        <w:t>Aid Investment Plan Indonesia 2015/16 to 2018/19</w:t>
      </w:r>
      <w:r w:rsidR="00CD76C3">
        <w:rPr>
          <w:i/>
        </w:rPr>
        <w:t xml:space="preserve">. </w:t>
      </w:r>
      <w:r w:rsidR="00CD76C3">
        <w:t xml:space="preserve">The plan explained that the overarching goal of Australia’s development program was ‘to partner with Indonesia to boost inclusive growth and productive jobs by improving Indonesia’s competitiveness through strengthening the impact of Indonesia’s own resources’. One of three objectives to achieve this goal </w:t>
      </w:r>
      <w:r w:rsidR="00D22BB1">
        <w:t>is</w:t>
      </w:r>
      <w:r w:rsidR="00CD76C3">
        <w:t xml:space="preserve"> supporting effective economic institutions and infrastructure. The plan outlines high level </w:t>
      </w:r>
      <w:r w:rsidR="006E78B9">
        <w:t xml:space="preserve">strategic </w:t>
      </w:r>
      <w:r w:rsidR="00CD76C3">
        <w:t>intentions however the</w:t>
      </w:r>
      <w:r w:rsidR="00CD76C3" w:rsidRPr="00B50A0F">
        <w:t xml:space="preserve"> </w:t>
      </w:r>
      <w:r w:rsidR="00B50A0F">
        <w:t xml:space="preserve">stated </w:t>
      </w:r>
      <w:r w:rsidR="00CD76C3" w:rsidRPr="00B50A0F">
        <w:t>priorities are</w:t>
      </w:r>
      <w:r w:rsidR="00B50A0F">
        <w:t xml:space="preserve"> </w:t>
      </w:r>
      <w:r w:rsidR="00CD76C3" w:rsidRPr="00B50A0F">
        <w:t>n</w:t>
      </w:r>
      <w:r w:rsidR="00B50A0F">
        <w:t>ot</w:t>
      </w:r>
      <w:r w:rsidR="00CD76C3" w:rsidRPr="00B50A0F">
        <w:t xml:space="preserve"> </w:t>
      </w:r>
      <w:r w:rsidR="00D22BB1">
        <w:t>readily</w:t>
      </w:r>
      <w:r w:rsidR="00CD76C3">
        <w:t xml:space="preserve"> </w:t>
      </w:r>
      <w:r w:rsidR="00CD76C3" w:rsidRPr="00B50A0F">
        <w:t xml:space="preserve">tangible and are difficult to translate into </w:t>
      </w:r>
      <w:r w:rsidR="00B50A0F">
        <w:t xml:space="preserve">specific </w:t>
      </w:r>
      <w:r w:rsidR="00CD76C3" w:rsidRPr="00B50A0F">
        <w:t>funding decisions.</w:t>
      </w:r>
    </w:p>
    <w:p w14:paraId="5D53C2C0" w14:textId="3B6F6015" w:rsidR="00B50A0F" w:rsidRDefault="00B50A0F" w:rsidP="005A6EF6">
      <w:r>
        <w:t xml:space="preserve">In addition to Australia’s broad investment plan for Indonesia, DFAT also published in 2015 </w:t>
      </w:r>
      <w:r w:rsidR="008959CF">
        <w:t>its</w:t>
      </w:r>
      <w:r w:rsidR="0017180B">
        <w:t xml:space="preserve"> </w:t>
      </w:r>
      <w:r w:rsidR="008959CF" w:rsidRPr="008959CF">
        <w:rPr>
          <w:i/>
        </w:rPr>
        <w:t>Strategy for Australia’s Aid Investment in Economic Infrastructure</w:t>
      </w:r>
      <w:r>
        <w:t>. This publication</w:t>
      </w:r>
      <w:r w:rsidR="00D22BB1">
        <w:t xml:space="preserve"> </w:t>
      </w:r>
      <w:r w:rsidR="008959CF" w:rsidRPr="008959CF">
        <w:t xml:space="preserve">provides a theory of change (as replicated in Annex 3 of this report) and </w:t>
      </w:r>
      <w:r w:rsidR="00D22BB1">
        <w:t xml:space="preserve">an </w:t>
      </w:r>
      <w:r w:rsidR="008959CF">
        <w:t xml:space="preserve">overall strategy underpinning the provision of </w:t>
      </w:r>
      <w:r w:rsidR="00BF42E0">
        <w:t xml:space="preserve">GoA aid </w:t>
      </w:r>
      <w:r w:rsidR="00B77E71">
        <w:t>assistance in relation to infrastructure.</w:t>
      </w:r>
      <w:r w:rsidR="008959CF" w:rsidRPr="008959CF">
        <w:t xml:space="preserve"> Specifically, the strategy reinforces the concept that improved economic infrastructure improves economic integration and growth. Improved infrastructure may also enable households to access the services they need more easily which in </w:t>
      </w:r>
      <w:r w:rsidR="008959CF" w:rsidRPr="008959CF">
        <w:lastRenderedPageBreak/>
        <w:t xml:space="preserve">turn enhances productivity and wellbeing. </w:t>
      </w:r>
      <w:r w:rsidR="002F165D">
        <w:t xml:space="preserve">The 2015 strategy outlines that Australia’s infrastructure investments generally consist of both hard (building infrastructure) and soft (capacity building and technical assistance) support. The strategy states that, in large or more developed countries such as Indonesia, Australia’s infrastructure investments are minor compared to the local infrastructure budget. In this case, soft infrastructure can be transformational and make a more significant and sustainable difference than what we could have made through investing in construction. In situations like this, the strategy explains that our best use of resources is not necessarily providing capital for major infrastructure, rather, supporting activities such as project preparation, </w:t>
      </w:r>
      <w:r w:rsidR="001E5611">
        <w:t>safeguards</w:t>
      </w:r>
      <w:r w:rsidR="002F165D">
        <w:t>, and leveraging public and private financing.</w:t>
      </w:r>
      <w:r w:rsidR="001E5611">
        <w:rPr>
          <w:rStyle w:val="FootnoteReference"/>
        </w:rPr>
        <w:footnoteReference w:id="7"/>
      </w:r>
      <w:r w:rsidR="002F165D">
        <w:t xml:space="preserve"> </w:t>
      </w:r>
      <w:r w:rsidR="001E5611">
        <w:t>Investments made through the MDB-IAP are consistent with these perspectives.</w:t>
      </w:r>
      <w:r w:rsidR="002F165D">
        <w:t xml:space="preserve"> </w:t>
      </w:r>
    </w:p>
    <w:p w14:paraId="166CC16D" w14:textId="43744EA8" w:rsidR="00CA106D" w:rsidRDefault="00CA106D" w:rsidP="005A6EF6">
      <w:r>
        <w:t xml:space="preserve">While </w:t>
      </w:r>
      <w:r w:rsidR="00B50A0F">
        <w:t xml:space="preserve">the </w:t>
      </w:r>
      <w:r w:rsidR="00915F0F">
        <w:t>Indonesia</w:t>
      </w:r>
      <w:r w:rsidR="006E78B9">
        <w:t>-specific</w:t>
      </w:r>
      <w:r w:rsidR="00915F0F">
        <w:t xml:space="preserve"> </w:t>
      </w:r>
      <w:r w:rsidR="00B50A0F">
        <w:t>Aid Investment Plan and the broader s</w:t>
      </w:r>
      <w:r w:rsidR="00B50A0F" w:rsidRPr="006E78B9">
        <w:t xml:space="preserve">trategy associated with </w:t>
      </w:r>
      <w:r w:rsidR="00B50A0F">
        <w:t>Australia’s i</w:t>
      </w:r>
      <w:r w:rsidR="00B50A0F" w:rsidRPr="006E78B9">
        <w:t xml:space="preserve">nvestment in </w:t>
      </w:r>
      <w:r w:rsidR="00B50A0F">
        <w:t>e</w:t>
      </w:r>
      <w:r w:rsidR="00B50A0F" w:rsidRPr="006E78B9">
        <w:t xml:space="preserve">conomic </w:t>
      </w:r>
      <w:r w:rsidR="00B50A0F">
        <w:t>i</w:t>
      </w:r>
      <w:r w:rsidR="00B50A0F" w:rsidRPr="006E78B9">
        <w:t>nfrastructure</w:t>
      </w:r>
      <w:r w:rsidR="00B50A0F">
        <w:t>,</w:t>
      </w:r>
      <w:r>
        <w:t xml:space="preserve"> provides </w:t>
      </w:r>
      <w:r w:rsidR="006E78B9">
        <w:t xml:space="preserve">high level </w:t>
      </w:r>
      <w:r>
        <w:t>guidance</w:t>
      </w:r>
      <w:r w:rsidR="006E78B9">
        <w:t>;</w:t>
      </w:r>
      <w:r>
        <w:t xml:space="preserve"> </w:t>
      </w:r>
      <w:r w:rsidR="00B50A0F">
        <w:rPr>
          <w:rFonts w:cs="Calibri"/>
        </w:rPr>
        <w:t xml:space="preserve">consideration of Australia’s priorities as part of the MDB-IAP could be enhanced by </w:t>
      </w:r>
      <w:r w:rsidR="00B50A0F">
        <w:t>DFAT providing more direction on specific priorities for investment</w:t>
      </w:r>
      <w:r w:rsidR="005A6EF6">
        <w:t>.</w:t>
      </w:r>
      <w:r w:rsidR="005A6EF6">
        <w:rPr>
          <w:rStyle w:val="FootnoteReference"/>
        </w:rPr>
        <w:footnoteReference w:id="8"/>
      </w:r>
    </w:p>
    <w:p w14:paraId="65452D1D" w14:textId="3EFFF78B" w:rsidR="00BF42E0" w:rsidRDefault="00BF42E0" w:rsidP="001957E1">
      <w:r>
        <w:t xml:space="preserve">In relation to </w:t>
      </w:r>
      <w:r w:rsidR="00D22BB1">
        <w:t xml:space="preserve">actual </w:t>
      </w:r>
      <w:r>
        <w:t xml:space="preserve">activities being funded through the MDB-IAP, an out of session INIS Steering Committee endorsement of </w:t>
      </w:r>
      <w:r w:rsidR="00A859CB">
        <w:t xml:space="preserve">seven </w:t>
      </w:r>
      <w:r>
        <w:t xml:space="preserve">funding proposals </w:t>
      </w:r>
      <w:r w:rsidR="00A859CB">
        <w:t xml:space="preserve">noted </w:t>
      </w:r>
      <w:r>
        <w:t>how the proposals ‘all outlined well the links to key GoI priorities which are also a key element of our [Australia’s] development program’s performance framework.’</w:t>
      </w:r>
      <w:r w:rsidR="00CA106D">
        <w:t xml:space="preserve"> </w:t>
      </w:r>
    </w:p>
    <w:p w14:paraId="07F49BCC" w14:textId="43497443" w:rsidR="00915F0F" w:rsidRPr="00915F0F" w:rsidRDefault="0037593E" w:rsidP="001957E1">
      <w:r>
        <w:t xml:space="preserve">Discussions with GoI stakeholders </w:t>
      </w:r>
      <w:r w:rsidR="00BF42E0">
        <w:t xml:space="preserve">highlighted </w:t>
      </w:r>
      <w:r>
        <w:t>positive feedback on MDB-IAP funded projects that linked to specific loan activities and disbursement of payment</w:t>
      </w:r>
      <w:r w:rsidR="00D22BB1">
        <w:t>, such as the Result Based Loans mentioned earlier in this report</w:t>
      </w:r>
      <w:r>
        <w:t>.</w:t>
      </w:r>
      <w:r w:rsidR="00003AB0">
        <w:t xml:space="preserve"> It was also clear from discussions that at times technical assistance activities were being proposed and funded for an initial period even though it was clear that capability and capacity needed to be supported within the GoI line ministry for the duration of the loan activity</w:t>
      </w:r>
      <w:r w:rsidR="00D22BB1">
        <w:t xml:space="preserve"> such as the</w:t>
      </w:r>
      <w:r w:rsidR="00915F0F">
        <w:t xml:space="preserve"> SIAP-funded technical assistance provided to the Ministry of Public Works and Housing (MPWH) under the </w:t>
      </w:r>
      <w:r w:rsidR="00915F0F">
        <w:rPr>
          <w:i/>
        </w:rPr>
        <w:t xml:space="preserve">Accelerating Infrastructure Delivery through Better Engineering Services </w:t>
      </w:r>
      <w:r w:rsidR="00915F0F" w:rsidRPr="006E78B9">
        <w:t>Project</w:t>
      </w:r>
      <w:r w:rsidR="00915F0F">
        <w:rPr>
          <w:i/>
        </w:rPr>
        <w:t>.</w:t>
      </w:r>
      <w:r w:rsidR="00915F0F">
        <w:t xml:space="preserve"> This investment involved an initial approval of USD81,500 to provide technical assistance to the MPWH’s Office of the Secretary General to support in the coordination and oversight of activities associated with a USD150 million technical assistance loan. </w:t>
      </w:r>
      <w:r w:rsidR="00D22BB1">
        <w:t xml:space="preserve">While initial </w:t>
      </w:r>
      <w:r w:rsidR="006E78B9">
        <w:t>SIAP-</w:t>
      </w:r>
      <w:r w:rsidR="00D22BB1">
        <w:t xml:space="preserve">funding was based on a short-term input, the role had been extended once and, during the in-country mission it was made clear that a further extension was being sought by the MPWH as there was a need for continued support </w:t>
      </w:r>
      <w:r w:rsidR="00D02DBA">
        <w:t>in this area.</w:t>
      </w:r>
    </w:p>
    <w:p w14:paraId="29E0AC6B" w14:textId="08338BC2" w:rsidR="0037593E" w:rsidRDefault="0037593E" w:rsidP="001957E1">
      <w:r>
        <w:t>Less favourable feedback related to initial planning studies</w:t>
      </w:r>
      <w:r w:rsidR="00B62F47">
        <w:t xml:space="preserve"> and options analysis</w:t>
      </w:r>
      <w:r>
        <w:t xml:space="preserve"> where expectations on the research outcomes</w:t>
      </w:r>
      <w:r w:rsidR="009B75F1">
        <w:t xml:space="preserve"> differed</w:t>
      </w:r>
      <w:r>
        <w:t xml:space="preserve"> between the GoI </w:t>
      </w:r>
      <w:r w:rsidR="009B75F1">
        <w:t xml:space="preserve">line </w:t>
      </w:r>
      <w:r>
        <w:t>ministry and the MDB</w:t>
      </w:r>
      <w:r w:rsidR="00D02DBA">
        <w:t xml:space="preserve"> such as the </w:t>
      </w:r>
      <w:r w:rsidR="00D02DBA" w:rsidRPr="006E78B9">
        <w:rPr>
          <w:i/>
        </w:rPr>
        <w:t>Improving Multimodal Connectivity to Support Integrated Land and Sea Tollway</w:t>
      </w:r>
      <w:r w:rsidR="00D02DBA" w:rsidRPr="00D02DBA">
        <w:t xml:space="preserve"> study funded through SIAP</w:t>
      </w:r>
      <w:r w:rsidR="00D02DBA">
        <w:t xml:space="preserve">. </w:t>
      </w:r>
      <w:r w:rsidR="00BF42E0">
        <w:t>In this respect, while proposed activities align with high level GoI priorities, t</w:t>
      </w:r>
      <w:r w:rsidR="006A238A">
        <w:t>here would be benefit in better capturing GoI feedback on funded projects to assist in future project selection</w:t>
      </w:r>
      <w:r w:rsidR="00B62F47">
        <w:t xml:space="preserve"> and inform assessment on whether that type of activity is best funded by the MDB-IAP or another modality in future.</w:t>
      </w:r>
      <w:r w:rsidR="00003AB0">
        <w:t xml:space="preserve"> </w:t>
      </w:r>
    </w:p>
    <w:p w14:paraId="2B435A84" w14:textId="03B0ED01" w:rsidR="004564A0" w:rsidRDefault="004564A0" w:rsidP="006A238A">
      <w:r>
        <w:t xml:space="preserve">In relation to overall funding decisions of the MDB-IAP, the original design sought to provide DFAT with the flexibility to adjust the </w:t>
      </w:r>
      <w:r w:rsidR="004045C2">
        <w:t xml:space="preserve">funding </w:t>
      </w:r>
      <w:r>
        <w:t xml:space="preserve">provided to each MDB per annum based on individual </w:t>
      </w:r>
      <w:r>
        <w:lastRenderedPageBreak/>
        <w:t>performance, demonstrated capacity to deliver, and the quality if the pipeline of proposals present</w:t>
      </w:r>
      <w:r w:rsidR="00003AB0">
        <w:t>ed</w:t>
      </w:r>
      <w:r>
        <w:t xml:space="preserve"> by each. This ‘contestability’ was considered one of the key features of the strategic approach for the establishment of the MDB-IAP.</w:t>
      </w:r>
    </w:p>
    <w:p w14:paraId="51F44508" w14:textId="77777777" w:rsidR="001E5611" w:rsidRDefault="00FD6F8A" w:rsidP="006A238A">
      <w:r>
        <w:t>In relation to structural arrangements, the INIS trust fund was established in a way that the formal arrangement reflected the currently agreed level of funding. Each time a new payment was agreed to be made by DFAT a corresponding amendment was made to this arrangement.</w:t>
      </w:r>
      <w:r w:rsidR="001E5611">
        <w:t xml:space="preserve"> For example, the overall amount </w:t>
      </w:r>
      <w:r w:rsidR="004564A0">
        <w:t>of AUD</w:t>
      </w:r>
      <w:r w:rsidR="009166BE">
        <w:t>21</w:t>
      </w:r>
      <w:r w:rsidR="003F1D37">
        <w:t xml:space="preserve"> </w:t>
      </w:r>
      <w:r w:rsidR="004564A0">
        <w:t xml:space="preserve">million was </w:t>
      </w:r>
      <w:r w:rsidR="001E5611">
        <w:t xml:space="preserve">increased </w:t>
      </w:r>
      <w:r w:rsidR="004564A0">
        <w:t>to AUD3</w:t>
      </w:r>
      <w:r w:rsidR="009166BE">
        <w:t>0</w:t>
      </w:r>
      <w:r w:rsidR="003F1D37">
        <w:t xml:space="preserve"> </w:t>
      </w:r>
      <w:r w:rsidR="004564A0">
        <w:t xml:space="preserve">million </w:t>
      </w:r>
      <w:r w:rsidR="001E5611">
        <w:t xml:space="preserve">in </w:t>
      </w:r>
      <w:r w:rsidR="009166BE">
        <w:t>June 2015</w:t>
      </w:r>
      <w:r w:rsidR="001E5611">
        <w:t xml:space="preserve">, with a subsequent payment </w:t>
      </w:r>
      <w:r w:rsidR="004564A0">
        <w:t>of AUD</w:t>
      </w:r>
      <w:r w:rsidR="009166BE">
        <w:t>9</w:t>
      </w:r>
      <w:r w:rsidR="003F1D37">
        <w:t xml:space="preserve"> </w:t>
      </w:r>
      <w:r w:rsidR="004564A0">
        <w:t xml:space="preserve">million </w:t>
      </w:r>
      <w:r w:rsidR="001E5611">
        <w:t xml:space="preserve">following soon thereafter. Unlike INIS, the </w:t>
      </w:r>
      <w:r w:rsidR="004564A0">
        <w:t xml:space="preserve">original agreement with ADB anticipated that a </w:t>
      </w:r>
      <w:r w:rsidR="001E5611">
        <w:t>total amount of AUD20</w:t>
      </w:r>
      <w:r w:rsidR="003F1D37">
        <w:t xml:space="preserve"> </w:t>
      </w:r>
      <w:r w:rsidR="001E5611">
        <w:t xml:space="preserve">million was </w:t>
      </w:r>
      <w:r w:rsidR="004564A0">
        <w:t>to be paid into the SIAP trust fund</w:t>
      </w:r>
      <w:r w:rsidR="00003AB0">
        <w:t xml:space="preserve"> between 2013 and 2017</w:t>
      </w:r>
      <w:r w:rsidR="001E5611">
        <w:t>, with an expectation that an annual payment of AUD5</w:t>
      </w:r>
      <w:r w:rsidR="003F1D37">
        <w:t xml:space="preserve"> </w:t>
      </w:r>
      <w:r w:rsidR="001E5611">
        <w:t xml:space="preserve">million would be made. </w:t>
      </w:r>
    </w:p>
    <w:p w14:paraId="23091DE6" w14:textId="2B286C20" w:rsidR="00FD6F8A" w:rsidRDefault="00FD6F8A" w:rsidP="004564A0">
      <w:r>
        <w:t xml:space="preserve">Noting the anticipated annual tranche payment to be paid into the SIAP trust fund, when DFAT assessed in </w:t>
      </w:r>
      <w:r w:rsidR="009166BE">
        <w:t xml:space="preserve">April </w:t>
      </w:r>
      <w:r>
        <w:t xml:space="preserve">2016 that disbursements were slower than expected and the scheduled funding should be delayed, an Exchange of Letters was required to amend the original arrangement. When the assessment was made on the </w:t>
      </w:r>
      <w:r w:rsidR="00525616">
        <w:t xml:space="preserve">ADB </w:t>
      </w:r>
      <w:r>
        <w:t>expenditure profile and current pipeline of projects, a similar assessment was made that the INIS trust fund was in a stronger position to absorb the available additional funds.</w:t>
      </w:r>
      <w:r w:rsidR="00003AB0">
        <w:t xml:space="preserve"> While an amendment was required to each trust fund arrangement, having the overall amount aligned with currently agreed and funded levels of payment minimise </w:t>
      </w:r>
      <w:r w:rsidR="004E3A68">
        <w:t>expectation management issues and potential damage to relationships, while continuing to allow for flexibility in future payments based on performance.</w:t>
      </w:r>
    </w:p>
    <w:p w14:paraId="2FCCB9CD" w14:textId="0F5D7868" w:rsidR="004564A0" w:rsidRPr="00AF182C" w:rsidRDefault="009166BE" w:rsidP="00D02DBA">
      <w:r>
        <w:t xml:space="preserve">In relation to the internal adjustment of allocated funding, </w:t>
      </w:r>
      <w:r w:rsidR="004564A0">
        <w:t>each trust fund</w:t>
      </w:r>
      <w:r w:rsidR="006E78B9">
        <w:t xml:space="preserve"> has</w:t>
      </w:r>
      <w:r w:rsidR="004564A0">
        <w:t xml:space="preserve"> </w:t>
      </w:r>
      <w:r w:rsidR="00AF182C">
        <w:t xml:space="preserve">examples </w:t>
      </w:r>
      <w:r w:rsidR="004564A0">
        <w:t>where reallocation of funding from one slow or poor performing project to other existing or new activities has occurred.</w:t>
      </w:r>
      <w:r w:rsidR="00D02DBA">
        <w:t xml:space="preserve"> For example, in</w:t>
      </w:r>
      <w:r w:rsidR="00AF182C">
        <w:t xml:space="preserve"> late</w:t>
      </w:r>
      <w:r w:rsidR="00D02DBA">
        <w:t xml:space="preserve"> 2014 World Bank cancelled the remaining activities under the </w:t>
      </w:r>
      <w:r w:rsidR="00D02DBA" w:rsidRPr="006E78B9">
        <w:rPr>
          <w:i/>
        </w:rPr>
        <w:t>TA Support for Lampung PDAM Water Distribution Improvement</w:t>
      </w:r>
      <w:r w:rsidR="00D02DBA">
        <w:t xml:space="preserve"> technical assistance funded by INIS due to uncertainty associated with the project. Originally this activity was funded for USD224,400 </w:t>
      </w:r>
      <w:r w:rsidR="00AF182C">
        <w:t xml:space="preserve">however only USD40,792 was subsequently spent and remaining funds were returned to the trust fund for reallocation. Similarly, the SIAP-funded </w:t>
      </w:r>
      <w:r w:rsidR="00AF182C">
        <w:rPr>
          <w:i/>
        </w:rPr>
        <w:t xml:space="preserve">Scaling Up Hydropower </w:t>
      </w:r>
      <w:r w:rsidR="00AF182C" w:rsidRPr="00AF182C">
        <w:rPr>
          <w:i/>
        </w:rPr>
        <w:t xml:space="preserve">Development </w:t>
      </w:r>
      <w:r w:rsidR="00AF182C" w:rsidRPr="006E78B9">
        <w:t xml:space="preserve">project was initially approved for USD2 million but was closed </w:t>
      </w:r>
      <w:r w:rsidR="006E78B9">
        <w:t xml:space="preserve">in 2016 </w:t>
      </w:r>
      <w:r w:rsidR="00AF182C" w:rsidRPr="006E78B9">
        <w:t>after expending USD382,263</w:t>
      </w:r>
      <w:r w:rsidR="00AF182C" w:rsidRPr="00AF182C">
        <w:t xml:space="preserve"> (exclu</w:t>
      </w:r>
      <w:r w:rsidR="00AF182C">
        <w:t>d</w:t>
      </w:r>
      <w:r w:rsidR="00AF182C" w:rsidRPr="00AF182C">
        <w:t xml:space="preserve">ing </w:t>
      </w:r>
      <w:r w:rsidR="00AF182C">
        <w:t>AD</w:t>
      </w:r>
      <w:r w:rsidR="00016FEA">
        <w:t>B</w:t>
      </w:r>
      <w:r w:rsidR="00AF182C">
        <w:t xml:space="preserve">’s management fee). This project was initially intended to help prepare hydroelectric power supply schemes but the approach was abandoned after the GoI and PLN choose not to proceed. The remaining financial commitment was released so that it was available for alternative projects. </w:t>
      </w:r>
    </w:p>
    <w:p w14:paraId="5C00BE9E" w14:textId="77777777" w:rsidR="004564A0" w:rsidRDefault="00CA106D" w:rsidP="00D4448B">
      <w:pPr>
        <w:pStyle w:val="Heading3"/>
      </w:pPr>
      <w:r>
        <w:t>Conclusion</w:t>
      </w:r>
    </w:p>
    <w:p w14:paraId="239DA8BD" w14:textId="0C5C7EC5" w:rsidR="002E2FA9" w:rsidRDefault="002E2FA9" w:rsidP="004564A0">
      <w:r>
        <w:t xml:space="preserve">The funding of specific activities under the MDB-IAP </w:t>
      </w:r>
      <w:r w:rsidR="003F1D37">
        <w:t xml:space="preserve">is </w:t>
      </w:r>
      <w:r>
        <w:t xml:space="preserve">consistent with the GoI and MDB investment priorities. The </w:t>
      </w:r>
      <w:r w:rsidR="003F1D37">
        <w:t>provision of</w:t>
      </w:r>
      <w:r>
        <w:t xml:space="preserve"> aid funding to MDBs in this manner is consistent with broader objectives of the Australian aid program </w:t>
      </w:r>
      <w:r w:rsidR="004A2D37">
        <w:t xml:space="preserve">and the Indonesia-specific Aid Investment Plan, </w:t>
      </w:r>
      <w:r>
        <w:t xml:space="preserve">and </w:t>
      </w:r>
      <w:r w:rsidR="002A5E48">
        <w:t xml:space="preserve">is </w:t>
      </w:r>
      <w:r>
        <w:t xml:space="preserve">considered an effective way of delivering Australia aid. However, as there </w:t>
      </w:r>
      <w:r w:rsidR="004A2D37">
        <w:t>wa</w:t>
      </w:r>
      <w:r>
        <w:t xml:space="preserve">s no clear or explicit strategy </w:t>
      </w:r>
      <w:r w:rsidR="004A2D37">
        <w:t xml:space="preserve">prioritising </w:t>
      </w:r>
      <w:r>
        <w:t xml:space="preserve">Australia’s investment in infrastructure within Indonesia the evaluation is unable to assess how aligned actual funding decisions for individual activities </w:t>
      </w:r>
      <w:r w:rsidR="004A2D37">
        <w:t xml:space="preserve">have been </w:t>
      </w:r>
      <w:r>
        <w:t>with Australia’s priorities. This creates a risk that other, more mutually relevant projects to the GoA are not being identified and</w:t>
      </w:r>
      <w:r w:rsidR="004A2D37">
        <w:t>/or</w:t>
      </w:r>
      <w:r>
        <w:t xml:space="preserve"> considered for funding.</w:t>
      </w:r>
    </w:p>
    <w:p w14:paraId="725F1F5E" w14:textId="7267075C" w:rsidR="00C06582" w:rsidRDefault="00C06582" w:rsidP="004564A0">
      <w:r>
        <w:t>The existing standalone governance and administrative arrangements for each trust fund make it difficult to readily compare performance between the two and make decisions associated with tranche allocations as originally anticipated in the design of the MDB-IAP. In the absence of clearly defined base criteria, the level of disbursement rates against approved expenditure has been used a key measure of progress. Noting the two different types of agreement in place under the MDB-IAP, having a trust fund arrangement such as INIS that only reflects currently approved amounts and associated payments minimises expectations</w:t>
      </w:r>
      <w:r w:rsidR="004E3A68">
        <w:t xml:space="preserve"> while still providing for future payments to be determined based on </w:t>
      </w:r>
      <w:r>
        <w:t xml:space="preserve">performance. </w:t>
      </w:r>
    </w:p>
    <w:p w14:paraId="759241F7" w14:textId="587BD13B" w:rsidR="001815D9" w:rsidRDefault="001815D9" w:rsidP="004564A0">
      <w:r>
        <w:t xml:space="preserve">There is also currently no mechanism as part of the MDB-IAP that captures feedback from stakeholders on the effectiveness (or otherwise) of particular funded </w:t>
      </w:r>
      <w:r w:rsidR="00695BD3">
        <w:t>activities</w:t>
      </w:r>
      <w:r>
        <w:t xml:space="preserve">. Developing such a </w:t>
      </w:r>
      <w:r>
        <w:lastRenderedPageBreak/>
        <w:t xml:space="preserve">mechanism will allow broader feedback to be captured and incorporated into future decision making. It will also </w:t>
      </w:r>
      <w:r w:rsidR="00695BD3">
        <w:t xml:space="preserve">help </w:t>
      </w:r>
      <w:r>
        <w:t>ensure that future requests for technical assistance are being directed at the most appropriated and available funding modality, for example through the MDB-IAP or through KIAT.</w:t>
      </w:r>
    </w:p>
    <w:p w14:paraId="464348A4" w14:textId="77777777" w:rsidR="004564A0" w:rsidRDefault="00C06582" w:rsidP="00483750">
      <w:pPr>
        <w:pStyle w:val="Heading3"/>
      </w:pPr>
      <w:r>
        <w:t>Recommendation 4</w:t>
      </w:r>
    </w:p>
    <w:p w14:paraId="2FFB964B" w14:textId="77777777" w:rsidR="00411CE1" w:rsidRDefault="00411CE1" w:rsidP="00411CE1">
      <w:r>
        <w:t xml:space="preserve">A set of selection and evaluation criteria for future Multilateral Development Bank Infrastructure Trust Fund-funded activities should be developed that ensures consideration of key priority areas for the Government of Australia. Consideration should also be given to sustainability criteria where it is known upfront that particular technical assistance is required for the duration of a loan arrangement. </w:t>
      </w:r>
    </w:p>
    <w:p w14:paraId="167CE8EC" w14:textId="77777777" w:rsidR="00483750" w:rsidRDefault="00483750" w:rsidP="00483750">
      <w:pPr>
        <w:pStyle w:val="Heading3"/>
      </w:pPr>
      <w:r>
        <w:t>Recommendation 5</w:t>
      </w:r>
    </w:p>
    <w:p w14:paraId="019FB7EC" w14:textId="7417B5A9" w:rsidR="0090730A" w:rsidRDefault="0090730A" w:rsidP="0090730A">
      <w:r>
        <w:t>A feedback mechanism should be developed to capture Government of Indonesia feedback on Multilateral Development Bank Infrastructure Trust Fund</w:t>
      </w:r>
      <w:r w:rsidDel="00411CE1">
        <w:t xml:space="preserve"> </w:t>
      </w:r>
      <w:r>
        <w:t xml:space="preserve">project selection and delivery to ensure future technical assistance activities are being funded under the most appropriate available modality of assistance. </w:t>
      </w:r>
    </w:p>
    <w:p w14:paraId="363E5C93" w14:textId="77777777" w:rsidR="00695BD3" w:rsidRDefault="00695BD3">
      <w:pPr>
        <w:spacing w:before="0" w:after="200" w:line="276" w:lineRule="auto"/>
      </w:pPr>
      <w:r>
        <w:br w:type="page"/>
      </w:r>
    </w:p>
    <w:p w14:paraId="636B7D30" w14:textId="77777777" w:rsidR="00013903" w:rsidRDefault="00013903" w:rsidP="00D4448B">
      <w:pPr>
        <w:pStyle w:val="Heading1"/>
      </w:pPr>
      <w:bookmarkStart w:id="10" w:name="_Toc500080688"/>
      <w:bookmarkStart w:id="11" w:name="_Toc505838182"/>
      <w:r>
        <w:lastRenderedPageBreak/>
        <w:t>Annex</w:t>
      </w:r>
      <w:bookmarkEnd w:id="10"/>
      <w:r w:rsidR="00D647A2">
        <w:t xml:space="preserve"> 1</w:t>
      </w:r>
      <w:bookmarkEnd w:id="11"/>
    </w:p>
    <w:p w14:paraId="2DAE7F98" w14:textId="77777777" w:rsidR="00E6092A" w:rsidRDefault="00E6092A" w:rsidP="00E6092A">
      <w:pPr>
        <w:pStyle w:val="Heading2"/>
      </w:pPr>
      <w:bookmarkStart w:id="12" w:name="_Toc505838183"/>
      <w:r>
        <w:t>History of INIS</w:t>
      </w:r>
      <w:bookmarkEnd w:id="12"/>
    </w:p>
    <w:p w14:paraId="1A61A5F0" w14:textId="77777777" w:rsidR="00E6092A" w:rsidRDefault="00E6092A" w:rsidP="00E6092A">
      <w:r>
        <w:t xml:space="preserve">The INIS Trust Fund was approved in May 2008 and became effective on 14 October 2008. </w:t>
      </w:r>
      <w:r w:rsidRPr="002C31E3">
        <w:t xml:space="preserve">The objective of INIS </w:t>
      </w:r>
      <w:r>
        <w:t xml:space="preserve">is </w:t>
      </w:r>
      <w:r w:rsidRPr="002C31E3">
        <w:t>to increase the quality and quantity of Indonesia’s infrastructure through strengthening the design of activities to harmoni</w:t>
      </w:r>
      <w:r>
        <w:t>s</w:t>
      </w:r>
      <w:r w:rsidRPr="002C31E3">
        <w:t>e current and planned strategic priorities of the G</w:t>
      </w:r>
      <w:r>
        <w:t>oI</w:t>
      </w:r>
      <w:r w:rsidRPr="002C31E3">
        <w:t xml:space="preserve">, and to support initiatives by the </w:t>
      </w:r>
      <w:r w:rsidR="001648E2">
        <w:t>World Bank</w:t>
      </w:r>
      <w:r>
        <w:t xml:space="preserve"> </w:t>
      </w:r>
      <w:r w:rsidRPr="002C31E3">
        <w:t xml:space="preserve">and </w:t>
      </w:r>
      <w:r>
        <w:t>the GoA</w:t>
      </w:r>
      <w:r w:rsidRPr="002C31E3">
        <w:t xml:space="preserve"> in regard to Indonesia’s infrastructure development. </w:t>
      </w:r>
      <w:r>
        <w:t xml:space="preserve">Activities funded and executed through INIS are those areas where the </w:t>
      </w:r>
      <w:r w:rsidR="001648E2">
        <w:t>World Bank</w:t>
      </w:r>
      <w:r>
        <w:t xml:space="preserve">, as the executing agency, had an agreed comparative advantage and that the activity is compatible with the </w:t>
      </w:r>
      <w:r w:rsidR="001648E2">
        <w:t>World Bank</w:t>
      </w:r>
      <w:r>
        <w:t xml:space="preserve"> and GoI work program.</w:t>
      </w:r>
    </w:p>
    <w:p w14:paraId="2F27B91D" w14:textId="77777777" w:rsidR="00E6092A" w:rsidRDefault="00E6092A" w:rsidP="00E6092A">
      <w:r w:rsidRPr="002C31E3">
        <w:t xml:space="preserve">The </w:t>
      </w:r>
      <w:r>
        <w:t>initial categories of activities agreed to be funded under INIS were</w:t>
      </w:r>
      <w:r w:rsidRPr="002C31E3">
        <w:t xml:space="preserve">: Cooperation in the road sector, Public-Private Partnership support, Support to the Papua Provincial Government, Slum upgrading and low-income housing, and Rapid response to infrastructure TA requests. </w:t>
      </w:r>
    </w:p>
    <w:p w14:paraId="21F5479B" w14:textId="77777777" w:rsidR="00E6092A" w:rsidRDefault="00E6092A" w:rsidP="00E6092A">
      <w:r>
        <w:t>In May 2012 these agreed funding categories were adjusted to seven ‘windows’</w:t>
      </w:r>
      <w:r w:rsidRPr="002C31E3">
        <w:t xml:space="preserve"> namely: (i) Urban and Metropolitan Area Development, (ii) Water and Sanitation, (iii) Transport, (iv) Energy, (v) Public Private Partnership, (vi) Jakarta</w:t>
      </w:r>
      <w:r>
        <w:t>,</w:t>
      </w:r>
      <w:r w:rsidRPr="002C31E3">
        <w:t xml:space="preserve"> and (vii) Just-in time Delivery. </w:t>
      </w:r>
    </w:p>
    <w:p w14:paraId="59C8D661" w14:textId="77777777" w:rsidR="00E6092A" w:rsidRDefault="00E6092A" w:rsidP="00E6092A">
      <w:r>
        <w:t>These technical windows were further refined in May 2015 to align with the new GoI priorities. The refined</w:t>
      </w:r>
      <w:r w:rsidRPr="002C31E3">
        <w:t xml:space="preserve"> windows </w:t>
      </w:r>
      <w:r>
        <w:t>for INIS funding activities became</w:t>
      </w:r>
      <w:r w:rsidRPr="002C31E3">
        <w:t>: (i) Improving Indonesia’s Connectivity, (ii) Reforming the Energy Sector, (iii) Improving the Delivery of Local Infrastructure Services, and (iv) Developing Financial Solutions.</w:t>
      </w:r>
      <w:r>
        <w:t xml:space="preserve"> These four windows remain current at the time of this evaluation.</w:t>
      </w:r>
    </w:p>
    <w:p w14:paraId="08D5359D" w14:textId="77777777" w:rsidR="00E6092A" w:rsidRDefault="00E6092A" w:rsidP="00E6092A">
      <w:r>
        <w:t xml:space="preserve">The INIS agreement between the GoA and </w:t>
      </w:r>
      <w:r w:rsidR="001648E2">
        <w:t>World Bank</w:t>
      </w:r>
      <w:r>
        <w:t>, including the amount of funding to be provided and completion timeframes, was regularly varied as summarised in the following table. For completeness the table includes the initial AUD10 million paid before MDB-IAP was established as the balance of the initial funding carried over into MDB-IAP activities.</w:t>
      </w:r>
    </w:p>
    <w:tbl>
      <w:tblPr>
        <w:tblStyle w:val="TableGrid"/>
        <w:tblW w:w="0" w:type="auto"/>
        <w:tblLook w:val="04A0" w:firstRow="1" w:lastRow="0" w:firstColumn="1" w:lastColumn="0" w:noHBand="0" w:noVBand="1"/>
      </w:tblPr>
      <w:tblGrid>
        <w:gridCol w:w="1337"/>
        <w:gridCol w:w="1351"/>
        <w:gridCol w:w="1418"/>
        <w:gridCol w:w="1701"/>
        <w:gridCol w:w="3202"/>
      </w:tblGrid>
      <w:tr w:rsidR="00E6092A" w:rsidRPr="000B3BD2" w14:paraId="12697DBA" w14:textId="77777777" w:rsidTr="001852E9">
        <w:tc>
          <w:tcPr>
            <w:tcW w:w="0" w:type="auto"/>
            <w:shd w:val="clear" w:color="auto" w:fill="D9D9D9" w:themeFill="background1" w:themeFillShade="D9"/>
          </w:tcPr>
          <w:p w14:paraId="76766A80"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Date of approval by GoA</w:t>
            </w:r>
          </w:p>
        </w:tc>
        <w:tc>
          <w:tcPr>
            <w:tcW w:w="1351" w:type="dxa"/>
            <w:shd w:val="clear" w:color="auto" w:fill="D9D9D9" w:themeFill="background1" w:themeFillShade="D9"/>
          </w:tcPr>
          <w:p w14:paraId="37E09F9F"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Agreed amount of funding (AUD)</w:t>
            </w:r>
          </w:p>
        </w:tc>
        <w:tc>
          <w:tcPr>
            <w:tcW w:w="1418" w:type="dxa"/>
            <w:shd w:val="clear" w:color="auto" w:fill="D9D9D9" w:themeFill="background1" w:themeFillShade="D9"/>
          </w:tcPr>
          <w:p w14:paraId="3F5858A0"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Cumulative amount of GoA funding (AUD)</w:t>
            </w:r>
          </w:p>
        </w:tc>
        <w:tc>
          <w:tcPr>
            <w:tcW w:w="1701" w:type="dxa"/>
            <w:shd w:val="clear" w:color="auto" w:fill="D9D9D9" w:themeFill="background1" w:themeFillShade="D9"/>
          </w:tcPr>
          <w:p w14:paraId="3B4CBF01"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Completion date of the Trust Fund</w:t>
            </w:r>
          </w:p>
        </w:tc>
        <w:tc>
          <w:tcPr>
            <w:tcW w:w="3202" w:type="dxa"/>
            <w:shd w:val="clear" w:color="auto" w:fill="D9D9D9" w:themeFill="background1" w:themeFillShade="D9"/>
          </w:tcPr>
          <w:p w14:paraId="0A484AC7"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Comment</w:t>
            </w:r>
          </w:p>
        </w:tc>
      </w:tr>
      <w:tr w:rsidR="00E6092A" w:rsidRPr="000B3BD2" w14:paraId="671FC838" w14:textId="77777777" w:rsidTr="001852E9">
        <w:tc>
          <w:tcPr>
            <w:tcW w:w="0" w:type="auto"/>
          </w:tcPr>
          <w:p w14:paraId="7408FC58"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27 May 2008</w:t>
            </w:r>
          </w:p>
        </w:tc>
        <w:tc>
          <w:tcPr>
            <w:tcW w:w="1351" w:type="dxa"/>
          </w:tcPr>
          <w:p w14:paraId="17C5A984"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418" w:type="dxa"/>
          </w:tcPr>
          <w:p w14:paraId="1504F603"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701" w:type="dxa"/>
          </w:tcPr>
          <w:p w14:paraId="7A5E8862"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 June 2010</w:t>
            </w:r>
          </w:p>
        </w:tc>
        <w:tc>
          <w:tcPr>
            <w:tcW w:w="3202" w:type="dxa"/>
          </w:tcPr>
          <w:p w14:paraId="17A319C1" w14:textId="77777777" w:rsidR="00E6092A" w:rsidRPr="000B3BD2" w:rsidRDefault="00E6092A" w:rsidP="001852E9">
            <w:pPr>
              <w:spacing w:before="20" w:after="20" w:line="240" w:lineRule="auto"/>
              <w:rPr>
                <w:rFonts w:ascii="Arial Narrow" w:hAnsi="Arial Narrow"/>
                <w:sz w:val="20"/>
                <w:szCs w:val="20"/>
              </w:rPr>
            </w:pPr>
          </w:p>
        </w:tc>
      </w:tr>
      <w:tr w:rsidR="00E6092A" w:rsidRPr="000B3BD2" w14:paraId="1E58E355" w14:textId="77777777" w:rsidTr="001852E9">
        <w:tc>
          <w:tcPr>
            <w:tcW w:w="0" w:type="auto"/>
          </w:tcPr>
          <w:p w14:paraId="4950F4A5"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14 May 2010</w:t>
            </w:r>
          </w:p>
        </w:tc>
        <w:tc>
          <w:tcPr>
            <w:tcW w:w="1351" w:type="dxa"/>
          </w:tcPr>
          <w:p w14:paraId="41C631C9"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w:t>
            </w:r>
          </w:p>
        </w:tc>
        <w:tc>
          <w:tcPr>
            <w:tcW w:w="1418" w:type="dxa"/>
          </w:tcPr>
          <w:p w14:paraId="6B70CFA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701" w:type="dxa"/>
          </w:tcPr>
          <w:p w14:paraId="61DBE9A6"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 June 2011</w:t>
            </w:r>
          </w:p>
        </w:tc>
        <w:tc>
          <w:tcPr>
            <w:tcW w:w="3202" w:type="dxa"/>
          </w:tcPr>
          <w:p w14:paraId="4C9F825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Time extension only</w:t>
            </w:r>
          </w:p>
        </w:tc>
      </w:tr>
      <w:tr w:rsidR="00E6092A" w:rsidRPr="000B3BD2" w14:paraId="1FA6E04D" w14:textId="77777777" w:rsidTr="001852E9">
        <w:tc>
          <w:tcPr>
            <w:tcW w:w="0" w:type="auto"/>
          </w:tcPr>
          <w:p w14:paraId="5315FA89"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9 June 2011</w:t>
            </w:r>
          </w:p>
        </w:tc>
        <w:tc>
          <w:tcPr>
            <w:tcW w:w="1351" w:type="dxa"/>
          </w:tcPr>
          <w:p w14:paraId="0D393EA0"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w:t>
            </w:r>
          </w:p>
        </w:tc>
        <w:tc>
          <w:tcPr>
            <w:tcW w:w="1418" w:type="dxa"/>
          </w:tcPr>
          <w:p w14:paraId="68244655"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701" w:type="dxa"/>
          </w:tcPr>
          <w:p w14:paraId="52AB0C49"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 June 2012</w:t>
            </w:r>
          </w:p>
        </w:tc>
        <w:tc>
          <w:tcPr>
            <w:tcW w:w="3202" w:type="dxa"/>
          </w:tcPr>
          <w:p w14:paraId="07032B75"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Time extension only</w:t>
            </w:r>
          </w:p>
        </w:tc>
      </w:tr>
      <w:tr w:rsidR="00E6092A" w:rsidRPr="000B3BD2" w14:paraId="40386577" w14:textId="77777777" w:rsidTr="001852E9">
        <w:tc>
          <w:tcPr>
            <w:tcW w:w="0" w:type="auto"/>
          </w:tcPr>
          <w:p w14:paraId="5FF7B7A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23 May 2012</w:t>
            </w:r>
          </w:p>
        </w:tc>
        <w:tc>
          <w:tcPr>
            <w:tcW w:w="1351" w:type="dxa"/>
          </w:tcPr>
          <w:p w14:paraId="3D4E2930"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418" w:type="dxa"/>
          </w:tcPr>
          <w:p w14:paraId="7A8ED8E5"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10,000,000</w:t>
            </w:r>
          </w:p>
        </w:tc>
        <w:tc>
          <w:tcPr>
            <w:tcW w:w="1701" w:type="dxa"/>
          </w:tcPr>
          <w:p w14:paraId="5523CDD0"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31 December 2015</w:t>
            </w:r>
          </w:p>
        </w:tc>
        <w:tc>
          <w:tcPr>
            <w:tcW w:w="3202" w:type="dxa"/>
          </w:tcPr>
          <w:p w14:paraId="599B91E2"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Revised activities, funding increase and time extension</w:t>
            </w:r>
          </w:p>
        </w:tc>
      </w:tr>
      <w:tr w:rsidR="00E6092A" w:rsidRPr="000B3BD2" w14:paraId="0C655EC2" w14:textId="77777777" w:rsidTr="001852E9">
        <w:tc>
          <w:tcPr>
            <w:tcW w:w="0" w:type="auto"/>
          </w:tcPr>
          <w:p w14:paraId="4E996251"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 June 2013</w:t>
            </w:r>
          </w:p>
        </w:tc>
        <w:tc>
          <w:tcPr>
            <w:tcW w:w="1351" w:type="dxa"/>
          </w:tcPr>
          <w:p w14:paraId="6D5DA054"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418" w:type="dxa"/>
          </w:tcPr>
          <w:p w14:paraId="3BDCADB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15,000,000</w:t>
            </w:r>
          </w:p>
        </w:tc>
        <w:tc>
          <w:tcPr>
            <w:tcW w:w="1701" w:type="dxa"/>
          </w:tcPr>
          <w:p w14:paraId="1C01921D"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31 December 2015</w:t>
            </w:r>
          </w:p>
        </w:tc>
        <w:tc>
          <w:tcPr>
            <w:tcW w:w="3202" w:type="dxa"/>
          </w:tcPr>
          <w:p w14:paraId="034F1856"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Funding increase</w:t>
            </w:r>
          </w:p>
        </w:tc>
      </w:tr>
      <w:tr w:rsidR="00E6092A" w:rsidRPr="000B3BD2" w14:paraId="45F26536" w14:textId="77777777" w:rsidTr="001852E9">
        <w:tc>
          <w:tcPr>
            <w:tcW w:w="0" w:type="auto"/>
          </w:tcPr>
          <w:p w14:paraId="27F0DED8"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 June 2014</w:t>
            </w:r>
          </w:p>
        </w:tc>
        <w:tc>
          <w:tcPr>
            <w:tcW w:w="1351" w:type="dxa"/>
          </w:tcPr>
          <w:p w14:paraId="5EA1CEF0"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6,000,000</w:t>
            </w:r>
          </w:p>
        </w:tc>
        <w:tc>
          <w:tcPr>
            <w:tcW w:w="1418" w:type="dxa"/>
          </w:tcPr>
          <w:p w14:paraId="008CACE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21,000,000</w:t>
            </w:r>
          </w:p>
        </w:tc>
        <w:tc>
          <w:tcPr>
            <w:tcW w:w="1701" w:type="dxa"/>
          </w:tcPr>
          <w:p w14:paraId="2FD22F07"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31 December 2015</w:t>
            </w:r>
          </w:p>
        </w:tc>
        <w:tc>
          <w:tcPr>
            <w:tcW w:w="3202" w:type="dxa"/>
          </w:tcPr>
          <w:p w14:paraId="2D62E4DB"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Funding increase</w:t>
            </w:r>
          </w:p>
        </w:tc>
      </w:tr>
      <w:tr w:rsidR="00E6092A" w:rsidRPr="000B3BD2" w14:paraId="7A7E6EE8" w14:textId="77777777" w:rsidTr="001852E9">
        <w:tc>
          <w:tcPr>
            <w:tcW w:w="0" w:type="auto"/>
          </w:tcPr>
          <w:p w14:paraId="7F219AE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11 May 2015</w:t>
            </w:r>
          </w:p>
        </w:tc>
        <w:tc>
          <w:tcPr>
            <w:tcW w:w="1351" w:type="dxa"/>
          </w:tcPr>
          <w:p w14:paraId="47415136"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w:t>
            </w:r>
          </w:p>
        </w:tc>
        <w:tc>
          <w:tcPr>
            <w:tcW w:w="1418" w:type="dxa"/>
          </w:tcPr>
          <w:p w14:paraId="2FD559A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21,000,000</w:t>
            </w:r>
          </w:p>
        </w:tc>
        <w:tc>
          <w:tcPr>
            <w:tcW w:w="1701" w:type="dxa"/>
          </w:tcPr>
          <w:p w14:paraId="26DD8874"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30 June 2018</w:t>
            </w:r>
          </w:p>
        </w:tc>
        <w:tc>
          <w:tcPr>
            <w:tcW w:w="3202" w:type="dxa"/>
          </w:tcPr>
          <w:p w14:paraId="1BC89EBD"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Revised activities and time extension</w:t>
            </w:r>
          </w:p>
        </w:tc>
      </w:tr>
      <w:tr w:rsidR="00E6092A" w:rsidRPr="000B3BD2" w14:paraId="3CD7A4BF" w14:textId="77777777" w:rsidTr="001852E9">
        <w:tc>
          <w:tcPr>
            <w:tcW w:w="0" w:type="auto"/>
          </w:tcPr>
          <w:p w14:paraId="5F71A79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 June 2015</w:t>
            </w:r>
          </w:p>
        </w:tc>
        <w:tc>
          <w:tcPr>
            <w:tcW w:w="1351" w:type="dxa"/>
          </w:tcPr>
          <w:p w14:paraId="26379963"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9,000,000</w:t>
            </w:r>
          </w:p>
        </w:tc>
        <w:tc>
          <w:tcPr>
            <w:tcW w:w="1418" w:type="dxa"/>
          </w:tcPr>
          <w:p w14:paraId="3E0427A8"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30,000,000</w:t>
            </w:r>
          </w:p>
        </w:tc>
        <w:tc>
          <w:tcPr>
            <w:tcW w:w="1701" w:type="dxa"/>
          </w:tcPr>
          <w:p w14:paraId="407236D1"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30 June 2018</w:t>
            </w:r>
          </w:p>
        </w:tc>
        <w:tc>
          <w:tcPr>
            <w:tcW w:w="3202" w:type="dxa"/>
          </w:tcPr>
          <w:p w14:paraId="78ADC125"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Funding increase</w:t>
            </w:r>
          </w:p>
        </w:tc>
      </w:tr>
      <w:tr w:rsidR="00E6092A" w:rsidRPr="000B3BD2" w14:paraId="261740A1" w14:textId="77777777" w:rsidTr="001852E9">
        <w:tc>
          <w:tcPr>
            <w:tcW w:w="0" w:type="auto"/>
          </w:tcPr>
          <w:p w14:paraId="37D81A6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 May 2016</w:t>
            </w:r>
          </w:p>
        </w:tc>
        <w:tc>
          <w:tcPr>
            <w:tcW w:w="1351" w:type="dxa"/>
          </w:tcPr>
          <w:p w14:paraId="787A24FA"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418" w:type="dxa"/>
          </w:tcPr>
          <w:p w14:paraId="00E98E2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35,000,000</w:t>
            </w:r>
          </w:p>
        </w:tc>
        <w:tc>
          <w:tcPr>
            <w:tcW w:w="1701" w:type="dxa"/>
          </w:tcPr>
          <w:p w14:paraId="1AFFF17F"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30 June 2018</w:t>
            </w:r>
          </w:p>
        </w:tc>
        <w:tc>
          <w:tcPr>
            <w:tcW w:w="3202" w:type="dxa"/>
          </w:tcPr>
          <w:p w14:paraId="67E061DD"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Funding increase and revised terms</w:t>
            </w:r>
          </w:p>
        </w:tc>
      </w:tr>
      <w:tr w:rsidR="00E6092A" w:rsidRPr="000B3BD2" w14:paraId="4A08717A" w14:textId="77777777" w:rsidTr="001852E9">
        <w:tc>
          <w:tcPr>
            <w:tcW w:w="0" w:type="auto"/>
          </w:tcPr>
          <w:p w14:paraId="65171A7B"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29 May 2017</w:t>
            </w:r>
          </w:p>
        </w:tc>
        <w:tc>
          <w:tcPr>
            <w:tcW w:w="1351" w:type="dxa"/>
          </w:tcPr>
          <w:p w14:paraId="425FD127"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5,000,000</w:t>
            </w:r>
          </w:p>
        </w:tc>
        <w:tc>
          <w:tcPr>
            <w:tcW w:w="1418" w:type="dxa"/>
          </w:tcPr>
          <w:p w14:paraId="70E7914B"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40,000,000</w:t>
            </w:r>
          </w:p>
        </w:tc>
        <w:tc>
          <w:tcPr>
            <w:tcW w:w="1701" w:type="dxa"/>
          </w:tcPr>
          <w:p w14:paraId="7EBDD910"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31 December 2019</w:t>
            </w:r>
          </w:p>
        </w:tc>
        <w:tc>
          <w:tcPr>
            <w:tcW w:w="3202" w:type="dxa"/>
          </w:tcPr>
          <w:p w14:paraId="543D2D87"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Funding increase and time extension</w:t>
            </w:r>
          </w:p>
        </w:tc>
      </w:tr>
    </w:tbl>
    <w:p w14:paraId="40F64291" w14:textId="77777777" w:rsidR="00E6092A" w:rsidRPr="00E6092A" w:rsidRDefault="00E6092A" w:rsidP="00E6092A"/>
    <w:p w14:paraId="42648812" w14:textId="77777777" w:rsidR="00E6092A" w:rsidRDefault="00E6092A" w:rsidP="00E6092A">
      <w:pPr>
        <w:pStyle w:val="Heading2"/>
      </w:pPr>
      <w:bookmarkStart w:id="13" w:name="_Toc505838184"/>
      <w:r>
        <w:t>History of SIAP</w:t>
      </w:r>
      <w:bookmarkEnd w:id="13"/>
    </w:p>
    <w:p w14:paraId="25C4FAC0" w14:textId="77777777" w:rsidR="00E6092A" w:rsidRDefault="00E6092A" w:rsidP="00E6092A">
      <w:r>
        <w:t>Unlike the INIS agreement, the initial agreement between the GoA and the ADB, signed in June 2013, provided for an untied grant contribution of AUD20 million to the ADB to support the Government of Indonesia Technical Assistance Cluster: Sustainable Infrastructure Assistance Program</w:t>
      </w:r>
      <w:r w:rsidR="00EC52F8">
        <w:t xml:space="preserve"> (SIAP)</w:t>
      </w:r>
      <w:r>
        <w:t xml:space="preserve">. The agreement stated that the initial payment was to be up to AUD5 million, and outlined that the balance of the grant would be paid in indicative instalments of up to AUD5 million to be paid on or before 30 June the subsequent three years. </w:t>
      </w:r>
    </w:p>
    <w:p w14:paraId="10D453EC" w14:textId="77777777" w:rsidR="00E6092A" w:rsidRPr="007B7DAB" w:rsidRDefault="00E6092A" w:rsidP="00E6092A">
      <w:r>
        <w:lastRenderedPageBreak/>
        <w:t>The activities to be financed under the agreement were expected to be implemented from July 2013 to June 2017 and administered in accordance with applicable ADB policies and procedures. A steering committee was to be established to provide overall guidance in programming and critical project-related activities of the SIAP. Specific variations to the agreement are shown in the following table.</w:t>
      </w:r>
    </w:p>
    <w:tbl>
      <w:tblPr>
        <w:tblStyle w:val="TableGrid"/>
        <w:tblW w:w="0" w:type="auto"/>
        <w:tblLook w:val="04A0" w:firstRow="1" w:lastRow="0" w:firstColumn="1" w:lastColumn="0" w:noHBand="0" w:noVBand="1"/>
      </w:tblPr>
      <w:tblGrid>
        <w:gridCol w:w="1555"/>
        <w:gridCol w:w="1417"/>
        <w:gridCol w:w="1418"/>
        <w:gridCol w:w="1417"/>
        <w:gridCol w:w="3202"/>
      </w:tblGrid>
      <w:tr w:rsidR="00E6092A" w:rsidRPr="000B3BD2" w14:paraId="63A90B1F" w14:textId="77777777" w:rsidTr="001852E9">
        <w:tc>
          <w:tcPr>
            <w:tcW w:w="1555" w:type="dxa"/>
            <w:shd w:val="clear" w:color="auto" w:fill="D9D9D9" w:themeFill="background1" w:themeFillShade="D9"/>
          </w:tcPr>
          <w:p w14:paraId="3CA432BE"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Date of approval by GoA</w:t>
            </w:r>
          </w:p>
        </w:tc>
        <w:tc>
          <w:tcPr>
            <w:tcW w:w="1417" w:type="dxa"/>
            <w:shd w:val="clear" w:color="auto" w:fill="D9D9D9" w:themeFill="background1" w:themeFillShade="D9"/>
          </w:tcPr>
          <w:p w14:paraId="023B6ABC"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Agreed amount of funding (AUD)</w:t>
            </w:r>
          </w:p>
        </w:tc>
        <w:tc>
          <w:tcPr>
            <w:tcW w:w="1418" w:type="dxa"/>
            <w:shd w:val="clear" w:color="auto" w:fill="D9D9D9" w:themeFill="background1" w:themeFillShade="D9"/>
          </w:tcPr>
          <w:p w14:paraId="3C7A5B41"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Cumulative amount of GoA funding (AUD)</w:t>
            </w:r>
          </w:p>
        </w:tc>
        <w:tc>
          <w:tcPr>
            <w:tcW w:w="1417" w:type="dxa"/>
            <w:shd w:val="clear" w:color="auto" w:fill="D9D9D9" w:themeFill="background1" w:themeFillShade="D9"/>
          </w:tcPr>
          <w:p w14:paraId="3D0BA5DB"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Completion date of the Trust Fund</w:t>
            </w:r>
          </w:p>
        </w:tc>
        <w:tc>
          <w:tcPr>
            <w:tcW w:w="3202" w:type="dxa"/>
            <w:shd w:val="clear" w:color="auto" w:fill="D9D9D9" w:themeFill="background1" w:themeFillShade="D9"/>
          </w:tcPr>
          <w:p w14:paraId="02E699DB" w14:textId="77777777" w:rsidR="00E6092A" w:rsidRPr="000B3BD2" w:rsidRDefault="00E6092A" w:rsidP="001852E9">
            <w:pPr>
              <w:spacing w:before="20" w:after="20" w:line="240" w:lineRule="auto"/>
              <w:rPr>
                <w:rFonts w:ascii="Arial Narrow" w:hAnsi="Arial Narrow"/>
                <w:b/>
                <w:sz w:val="20"/>
                <w:szCs w:val="20"/>
              </w:rPr>
            </w:pPr>
            <w:r w:rsidRPr="000B3BD2">
              <w:rPr>
                <w:rFonts w:ascii="Arial Narrow" w:hAnsi="Arial Narrow"/>
                <w:b/>
                <w:sz w:val="20"/>
                <w:szCs w:val="20"/>
              </w:rPr>
              <w:t>Comment</w:t>
            </w:r>
          </w:p>
        </w:tc>
      </w:tr>
      <w:tr w:rsidR="00E6092A" w:rsidRPr="000B3BD2" w14:paraId="44EBCAAB" w14:textId="77777777" w:rsidTr="001852E9">
        <w:tc>
          <w:tcPr>
            <w:tcW w:w="1555" w:type="dxa"/>
          </w:tcPr>
          <w:p w14:paraId="671C96AD"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11 June 2013</w:t>
            </w:r>
          </w:p>
        </w:tc>
        <w:tc>
          <w:tcPr>
            <w:tcW w:w="1417" w:type="dxa"/>
          </w:tcPr>
          <w:p w14:paraId="4ECD69B3"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20,</w:t>
            </w:r>
            <w:r w:rsidRPr="000B3BD2">
              <w:rPr>
                <w:rFonts w:ascii="Arial Narrow" w:hAnsi="Arial Narrow"/>
                <w:sz w:val="20"/>
                <w:szCs w:val="20"/>
              </w:rPr>
              <w:t>000,000</w:t>
            </w:r>
          </w:p>
        </w:tc>
        <w:tc>
          <w:tcPr>
            <w:tcW w:w="1418" w:type="dxa"/>
          </w:tcPr>
          <w:p w14:paraId="395CE5B9"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20,000,000</w:t>
            </w:r>
          </w:p>
        </w:tc>
        <w:tc>
          <w:tcPr>
            <w:tcW w:w="1417" w:type="dxa"/>
          </w:tcPr>
          <w:p w14:paraId="3BE5C10D"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30</w:t>
            </w:r>
            <w:r w:rsidRPr="000B3BD2">
              <w:rPr>
                <w:rFonts w:ascii="Arial Narrow" w:hAnsi="Arial Narrow"/>
                <w:sz w:val="20"/>
                <w:szCs w:val="20"/>
              </w:rPr>
              <w:t xml:space="preserve"> June 201</w:t>
            </w:r>
            <w:r>
              <w:rPr>
                <w:rFonts w:ascii="Arial Narrow" w:hAnsi="Arial Narrow"/>
                <w:sz w:val="20"/>
                <w:szCs w:val="20"/>
              </w:rPr>
              <w:t>7</w:t>
            </w:r>
          </w:p>
        </w:tc>
        <w:tc>
          <w:tcPr>
            <w:tcW w:w="3202" w:type="dxa"/>
          </w:tcPr>
          <w:p w14:paraId="782BD733"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Annual tranches of AUD5,000,000 to be paid on or before 30 June of each financial year</w:t>
            </w:r>
          </w:p>
        </w:tc>
      </w:tr>
      <w:tr w:rsidR="00E6092A" w:rsidRPr="000B3BD2" w14:paraId="0D094AB6" w14:textId="77777777" w:rsidTr="001852E9">
        <w:tc>
          <w:tcPr>
            <w:tcW w:w="1555" w:type="dxa"/>
          </w:tcPr>
          <w:p w14:paraId="24CAE7CD"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12 January 2015</w:t>
            </w:r>
          </w:p>
        </w:tc>
        <w:tc>
          <w:tcPr>
            <w:tcW w:w="1417" w:type="dxa"/>
          </w:tcPr>
          <w:p w14:paraId="172B699C"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w:t>
            </w:r>
          </w:p>
        </w:tc>
        <w:tc>
          <w:tcPr>
            <w:tcW w:w="1418" w:type="dxa"/>
          </w:tcPr>
          <w:p w14:paraId="777F39BE"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20,000,000</w:t>
            </w:r>
          </w:p>
        </w:tc>
        <w:tc>
          <w:tcPr>
            <w:tcW w:w="1417" w:type="dxa"/>
          </w:tcPr>
          <w:p w14:paraId="66D73771"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30 June 2019</w:t>
            </w:r>
          </w:p>
        </w:tc>
        <w:tc>
          <w:tcPr>
            <w:tcW w:w="3202" w:type="dxa"/>
          </w:tcPr>
          <w:p w14:paraId="6976C8FC"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Time extension only</w:t>
            </w:r>
          </w:p>
        </w:tc>
      </w:tr>
      <w:tr w:rsidR="00E6092A" w:rsidRPr="000B3BD2" w14:paraId="0D4B89F5" w14:textId="77777777" w:rsidTr="001852E9">
        <w:tc>
          <w:tcPr>
            <w:tcW w:w="1555" w:type="dxa"/>
          </w:tcPr>
          <w:p w14:paraId="3883CF75"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3 May 2016</w:t>
            </w:r>
          </w:p>
        </w:tc>
        <w:tc>
          <w:tcPr>
            <w:tcW w:w="1417" w:type="dxa"/>
          </w:tcPr>
          <w:p w14:paraId="33BA7CD8"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w:t>
            </w:r>
          </w:p>
        </w:tc>
        <w:tc>
          <w:tcPr>
            <w:tcW w:w="1418" w:type="dxa"/>
          </w:tcPr>
          <w:p w14:paraId="14542CEF"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20,000,000</w:t>
            </w:r>
          </w:p>
        </w:tc>
        <w:tc>
          <w:tcPr>
            <w:tcW w:w="1417" w:type="dxa"/>
          </w:tcPr>
          <w:p w14:paraId="7C4C84B8"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30 June 2019</w:t>
            </w:r>
          </w:p>
        </w:tc>
        <w:tc>
          <w:tcPr>
            <w:tcW w:w="3202" w:type="dxa"/>
          </w:tcPr>
          <w:p w14:paraId="1E8C7404"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Adjustment of funding sources, and timing and amount of tranche payments</w:t>
            </w:r>
          </w:p>
        </w:tc>
      </w:tr>
      <w:tr w:rsidR="00E6092A" w:rsidRPr="000B3BD2" w14:paraId="2CAB2314" w14:textId="77777777" w:rsidTr="001852E9">
        <w:tc>
          <w:tcPr>
            <w:tcW w:w="1555" w:type="dxa"/>
          </w:tcPr>
          <w:p w14:paraId="25F840F1"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7 July 2017</w:t>
            </w:r>
          </w:p>
        </w:tc>
        <w:tc>
          <w:tcPr>
            <w:tcW w:w="1417" w:type="dxa"/>
          </w:tcPr>
          <w:p w14:paraId="3FE01539"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w:t>
            </w:r>
          </w:p>
        </w:tc>
        <w:tc>
          <w:tcPr>
            <w:tcW w:w="1418" w:type="dxa"/>
          </w:tcPr>
          <w:p w14:paraId="129B03FA"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20,000,000</w:t>
            </w:r>
          </w:p>
        </w:tc>
        <w:tc>
          <w:tcPr>
            <w:tcW w:w="1417" w:type="dxa"/>
          </w:tcPr>
          <w:p w14:paraId="5FF4403F" w14:textId="77777777" w:rsidR="00E6092A" w:rsidRPr="000B3BD2" w:rsidRDefault="00E6092A" w:rsidP="001852E9">
            <w:pPr>
              <w:spacing w:before="20" w:after="20" w:line="240" w:lineRule="auto"/>
              <w:rPr>
                <w:rFonts w:ascii="Arial Narrow" w:hAnsi="Arial Narrow"/>
                <w:sz w:val="20"/>
                <w:szCs w:val="20"/>
              </w:rPr>
            </w:pPr>
            <w:r>
              <w:rPr>
                <w:rFonts w:ascii="Arial Narrow" w:hAnsi="Arial Narrow"/>
                <w:sz w:val="20"/>
                <w:szCs w:val="20"/>
              </w:rPr>
              <w:t>30 June 2019</w:t>
            </w:r>
          </w:p>
        </w:tc>
        <w:tc>
          <w:tcPr>
            <w:tcW w:w="3202" w:type="dxa"/>
          </w:tcPr>
          <w:p w14:paraId="38519418" w14:textId="77777777" w:rsidR="00E6092A" w:rsidRPr="000B3BD2" w:rsidRDefault="00E6092A" w:rsidP="001852E9">
            <w:pPr>
              <w:spacing w:before="20" w:after="20" w:line="240" w:lineRule="auto"/>
              <w:rPr>
                <w:rFonts w:ascii="Arial Narrow" w:hAnsi="Arial Narrow"/>
                <w:sz w:val="20"/>
                <w:szCs w:val="20"/>
              </w:rPr>
            </w:pPr>
            <w:r w:rsidRPr="000B3BD2">
              <w:rPr>
                <w:rFonts w:ascii="Arial Narrow" w:hAnsi="Arial Narrow"/>
                <w:sz w:val="20"/>
                <w:szCs w:val="20"/>
              </w:rPr>
              <w:t xml:space="preserve">Revised </w:t>
            </w:r>
            <w:r>
              <w:rPr>
                <w:rFonts w:ascii="Arial Narrow" w:hAnsi="Arial Narrow"/>
                <w:sz w:val="20"/>
                <w:szCs w:val="20"/>
              </w:rPr>
              <w:t>terms of the agreement</w:t>
            </w:r>
          </w:p>
        </w:tc>
      </w:tr>
    </w:tbl>
    <w:p w14:paraId="3C6D7F3F" w14:textId="7B6714B8" w:rsidR="00E6092A" w:rsidRDefault="00E6092A" w:rsidP="00E6092A">
      <w:r>
        <w:t xml:space="preserve">The SIAP was a grant-financed infrastructure development technical assistance program established to focus on the energy, transport, </w:t>
      </w:r>
      <w:r w:rsidRPr="002449C8">
        <w:t>water supply and sanitation</w:t>
      </w:r>
      <w:r>
        <w:t>,</w:t>
      </w:r>
      <w:r w:rsidRPr="002449C8">
        <w:t xml:space="preserve"> </w:t>
      </w:r>
      <w:r>
        <w:t xml:space="preserve">and urban services sectors. The intention was to adopt a programmatic approach and support an umbrella facility to be administered by ADB that would focus on the intersection of the GoI, GoA and ADB strategic priorities related to infrastructure. The umbrella facility provides better coordination on various infrastructure initiatives, and allows a deeper and more sustained ADB-GoA partnership in Indonesia compared to the previous </w:t>
      </w:r>
      <w:r w:rsidR="00EC52F8">
        <w:t>ad</w:t>
      </w:r>
      <w:r>
        <w:t xml:space="preserve">-hoc arrangements for technical assistance funding. </w:t>
      </w:r>
    </w:p>
    <w:p w14:paraId="4FB76A94" w14:textId="77777777" w:rsidR="00E6092A" w:rsidRDefault="00E6092A" w:rsidP="00E6092A">
      <w:r>
        <w:t xml:space="preserve">Similar to the INIS Trust Fund being aligned to the </w:t>
      </w:r>
      <w:r w:rsidR="001648E2">
        <w:t>World Bank</w:t>
      </w:r>
      <w:r>
        <w:t xml:space="preserve"> and GoI’s work program, the SIAP activities are aligned with the ADB’s investment pipeline in Indonesia. Specific activities to be financed through the SIAP support project preparation while also providing targeted analytical support and capacity building in areas that relate directly relate to ADB’s proposed investments. In addition, SIAP supports knowledge management through policy research, distilling lessons learnt and highlighting case studies in areas that relate to ADB’s investments in the infrastructure sector.  </w:t>
      </w:r>
    </w:p>
    <w:p w14:paraId="4A808FAC" w14:textId="77777777" w:rsidR="00E6092A" w:rsidRPr="00E6092A" w:rsidRDefault="00E6092A" w:rsidP="00E6092A"/>
    <w:p w14:paraId="4114A681" w14:textId="77777777" w:rsidR="00D647A2" w:rsidRDefault="00D647A2">
      <w:pPr>
        <w:spacing w:before="0" w:after="200" w:line="276" w:lineRule="auto"/>
        <w:rPr>
          <w:rFonts w:ascii="Arial" w:hAnsi="Arial"/>
          <w:b/>
          <w:smallCaps/>
          <w:sz w:val="36"/>
          <w:szCs w:val="36"/>
        </w:rPr>
      </w:pPr>
      <w:r>
        <w:br w:type="page"/>
      </w:r>
    </w:p>
    <w:p w14:paraId="504487B7" w14:textId="77777777" w:rsidR="00C32145" w:rsidRDefault="00C32145" w:rsidP="00D4448B">
      <w:pPr>
        <w:pStyle w:val="Heading1"/>
      </w:pPr>
      <w:bookmarkStart w:id="14" w:name="_Toc505838185"/>
      <w:r>
        <w:lastRenderedPageBreak/>
        <w:t>Annex 2: Analytical and Evaluation Framework</w:t>
      </w:r>
      <w:bookmarkEnd w:id="14"/>
    </w:p>
    <w:p w14:paraId="7017640D" w14:textId="77777777" w:rsidR="00D647A2" w:rsidRPr="00E12C36" w:rsidRDefault="00D647A2" w:rsidP="00D647A2">
      <w:pPr>
        <w:pStyle w:val="Heading2"/>
      </w:pPr>
      <w:bookmarkStart w:id="15" w:name="_Toc505838186"/>
      <w:r>
        <w:t>Objective</w:t>
      </w:r>
      <w:bookmarkEnd w:id="15"/>
    </w:p>
    <w:p w14:paraId="4C662821" w14:textId="77777777" w:rsidR="00D647A2" w:rsidRDefault="00D647A2" w:rsidP="00D647A2">
      <w:pPr>
        <w:spacing w:after="0"/>
        <w:rPr>
          <w:rFonts w:asciiTheme="minorHAnsi" w:hAnsiTheme="minorHAnsi"/>
        </w:rPr>
      </w:pPr>
      <w:r>
        <w:rPr>
          <w:rFonts w:asciiTheme="minorHAnsi" w:hAnsiTheme="minorHAnsi"/>
        </w:rPr>
        <w:t>There are three core objectives for the evaluation of the MDB-IAP. These are to:</w:t>
      </w:r>
    </w:p>
    <w:p w14:paraId="061E58ED" w14:textId="77777777" w:rsidR="00D647A2" w:rsidRPr="0074698F" w:rsidRDefault="00D647A2" w:rsidP="00D647A2">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assess the extent to which expected outcomes of MDB-IAP were achieved </w:t>
      </w:r>
    </w:p>
    <w:p w14:paraId="554634E4" w14:textId="77777777" w:rsidR="00D647A2" w:rsidRPr="0074698F" w:rsidRDefault="00D647A2" w:rsidP="00D647A2">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determine whether the program modality is effective and delivering expected outcomes </w:t>
      </w:r>
    </w:p>
    <w:p w14:paraId="016802E5" w14:textId="77777777" w:rsidR="00D647A2" w:rsidRPr="0074698F" w:rsidRDefault="00D647A2" w:rsidP="00D647A2">
      <w:pPr>
        <w:pStyle w:val="ListParagraph"/>
        <w:numPr>
          <w:ilvl w:val="0"/>
          <w:numId w:val="58"/>
        </w:numPr>
        <w:spacing w:before="60" w:after="60" w:line="240" w:lineRule="auto"/>
        <w:ind w:left="357" w:hanging="357"/>
        <w:contextualSpacing w:val="0"/>
        <w:rPr>
          <w:rFonts w:asciiTheme="minorHAnsi" w:hAnsiTheme="minorHAnsi"/>
        </w:rPr>
      </w:pPr>
      <w:r w:rsidRPr="0074698F">
        <w:rPr>
          <w:rFonts w:asciiTheme="minorHAnsi" w:hAnsiTheme="minorHAnsi"/>
        </w:rPr>
        <w:t xml:space="preserve">identify if the </w:t>
      </w:r>
      <w:r w:rsidR="001648E2">
        <w:rPr>
          <w:rFonts w:asciiTheme="minorHAnsi" w:hAnsiTheme="minorHAnsi"/>
        </w:rPr>
        <w:t>World Bank</w:t>
      </w:r>
      <w:r w:rsidRPr="0074698F">
        <w:rPr>
          <w:rFonts w:asciiTheme="minorHAnsi" w:hAnsiTheme="minorHAnsi"/>
        </w:rPr>
        <w:t xml:space="preserve"> and ADB have been adaptive to change and emerging themes and if so has this benefited the program. </w:t>
      </w:r>
    </w:p>
    <w:p w14:paraId="0E43CC88" w14:textId="77777777" w:rsidR="00D647A2" w:rsidRPr="00E12C36" w:rsidRDefault="00D647A2" w:rsidP="00D647A2">
      <w:pPr>
        <w:pStyle w:val="Heading2"/>
      </w:pPr>
      <w:bookmarkStart w:id="16" w:name="_Toc505838187"/>
      <w:r>
        <w:t>Scope</w:t>
      </w:r>
      <w:bookmarkEnd w:id="16"/>
    </w:p>
    <w:p w14:paraId="5A0A3FDE" w14:textId="77777777" w:rsidR="00D647A2" w:rsidRDefault="00D647A2" w:rsidP="00D647A2">
      <w:pPr>
        <w:rPr>
          <w:rFonts w:asciiTheme="minorHAnsi" w:hAnsiTheme="minorHAnsi"/>
        </w:rPr>
      </w:pPr>
      <w:r w:rsidRPr="002F3C28">
        <w:rPr>
          <w:rFonts w:asciiTheme="minorHAnsi" w:hAnsiTheme="minorHAnsi"/>
        </w:rPr>
        <w:t>The</w:t>
      </w:r>
      <w:r>
        <w:rPr>
          <w:rFonts w:asciiTheme="minorHAnsi" w:hAnsiTheme="minorHAnsi"/>
        </w:rPr>
        <w:t xml:space="preserve"> evaluation will cover all interventions of the MDB-IAP at a strategic level and will drill down in a sample of specific subprojects to examine more closely the extent to which expected outcomes have or are being achieved</w:t>
      </w:r>
      <w:r w:rsidRPr="002F3C28">
        <w:rPr>
          <w:rFonts w:asciiTheme="minorHAnsi" w:hAnsiTheme="minorHAnsi"/>
        </w:rPr>
        <w:t xml:space="preserve">. It will include a specific focus on progress made towards the </w:t>
      </w:r>
      <w:r>
        <w:rPr>
          <w:rFonts w:asciiTheme="minorHAnsi" w:hAnsiTheme="minorHAnsi"/>
        </w:rPr>
        <w:t xml:space="preserve">programs </w:t>
      </w:r>
      <w:r w:rsidRPr="002F3C28">
        <w:rPr>
          <w:rFonts w:asciiTheme="minorHAnsi" w:hAnsiTheme="minorHAnsi"/>
        </w:rPr>
        <w:t xml:space="preserve">objectives, as well as </w:t>
      </w:r>
      <w:r>
        <w:rPr>
          <w:rFonts w:asciiTheme="minorHAnsi" w:hAnsiTheme="minorHAnsi"/>
        </w:rPr>
        <w:t xml:space="preserve">the </w:t>
      </w:r>
      <w:r w:rsidRPr="002F3C28">
        <w:rPr>
          <w:rFonts w:asciiTheme="minorHAnsi" w:hAnsiTheme="minorHAnsi"/>
        </w:rPr>
        <w:t>suitability of current arrangements for</w:t>
      </w:r>
      <w:r>
        <w:rPr>
          <w:rFonts w:asciiTheme="minorHAnsi" w:hAnsiTheme="minorHAnsi"/>
        </w:rPr>
        <w:t xml:space="preserve"> the</w:t>
      </w:r>
      <w:r w:rsidRPr="002F3C28">
        <w:rPr>
          <w:rFonts w:asciiTheme="minorHAnsi" w:hAnsiTheme="minorHAnsi"/>
        </w:rPr>
        <w:t xml:space="preserve"> future directions of the program. </w:t>
      </w:r>
      <w:r>
        <w:rPr>
          <w:rFonts w:asciiTheme="minorHAnsi" w:hAnsiTheme="minorHAnsi"/>
        </w:rPr>
        <w:t>T</w:t>
      </w:r>
      <w:r w:rsidRPr="002F3C28">
        <w:rPr>
          <w:rFonts w:asciiTheme="minorHAnsi" w:hAnsiTheme="minorHAnsi"/>
        </w:rPr>
        <w:t xml:space="preserve">he scope will include </w:t>
      </w:r>
      <w:r>
        <w:rPr>
          <w:rFonts w:asciiTheme="minorHAnsi" w:hAnsiTheme="minorHAnsi"/>
        </w:rPr>
        <w:t xml:space="preserve">consideration of </w:t>
      </w:r>
      <w:r w:rsidRPr="002F3C28">
        <w:rPr>
          <w:rFonts w:asciiTheme="minorHAnsi" w:hAnsiTheme="minorHAnsi"/>
        </w:rPr>
        <w:t xml:space="preserve">changes that </w:t>
      </w:r>
      <w:r>
        <w:rPr>
          <w:rFonts w:asciiTheme="minorHAnsi" w:hAnsiTheme="minorHAnsi"/>
        </w:rPr>
        <w:t xml:space="preserve">have </w:t>
      </w:r>
      <w:r w:rsidRPr="002F3C28">
        <w:rPr>
          <w:rFonts w:asciiTheme="minorHAnsi" w:hAnsiTheme="minorHAnsi"/>
        </w:rPr>
        <w:t>influence</w:t>
      </w:r>
      <w:r>
        <w:rPr>
          <w:rFonts w:asciiTheme="minorHAnsi" w:hAnsiTheme="minorHAnsi"/>
        </w:rPr>
        <w:t>d</w:t>
      </w:r>
      <w:r w:rsidRPr="002F3C28">
        <w:rPr>
          <w:rFonts w:asciiTheme="minorHAnsi" w:hAnsiTheme="minorHAnsi"/>
        </w:rPr>
        <w:t xml:space="preserve"> the program’s operating environment and how the </w:t>
      </w:r>
      <w:r>
        <w:rPr>
          <w:rFonts w:asciiTheme="minorHAnsi" w:hAnsiTheme="minorHAnsi"/>
        </w:rPr>
        <w:t xml:space="preserve">current design and administrative arrangements have been able to respond </w:t>
      </w:r>
      <w:r w:rsidRPr="002F3C28">
        <w:rPr>
          <w:rFonts w:asciiTheme="minorHAnsi" w:hAnsiTheme="minorHAnsi"/>
        </w:rPr>
        <w:t xml:space="preserve">to these changes. </w:t>
      </w:r>
    </w:p>
    <w:p w14:paraId="56411169" w14:textId="77777777" w:rsidR="006A21D6" w:rsidRDefault="006A21D6" w:rsidP="006A21D6">
      <w:pPr>
        <w:rPr>
          <w:rFonts w:asciiTheme="minorHAnsi" w:hAnsiTheme="minorHAnsi" w:cs="Calibri"/>
        </w:rPr>
      </w:pPr>
      <w:r>
        <w:rPr>
          <w:rFonts w:asciiTheme="minorHAnsi" w:hAnsiTheme="minorHAnsi"/>
        </w:rPr>
        <w:t xml:space="preserve">Recognising that the MDP-IAP is a </w:t>
      </w:r>
      <w:r>
        <w:rPr>
          <w:rFonts w:asciiTheme="minorHAnsi" w:hAnsiTheme="minorHAnsi" w:cs="Calibri"/>
        </w:rPr>
        <w:t xml:space="preserve">large and integral part of Australia’s overall Indonesia infrastructure program, the evaluation will also examine the current level of synergy and engagement between the MDP-IAP and other Australian-funded infrastructure initiatives in Indonesia. Having regard to the findings and recommendations in the Indonesia Infrastructure Initiative (IndII) Phase 2, </w:t>
      </w:r>
      <w:r w:rsidRPr="00AB2F34">
        <w:rPr>
          <w:rFonts w:asciiTheme="minorHAnsi" w:hAnsiTheme="minorHAnsi" w:cs="Calibri"/>
          <w:i/>
        </w:rPr>
        <w:t>Impact Assessment Team: Mission 3 Report</w:t>
      </w:r>
      <w:r>
        <w:rPr>
          <w:rStyle w:val="FootnoteReference"/>
          <w:rFonts w:asciiTheme="minorHAnsi" w:hAnsiTheme="minorHAnsi" w:cs="Calibri"/>
          <w:i/>
        </w:rPr>
        <w:footnoteReference w:id="9"/>
      </w:r>
      <w:r>
        <w:rPr>
          <w:rFonts w:asciiTheme="minorHAnsi" w:hAnsiTheme="minorHAnsi" w:cs="Calibri"/>
        </w:rPr>
        <w:t xml:space="preserve"> and the new DFAT facility design, this evaluation will pay particular attention to the interaction between the MDB-IAP and the newly established Indonesia Australia Infrastructure Partnership facility program known as </w:t>
      </w:r>
      <w:r w:rsidRPr="00B62A83">
        <w:rPr>
          <w:rFonts w:asciiTheme="minorHAnsi" w:hAnsiTheme="minorHAnsi" w:cs="Calibri"/>
          <w:i/>
        </w:rPr>
        <w:t>Kemitraan Indonesia Australia Untuk Instrasruktur</w:t>
      </w:r>
      <w:r>
        <w:rPr>
          <w:rFonts w:asciiTheme="minorHAnsi" w:hAnsiTheme="minorHAnsi" w:cs="Calibri"/>
        </w:rPr>
        <w:t xml:space="preserve"> (KIAT). The KIAT officially commenced in July 2017 and replaces the IndII facility that ended in June 2017. The KIAT involves up to AUD300 million being spent between 2016 and 2026. Due to the limited timeframe of this evaluation, the focus of this component will be on the governance mechanisms and communication plans that </w:t>
      </w:r>
      <w:r w:rsidR="003E7216">
        <w:rPr>
          <w:rFonts w:asciiTheme="minorHAnsi" w:hAnsiTheme="minorHAnsi" w:cs="Calibri"/>
        </w:rPr>
        <w:t xml:space="preserve">are to be put </w:t>
      </w:r>
      <w:r>
        <w:rPr>
          <w:rFonts w:asciiTheme="minorHAnsi" w:hAnsiTheme="minorHAnsi" w:cs="Calibri"/>
        </w:rPr>
        <w:t xml:space="preserve">in place rather than a review of actual activities. </w:t>
      </w:r>
    </w:p>
    <w:p w14:paraId="1945BE91" w14:textId="77777777" w:rsidR="006A21D6" w:rsidRDefault="006A21D6" w:rsidP="006A21D6">
      <w:pPr>
        <w:rPr>
          <w:rFonts w:asciiTheme="minorHAnsi" w:hAnsiTheme="minorHAnsi"/>
        </w:rPr>
      </w:pPr>
      <w:r>
        <w:rPr>
          <w:rFonts w:asciiTheme="minorHAnsi" w:hAnsiTheme="minorHAnsi" w:cs="Calibri"/>
        </w:rPr>
        <w:t>Additionally, the evaluation, through the above mechanisms will look to provide recommendations for improving the facility in its final year and more importantly, draw conclusions on the development of any future infrastructure trust fund and suitable partners for this.</w:t>
      </w:r>
    </w:p>
    <w:p w14:paraId="23AC76DA" w14:textId="77777777" w:rsidR="002F7646" w:rsidRDefault="002F7646" w:rsidP="00D647A2">
      <w:pPr>
        <w:pStyle w:val="Heading2"/>
      </w:pPr>
      <w:bookmarkStart w:id="17" w:name="_Toc505838188"/>
      <w:r>
        <w:t>Team</w:t>
      </w:r>
      <w:bookmarkEnd w:id="17"/>
    </w:p>
    <w:p w14:paraId="2A584930" w14:textId="679A02C2" w:rsidR="002F7646" w:rsidRDefault="002F7646" w:rsidP="002F7646">
      <w:r>
        <w:t>The evaluation team consists of an independent team leader, Nicky Thatcher, and assistance provided by two subject matter experts within DFAT (Tom Nettleton and Jonathan Gouy). Nicky Thatcher is the author of this report (</w:t>
      </w:r>
      <w:hyperlink r:id="rId10" w:history="1">
        <w:r w:rsidRPr="00595E8C">
          <w:rPr>
            <w:rStyle w:val="Hyperlink"/>
          </w:rPr>
          <w:t>nicky.thatcher@sustineo.com.au</w:t>
        </w:r>
      </w:hyperlink>
      <w:r>
        <w:t xml:space="preserve">). </w:t>
      </w:r>
      <w:r w:rsidR="00F412B1">
        <w:t>Nicky Thatcher and Tom Nettleton participated in the in-country mission.</w:t>
      </w:r>
    </w:p>
    <w:p w14:paraId="17FC6E90" w14:textId="77777777" w:rsidR="00D647A2" w:rsidRPr="00E12C36" w:rsidRDefault="00D647A2" w:rsidP="00D647A2">
      <w:pPr>
        <w:pStyle w:val="Heading2"/>
      </w:pPr>
      <w:bookmarkStart w:id="18" w:name="_Toc505838189"/>
      <w:r>
        <w:t>Evaluation questions</w:t>
      </w:r>
      <w:bookmarkEnd w:id="18"/>
    </w:p>
    <w:p w14:paraId="4A2A3FA9" w14:textId="77777777" w:rsidR="00D647A2" w:rsidRPr="008656A1" w:rsidRDefault="00D647A2" w:rsidP="00D647A2">
      <w:pPr>
        <w:rPr>
          <w:rFonts w:asciiTheme="minorHAnsi" w:hAnsiTheme="minorHAnsi"/>
        </w:rPr>
      </w:pPr>
      <w:r>
        <w:rPr>
          <w:rFonts w:asciiTheme="minorHAnsi" w:hAnsiTheme="minorHAnsi"/>
        </w:rPr>
        <w:t>The primary</w:t>
      </w:r>
      <w:r w:rsidRPr="008656A1">
        <w:rPr>
          <w:rFonts w:asciiTheme="minorHAnsi" w:hAnsiTheme="minorHAnsi"/>
        </w:rPr>
        <w:t xml:space="preserve"> evaluation questions </w:t>
      </w:r>
      <w:r>
        <w:rPr>
          <w:rFonts w:asciiTheme="minorHAnsi" w:hAnsiTheme="minorHAnsi"/>
        </w:rPr>
        <w:t xml:space="preserve">underpinning the evaluation of the MDB-IAP </w:t>
      </w:r>
      <w:r w:rsidRPr="008656A1">
        <w:rPr>
          <w:rFonts w:asciiTheme="minorHAnsi" w:hAnsiTheme="minorHAnsi"/>
        </w:rPr>
        <w:t>are:</w:t>
      </w:r>
    </w:p>
    <w:p w14:paraId="51D91CD2" w14:textId="77777777" w:rsidR="00D647A2" w:rsidRPr="008656A1" w:rsidRDefault="00D647A2" w:rsidP="00D647A2">
      <w:pPr>
        <w:pStyle w:val="ListParagraph"/>
        <w:numPr>
          <w:ilvl w:val="0"/>
          <w:numId w:val="66"/>
        </w:numPr>
        <w:spacing w:before="60" w:after="60"/>
        <w:contextualSpacing w:val="0"/>
        <w:rPr>
          <w:rFonts w:asciiTheme="minorHAnsi" w:hAnsiTheme="minorHAnsi"/>
        </w:rPr>
      </w:pPr>
      <w:r w:rsidRPr="008656A1">
        <w:rPr>
          <w:rFonts w:asciiTheme="minorHAnsi" w:hAnsiTheme="minorHAnsi"/>
        </w:rPr>
        <w:t xml:space="preserve">How suitable were the governance and implementation arrangements?  </w:t>
      </w:r>
    </w:p>
    <w:p w14:paraId="113389BF" w14:textId="77777777" w:rsidR="00D647A2" w:rsidRPr="008656A1" w:rsidRDefault="00D647A2" w:rsidP="00D647A2">
      <w:pPr>
        <w:pStyle w:val="ListParagraph"/>
        <w:numPr>
          <w:ilvl w:val="0"/>
          <w:numId w:val="66"/>
        </w:numPr>
        <w:spacing w:before="60" w:after="60"/>
        <w:ind w:left="357" w:hanging="357"/>
        <w:contextualSpacing w:val="0"/>
        <w:rPr>
          <w:rFonts w:asciiTheme="minorHAnsi" w:hAnsiTheme="minorHAnsi"/>
        </w:rPr>
      </w:pPr>
      <w:r w:rsidRPr="008656A1">
        <w:rPr>
          <w:rFonts w:asciiTheme="minorHAnsi" w:hAnsiTheme="minorHAnsi"/>
        </w:rPr>
        <w:t xml:space="preserve">How effective was the program in delivering outcomes and adapting to change? </w:t>
      </w:r>
    </w:p>
    <w:p w14:paraId="0138159E" w14:textId="77777777" w:rsidR="00D647A2" w:rsidRDefault="00D647A2" w:rsidP="00D647A2">
      <w:pPr>
        <w:pStyle w:val="ListParagraph"/>
        <w:numPr>
          <w:ilvl w:val="0"/>
          <w:numId w:val="66"/>
        </w:numPr>
        <w:spacing w:before="60" w:after="60"/>
        <w:ind w:left="357" w:hanging="357"/>
        <w:contextualSpacing w:val="0"/>
        <w:rPr>
          <w:rFonts w:asciiTheme="minorHAnsi" w:hAnsiTheme="minorHAnsi"/>
        </w:rPr>
      </w:pPr>
      <w:r w:rsidRPr="008656A1">
        <w:rPr>
          <w:rFonts w:asciiTheme="minorHAnsi" w:hAnsiTheme="minorHAnsi"/>
        </w:rPr>
        <w:lastRenderedPageBreak/>
        <w:t xml:space="preserve">How relevant is the program overall as well as in terms of the individual investment choices made? </w:t>
      </w:r>
    </w:p>
    <w:p w14:paraId="5FA20ED6" w14:textId="77777777" w:rsidR="00D647A2" w:rsidRPr="00954F0A" w:rsidRDefault="00D647A2" w:rsidP="00D647A2">
      <w:pPr>
        <w:rPr>
          <w:rFonts w:asciiTheme="minorHAnsi" w:hAnsiTheme="minorHAnsi"/>
        </w:rPr>
      </w:pPr>
      <w:r>
        <w:rPr>
          <w:rFonts w:asciiTheme="minorHAnsi" w:hAnsiTheme="minorHAnsi"/>
        </w:rPr>
        <w:t xml:space="preserve">The evaluation and analytical framework for investigating these questions is </w:t>
      </w:r>
      <w:r w:rsidRPr="002F3C28">
        <w:rPr>
          <w:rFonts w:asciiTheme="minorHAnsi" w:hAnsiTheme="minorHAnsi"/>
        </w:rPr>
        <w:t>in</w:t>
      </w:r>
      <w:r>
        <w:rPr>
          <w:rFonts w:asciiTheme="minorHAnsi" w:hAnsiTheme="minorHAnsi"/>
        </w:rPr>
        <w:t xml:space="preserve">formed by the OECD-DAC Criteria, including specific reference to </w:t>
      </w:r>
      <w:r w:rsidRPr="002F3C28">
        <w:rPr>
          <w:rFonts w:asciiTheme="minorHAnsi" w:hAnsiTheme="minorHAnsi"/>
        </w:rPr>
        <w:t>relevance, efficiency,</w:t>
      </w:r>
      <w:r>
        <w:rPr>
          <w:rFonts w:asciiTheme="minorHAnsi" w:hAnsiTheme="minorHAnsi"/>
        </w:rPr>
        <w:t xml:space="preserve"> effectiveness, </w:t>
      </w:r>
      <w:r w:rsidRPr="002F3C28">
        <w:rPr>
          <w:rFonts w:asciiTheme="minorHAnsi" w:hAnsiTheme="minorHAnsi"/>
        </w:rPr>
        <w:t>sustainability and impact.</w:t>
      </w:r>
      <w:r>
        <w:rPr>
          <w:rFonts w:asciiTheme="minorHAnsi" w:hAnsiTheme="minorHAnsi"/>
        </w:rPr>
        <w:t xml:space="preserve"> The section below gives a brief explanation of how each of these will be considered in the design. </w:t>
      </w:r>
    </w:p>
    <w:p w14:paraId="672009AC" w14:textId="77777777" w:rsidR="00D647A2" w:rsidRDefault="00D647A2" w:rsidP="00D647A2">
      <w:pPr>
        <w:pStyle w:val="Heading3"/>
      </w:pPr>
      <w:r>
        <w:t xml:space="preserve">Relevance </w:t>
      </w:r>
    </w:p>
    <w:p w14:paraId="5320004C" w14:textId="77777777" w:rsidR="00D647A2" w:rsidRDefault="00D647A2" w:rsidP="00D647A2">
      <w:r>
        <w:t xml:space="preserve">Relevance is the extent to which project activities are suited and well aligned with current priorities of the relevant stakeholder groups. This will include evaluating whether the current structure and objective of the MDB-IAP is aligned to the current operating environment for infrastructure development within Indonesia. </w:t>
      </w:r>
    </w:p>
    <w:p w14:paraId="0DB84445" w14:textId="77777777" w:rsidR="00D647A2" w:rsidRDefault="00D647A2" w:rsidP="00D647A2">
      <w:pPr>
        <w:pStyle w:val="Heading3"/>
      </w:pPr>
      <w:r>
        <w:t>Efficiency</w:t>
      </w:r>
    </w:p>
    <w:p w14:paraId="711FCAAE" w14:textId="77777777" w:rsidR="00D647A2" w:rsidRDefault="00D647A2" w:rsidP="00D647A2">
      <w:r>
        <w:t xml:space="preserve">Efficiency is the measure of the project outputs in relation to inputs, specifically in relation to whether the resources invested have resulted in adequate returns or could have been better invested. This will include assessing whether the investment of funds within MDB-IAP have been cost-effective for the results achieved, whether they have been delivered in a timely manner, and whether there are opportunities to improve the efficiency of project activities. </w:t>
      </w:r>
    </w:p>
    <w:p w14:paraId="6BAF5737" w14:textId="77777777" w:rsidR="00D647A2" w:rsidRDefault="00D647A2" w:rsidP="00D647A2">
      <w:pPr>
        <w:pStyle w:val="Heading3"/>
      </w:pPr>
      <w:r>
        <w:t>Effectiveness</w:t>
      </w:r>
    </w:p>
    <w:p w14:paraId="40B1C94C" w14:textId="77777777" w:rsidR="00D647A2" w:rsidRDefault="00D647A2" w:rsidP="00D647A2">
      <w:r>
        <w:t xml:space="preserve">Effectiveness is the measure of the extent to which activities/ subprojects of the program have attained their objectives. This will include assessing whether the objectives of MDB-IAP have been achieved and the identification of factors that enabled or inhibited the achievement of those objectives. </w:t>
      </w:r>
    </w:p>
    <w:p w14:paraId="7F844D3C" w14:textId="77777777" w:rsidR="00D647A2" w:rsidRDefault="00D647A2" w:rsidP="00D647A2">
      <w:pPr>
        <w:pStyle w:val="Heading3"/>
      </w:pPr>
      <w:r>
        <w:t>Sustainability</w:t>
      </w:r>
    </w:p>
    <w:p w14:paraId="1193F4D4" w14:textId="77777777" w:rsidR="00D647A2" w:rsidRDefault="00D647A2" w:rsidP="00D647A2">
      <w:r>
        <w:t>Sustainability is extent to which current project outputs, outcomes and benefits will be sustained beyond the scope of the current donor funding arrangements. This will include considering whether current structures and processes developed through the MDB-IAP would be continued without the current funding arrangements. Sustainability will also be considered in terms of the new trust fund development and associated partner arrangements.</w:t>
      </w:r>
    </w:p>
    <w:p w14:paraId="74243092" w14:textId="77777777" w:rsidR="00D647A2" w:rsidRDefault="00D647A2" w:rsidP="00D647A2">
      <w:pPr>
        <w:pStyle w:val="Heading3"/>
      </w:pPr>
      <w:r>
        <w:t>Impact</w:t>
      </w:r>
    </w:p>
    <w:p w14:paraId="2B683CCA" w14:textId="77777777" w:rsidR="00D647A2" w:rsidRPr="001D5B0C" w:rsidRDefault="00D647A2" w:rsidP="00D647A2">
      <w:pPr>
        <w:rPr>
          <w:rFonts w:asciiTheme="minorHAnsi" w:hAnsiTheme="minorHAnsi"/>
        </w:rPr>
      </w:pPr>
      <w:r>
        <w:rPr>
          <w:rFonts w:asciiTheme="minorHAnsi" w:hAnsiTheme="minorHAnsi"/>
        </w:rPr>
        <w:t xml:space="preserve">Impact is the measure of long-term changes (positive and negative) that have resulted from the investments made within the program. This includes both direct and indirect impacts, as well as intended and unintended impacts. This will also include considering the attribution and contribution of MDB-IAP subproject activities to sustained change and infrastructure investment over the period </w:t>
      </w:r>
      <w:r w:rsidRPr="000C3A37">
        <w:rPr>
          <w:rFonts w:asciiTheme="minorHAnsi" w:hAnsiTheme="minorHAnsi"/>
        </w:rPr>
        <w:t>of 2013-2017.</w:t>
      </w:r>
      <w:r w:rsidRPr="001D5B0C">
        <w:rPr>
          <w:rFonts w:asciiTheme="minorHAnsi" w:hAnsiTheme="minorHAnsi"/>
        </w:rPr>
        <w:t xml:space="preserve"> </w:t>
      </w:r>
    </w:p>
    <w:p w14:paraId="58F0CCA6" w14:textId="77777777" w:rsidR="00D647A2" w:rsidRDefault="00D647A2" w:rsidP="00D647A2">
      <w:pPr>
        <w:pStyle w:val="Heading2"/>
      </w:pPr>
      <w:bookmarkStart w:id="19" w:name="_Toc505838190"/>
      <w:r>
        <w:t>Evaluation Framework</w:t>
      </w:r>
      <w:bookmarkEnd w:id="19"/>
    </w:p>
    <w:p w14:paraId="28E7F025" w14:textId="77777777" w:rsidR="00D647A2" w:rsidRPr="008E408A" w:rsidRDefault="00D647A2" w:rsidP="00D647A2">
      <w:r>
        <w:t xml:space="preserve">The Evaluation Terms of Reference (TOR) contained a number of </w:t>
      </w:r>
      <w:r w:rsidRPr="008E408A">
        <w:t xml:space="preserve">guiding questions for investigating the </w:t>
      </w:r>
      <w:r>
        <w:t>three</w:t>
      </w:r>
      <w:r w:rsidRPr="008E408A">
        <w:t xml:space="preserve"> primary evaluation questions. This section </w:t>
      </w:r>
      <w:r>
        <w:t>aligns the</w:t>
      </w:r>
      <w:r w:rsidRPr="008E408A">
        <w:t>se guiding questions</w:t>
      </w:r>
      <w:r>
        <w:t xml:space="preserve"> to </w:t>
      </w:r>
      <w:r w:rsidRPr="008E408A">
        <w:t xml:space="preserve">the elements of the </w:t>
      </w:r>
      <w:r>
        <w:t>OEDC-</w:t>
      </w:r>
      <w:r w:rsidRPr="008E408A">
        <w:t>DAC</w:t>
      </w:r>
      <w:r>
        <w:t xml:space="preserve"> </w:t>
      </w:r>
      <w:r w:rsidRPr="008E408A">
        <w:t xml:space="preserve">Criteria outlined above and the data sources </w:t>
      </w:r>
      <w:r>
        <w:t>available</w:t>
      </w:r>
      <w:r w:rsidRPr="008E408A">
        <w:t>. The range of data sources to be used for the evaluation includes</w:t>
      </w:r>
      <w:r>
        <w:t xml:space="preserve"> but is not limited to</w:t>
      </w:r>
      <w:r w:rsidRPr="008E408A">
        <w:t>:</w:t>
      </w:r>
    </w:p>
    <w:p w14:paraId="64F48E3C" w14:textId="77777777" w:rsidR="00D647A2" w:rsidRPr="009F2395" w:rsidRDefault="00D647A2" w:rsidP="00D647A2">
      <w:pPr>
        <w:pStyle w:val="ListBullet"/>
        <w:ind w:right="120"/>
      </w:pPr>
      <w:r>
        <w:t>stakehold</w:t>
      </w:r>
      <w:r w:rsidRPr="009F2395">
        <w:t xml:space="preserve">er interviews (Government of Indonesia, </w:t>
      </w:r>
      <w:r w:rsidR="001648E2">
        <w:t>World Bank</w:t>
      </w:r>
      <w:r w:rsidRPr="009F2395">
        <w:t xml:space="preserve">, ADB, task team leaders and other advisers, KIAT program office) </w:t>
      </w:r>
    </w:p>
    <w:p w14:paraId="150188FD" w14:textId="77777777" w:rsidR="00D647A2" w:rsidRDefault="00D647A2" w:rsidP="00D647A2">
      <w:pPr>
        <w:pStyle w:val="ListBullet"/>
      </w:pPr>
      <w:r>
        <w:t>Program</w:t>
      </w:r>
      <w:r w:rsidRPr="008E408A">
        <w:t xml:space="preserve"> </w:t>
      </w:r>
      <w:r>
        <w:t xml:space="preserve">governance </w:t>
      </w:r>
      <w:r w:rsidRPr="008E408A">
        <w:t>documentation (including</w:t>
      </w:r>
      <w:r>
        <w:t xml:space="preserve"> trust fund agreements,</w:t>
      </w:r>
      <w:r w:rsidRPr="008E408A">
        <w:t xml:space="preserve"> </w:t>
      </w:r>
      <w:r>
        <w:t xml:space="preserve">steering committee </w:t>
      </w:r>
      <w:r w:rsidR="002F7646">
        <w:t xml:space="preserve">papers and </w:t>
      </w:r>
      <w:r>
        <w:t>minutes</w:t>
      </w:r>
      <w:r w:rsidRPr="008E408A">
        <w:t>,</w:t>
      </w:r>
      <w:r>
        <w:t xml:space="preserve"> annual performance assessments</w:t>
      </w:r>
      <w:r w:rsidR="002F7646">
        <w:t>, financial approval documentation</w:t>
      </w:r>
      <w:r w:rsidRPr="008E408A">
        <w:t xml:space="preserve"> etc</w:t>
      </w:r>
      <w:r>
        <w:t>.</w:t>
      </w:r>
      <w:r w:rsidRPr="008E408A">
        <w:t xml:space="preserve">) </w:t>
      </w:r>
    </w:p>
    <w:p w14:paraId="76F108AE" w14:textId="77777777" w:rsidR="00D647A2" w:rsidRPr="008E408A" w:rsidRDefault="00D647A2" w:rsidP="00D647A2">
      <w:pPr>
        <w:pStyle w:val="ListBullet"/>
      </w:pPr>
      <w:r>
        <w:t>Program management documentation (including 6-monthly progress reports, subproject specific documentation</w:t>
      </w:r>
      <w:r w:rsidRPr="008E408A">
        <w:t>, etc</w:t>
      </w:r>
      <w:r>
        <w:t>.)</w:t>
      </w:r>
    </w:p>
    <w:p w14:paraId="17E6F2F3" w14:textId="77777777" w:rsidR="00D647A2" w:rsidRDefault="001648E2" w:rsidP="00D647A2">
      <w:pPr>
        <w:pStyle w:val="ListBullet"/>
      </w:pPr>
      <w:r>
        <w:lastRenderedPageBreak/>
        <w:t>World Bank</w:t>
      </w:r>
      <w:r w:rsidR="00D647A2">
        <w:t xml:space="preserve"> and ADB</w:t>
      </w:r>
      <w:r w:rsidR="00D647A2" w:rsidRPr="008E408A">
        <w:t xml:space="preserve"> </w:t>
      </w:r>
      <w:r w:rsidR="00D647A2">
        <w:t>country strategies, implemented loan/ grant agreements</w:t>
      </w:r>
    </w:p>
    <w:p w14:paraId="120311F2" w14:textId="77777777" w:rsidR="00D647A2" w:rsidRPr="008E408A" w:rsidRDefault="00D647A2" w:rsidP="00D647A2">
      <w:pPr>
        <w:pStyle w:val="ListBullet"/>
      </w:pPr>
      <w:r>
        <w:t>DFAT program design documents for the MDB-IAP and KIAT.</w:t>
      </w:r>
    </w:p>
    <w:p w14:paraId="1AD43733" w14:textId="77777777" w:rsidR="00D647A2" w:rsidRPr="008E408A" w:rsidRDefault="00D647A2" w:rsidP="00D647A2">
      <w:pPr>
        <w:spacing w:before="0" w:after="0" w:line="240" w:lineRule="auto"/>
      </w:pPr>
    </w:p>
    <w:tbl>
      <w:tblPr>
        <w:tblStyle w:val="TableGrid"/>
        <w:tblW w:w="4912"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90"/>
        <w:gridCol w:w="2627"/>
        <w:gridCol w:w="1936"/>
        <w:gridCol w:w="1797"/>
      </w:tblGrid>
      <w:tr w:rsidR="00D647A2" w:rsidRPr="00280FD9" w14:paraId="1AB6AF1B" w14:textId="77777777" w:rsidTr="006A21D6">
        <w:trPr>
          <w:tblHeader/>
        </w:trPr>
        <w:tc>
          <w:tcPr>
            <w:tcW w:w="1407" w:type="pct"/>
            <w:shd w:val="clear" w:color="auto" w:fill="EAF1DD" w:themeFill="accent3" w:themeFillTint="33"/>
            <w:vAlign w:val="bottom"/>
          </w:tcPr>
          <w:p w14:paraId="5A56618A" w14:textId="77777777" w:rsidR="00D647A2" w:rsidRPr="00280FD9" w:rsidRDefault="00D647A2" w:rsidP="006A21D6">
            <w:pPr>
              <w:tabs>
                <w:tab w:val="left" w:pos="318"/>
              </w:tabs>
              <w:spacing w:before="60" w:after="60" w:line="260" w:lineRule="exact"/>
              <w:jc w:val="center"/>
              <w:rPr>
                <w:rFonts w:ascii="Arial Narrow" w:hAnsi="Arial Narrow"/>
                <w:b/>
                <w:lang w:val="en-AU"/>
              </w:rPr>
            </w:pPr>
            <w:r w:rsidRPr="00280FD9">
              <w:rPr>
                <w:rFonts w:ascii="Arial Narrow" w:hAnsi="Arial Narrow"/>
                <w:b/>
                <w:lang w:val="en-AU"/>
              </w:rPr>
              <w:t>Evaluation question</w:t>
            </w:r>
          </w:p>
        </w:tc>
        <w:tc>
          <w:tcPr>
            <w:tcW w:w="1484" w:type="pct"/>
            <w:shd w:val="clear" w:color="auto" w:fill="EAF1DD" w:themeFill="accent3" w:themeFillTint="33"/>
            <w:vAlign w:val="bottom"/>
          </w:tcPr>
          <w:p w14:paraId="3EE8C5F2" w14:textId="77777777" w:rsidR="00D647A2" w:rsidRPr="00280FD9" w:rsidRDefault="00D647A2" w:rsidP="006A21D6">
            <w:pPr>
              <w:tabs>
                <w:tab w:val="left" w:pos="318"/>
              </w:tabs>
              <w:spacing w:before="60" w:after="60" w:line="260" w:lineRule="exact"/>
              <w:jc w:val="center"/>
              <w:rPr>
                <w:rFonts w:ascii="Arial Narrow" w:hAnsi="Arial Narrow"/>
                <w:b/>
                <w:lang w:val="en-AU"/>
              </w:rPr>
            </w:pPr>
            <w:r w:rsidRPr="00280FD9">
              <w:rPr>
                <w:rFonts w:ascii="Arial Narrow" w:hAnsi="Arial Narrow"/>
                <w:b/>
                <w:lang w:val="en-AU"/>
              </w:rPr>
              <w:t>Guiding questions</w:t>
            </w:r>
          </w:p>
        </w:tc>
        <w:tc>
          <w:tcPr>
            <w:tcW w:w="1094" w:type="pct"/>
            <w:shd w:val="clear" w:color="auto" w:fill="EAF1DD" w:themeFill="accent3" w:themeFillTint="33"/>
            <w:vAlign w:val="bottom"/>
          </w:tcPr>
          <w:p w14:paraId="02FEB474" w14:textId="77777777" w:rsidR="00D647A2" w:rsidRPr="00280FD9" w:rsidRDefault="00D647A2" w:rsidP="006A21D6">
            <w:pPr>
              <w:tabs>
                <w:tab w:val="left" w:pos="318"/>
              </w:tabs>
              <w:spacing w:before="60" w:after="60" w:line="260" w:lineRule="exact"/>
              <w:jc w:val="center"/>
              <w:rPr>
                <w:rFonts w:ascii="Arial Narrow" w:hAnsi="Arial Narrow"/>
                <w:b/>
              </w:rPr>
            </w:pPr>
            <w:r w:rsidRPr="00280FD9">
              <w:rPr>
                <w:rFonts w:ascii="Arial Narrow" w:hAnsi="Arial Narrow"/>
                <w:b/>
              </w:rPr>
              <w:t>Data source</w:t>
            </w:r>
          </w:p>
        </w:tc>
        <w:tc>
          <w:tcPr>
            <w:tcW w:w="1015" w:type="pct"/>
            <w:shd w:val="clear" w:color="auto" w:fill="EAF1DD" w:themeFill="accent3" w:themeFillTint="33"/>
            <w:vAlign w:val="bottom"/>
          </w:tcPr>
          <w:p w14:paraId="005D69F6" w14:textId="77777777" w:rsidR="00D647A2" w:rsidRPr="00280FD9" w:rsidRDefault="00D647A2" w:rsidP="006A21D6">
            <w:pPr>
              <w:tabs>
                <w:tab w:val="left" w:pos="318"/>
              </w:tabs>
              <w:spacing w:before="60" w:after="60" w:line="260" w:lineRule="exact"/>
              <w:jc w:val="center"/>
              <w:rPr>
                <w:rFonts w:ascii="Arial Narrow" w:hAnsi="Arial Narrow"/>
                <w:b/>
              </w:rPr>
            </w:pPr>
            <w:r w:rsidRPr="00280FD9">
              <w:rPr>
                <w:rFonts w:ascii="Arial Narrow" w:hAnsi="Arial Narrow"/>
                <w:b/>
              </w:rPr>
              <w:t>OECD-DAC Criteria</w:t>
            </w:r>
          </w:p>
        </w:tc>
      </w:tr>
      <w:tr w:rsidR="00D647A2" w:rsidRPr="00280FD9" w14:paraId="4A1F0C95" w14:textId="77777777" w:rsidTr="006A21D6">
        <w:tc>
          <w:tcPr>
            <w:tcW w:w="1407" w:type="pct"/>
            <w:vMerge w:val="restart"/>
            <w:shd w:val="clear" w:color="auto" w:fill="auto"/>
          </w:tcPr>
          <w:p w14:paraId="6D6853C6"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b/>
              </w:rPr>
              <w:t>1. How suitable are the governance and implementation arrangements?</w:t>
            </w:r>
          </w:p>
        </w:tc>
        <w:tc>
          <w:tcPr>
            <w:tcW w:w="1484" w:type="pct"/>
            <w:shd w:val="clear" w:color="auto" w:fill="auto"/>
          </w:tcPr>
          <w:p w14:paraId="5662D2FB" w14:textId="77777777" w:rsidR="00D647A2" w:rsidRPr="00280FD9" w:rsidRDefault="00D647A2" w:rsidP="006A21D6">
            <w:pPr>
              <w:spacing w:before="60" w:after="60" w:line="260" w:lineRule="exact"/>
              <w:rPr>
                <w:rFonts w:ascii="Arial Narrow" w:hAnsi="Arial Narrow"/>
                <w:i/>
              </w:rPr>
            </w:pPr>
            <w:r w:rsidRPr="00280FD9">
              <w:rPr>
                <w:rFonts w:ascii="Arial Narrow" w:hAnsi="Arial Narrow"/>
              </w:rPr>
              <w:t>Are the governance arrangements appropriate, effective and functioning as envisaged?</w:t>
            </w:r>
          </w:p>
        </w:tc>
        <w:tc>
          <w:tcPr>
            <w:tcW w:w="1094" w:type="pct"/>
          </w:tcPr>
          <w:p w14:paraId="2844D15C"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governance documentation</w:t>
            </w:r>
          </w:p>
          <w:p w14:paraId="732078A8"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3FC1B4C0" w14:textId="77777777" w:rsidR="00D647A2"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managers </w:t>
            </w:r>
          </w:p>
          <w:p w14:paraId="053FFD00" w14:textId="77777777" w:rsidR="00D647A2" w:rsidRPr="00280FD9" w:rsidRDefault="00D647A2" w:rsidP="006A21D6">
            <w:pPr>
              <w:tabs>
                <w:tab w:val="left" w:pos="318"/>
              </w:tabs>
              <w:spacing w:before="60" w:after="100" w:line="240" w:lineRule="auto"/>
              <w:rPr>
                <w:rFonts w:ascii="Arial Narrow" w:hAnsi="Arial Narrow"/>
              </w:rPr>
            </w:pPr>
            <w:r>
              <w:rPr>
                <w:rFonts w:ascii="Arial Narrow" w:hAnsi="Arial Narrow"/>
              </w:rPr>
              <w:t>Interviews with key GoI officials</w:t>
            </w:r>
          </w:p>
        </w:tc>
        <w:tc>
          <w:tcPr>
            <w:tcW w:w="1015" w:type="pct"/>
          </w:tcPr>
          <w:p w14:paraId="02D994E9"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Relevance</w:t>
            </w:r>
          </w:p>
          <w:p w14:paraId="7032730D"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 xml:space="preserve">Effectiveness </w:t>
            </w:r>
          </w:p>
          <w:p w14:paraId="5A74B3B5"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Efficiency</w:t>
            </w:r>
          </w:p>
        </w:tc>
      </w:tr>
      <w:tr w:rsidR="00D647A2" w:rsidRPr="00280FD9" w14:paraId="0D7635A6" w14:textId="77777777" w:rsidTr="006A21D6">
        <w:tc>
          <w:tcPr>
            <w:tcW w:w="1407" w:type="pct"/>
            <w:vMerge/>
            <w:shd w:val="clear" w:color="auto" w:fill="auto"/>
          </w:tcPr>
          <w:p w14:paraId="24328433" w14:textId="77777777" w:rsidR="00D647A2" w:rsidRPr="00280FD9" w:rsidRDefault="00D647A2" w:rsidP="006A21D6">
            <w:pPr>
              <w:tabs>
                <w:tab w:val="left" w:pos="318"/>
              </w:tabs>
              <w:spacing w:before="60" w:after="60" w:line="260" w:lineRule="exact"/>
              <w:rPr>
                <w:rFonts w:ascii="Arial Narrow" w:hAnsi="Arial Narrow"/>
              </w:rPr>
            </w:pPr>
          </w:p>
        </w:tc>
        <w:tc>
          <w:tcPr>
            <w:tcW w:w="1484" w:type="pct"/>
            <w:shd w:val="clear" w:color="auto" w:fill="auto"/>
          </w:tcPr>
          <w:p w14:paraId="41066AB9" w14:textId="77777777" w:rsidR="00D647A2" w:rsidRPr="00280FD9" w:rsidRDefault="00D647A2" w:rsidP="006A21D6">
            <w:pPr>
              <w:spacing w:before="60" w:after="60" w:line="260" w:lineRule="exact"/>
              <w:rPr>
                <w:rFonts w:ascii="Arial Narrow" w:hAnsi="Arial Narrow"/>
              </w:rPr>
            </w:pPr>
            <w:r>
              <w:rPr>
                <w:rFonts w:ascii="Arial Narrow" w:hAnsi="Arial Narrow"/>
              </w:rPr>
              <w:t xml:space="preserve">Are </w:t>
            </w:r>
            <w:r w:rsidRPr="00280FD9">
              <w:rPr>
                <w:rFonts w:ascii="Arial Narrow" w:hAnsi="Arial Narrow"/>
              </w:rPr>
              <w:t xml:space="preserve">the </w:t>
            </w:r>
            <w:r w:rsidR="001648E2">
              <w:rPr>
                <w:rFonts w:ascii="Arial Narrow" w:hAnsi="Arial Narrow"/>
              </w:rPr>
              <w:t>World Bank</w:t>
            </w:r>
            <w:r w:rsidRPr="00280FD9">
              <w:rPr>
                <w:rFonts w:ascii="Arial Narrow" w:hAnsi="Arial Narrow"/>
              </w:rPr>
              <w:t xml:space="preserve"> and ADB managing their activities</w:t>
            </w:r>
            <w:r>
              <w:rPr>
                <w:rFonts w:ascii="Arial Narrow" w:hAnsi="Arial Narrow"/>
              </w:rPr>
              <w:t xml:space="preserve"> in accordance with the agreed administrative arrangements</w:t>
            </w:r>
            <w:r w:rsidRPr="00280FD9">
              <w:rPr>
                <w:rFonts w:ascii="Arial Narrow" w:hAnsi="Arial Narrow"/>
              </w:rPr>
              <w:t>?</w:t>
            </w:r>
          </w:p>
        </w:tc>
        <w:tc>
          <w:tcPr>
            <w:tcW w:w="1094" w:type="pct"/>
          </w:tcPr>
          <w:p w14:paraId="2E391F03"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information</w:t>
            </w:r>
          </w:p>
          <w:p w14:paraId="60678DD4" w14:textId="77777777" w:rsidR="00D647A2" w:rsidRPr="006D7168"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managers </w:t>
            </w:r>
          </w:p>
        </w:tc>
        <w:tc>
          <w:tcPr>
            <w:tcW w:w="1015" w:type="pct"/>
          </w:tcPr>
          <w:p w14:paraId="7FB8F2C0" w14:textId="77777777" w:rsidR="00D647A2" w:rsidRDefault="00D647A2" w:rsidP="006A21D6">
            <w:pPr>
              <w:tabs>
                <w:tab w:val="left" w:pos="318"/>
              </w:tabs>
              <w:spacing w:before="60" w:after="60" w:line="260" w:lineRule="exact"/>
              <w:rPr>
                <w:rFonts w:ascii="Arial Narrow" w:hAnsi="Arial Narrow"/>
              </w:rPr>
            </w:pPr>
            <w:r w:rsidRPr="00280FD9">
              <w:rPr>
                <w:rFonts w:ascii="Arial Narrow" w:hAnsi="Arial Narrow"/>
              </w:rPr>
              <w:t xml:space="preserve">Relevance </w:t>
            </w:r>
          </w:p>
          <w:p w14:paraId="7545AFCD"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Efficiency</w:t>
            </w:r>
          </w:p>
        </w:tc>
      </w:tr>
      <w:tr w:rsidR="00D647A2" w:rsidRPr="00280FD9" w14:paraId="259BBEFA" w14:textId="77777777" w:rsidTr="006A21D6">
        <w:trPr>
          <w:cantSplit/>
        </w:trPr>
        <w:tc>
          <w:tcPr>
            <w:tcW w:w="1407" w:type="pct"/>
            <w:vMerge/>
            <w:shd w:val="clear" w:color="auto" w:fill="auto"/>
          </w:tcPr>
          <w:p w14:paraId="0AF4E39F" w14:textId="77777777" w:rsidR="00D647A2" w:rsidRPr="00280FD9" w:rsidRDefault="00D647A2" w:rsidP="006A21D6">
            <w:pPr>
              <w:tabs>
                <w:tab w:val="left" w:pos="318"/>
              </w:tabs>
              <w:spacing w:before="60" w:after="60" w:line="260" w:lineRule="exact"/>
              <w:rPr>
                <w:rFonts w:ascii="Arial Narrow" w:hAnsi="Arial Narrow"/>
              </w:rPr>
            </w:pPr>
          </w:p>
        </w:tc>
        <w:tc>
          <w:tcPr>
            <w:tcW w:w="1484" w:type="pct"/>
            <w:shd w:val="clear" w:color="auto" w:fill="auto"/>
          </w:tcPr>
          <w:p w14:paraId="6FCCF4B8" w14:textId="77777777" w:rsidR="00D647A2" w:rsidRPr="00280FD9" w:rsidRDefault="00D647A2" w:rsidP="006A21D6">
            <w:pPr>
              <w:spacing w:before="60" w:after="60" w:line="260" w:lineRule="exact"/>
              <w:rPr>
                <w:rFonts w:ascii="Arial Narrow" w:hAnsi="Arial Narrow"/>
              </w:rPr>
            </w:pPr>
            <w:r w:rsidRPr="00280FD9">
              <w:rPr>
                <w:rFonts w:ascii="Arial Narrow" w:hAnsi="Arial Narrow"/>
              </w:rPr>
              <w:t>Is the program’s Monitoring and Evaluation (M&amp;E) system providing DFAT with the information needed to confidently understand and report on progress?</w:t>
            </w:r>
          </w:p>
        </w:tc>
        <w:tc>
          <w:tcPr>
            <w:tcW w:w="1094" w:type="pct"/>
          </w:tcPr>
          <w:p w14:paraId="24D52C42"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governance documentation</w:t>
            </w:r>
          </w:p>
          <w:p w14:paraId="210FABBB"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713BF0E9"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managers</w:t>
            </w:r>
          </w:p>
          <w:p w14:paraId="2395FB87"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Interviews with Task Team Leaders and other advisers on subprojects</w:t>
            </w:r>
          </w:p>
        </w:tc>
        <w:tc>
          <w:tcPr>
            <w:tcW w:w="1015" w:type="pct"/>
          </w:tcPr>
          <w:p w14:paraId="4BDF3EA3"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Impact</w:t>
            </w:r>
          </w:p>
          <w:p w14:paraId="4E72CFD3"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Efficiency</w:t>
            </w:r>
          </w:p>
        </w:tc>
      </w:tr>
      <w:tr w:rsidR="00D647A2" w:rsidRPr="00280FD9" w14:paraId="228CC0C0" w14:textId="77777777" w:rsidTr="006A21D6">
        <w:trPr>
          <w:cantSplit/>
        </w:trPr>
        <w:tc>
          <w:tcPr>
            <w:tcW w:w="1407" w:type="pct"/>
            <w:vMerge w:val="restart"/>
          </w:tcPr>
          <w:p w14:paraId="62FA30D2"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b/>
              </w:rPr>
              <w:t>2. How effective is the program in delivering outcomes and adapting to change?</w:t>
            </w:r>
          </w:p>
        </w:tc>
        <w:tc>
          <w:tcPr>
            <w:tcW w:w="1484" w:type="pct"/>
          </w:tcPr>
          <w:p w14:paraId="332FC461"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Are the program’s outcomes clearly defined</w:t>
            </w:r>
            <w:r w:rsidRPr="00280FD9">
              <w:rPr>
                <w:rFonts w:ascii="Arial Narrow" w:hAnsi="Arial Narrow"/>
              </w:rPr>
              <w:t>?</w:t>
            </w:r>
          </w:p>
        </w:tc>
        <w:tc>
          <w:tcPr>
            <w:tcW w:w="1094" w:type="pct"/>
          </w:tcPr>
          <w:p w14:paraId="4A8D79C8"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3085BE81"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Interviews with DFAT office</w:t>
            </w:r>
            <w:r>
              <w:rPr>
                <w:rFonts w:ascii="Arial Narrow" w:hAnsi="Arial Narrow"/>
              </w:rPr>
              <w:t xml:space="preserve">rs, </w:t>
            </w:r>
            <w:r w:rsidR="001648E2">
              <w:rPr>
                <w:rFonts w:ascii="Arial Narrow" w:hAnsi="Arial Narrow"/>
              </w:rPr>
              <w:t>World Bank</w:t>
            </w:r>
            <w:r>
              <w:rPr>
                <w:rFonts w:ascii="Arial Narrow" w:hAnsi="Arial Narrow"/>
              </w:rPr>
              <w:t xml:space="preserve"> and ADB program managers</w:t>
            </w:r>
          </w:p>
        </w:tc>
        <w:tc>
          <w:tcPr>
            <w:tcW w:w="1015" w:type="pct"/>
          </w:tcPr>
          <w:p w14:paraId="15EA3455" w14:textId="77777777" w:rsidR="00D647A2" w:rsidRDefault="00D647A2" w:rsidP="006A21D6">
            <w:pPr>
              <w:tabs>
                <w:tab w:val="left" w:pos="318"/>
              </w:tabs>
              <w:spacing w:before="60" w:after="60" w:line="260" w:lineRule="exact"/>
              <w:rPr>
                <w:rFonts w:ascii="Arial Narrow" w:hAnsi="Arial Narrow"/>
              </w:rPr>
            </w:pPr>
            <w:r>
              <w:rPr>
                <w:rFonts w:ascii="Arial Narrow" w:hAnsi="Arial Narrow"/>
              </w:rPr>
              <w:t>Efficiency</w:t>
            </w:r>
          </w:p>
          <w:p w14:paraId="54E64FB5"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Effectiveness</w:t>
            </w:r>
          </w:p>
        </w:tc>
      </w:tr>
      <w:tr w:rsidR="00D647A2" w:rsidRPr="00280FD9" w14:paraId="6339DF00" w14:textId="77777777" w:rsidTr="006A21D6">
        <w:trPr>
          <w:cantSplit/>
        </w:trPr>
        <w:tc>
          <w:tcPr>
            <w:tcW w:w="1407" w:type="pct"/>
            <w:vMerge/>
          </w:tcPr>
          <w:p w14:paraId="0CCB521B" w14:textId="77777777" w:rsidR="00D647A2" w:rsidRPr="00280FD9" w:rsidRDefault="00D647A2" w:rsidP="006A21D6">
            <w:pPr>
              <w:tabs>
                <w:tab w:val="left" w:pos="318"/>
              </w:tabs>
              <w:spacing w:before="60" w:after="60" w:line="260" w:lineRule="exact"/>
              <w:rPr>
                <w:rFonts w:ascii="Arial Narrow" w:hAnsi="Arial Narrow"/>
                <w:b/>
              </w:rPr>
            </w:pPr>
          </w:p>
        </w:tc>
        <w:tc>
          <w:tcPr>
            <w:tcW w:w="1484" w:type="pct"/>
          </w:tcPr>
          <w:p w14:paraId="6F198CCE"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Is the program effective in delivering on expected outcomes?</w:t>
            </w:r>
          </w:p>
        </w:tc>
        <w:tc>
          <w:tcPr>
            <w:tcW w:w="1094" w:type="pct"/>
          </w:tcPr>
          <w:p w14:paraId="423BA11D"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04A0AD21"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managers</w:t>
            </w:r>
          </w:p>
          <w:p w14:paraId="231E8B6E"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Interviews with Task Team Leaders and other advisers on subprojects</w:t>
            </w:r>
          </w:p>
        </w:tc>
        <w:tc>
          <w:tcPr>
            <w:tcW w:w="1015" w:type="pct"/>
          </w:tcPr>
          <w:p w14:paraId="65D7B687" w14:textId="77777777" w:rsidR="00D647A2" w:rsidRDefault="00D647A2" w:rsidP="006A21D6">
            <w:pPr>
              <w:tabs>
                <w:tab w:val="left" w:pos="318"/>
              </w:tabs>
              <w:spacing w:before="60" w:after="60" w:line="260" w:lineRule="exact"/>
              <w:rPr>
                <w:rFonts w:ascii="Arial Narrow" w:hAnsi="Arial Narrow"/>
              </w:rPr>
            </w:pPr>
            <w:r>
              <w:rPr>
                <w:rFonts w:ascii="Arial Narrow" w:hAnsi="Arial Narrow"/>
              </w:rPr>
              <w:t>Effectiveness</w:t>
            </w:r>
          </w:p>
          <w:p w14:paraId="1F824265" w14:textId="77777777" w:rsidR="00D647A2" w:rsidRDefault="00D647A2" w:rsidP="006A21D6">
            <w:pPr>
              <w:tabs>
                <w:tab w:val="left" w:pos="318"/>
              </w:tabs>
              <w:spacing w:before="60" w:after="60" w:line="260" w:lineRule="exact"/>
              <w:rPr>
                <w:rFonts w:ascii="Arial Narrow" w:hAnsi="Arial Narrow"/>
              </w:rPr>
            </w:pPr>
            <w:r>
              <w:rPr>
                <w:rFonts w:ascii="Arial Narrow" w:hAnsi="Arial Narrow"/>
              </w:rPr>
              <w:t>Sustainability</w:t>
            </w:r>
          </w:p>
        </w:tc>
      </w:tr>
      <w:tr w:rsidR="00D647A2" w:rsidRPr="00280FD9" w14:paraId="5B8B44B5" w14:textId="77777777" w:rsidTr="006A21D6">
        <w:tc>
          <w:tcPr>
            <w:tcW w:w="1407" w:type="pct"/>
            <w:vMerge/>
          </w:tcPr>
          <w:p w14:paraId="3E2CF9B0" w14:textId="77777777" w:rsidR="00D647A2" w:rsidRPr="00280FD9" w:rsidRDefault="00D647A2" w:rsidP="006A21D6">
            <w:pPr>
              <w:tabs>
                <w:tab w:val="left" w:pos="318"/>
              </w:tabs>
              <w:spacing w:before="60" w:after="60" w:line="260" w:lineRule="exact"/>
              <w:rPr>
                <w:rFonts w:ascii="Arial Narrow" w:hAnsi="Arial Narrow"/>
              </w:rPr>
            </w:pPr>
          </w:p>
        </w:tc>
        <w:tc>
          <w:tcPr>
            <w:tcW w:w="1484" w:type="pct"/>
          </w:tcPr>
          <w:p w14:paraId="5E73A3FC"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 xml:space="preserve">Have the </w:t>
            </w:r>
            <w:r w:rsidR="001648E2">
              <w:rPr>
                <w:rFonts w:ascii="Arial Narrow" w:hAnsi="Arial Narrow"/>
              </w:rPr>
              <w:t>World Bank</w:t>
            </w:r>
            <w:r w:rsidRPr="00280FD9">
              <w:rPr>
                <w:rFonts w:ascii="Arial Narrow" w:hAnsi="Arial Narrow"/>
              </w:rPr>
              <w:t xml:space="preserve"> and ADB been adaptive to change (i.e. change in GOI priorities) and emerging themes (i.e. the Australian Government’s position on social inclusion and gender equality)?</w:t>
            </w:r>
          </w:p>
        </w:tc>
        <w:tc>
          <w:tcPr>
            <w:tcW w:w="1094" w:type="pct"/>
          </w:tcPr>
          <w:p w14:paraId="1566EC97"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288F21DE" w14:textId="77777777" w:rsidR="00D647A2"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w:t>
            </w:r>
            <w:r>
              <w:rPr>
                <w:rFonts w:ascii="Arial Narrow" w:hAnsi="Arial Narrow"/>
              </w:rPr>
              <w:t>s</w:t>
            </w:r>
          </w:p>
          <w:p w14:paraId="1613004B" w14:textId="77777777" w:rsidR="00D647A2" w:rsidRPr="00280FD9" w:rsidRDefault="00D647A2" w:rsidP="006A21D6">
            <w:pPr>
              <w:tabs>
                <w:tab w:val="left" w:pos="318"/>
              </w:tabs>
              <w:spacing w:before="60" w:after="100" w:line="240" w:lineRule="auto"/>
              <w:rPr>
                <w:rFonts w:ascii="Arial Narrow" w:hAnsi="Arial Narrow"/>
              </w:rPr>
            </w:pPr>
            <w:r>
              <w:rPr>
                <w:rFonts w:ascii="Arial Narrow" w:hAnsi="Arial Narrow"/>
              </w:rPr>
              <w:t>Interviews with key GoI officials</w:t>
            </w:r>
          </w:p>
        </w:tc>
        <w:tc>
          <w:tcPr>
            <w:tcW w:w="1015" w:type="pct"/>
          </w:tcPr>
          <w:p w14:paraId="71FEEB06"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Relevance</w:t>
            </w:r>
          </w:p>
        </w:tc>
      </w:tr>
      <w:tr w:rsidR="00D647A2" w:rsidRPr="00280FD9" w14:paraId="0C628899" w14:textId="77777777" w:rsidTr="006A21D6">
        <w:trPr>
          <w:cantSplit/>
        </w:trPr>
        <w:tc>
          <w:tcPr>
            <w:tcW w:w="1407" w:type="pct"/>
            <w:vMerge/>
          </w:tcPr>
          <w:p w14:paraId="08D7B397" w14:textId="77777777" w:rsidR="00D647A2" w:rsidRPr="00280FD9" w:rsidRDefault="00D647A2" w:rsidP="006A21D6">
            <w:pPr>
              <w:tabs>
                <w:tab w:val="left" w:pos="318"/>
              </w:tabs>
              <w:spacing w:before="60" w:after="60" w:line="260" w:lineRule="exact"/>
              <w:rPr>
                <w:rFonts w:ascii="Arial Narrow" w:hAnsi="Arial Narrow"/>
                <w:b/>
              </w:rPr>
            </w:pPr>
          </w:p>
        </w:tc>
        <w:tc>
          <w:tcPr>
            <w:tcW w:w="1484" w:type="pct"/>
          </w:tcPr>
          <w:p w14:paraId="5611678B"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Has the program been successful in leveraging the investment made by the Australian Government?</w:t>
            </w:r>
          </w:p>
        </w:tc>
        <w:tc>
          <w:tcPr>
            <w:tcW w:w="1094" w:type="pct"/>
          </w:tcPr>
          <w:p w14:paraId="74BE2878" w14:textId="77777777" w:rsidR="00D647A2"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w:t>
            </w:r>
            <w:r>
              <w:rPr>
                <w:rFonts w:ascii="Arial Narrow" w:hAnsi="Arial Narrow"/>
              </w:rPr>
              <w:t>s</w:t>
            </w:r>
            <w:r w:rsidRPr="00E650B0">
              <w:rPr>
                <w:rFonts w:ascii="Arial Narrow" w:hAnsi="Arial Narrow"/>
              </w:rPr>
              <w:t xml:space="preserve"> </w:t>
            </w:r>
          </w:p>
          <w:p w14:paraId="3E236FCA" w14:textId="77777777" w:rsidR="00D647A2" w:rsidRDefault="00D647A2" w:rsidP="006A21D6">
            <w:pPr>
              <w:tabs>
                <w:tab w:val="left" w:pos="318"/>
              </w:tabs>
              <w:spacing w:before="60" w:after="100" w:line="240" w:lineRule="auto"/>
              <w:rPr>
                <w:rFonts w:ascii="Arial Narrow" w:hAnsi="Arial Narrow"/>
              </w:rPr>
            </w:pPr>
            <w:r>
              <w:rPr>
                <w:rFonts w:ascii="Arial Narrow" w:hAnsi="Arial Narrow"/>
              </w:rPr>
              <w:t>Interviews with key GoI officials</w:t>
            </w:r>
            <w:r w:rsidRPr="00E650B0">
              <w:rPr>
                <w:rFonts w:ascii="Arial Narrow" w:hAnsi="Arial Narrow"/>
              </w:rPr>
              <w:t xml:space="preserve"> </w:t>
            </w:r>
          </w:p>
          <w:p w14:paraId="70847D4F" w14:textId="77777777" w:rsidR="00D647A2" w:rsidRPr="00280FD9" w:rsidRDefault="001648E2" w:rsidP="006A21D6">
            <w:pPr>
              <w:tabs>
                <w:tab w:val="left" w:pos="318"/>
              </w:tabs>
              <w:spacing w:before="60" w:after="100" w:line="240" w:lineRule="auto"/>
              <w:rPr>
                <w:rFonts w:ascii="Arial Narrow" w:hAnsi="Arial Narrow"/>
              </w:rPr>
            </w:pPr>
            <w:r>
              <w:rPr>
                <w:rFonts w:ascii="Arial Narrow" w:hAnsi="Arial Narrow"/>
              </w:rPr>
              <w:t>World Bank</w:t>
            </w:r>
            <w:r w:rsidR="00D647A2" w:rsidRPr="00E650B0">
              <w:rPr>
                <w:rFonts w:ascii="Arial Narrow" w:hAnsi="Arial Narrow"/>
              </w:rPr>
              <w:t xml:space="preserve"> and ADB country strategies, implemented loan/ grant agreements</w:t>
            </w:r>
          </w:p>
        </w:tc>
        <w:tc>
          <w:tcPr>
            <w:tcW w:w="1015" w:type="pct"/>
          </w:tcPr>
          <w:p w14:paraId="25C8333E"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Impact</w:t>
            </w:r>
          </w:p>
        </w:tc>
      </w:tr>
      <w:tr w:rsidR="00D647A2" w:rsidRPr="00280FD9" w14:paraId="26A37FB9" w14:textId="77777777" w:rsidTr="006A21D6">
        <w:trPr>
          <w:cantSplit/>
        </w:trPr>
        <w:tc>
          <w:tcPr>
            <w:tcW w:w="1407" w:type="pct"/>
            <w:vMerge w:val="restart"/>
          </w:tcPr>
          <w:p w14:paraId="3B1F1C77" w14:textId="77777777" w:rsidR="00D647A2" w:rsidRPr="00280FD9" w:rsidRDefault="00D647A2" w:rsidP="006A21D6">
            <w:pPr>
              <w:keepNext/>
              <w:tabs>
                <w:tab w:val="left" w:pos="318"/>
              </w:tabs>
              <w:spacing w:before="60" w:after="60" w:line="260" w:lineRule="exact"/>
              <w:rPr>
                <w:rFonts w:ascii="Arial Narrow" w:hAnsi="Arial Narrow"/>
              </w:rPr>
            </w:pPr>
            <w:r w:rsidRPr="00280FD9">
              <w:rPr>
                <w:rFonts w:ascii="Arial Narrow" w:hAnsi="Arial Narrow"/>
                <w:b/>
              </w:rPr>
              <w:t>3: How relevant is the program overall as well as in terms of the individual investment choices made?</w:t>
            </w:r>
          </w:p>
        </w:tc>
        <w:tc>
          <w:tcPr>
            <w:tcW w:w="1484" w:type="pct"/>
          </w:tcPr>
          <w:p w14:paraId="3393D4A0"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How aligned is the program to Australian and Indonesian Government priorities?</w:t>
            </w:r>
          </w:p>
        </w:tc>
        <w:tc>
          <w:tcPr>
            <w:tcW w:w="1094" w:type="pct"/>
          </w:tcPr>
          <w:p w14:paraId="4950DE55"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management documentation</w:t>
            </w:r>
          </w:p>
          <w:p w14:paraId="3E6E4569" w14:textId="77777777" w:rsidR="00D647A2"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w:t>
            </w:r>
            <w:r>
              <w:rPr>
                <w:rFonts w:ascii="Arial Narrow" w:hAnsi="Arial Narrow"/>
              </w:rPr>
              <w:t>s</w:t>
            </w:r>
          </w:p>
          <w:p w14:paraId="2769A184" w14:textId="77777777" w:rsidR="00D647A2" w:rsidRPr="00280FD9" w:rsidRDefault="00D647A2" w:rsidP="006A21D6">
            <w:pPr>
              <w:tabs>
                <w:tab w:val="left" w:pos="318"/>
              </w:tabs>
              <w:spacing w:before="60" w:after="100" w:line="240" w:lineRule="auto"/>
              <w:rPr>
                <w:rFonts w:ascii="Arial Narrow" w:hAnsi="Arial Narrow"/>
              </w:rPr>
            </w:pPr>
            <w:r>
              <w:rPr>
                <w:rFonts w:ascii="Arial Narrow" w:hAnsi="Arial Narrow"/>
              </w:rPr>
              <w:t>Interviews with key GoI officials</w:t>
            </w:r>
          </w:p>
        </w:tc>
        <w:tc>
          <w:tcPr>
            <w:tcW w:w="1015" w:type="pct"/>
          </w:tcPr>
          <w:p w14:paraId="1A660CAA" w14:textId="77777777" w:rsidR="00D647A2" w:rsidRDefault="00D647A2" w:rsidP="006A21D6">
            <w:pPr>
              <w:tabs>
                <w:tab w:val="left" w:pos="318"/>
              </w:tabs>
              <w:spacing w:before="60" w:after="60" w:line="260" w:lineRule="exact"/>
              <w:rPr>
                <w:rFonts w:ascii="Arial Narrow" w:hAnsi="Arial Narrow"/>
              </w:rPr>
            </w:pPr>
            <w:r>
              <w:rPr>
                <w:rFonts w:ascii="Arial Narrow" w:hAnsi="Arial Narrow"/>
              </w:rPr>
              <w:t>Relevance</w:t>
            </w:r>
          </w:p>
          <w:p w14:paraId="580082B7"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Effectiveness</w:t>
            </w:r>
          </w:p>
        </w:tc>
      </w:tr>
      <w:tr w:rsidR="00D647A2" w:rsidRPr="00280FD9" w14:paraId="74012F04" w14:textId="77777777" w:rsidTr="006A21D6">
        <w:trPr>
          <w:cantSplit/>
        </w:trPr>
        <w:tc>
          <w:tcPr>
            <w:tcW w:w="1407" w:type="pct"/>
            <w:vMerge/>
          </w:tcPr>
          <w:p w14:paraId="69679C7E" w14:textId="77777777" w:rsidR="00D647A2" w:rsidRPr="00280FD9" w:rsidRDefault="00D647A2" w:rsidP="006A21D6">
            <w:pPr>
              <w:tabs>
                <w:tab w:val="left" w:pos="318"/>
              </w:tabs>
              <w:spacing w:before="60" w:after="60" w:line="260" w:lineRule="exact"/>
              <w:rPr>
                <w:rFonts w:ascii="Arial Narrow" w:hAnsi="Arial Narrow"/>
                <w:b/>
              </w:rPr>
            </w:pPr>
          </w:p>
        </w:tc>
        <w:tc>
          <w:tcPr>
            <w:tcW w:w="1484" w:type="pct"/>
          </w:tcPr>
          <w:p w14:paraId="46EB8822" w14:textId="77777777" w:rsidR="00D647A2" w:rsidRPr="00280FD9" w:rsidRDefault="00D647A2" w:rsidP="006A21D6">
            <w:pPr>
              <w:tabs>
                <w:tab w:val="left" w:pos="318"/>
              </w:tabs>
              <w:spacing w:before="60" w:after="60" w:line="260" w:lineRule="exact"/>
              <w:rPr>
                <w:rFonts w:ascii="Arial Narrow" w:hAnsi="Arial Narrow"/>
              </w:rPr>
            </w:pPr>
            <w:r w:rsidRPr="00280FD9">
              <w:rPr>
                <w:rFonts w:ascii="Arial Narrow" w:hAnsi="Arial Narrow"/>
              </w:rPr>
              <w:t xml:space="preserve">Does DFAT have sound decision making processes regarding investment decisions between </w:t>
            </w:r>
            <w:r w:rsidR="001648E2">
              <w:rPr>
                <w:rFonts w:ascii="Arial Narrow" w:hAnsi="Arial Narrow"/>
              </w:rPr>
              <w:t>World Bank</w:t>
            </w:r>
            <w:r w:rsidRPr="00280FD9">
              <w:rPr>
                <w:rFonts w:ascii="Arial Narrow" w:hAnsi="Arial Narrow"/>
              </w:rPr>
              <w:t xml:space="preserve"> and ADB?</w:t>
            </w:r>
          </w:p>
        </w:tc>
        <w:tc>
          <w:tcPr>
            <w:tcW w:w="1094" w:type="pct"/>
          </w:tcPr>
          <w:p w14:paraId="54D24B94"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Program governance documentation</w:t>
            </w:r>
          </w:p>
          <w:p w14:paraId="22AA54B1" w14:textId="77777777" w:rsidR="00D647A2" w:rsidRPr="00280FD9" w:rsidRDefault="00D647A2" w:rsidP="006A21D6">
            <w:pPr>
              <w:tabs>
                <w:tab w:val="left" w:pos="318"/>
              </w:tabs>
              <w:spacing w:before="60" w:after="100" w:line="240" w:lineRule="auto"/>
              <w:rPr>
                <w:rFonts w:ascii="Arial Narrow" w:hAnsi="Arial Narrow"/>
              </w:rPr>
            </w:pPr>
            <w:r w:rsidRPr="00280FD9">
              <w:rPr>
                <w:rFonts w:ascii="Arial Narrow" w:hAnsi="Arial Narrow"/>
              </w:rPr>
              <w:t xml:space="preserve">Interviews with DFAT officers, </w:t>
            </w:r>
            <w:r w:rsidR="001648E2">
              <w:rPr>
                <w:rFonts w:ascii="Arial Narrow" w:hAnsi="Arial Narrow"/>
              </w:rPr>
              <w:t>World Bank</w:t>
            </w:r>
            <w:r w:rsidRPr="00280FD9">
              <w:rPr>
                <w:rFonts w:ascii="Arial Narrow" w:hAnsi="Arial Narrow"/>
              </w:rPr>
              <w:t xml:space="preserve"> and ADB program manager</w:t>
            </w:r>
            <w:r>
              <w:rPr>
                <w:rFonts w:ascii="Arial Narrow" w:hAnsi="Arial Narrow"/>
              </w:rPr>
              <w:t>s</w:t>
            </w:r>
          </w:p>
        </w:tc>
        <w:tc>
          <w:tcPr>
            <w:tcW w:w="1015" w:type="pct"/>
          </w:tcPr>
          <w:p w14:paraId="7B7FE1AA" w14:textId="77777777" w:rsidR="00D647A2" w:rsidRPr="00280FD9" w:rsidRDefault="00D647A2" w:rsidP="006A21D6">
            <w:pPr>
              <w:tabs>
                <w:tab w:val="left" w:pos="318"/>
              </w:tabs>
              <w:spacing w:before="60" w:after="60" w:line="260" w:lineRule="exact"/>
              <w:rPr>
                <w:rFonts w:ascii="Arial Narrow" w:hAnsi="Arial Narrow"/>
              </w:rPr>
            </w:pPr>
            <w:r>
              <w:rPr>
                <w:rFonts w:ascii="Arial Narrow" w:hAnsi="Arial Narrow"/>
              </w:rPr>
              <w:t>Impact</w:t>
            </w:r>
          </w:p>
        </w:tc>
      </w:tr>
    </w:tbl>
    <w:p w14:paraId="6C759AD2" w14:textId="77777777" w:rsidR="00D647A2" w:rsidRDefault="00D647A2" w:rsidP="00D647A2"/>
    <w:p w14:paraId="76C1598E" w14:textId="77777777" w:rsidR="006A21D6" w:rsidRDefault="006A21D6" w:rsidP="006A21D6">
      <w:pPr>
        <w:pStyle w:val="Heading2"/>
      </w:pPr>
      <w:bookmarkStart w:id="20" w:name="_Toc505838191"/>
      <w:r>
        <w:lastRenderedPageBreak/>
        <w:t>Evaluation Methods</w:t>
      </w:r>
      <w:bookmarkEnd w:id="20"/>
    </w:p>
    <w:p w14:paraId="729592BF" w14:textId="77777777" w:rsidR="006A21D6" w:rsidRDefault="006A21D6" w:rsidP="006A21D6">
      <w:r>
        <w:rPr>
          <w:rFonts w:asciiTheme="minorHAnsi" w:hAnsiTheme="minorHAnsi" w:cs="Calibri"/>
        </w:rPr>
        <w:t>The evaluation examined the evaluation questions using the following methods for data collection and analysis</w:t>
      </w:r>
      <w:r w:rsidRPr="00F7316B">
        <w:t xml:space="preserve">. </w:t>
      </w:r>
    </w:p>
    <w:p w14:paraId="6F2B9475" w14:textId="77777777" w:rsidR="006A21D6" w:rsidRDefault="006A21D6" w:rsidP="006A21D6">
      <w:pPr>
        <w:pStyle w:val="Heading3"/>
      </w:pPr>
      <w:r>
        <w:t>I</w:t>
      </w:r>
      <w:r w:rsidRPr="00F7316B">
        <w:t>nitial stakeholder engagement</w:t>
      </w:r>
    </w:p>
    <w:p w14:paraId="75EB3C12" w14:textId="77777777" w:rsidR="006A21D6" w:rsidRPr="005E1CFB" w:rsidRDefault="006A21D6" w:rsidP="006A21D6">
      <w:pPr>
        <w:rPr>
          <w:rFonts w:asciiTheme="minorHAnsi" w:hAnsiTheme="minorHAnsi" w:cs="Calibri"/>
        </w:rPr>
      </w:pPr>
      <w:r>
        <w:rPr>
          <w:rFonts w:asciiTheme="minorHAnsi" w:hAnsiTheme="minorHAnsi" w:cs="Calibri"/>
        </w:rPr>
        <w:t>I</w:t>
      </w:r>
      <w:r w:rsidRPr="00F7316B">
        <w:rPr>
          <w:rFonts w:asciiTheme="minorHAnsi" w:hAnsiTheme="minorHAnsi" w:cs="Calibri"/>
        </w:rPr>
        <w:t xml:space="preserve">nitial engagement with a </w:t>
      </w:r>
      <w:r>
        <w:rPr>
          <w:rFonts w:asciiTheme="minorHAnsi" w:hAnsiTheme="minorHAnsi" w:cs="Calibri"/>
        </w:rPr>
        <w:t xml:space="preserve">small </w:t>
      </w:r>
      <w:r w:rsidRPr="00F7316B">
        <w:rPr>
          <w:rFonts w:asciiTheme="minorHAnsi" w:hAnsiTheme="minorHAnsi" w:cs="Calibri"/>
        </w:rPr>
        <w:t xml:space="preserve">selection of the </w:t>
      </w:r>
      <w:r>
        <w:rPr>
          <w:rFonts w:asciiTheme="minorHAnsi" w:hAnsiTheme="minorHAnsi" w:cs="Calibri"/>
        </w:rPr>
        <w:t>key s</w:t>
      </w:r>
      <w:r w:rsidRPr="00F7316B">
        <w:rPr>
          <w:rFonts w:asciiTheme="minorHAnsi" w:hAnsiTheme="minorHAnsi" w:cs="Calibri"/>
        </w:rPr>
        <w:t>takeholder</w:t>
      </w:r>
      <w:r>
        <w:rPr>
          <w:rFonts w:asciiTheme="minorHAnsi" w:hAnsiTheme="minorHAnsi" w:cs="Calibri"/>
        </w:rPr>
        <w:t>s through telephone / Skype interviews will be used to refine the Evaluation Plan and identify key contextual factors and expectations of the evaluation. Initial stakeholders consulted at this stage will be limited to DFAT staff based in both Australia and Jakarta.</w:t>
      </w:r>
      <w:r w:rsidRPr="00F7316B">
        <w:rPr>
          <w:rFonts w:asciiTheme="minorHAnsi" w:hAnsiTheme="minorHAnsi" w:cs="Calibri"/>
        </w:rPr>
        <w:t xml:space="preserve"> </w:t>
      </w:r>
    </w:p>
    <w:p w14:paraId="5C6C6A36" w14:textId="77777777" w:rsidR="006A21D6" w:rsidRPr="00F7316B" w:rsidRDefault="006A21D6" w:rsidP="006A21D6">
      <w:pPr>
        <w:pStyle w:val="Heading3"/>
        <w:numPr>
          <w:ilvl w:val="0"/>
          <w:numId w:val="0"/>
        </w:numPr>
      </w:pPr>
      <w:r w:rsidRPr="00F7316B">
        <w:t xml:space="preserve">Desk review </w:t>
      </w:r>
    </w:p>
    <w:p w14:paraId="46337435" w14:textId="27E59E2F" w:rsidR="006A21D6" w:rsidRDefault="006A21D6" w:rsidP="006A21D6">
      <w:pPr>
        <w:rPr>
          <w:rFonts w:asciiTheme="minorHAnsi" w:hAnsiTheme="minorHAnsi" w:cs="Calibri"/>
        </w:rPr>
      </w:pPr>
      <w:r>
        <w:rPr>
          <w:rFonts w:asciiTheme="minorHAnsi" w:hAnsiTheme="minorHAnsi" w:cs="Calibri"/>
        </w:rPr>
        <w:t>Initial d</w:t>
      </w:r>
      <w:r w:rsidRPr="00F7316B">
        <w:rPr>
          <w:rFonts w:asciiTheme="minorHAnsi" w:hAnsiTheme="minorHAnsi" w:cs="Calibri"/>
        </w:rPr>
        <w:t>esk review of relevant documents</w:t>
      </w:r>
      <w:r>
        <w:rPr>
          <w:rFonts w:asciiTheme="minorHAnsi" w:hAnsiTheme="minorHAnsi" w:cs="Calibri"/>
        </w:rPr>
        <w:t xml:space="preserve"> was used to develop an understanding of the program intent and context to </w:t>
      </w:r>
      <w:r w:rsidRPr="00F7316B">
        <w:rPr>
          <w:rFonts w:asciiTheme="minorHAnsi" w:hAnsiTheme="minorHAnsi" w:cs="Calibri"/>
        </w:rPr>
        <w:t>provide an initial validation for the key evaluation questions, and provide a basis to develop data co</w:t>
      </w:r>
      <w:r>
        <w:rPr>
          <w:rFonts w:asciiTheme="minorHAnsi" w:hAnsiTheme="minorHAnsi" w:cs="Calibri"/>
        </w:rPr>
        <w:t xml:space="preserve">llection guides and protocols in preparation for </w:t>
      </w:r>
      <w:r w:rsidR="00F412B1">
        <w:rPr>
          <w:rFonts w:asciiTheme="minorHAnsi" w:hAnsiTheme="minorHAnsi" w:cs="Calibri"/>
        </w:rPr>
        <w:t xml:space="preserve">an </w:t>
      </w:r>
      <w:r w:rsidR="00F412B1">
        <w:t xml:space="preserve">in-country mission to </w:t>
      </w:r>
      <w:r>
        <w:rPr>
          <w:rFonts w:asciiTheme="minorHAnsi" w:hAnsiTheme="minorHAnsi" w:cs="Calibri"/>
        </w:rPr>
        <w:t>Jakarta. Document review was also an ongoing component of the evaluation as further relevant documents were identified through consultation with stakeholders.</w:t>
      </w:r>
    </w:p>
    <w:p w14:paraId="3EFDDFE2" w14:textId="77777777" w:rsidR="006A21D6" w:rsidRDefault="006A21D6" w:rsidP="006A21D6">
      <w:pPr>
        <w:pStyle w:val="Heading3"/>
      </w:pPr>
      <w:r>
        <w:t>Sample subprojects</w:t>
      </w:r>
    </w:p>
    <w:p w14:paraId="2C82B7A5" w14:textId="77777777" w:rsidR="006A21D6" w:rsidRDefault="006A21D6" w:rsidP="006A21D6">
      <w:r>
        <w:t>While there was not the scope for an exhaustive assessment of individual subprojects, the evaluation drew on primary data collection from fieldwork to triangulate progress reporting in 6-monthly reports and initial findings</w:t>
      </w:r>
      <w:r w:rsidRPr="003634A3">
        <w:t xml:space="preserve">. </w:t>
      </w:r>
    </w:p>
    <w:p w14:paraId="2DCC06EA" w14:textId="77777777" w:rsidR="006A21D6" w:rsidRDefault="006A21D6" w:rsidP="006A21D6">
      <w:pPr>
        <w:pStyle w:val="Heading4"/>
      </w:pPr>
      <w:r>
        <w:t>Project selection</w:t>
      </w:r>
    </w:p>
    <w:p w14:paraId="07320DE9" w14:textId="77777777" w:rsidR="006A21D6" w:rsidRDefault="006A21D6" w:rsidP="006A21D6">
      <w:pPr>
        <w:rPr>
          <w:rFonts w:asciiTheme="minorHAnsi" w:hAnsiTheme="minorHAnsi" w:cs="Calibri"/>
          <w:highlight w:val="yellow"/>
        </w:rPr>
      </w:pPr>
      <w:r w:rsidRPr="003634A3">
        <w:t xml:space="preserve">Based on </w:t>
      </w:r>
      <w:r>
        <w:t xml:space="preserve">feedback provided by DFAT Jakarta Post </w:t>
      </w:r>
      <w:r w:rsidRPr="003634A3">
        <w:t xml:space="preserve">during the inception </w:t>
      </w:r>
      <w:r>
        <w:t xml:space="preserve">phase of this evaluation, a sample of subprojects will be examined to provide a more detailed understanding of the activities being funded through the MDB-IAP and potential leverage being achieved from this investment. </w:t>
      </w:r>
    </w:p>
    <w:p w14:paraId="264C6163" w14:textId="77777777" w:rsidR="006A21D6" w:rsidRDefault="006A21D6" w:rsidP="006A21D6">
      <w:r>
        <w:t>The examination of project specific information, and discussions with Task Team Leaders and GoI officials provided a level of insight into the activities of the MDB-IAP that would not otherwise have been possible. These discussions also provided insight into the operation of the program</w:t>
      </w:r>
      <w:r w:rsidRPr="003634A3">
        <w:t>.</w:t>
      </w:r>
      <w:r>
        <w:t xml:space="preserve"> </w:t>
      </w:r>
    </w:p>
    <w:p w14:paraId="5B40E037" w14:textId="77777777" w:rsidR="006A21D6" w:rsidRDefault="006A21D6" w:rsidP="006A21D6">
      <w:pPr>
        <w:pStyle w:val="Heading3"/>
      </w:pPr>
      <w:r>
        <w:t>Stakeholder Consultation</w:t>
      </w:r>
    </w:p>
    <w:p w14:paraId="62E6823C" w14:textId="77777777" w:rsidR="006A21D6" w:rsidRDefault="006A21D6" w:rsidP="006A21D6">
      <w:r>
        <w:t xml:space="preserve">A core component of the discovery phase of the evaluation involved a 14-day in-country mission to Jakarta. The fieldwork discussions provide </w:t>
      </w:r>
      <w:r w:rsidRPr="00F7316B">
        <w:t xml:space="preserve">a deeper and more detailed insight in relation to the evaluation questions, </w:t>
      </w:r>
      <w:r>
        <w:t xml:space="preserve">particularly through examination of the sample subprojects listed above. This mission included engaging with stakeholders in-country that were involved in the management of the MDB-IAP as well as the management of the individual trust fund activities. </w:t>
      </w:r>
    </w:p>
    <w:p w14:paraId="401F12FC" w14:textId="77777777" w:rsidR="006A21D6" w:rsidRDefault="006A21D6" w:rsidP="006A21D6">
      <w:r>
        <w:t xml:space="preserve">A broad range of stakeholders were consulted through in-person and skype discussions during the mission to Jakarta </w:t>
      </w:r>
      <w:r w:rsidRPr="00F7316B">
        <w:t>using a semi-structured interview schedule</w:t>
      </w:r>
      <w:r w:rsidRPr="00BF7C58">
        <w:t>.</w:t>
      </w:r>
      <w:r w:rsidRPr="00F7316B">
        <w:t xml:space="preserve"> These consultations </w:t>
      </w:r>
      <w:r>
        <w:t>both</w:t>
      </w:r>
      <w:r w:rsidRPr="00F7316B">
        <w:t xml:space="preserve"> validate</w:t>
      </w:r>
      <w:r>
        <w:t>d</w:t>
      </w:r>
      <w:r w:rsidRPr="00F7316B">
        <w:t xml:space="preserve"> and extend</w:t>
      </w:r>
      <w:r>
        <w:t>ed</w:t>
      </w:r>
      <w:r w:rsidRPr="00F7316B">
        <w:t xml:space="preserve"> understandings gained from the document review</w:t>
      </w:r>
      <w:r>
        <w:t xml:space="preserve"> and provide opportunities to elicit stakeholder input on key evaluation questions</w:t>
      </w:r>
      <w:r w:rsidRPr="00F7316B">
        <w:t xml:space="preserve">. </w:t>
      </w:r>
      <w:r w:rsidRPr="00BF7C58">
        <w:t xml:space="preserve">Annex </w:t>
      </w:r>
      <w:r>
        <w:t>4 lists a range of s</w:t>
      </w:r>
      <w:r w:rsidRPr="00F7316B">
        <w:t xml:space="preserve">takeholders </w:t>
      </w:r>
      <w:r>
        <w:t xml:space="preserve">who were consulted for the review. Post. </w:t>
      </w:r>
    </w:p>
    <w:p w14:paraId="03282990" w14:textId="77777777" w:rsidR="00436494" w:rsidRDefault="00335761" w:rsidP="00335761">
      <w:pPr>
        <w:pStyle w:val="Heading2"/>
      </w:pPr>
      <w:bookmarkStart w:id="21" w:name="_Toc505838192"/>
      <w:r>
        <w:t>Acknowledgements</w:t>
      </w:r>
      <w:bookmarkEnd w:id="21"/>
      <w:r>
        <w:t xml:space="preserve"> </w:t>
      </w:r>
    </w:p>
    <w:p w14:paraId="36CF2EE3" w14:textId="77777777" w:rsidR="00DB1D5B" w:rsidRPr="00DB1D5B" w:rsidRDefault="00B62F47" w:rsidP="00DB1D5B">
      <w:r>
        <w:t xml:space="preserve">The evaluation team would like to thank all stakeholders who made themselves available to discuss the MDB-IAP and their own experiences with the program. We would particularly like to thank Ms Halida Sukmala and Ms Kim Henderson in the DFAT Indonesia Post for all their assistance in </w:t>
      </w:r>
      <w:r w:rsidR="00C73A55">
        <w:t>providing requested documentation</w:t>
      </w:r>
      <w:r w:rsidR="008278CE">
        <w:t>, facilitating access to the appropriate stakeholders in each organisation</w:t>
      </w:r>
      <w:r w:rsidR="00C73A55">
        <w:t xml:space="preserve"> and </w:t>
      </w:r>
      <w:r>
        <w:t xml:space="preserve">coordinating the visit schedule while in Jakarta. </w:t>
      </w:r>
    </w:p>
    <w:p w14:paraId="45468F70" w14:textId="77777777" w:rsidR="009C6F6E" w:rsidRDefault="009C6F6E" w:rsidP="00D4448B">
      <w:pPr>
        <w:pStyle w:val="Heading1"/>
      </w:pPr>
      <w:bookmarkStart w:id="22" w:name="_Toc505838193"/>
      <w:bookmarkStart w:id="23" w:name="_Toc500080689"/>
      <w:r>
        <w:lastRenderedPageBreak/>
        <w:t>Annex 3: Econ</w:t>
      </w:r>
      <w:r w:rsidR="00D4448B">
        <w:t xml:space="preserve">omic Infrastructure Development </w:t>
      </w:r>
      <w:r>
        <w:t>Strategy Theory of Change</w:t>
      </w:r>
      <w:bookmarkEnd w:id="22"/>
    </w:p>
    <w:tbl>
      <w:tblPr>
        <w:tblStyle w:val="TableGrid"/>
        <w:tblW w:w="0" w:type="auto"/>
        <w:tblLook w:val="04A0" w:firstRow="1" w:lastRow="0" w:firstColumn="1" w:lastColumn="0" w:noHBand="0" w:noVBand="1"/>
      </w:tblPr>
      <w:tblGrid>
        <w:gridCol w:w="9009"/>
      </w:tblGrid>
      <w:tr w:rsidR="009C6F6E" w14:paraId="05802986" w14:textId="77777777" w:rsidTr="009C6F6E">
        <w:tc>
          <w:tcPr>
            <w:tcW w:w="9009" w:type="dxa"/>
          </w:tcPr>
          <w:p w14:paraId="3EF9856B" w14:textId="77777777" w:rsidR="009C6F6E" w:rsidRDefault="009C6F6E" w:rsidP="009C6F6E">
            <w:r>
              <w:rPr>
                <w:noProof/>
                <w:lang w:eastAsia="en-AU"/>
              </w:rPr>
              <w:drawing>
                <wp:inline distT="0" distB="0" distL="0" distR="0" wp14:anchorId="5CC1ED1B" wp14:editId="16B20E89">
                  <wp:extent cx="5538409" cy="721178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1786" cy="7216183"/>
                          </a:xfrm>
                          <a:prstGeom prst="rect">
                            <a:avLst/>
                          </a:prstGeom>
                        </pic:spPr>
                      </pic:pic>
                    </a:graphicData>
                  </a:graphic>
                </wp:inline>
              </w:drawing>
            </w:r>
          </w:p>
        </w:tc>
      </w:tr>
    </w:tbl>
    <w:p w14:paraId="20C5B061" w14:textId="77777777" w:rsidR="009C6F6E" w:rsidRPr="00D647A2" w:rsidRDefault="00D647A2" w:rsidP="009C6F6E">
      <w:pPr>
        <w:rPr>
          <w:sz w:val="20"/>
        </w:rPr>
      </w:pPr>
      <w:r w:rsidRPr="00D647A2">
        <w:rPr>
          <w:sz w:val="20"/>
        </w:rPr>
        <w:t xml:space="preserve">Source: Appendix A extracted from the July 2015 DFAT </w:t>
      </w:r>
      <w:r w:rsidRPr="00D647A2">
        <w:rPr>
          <w:i/>
          <w:sz w:val="20"/>
        </w:rPr>
        <w:t>Strategy for Australia’s Aid Investment in Economic Infrastructure</w:t>
      </w:r>
    </w:p>
    <w:p w14:paraId="5B0C43A4" w14:textId="77777777" w:rsidR="00335761" w:rsidRPr="00335761" w:rsidRDefault="009C6F6E" w:rsidP="00D4448B">
      <w:pPr>
        <w:pStyle w:val="Heading1"/>
      </w:pPr>
      <w:bookmarkStart w:id="24" w:name="_Toc505838194"/>
      <w:r>
        <w:lastRenderedPageBreak/>
        <w:t>Annex 4</w:t>
      </w:r>
      <w:r w:rsidR="00C32145">
        <w:t xml:space="preserve">: </w:t>
      </w:r>
      <w:r w:rsidR="00335761">
        <w:t xml:space="preserve">Parties consulted as part of </w:t>
      </w:r>
      <w:r w:rsidR="00335761" w:rsidRPr="00335761">
        <w:t>this</w:t>
      </w:r>
      <w:r w:rsidR="00335761">
        <w:t xml:space="preserve"> evaluation</w:t>
      </w:r>
      <w:bookmarkEnd w:id="23"/>
      <w:bookmarkEnd w:id="24"/>
    </w:p>
    <w:p w14:paraId="008BD295" w14:textId="77777777" w:rsidR="00EA377C" w:rsidRPr="008401A1" w:rsidRDefault="00013903" w:rsidP="008401A1">
      <w:r>
        <w:t>The following list represents the</w:t>
      </w:r>
      <w:r w:rsidR="00B036A0">
        <w:t xml:space="preserve"> stakeholders consulted as part of the evaluation process. </w:t>
      </w:r>
      <w:r w:rsidR="00811FE9">
        <w:t xml:space="preserve"> </w:t>
      </w:r>
    </w:p>
    <w:tbl>
      <w:tblPr>
        <w:tblStyle w:val="TableGrid"/>
        <w:tblW w:w="4943" w:type="pct"/>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15"/>
        <w:gridCol w:w="6891"/>
      </w:tblGrid>
      <w:tr w:rsidR="00120801" w:rsidRPr="00F833D8" w14:paraId="61E3EB83" w14:textId="77777777" w:rsidTr="00120801">
        <w:trPr>
          <w:tblHeader/>
        </w:trPr>
        <w:tc>
          <w:tcPr>
            <w:tcW w:w="1131" w:type="pct"/>
            <w:shd w:val="clear" w:color="auto" w:fill="EAF1DD" w:themeFill="accent3" w:themeFillTint="33"/>
            <w:vAlign w:val="bottom"/>
          </w:tcPr>
          <w:p w14:paraId="0F1A561B" w14:textId="77777777" w:rsidR="00120801" w:rsidRPr="00F833D8" w:rsidRDefault="00120801" w:rsidP="00F833D8">
            <w:pPr>
              <w:tabs>
                <w:tab w:val="left" w:pos="318"/>
              </w:tabs>
              <w:spacing w:before="20" w:after="20" w:line="240" w:lineRule="auto"/>
              <w:ind w:left="227" w:hanging="227"/>
              <w:jc w:val="center"/>
              <w:rPr>
                <w:rFonts w:ascii="Arial Narrow" w:hAnsi="Arial Narrow"/>
                <w:b/>
                <w:sz w:val="20"/>
                <w:szCs w:val="20"/>
                <w:lang w:val="en-AU"/>
              </w:rPr>
            </w:pPr>
            <w:r w:rsidRPr="00F833D8">
              <w:rPr>
                <w:rFonts w:ascii="Arial Narrow" w:hAnsi="Arial Narrow"/>
                <w:b/>
                <w:sz w:val="20"/>
                <w:szCs w:val="20"/>
                <w:lang w:val="en-AU"/>
              </w:rPr>
              <w:t>Organisation / Project</w:t>
            </w:r>
          </w:p>
        </w:tc>
        <w:tc>
          <w:tcPr>
            <w:tcW w:w="3869" w:type="pct"/>
            <w:shd w:val="clear" w:color="auto" w:fill="EAF1DD" w:themeFill="accent3" w:themeFillTint="33"/>
            <w:vAlign w:val="bottom"/>
          </w:tcPr>
          <w:p w14:paraId="0065F13A" w14:textId="77777777" w:rsidR="00120801" w:rsidRPr="00F833D8" w:rsidRDefault="00120801" w:rsidP="00F833D8">
            <w:pPr>
              <w:tabs>
                <w:tab w:val="left" w:pos="318"/>
              </w:tabs>
              <w:spacing w:before="20" w:after="20" w:line="240" w:lineRule="auto"/>
              <w:ind w:left="227" w:hanging="227"/>
              <w:jc w:val="center"/>
              <w:rPr>
                <w:rFonts w:ascii="Arial Narrow" w:hAnsi="Arial Narrow"/>
                <w:b/>
                <w:sz w:val="20"/>
                <w:szCs w:val="20"/>
              </w:rPr>
            </w:pPr>
            <w:r w:rsidRPr="00F833D8">
              <w:rPr>
                <w:rFonts w:ascii="Arial Narrow" w:hAnsi="Arial Narrow"/>
                <w:b/>
                <w:sz w:val="20"/>
                <w:szCs w:val="20"/>
                <w:lang w:val="en-AU"/>
              </w:rPr>
              <w:t>Contact</w:t>
            </w:r>
          </w:p>
        </w:tc>
      </w:tr>
      <w:tr w:rsidR="00EA377C" w:rsidRPr="00F833D8" w14:paraId="413452DA" w14:textId="77777777" w:rsidTr="00120801">
        <w:tc>
          <w:tcPr>
            <w:tcW w:w="1131" w:type="pct"/>
            <w:vMerge w:val="restart"/>
          </w:tcPr>
          <w:p w14:paraId="7FCEF3F1"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sz w:val="20"/>
                <w:szCs w:val="20"/>
              </w:rPr>
              <w:t>DFAT - Indonesia</w:t>
            </w:r>
          </w:p>
        </w:tc>
        <w:tc>
          <w:tcPr>
            <w:tcW w:w="3869" w:type="pct"/>
          </w:tcPr>
          <w:p w14:paraId="417151F2"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Steven Barraclough</w:t>
            </w:r>
          </w:p>
          <w:p w14:paraId="3361923F"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Minister Counsellor</w:t>
            </w:r>
          </w:p>
        </w:tc>
      </w:tr>
      <w:tr w:rsidR="00B036A0" w:rsidRPr="00F833D8" w14:paraId="28AF4854" w14:textId="77777777" w:rsidTr="00F833D8">
        <w:trPr>
          <w:trHeight w:val="469"/>
        </w:trPr>
        <w:tc>
          <w:tcPr>
            <w:tcW w:w="1131" w:type="pct"/>
            <w:vMerge/>
          </w:tcPr>
          <w:p w14:paraId="0F5B587B" w14:textId="77777777" w:rsidR="00B036A0" w:rsidRPr="00F833D8" w:rsidRDefault="00B036A0" w:rsidP="00F833D8">
            <w:pPr>
              <w:tabs>
                <w:tab w:val="left" w:pos="318"/>
              </w:tabs>
              <w:spacing w:before="20" w:after="20" w:line="240" w:lineRule="auto"/>
              <w:rPr>
                <w:rFonts w:ascii="Arial Narrow" w:hAnsi="Arial Narrow"/>
                <w:sz w:val="20"/>
                <w:szCs w:val="20"/>
              </w:rPr>
            </w:pPr>
          </w:p>
        </w:tc>
        <w:tc>
          <w:tcPr>
            <w:tcW w:w="3869" w:type="pct"/>
          </w:tcPr>
          <w:p w14:paraId="3E5E0DA6"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Benjamin Williams</w:t>
            </w:r>
          </w:p>
          <w:p w14:paraId="393E5E2A"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 xml:space="preserve">Second Secretary, Infrastructure </w:t>
            </w:r>
          </w:p>
        </w:tc>
      </w:tr>
      <w:tr w:rsidR="00EA377C" w:rsidRPr="00F833D8" w14:paraId="31088C75" w14:textId="77777777" w:rsidTr="00120801">
        <w:tc>
          <w:tcPr>
            <w:tcW w:w="1131" w:type="pct"/>
            <w:vMerge/>
          </w:tcPr>
          <w:p w14:paraId="67767489" w14:textId="77777777" w:rsidR="00EA377C" w:rsidRPr="00F833D8" w:rsidRDefault="00EA377C" w:rsidP="00F833D8">
            <w:pPr>
              <w:tabs>
                <w:tab w:val="left" w:pos="318"/>
              </w:tabs>
              <w:spacing w:before="20" w:after="20" w:line="240" w:lineRule="auto"/>
              <w:rPr>
                <w:rFonts w:ascii="Arial Narrow" w:hAnsi="Arial Narrow"/>
                <w:sz w:val="20"/>
                <w:szCs w:val="20"/>
              </w:rPr>
            </w:pPr>
          </w:p>
        </w:tc>
        <w:tc>
          <w:tcPr>
            <w:tcW w:w="3869" w:type="pct"/>
          </w:tcPr>
          <w:p w14:paraId="4661AA8C"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Kim Henderson</w:t>
            </w:r>
          </w:p>
          <w:p w14:paraId="2BD8A396"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Manager Secretaria</w:t>
            </w:r>
            <w:r w:rsidR="004F5285" w:rsidRPr="00F833D8">
              <w:rPr>
                <w:rFonts w:ascii="Arial Narrow" w:hAnsi="Arial Narrow"/>
                <w:sz w:val="20"/>
                <w:szCs w:val="20"/>
              </w:rPr>
              <w:t>t – Government Partnership Fund</w:t>
            </w:r>
            <w:r w:rsidR="00B036A0" w:rsidRPr="00F833D8">
              <w:rPr>
                <w:rFonts w:ascii="Arial Narrow" w:hAnsi="Arial Narrow"/>
                <w:sz w:val="20"/>
                <w:szCs w:val="20"/>
              </w:rPr>
              <w:t xml:space="preserve"> </w:t>
            </w:r>
          </w:p>
        </w:tc>
      </w:tr>
      <w:tr w:rsidR="00B036A0" w:rsidRPr="00F833D8" w14:paraId="08E9E0A2" w14:textId="77777777" w:rsidTr="00B036A0">
        <w:trPr>
          <w:trHeight w:val="578"/>
        </w:trPr>
        <w:tc>
          <w:tcPr>
            <w:tcW w:w="1131" w:type="pct"/>
            <w:vMerge/>
          </w:tcPr>
          <w:p w14:paraId="30012B9D" w14:textId="77777777" w:rsidR="00B036A0" w:rsidRPr="00F833D8" w:rsidRDefault="00B036A0" w:rsidP="00F833D8">
            <w:pPr>
              <w:tabs>
                <w:tab w:val="left" w:pos="318"/>
              </w:tabs>
              <w:spacing w:before="20" w:after="20" w:line="240" w:lineRule="auto"/>
              <w:rPr>
                <w:rFonts w:ascii="Arial Narrow" w:hAnsi="Arial Narrow"/>
                <w:sz w:val="20"/>
                <w:szCs w:val="20"/>
              </w:rPr>
            </w:pPr>
          </w:p>
        </w:tc>
        <w:tc>
          <w:tcPr>
            <w:tcW w:w="3869" w:type="pct"/>
          </w:tcPr>
          <w:p w14:paraId="37F2E7F9"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Halida Sukmala</w:t>
            </w:r>
          </w:p>
          <w:p w14:paraId="7CBA0F4C"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Program Manager – Infrastructure (Development Cooperation)</w:t>
            </w:r>
            <w:hyperlink r:id="rId12" w:history="1"/>
          </w:p>
        </w:tc>
      </w:tr>
      <w:tr w:rsidR="00EA377C" w:rsidRPr="00F833D8" w14:paraId="29913442" w14:textId="77777777" w:rsidTr="00120801">
        <w:tc>
          <w:tcPr>
            <w:tcW w:w="1131" w:type="pct"/>
            <w:vMerge w:val="restart"/>
          </w:tcPr>
          <w:p w14:paraId="0F5B4A72"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sz w:val="20"/>
                <w:szCs w:val="20"/>
              </w:rPr>
              <w:t>DFAT – Australia</w:t>
            </w:r>
          </w:p>
        </w:tc>
        <w:tc>
          <w:tcPr>
            <w:tcW w:w="3869" w:type="pct"/>
          </w:tcPr>
          <w:p w14:paraId="3C43B59B"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 xml:space="preserve">Jonathan Gouy </w:t>
            </w:r>
          </w:p>
          <w:p w14:paraId="0C9ACC03" w14:textId="77777777" w:rsidR="00EA377C" w:rsidRPr="00F833D8" w:rsidRDefault="00EA377C"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 xml:space="preserve">Director of Development Economics Unit </w:t>
            </w:r>
          </w:p>
        </w:tc>
      </w:tr>
      <w:tr w:rsidR="00EA377C" w:rsidRPr="00F833D8" w14:paraId="10FE05FD" w14:textId="77777777" w:rsidTr="00120801">
        <w:tc>
          <w:tcPr>
            <w:tcW w:w="1131" w:type="pct"/>
            <w:vMerge/>
          </w:tcPr>
          <w:p w14:paraId="428E7F0D"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6FACDC9A" w14:textId="77777777" w:rsidR="00EA377C" w:rsidRPr="00F833D8" w:rsidRDefault="00EA377C" w:rsidP="00F833D8">
            <w:pPr>
              <w:widowControl w:val="0"/>
              <w:autoSpaceDE w:val="0"/>
              <w:autoSpaceDN w:val="0"/>
              <w:adjustRightInd w:val="0"/>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 xml:space="preserve">Tom Nettleton </w:t>
            </w:r>
          </w:p>
          <w:p w14:paraId="5597F9B4" w14:textId="77777777" w:rsidR="00EA377C" w:rsidRPr="00F833D8" w:rsidRDefault="00EA377C" w:rsidP="00F833D8">
            <w:pPr>
              <w:widowControl w:val="0"/>
              <w:autoSpaceDE w:val="0"/>
              <w:autoSpaceDN w:val="0"/>
              <w:adjustRightInd w:val="0"/>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 xml:space="preserve">Assistant Director, Infrastructure Policy Section </w:t>
            </w:r>
          </w:p>
          <w:p w14:paraId="42534EAC" w14:textId="77777777" w:rsidR="00EA377C" w:rsidRPr="00F833D8" w:rsidRDefault="00EA377C" w:rsidP="00F833D8">
            <w:pPr>
              <w:widowControl w:val="0"/>
              <w:autoSpaceDE w:val="0"/>
              <w:autoSpaceDN w:val="0"/>
              <w:adjustRightInd w:val="0"/>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Banks, Infrastructure and Finance Branch</w:t>
            </w:r>
          </w:p>
        </w:tc>
      </w:tr>
      <w:tr w:rsidR="00EA377C" w:rsidRPr="00F833D8" w14:paraId="52FB6152" w14:textId="77777777" w:rsidTr="00120801">
        <w:tc>
          <w:tcPr>
            <w:tcW w:w="1131" w:type="pct"/>
            <w:vMerge w:val="restart"/>
          </w:tcPr>
          <w:p w14:paraId="7C3864CB"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ADB</w:t>
            </w:r>
          </w:p>
        </w:tc>
        <w:tc>
          <w:tcPr>
            <w:tcW w:w="3869" w:type="pct"/>
          </w:tcPr>
          <w:p w14:paraId="1A7FAE31" w14:textId="77777777" w:rsidR="00EA377C"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 xml:space="preserve">Winfried F. </w:t>
            </w:r>
            <w:r w:rsidR="00B62F47">
              <w:rPr>
                <w:rFonts w:ascii="Arial Narrow" w:hAnsi="Arial Narrow"/>
                <w:color w:val="000000"/>
                <w:sz w:val="20"/>
                <w:szCs w:val="20"/>
                <w:lang w:eastAsia="en-AU"/>
              </w:rPr>
              <w:t>Wicklein</w:t>
            </w:r>
          </w:p>
          <w:p w14:paraId="2F4A5DC0" w14:textId="77777777" w:rsidR="00B036A0" w:rsidRPr="00F833D8" w:rsidRDefault="00B036A0"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Country</w:t>
            </w:r>
            <w:r w:rsidRPr="00F833D8">
              <w:rPr>
                <w:rFonts w:ascii="Arial Narrow" w:hAnsi="Arial Narrow"/>
                <w:sz w:val="20"/>
                <w:szCs w:val="20"/>
              </w:rPr>
              <w:t xml:space="preserve"> </w:t>
            </w:r>
            <w:r w:rsidR="00B62F47">
              <w:rPr>
                <w:rFonts w:ascii="Arial Narrow" w:hAnsi="Arial Narrow"/>
                <w:sz w:val="20"/>
                <w:szCs w:val="20"/>
              </w:rPr>
              <w:t>Director, Indonesia Resident Mission</w:t>
            </w:r>
          </w:p>
        </w:tc>
      </w:tr>
      <w:tr w:rsidR="00B036A0" w:rsidRPr="00F833D8" w14:paraId="0A17D830" w14:textId="77777777" w:rsidTr="00120801">
        <w:tc>
          <w:tcPr>
            <w:tcW w:w="1131" w:type="pct"/>
            <w:vMerge/>
          </w:tcPr>
          <w:p w14:paraId="10D16713"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4C6C070A"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Anthony Gill</w:t>
            </w:r>
          </w:p>
          <w:p w14:paraId="6756DAE1"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SIAP Program Manager and Task Team Leader for Technical Assistance Cluster Management Facility</w:t>
            </w:r>
          </w:p>
        </w:tc>
      </w:tr>
      <w:tr w:rsidR="00EA377C" w:rsidRPr="00F833D8" w14:paraId="28B2E100" w14:textId="77777777" w:rsidTr="00120801">
        <w:tc>
          <w:tcPr>
            <w:tcW w:w="1131" w:type="pct"/>
            <w:vMerge/>
          </w:tcPr>
          <w:p w14:paraId="4FCD52DF"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12F12003" w14:textId="77777777" w:rsidR="00EA377C" w:rsidRPr="00F833D8" w:rsidRDefault="00EA377C"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Toru Kubo</w:t>
            </w:r>
          </w:p>
          <w:p w14:paraId="4765D540" w14:textId="77777777" w:rsidR="00EA377C" w:rsidRPr="00F833D8" w:rsidRDefault="00EA377C" w:rsidP="00F833D8">
            <w:pPr>
              <w:spacing w:before="20" w:after="20" w:line="240" w:lineRule="auto"/>
              <w:rPr>
                <w:rFonts w:ascii="Arial Narrow" w:eastAsiaTheme="minorHAnsi" w:hAnsi="Arial Narrow"/>
                <w:color w:val="000000"/>
                <w:sz w:val="20"/>
                <w:szCs w:val="20"/>
                <w:lang w:eastAsia="en-AU"/>
              </w:rPr>
            </w:pPr>
            <w:r w:rsidRPr="00F833D8">
              <w:rPr>
                <w:rFonts w:ascii="Arial Narrow" w:hAnsi="Arial Narrow"/>
                <w:color w:val="000000"/>
                <w:sz w:val="20"/>
                <w:szCs w:val="20"/>
                <w:lang w:eastAsia="en-AU"/>
              </w:rPr>
              <w:t>Task Team Leader for Verification of Result Based Lending (RBL) Electricity Grid Strengthening Program, Sumatera</w:t>
            </w:r>
          </w:p>
        </w:tc>
      </w:tr>
      <w:tr w:rsidR="00EA377C" w:rsidRPr="00F833D8" w14:paraId="6A407EE7" w14:textId="77777777" w:rsidTr="00120801">
        <w:tc>
          <w:tcPr>
            <w:tcW w:w="1131" w:type="pct"/>
            <w:vMerge/>
          </w:tcPr>
          <w:p w14:paraId="716E944A"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3A3BCC2D"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KH Leung</w:t>
            </w:r>
          </w:p>
          <w:p w14:paraId="2314A667" w14:textId="77777777" w:rsidR="00EA377C" w:rsidRPr="00F833D8" w:rsidRDefault="00EA377C"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Task Team Leader for Improving Multimodal Connectivity to Support Integrated Land and Sea Tollway</w:t>
            </w:r>
          </w:p>
        </w:tc>
      </w:tr>
      <w:tr w:rsidR="00B036A0" w:rsidRPr="00F833D8" w14:paraId="2AF9EEA9" w14:textId="77777777" w:rsidTr="00F833D8">
        <w:trPr>
          <w:cantSplit/>
          <w:trHeight w:val="664"/>
        </w:trPr>
        <w:tc>
          <w:tcPr>
            <w:tcW w:w="1131" w:type="pct"/>
            <w:vMerge/>
          </w:tcPr>
          <w:p w14:paraId="47515AAE"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17109B3B"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Olga Suyatmo</w:t>
            </w:r>
          </w:p>
          <w:p w14:paraId="731FEDFD" w14:textId="77777777" w:rsidR="00B036A0" w:rsidRPr="00F833D8" w:rsidRDefault="00B036A0"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Task Team Leader for Accelerating Infrastructure Delivery through Better Engineering Services Project</w:t>
            </w:r>
          </w:p>
        </w:tc>
      </w:tr>
      <w:tr w:rsidR="00B036A0" w:rsidRPr="00F833D8" w14:paraId="6CE4791E" w14:textId="77777777" w:rsidTr="00F833D8">
        <w:trPr>
          <w:trHeight w:val="476"/>
        </w:trPr>
        <w:tc>
          <w:tcPr>
            <w:tcW w:w="1131" w:type="pct"/>
            <w:vMerge w:val="restart"/>
          </w:tcPr>
          <w:p w14:paraId="514584A9" w14:textId="77777777" w:rsidR="00B036A0" w:rsidRPr="00F833D8" w:rsidRDefault="001648E2"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World Bank</w:t>
            </w:r>
          </w:p>
        </w:tc>
        <w:tc>
          <w:tcPr>
            <w:tcW w:w="3869" w:type="pct"/>
          </w:tcPr>
          <w:p w14:paraId="72FF3B3B"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Marcus Lee and Francesca de Paolis</w:t>
            </w:r>
          </w:p>
          <w:p w14:paraId="44903F98" w14:textId="77777777" w:rsidR="00B036A0" w:rsidRPr="00F833D8" w:rsidRDefault="00B036A0"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INIS Program Managers</w:t>
            </w:r>
          </w:p>
        </w:tc>
      </w:tr>
      <w:tr w:rsidR="00EA377C" w:rsidRPr="00F833D8" w14:paraId="21AB5439" w14:textId="77777777" w:rsidTr="00120801">
        <w:tc>
          <w:tcPr>
            <w:tcW w:w="1131" w:type="pct"/>
            <w:vMerge/>
          </w:tcPr>
          <w:p w14:paraId="14075801"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78C7EB9C"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Bertine Kemphaus</w:t>
            </w:r>
          </w:p>
          <w:p w14:paraId="28A6CA4A"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Team Task Leader for Advisory Support on Infrastructure for Tourism</w:t>
            </w:r>
          </w:p>
        </w:tc>
      </w:tr>
      <w:tr w:rsidR="00B036A0" w:rsidRPr="00F833D8" w14:paraId="1BAC1A1E" w14:textId="77777777" w:rsidTr="00B036A0">
        <w:trPr>
          <w:trHeight w:val="524"/>
        </w:trPr>
        <w:tc>
          <w:tcPr>
            <w:tcW w:w="1131" w:type="pct"/>
            <w:vMerge/>
          </w:tcPr>
          <w:p w14:paraId="44CAD24B"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33F25AF1" w14:textId="77777777" w:rsidR="00B036A0" w:rsidRPr="00F833D8" w:rsidRDefault="00B036A0"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Marcus J Wishart</w:t>
            </w:r>
            <w:r w:rsidR="008B0174">
              <w:rPr>
                <w:rFonts w:ascii="Arial Narrow" w:hAnsi="Arial Narrow"/>
                <w:color w:val="000000"/>
                <w:sz w:val="20"/>
                <w:szCs w:val="20"/>
                <w:lang w:eastAsia="en-AU"/>
              </w:rPr>
              <w:t xml:space="preserve"> and Jun Matsumoto</w:t>
            </w:r>
          </w:p>
          <w:p w14:paraId="7397A544" w14:textId="77777777" w:rsidR="00B036A0" w:rsidRPr="00F833D8" w:rsidRDefault="00B036A0"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Task Team Leader</w:t>
            </w:r>
            <w:r w:rsidR="008B0174">
              <w:rPr>
                <w:rFonts w:ascii="Arial Narrow" w:hAnsi="Arial Narrow"/>
                <w:color w:val="000000"/>
                <w:sz w:val="20"/>
                <w:szCs w:val="20"/>
                <w:lang w:eastAsia="en-AU"/>
              </w:rPr>
              <w:t>s</w:t>
            </w:r>
            <w:r w:rsidRPr="00F833D8">
              <w:rPr>
                <w:rFonts w:ascii="Arial Narrow" w:hAnsi="Arial Narrow"/>
                <w:color w:val="000000"/>
                <w:sz w:val="20"/>
                <w:szCs w:val="20"/>
                <w:lang w:eastAsia="en-AU"/>
              </w:rPr>
              <w:t xml:space="preserve"> for Indonesia Water Resources Sector Support</w:t>
            </w:r>
          </w:p>
        </w:tc>
      </w:tr>
      <w:tr w:rsidR="00EA377C" w:rsidRPr="00F833D8" w14:paraId="3C7526EF" w14:textId="77777777" w:rsidTr="006A790D">
        <w:trPr>
          <w:cantSplit/>
        </w:trPr>
        <w:tc>
          <w:tcPr>
            <w:tcW w:w="1131" w:type="pct"/>
            <w:vMerge/>
          </w:tcPr>
          <w:p w14:paraId="3472A07B"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2C834F46" w14:textId="77777777" w:rsidR="00EA377C" w:rsidRPr="00F833D8" w:rsidRDefault="00EA377C"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Frank Van Woerden</w:t>
            </w:r>
          </w:p>
          <w:p w14:paraId="4484F9EF"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Task Team Leader for City Technical Capacity Support for Solid Waste Management Investment Preparation</w:t>
            </w:r>
          </w:p>
        </w:tc>
      </w:tr>
      <w:tr w:rsidR="00EA377C" w:rsidRPr="00F833D8" w14:paraId="58E7E905" w14:textId="77777777" w:rsidTr="00120801">
        <w:tc>
          <w:tcPr>
            <w:tcW w:w="1131" w:type="pct"/>
            <w:vMerge/>
          </w:tcPr>
          <w:p w14:paraId="756361E2"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00AF0AC0" w14:textId="77777777" w:rsidR="00EA377C" w:rsidRPr="00F833D8" w:rsidRDefault="00EA377C"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Fook Chuan Eng</w:t>
            </w:r>
          </w:p>
          <w:p w14:paraId="563C0DBD"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Task Team Leader for Development of National Urban Water Supply Program</w:t>
            </w:r>
          </w:p>
        </w:tc>
      </w:tr>
      <w:tr w:rsidR="00B036A0" w:rsidRPr="00F833D8" w14:paraId="2320A591" w14:textId="77777777" w:rsidTr="00F833D8">
        <w:trPr>
          <w:trHeight w:val="716"/>
        </w:trPr>
        <w:tc>
          <w:tcPr>
            <w:tcW w:w="1131" w:type="pct"/>
            <w:vMerge w:val="restart"/>
          </w:tcPr>
          <w:p w14:paraId="53E3568F"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Bappenas (National Planning and Development Agency)</w:t>
            </w:r>
          </w:p>
        </w:tc>
        <w:tc>
          <w:tcPr>
            <w:tcW w:w="3869" w:type="pct"/>
          </w:tcPr>
          <w:p w14:paraId="537C7B73"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 xml:space="preserve">Ikhwan Hakim </w:t>
            </w:r>
          </w:p>
          <w:p w14:paraId="6998B9E6" w14:textId="77777777" w:rsidR="00B036A0" w:rsidRPr="00F833D8" w:rsidRDefault="00B036A0"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 xml:space="preserve">GoI contacts for INIS Urban Transport Corridor Development in Surabaya and SIAP Technical Assistance Cluster Management Facility </w:t>
            </w:r>
          </w:p>
        </w:tc>
      </w:tr>
      <w:tr w:rsidR="00EA377C" w:rsidRPr="00F833D8" w14:paraId="2072A3A9" w14:textId="77777777" w:rsidTr="00120801">
        <w:tc>
          <w:tcPr>
            <w:tcW w:w="1131" w:type="pct"/>
            <w:vMerge/>
          </w:tcPr>
          <w:p w14:paraId="367C6C91"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5E5DB5B0"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Adi Perdana</w:t>
            </w:r>
          </w:p>
          <w:p w14:paraId="4C1017EC"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GoI contact for Improving Multimodal Connectivity to Support Integrated Land and Sea Tollway</w:t>
            </w:r>
          </w:p>
        </w:tc>
      </w:tr>
      <w:tr w:rsidR="00EA377C" w:rsidRPr="00F833D8" w14:paraId="790F31C3" w14:textId="77777777" w:rsidTr="00120801">
        <w:tc>
          <w:tcPr>
            <w:tcW w:w="1131" w:type="pct"/>
            <w:vMerge/>
          </w:tcPr>
          <w:p w14:paraId="68FD4596"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5763785D" w14:textId="77777777" w:rsidR="00EA377C" w:rsidRPr="00F833D8" w:rsidRDefault="00EA377C" w:rsidP="00F833D8">
            <w:pPr>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Abdul Malik Sadat</w:t>
            </w:r>
            <w:r w:rsidR="00B62F47">
              <w:rPr>
                <w:rFonts w:ascii="Arial Narrow" w:hAnsi="Arial Narrow"/>
                <w:color w:val="000000"/>
                <w:sz w:val="20"/>
                <w:szCs w:val="20"/>
                <w:lang w:eastAsia="en-AU"/>
              </w:rPr>
              <w:t xml:space="preserve"> Idris</w:t>
            </w:r>
          </w:p>
          <w:p w14:paraId="1E0D5EB4" w14:textId="77777777" w:rsidR="00B62F47" w:rsidRDefault="00B62F47"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Director of Water Resources and Irrigation</w:t>
            </w:r>
          </w:p>
          <w:p w14:paraId="01F6EDD8" w14:textId="77777777" w:rsidR="00EA377C" w:rsidRPr="00F833D8" w:rsidRDefault="00EA377C"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GoI contact for Indonesia Water Resources Sector Support</w:t>
            </w:r>
          </w:p>
        </w:tc>
      </w:tr>
      <w:tr w:rsidR="00EA377C" w:rsidRPr="00F833D8" w14:paraId="674A65DA" w14:textId="77777777" w:rsidTr="00120801">
        <w:tc>
          <w:tcPr>
            <w:tcW w:w="1131" w:type="pct"/>
            <w:vMerge w:val="restart"/>
          </w:tcPr>
          <w:p w14:paraId="56F4EBD2"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lastRenderedPageBreak/>
              <w:t>Ministry of Public Works and Housing (MPWH)</w:t>
            </w:r>
          </w:p>
        </w:tc>
        <w:tc>
          <w:tcPr>
            <w:tcW w:w="3869" w:type="pct"/>
          </w:tcPr>
          <w:p w14:paraId="0D07A9F0"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Ir. Widiarto</w:t>
            </w:r>
          </w:p>
          <w:p w14:paraId="7A0F1D12" w14:textId="77777777" w:rsidR="00EA377C" w:rsidRPr="00F833D8"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Secretariat General</w:t>
            </w:r>
          </w:p>
          <w:p w14:paraId="30DB4748" w14:textId="77777777" w:rsidR="008B0174" w:rsidRPr="008B0174" w:rsidRDefault="00EA377C"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GoI contact for Accelerating Infrastructure Delivery through Better Engineering Services Project</w:t>
            </w:r>
          </w:p>
        </w:tc>
      </w:tr>
      <w:tr w:rsidR="008B0174" w:rsidRPr="00F833D8" w14:paraId="565E187E" w14:textId="77777777" w:rsidTr="00120801">
        <w:tc>
          <w:tcPr>
            <w:tcW w:w="1131" w:type="pct"/>
            <w:vMerge/>
          </w:tcPr>
          <w:p w14:paraId="2C324E16" w14:textId="77777777" w:rsidR="008B0174" w:rsidRPr="00F833D8" w:rsidRDefault="008B0174"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20EA7F6E" w14:textId="77777777" w:rsidR="008B0174" w:rsidRPr="008B0174" w:rsidRDefault="008B0174" w:rsidP="008B0174">
            <w:pPr>
              <w:tabs>
                <w:tab w:val="left" w:pos="318"/>
              </w:tabs>
              <w:spacing w:before="20" w:after="20" w:line="240" w:lineRule="auto"/>
              <w:rPr>
                <w:rFonts w:ascii="Arial Narrow" w:hAnsi="Arial Narrow"/>
                <w:color w:val="000000"/>
                <w:sz w:val="20"/>
                <w:szCs w:val="20"/>
                <w:lang w:eastAsia="en-AU"/>
              </w:rPr>
            </w:pPr>
            <w:r w:rsidRPr="008B0174">
              <w:rPr>
                <w:rFonts w:ascii="Arial Narrow" w:hAnsi="Arial Narrow"/>
                <w:color w:val="000000"/>
                <w:sz w:val="20"/>
                <w:szCs w:val="20"/>
                <w:lang w:eastAsia="en-AU"/>
              </w:rPr>
              <w:t xml:space="preserve">Julian Syah </w:t>
            </w:r>
          </w:p>
          <w:p w14:paraId="5F2765D7"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sidRPr="008B0174">
              <w:rPr>
                <w:rFonts w:ascii="Arial Narrow" w:hAnsi="Arial Narrow"/>
                <w:color w:val="000000"/>
                <w:sz w:val="20"/>
                <w:szCs w:val="20"/>
                <w:lang w:eastAsia="en-AU"/>
              </w:rPr>
              <w:t>Senior Project Implementation Specialist (ADB TA 8484-INO)</w:t>
            </w:r>
          </w:p>
          <w:p w14:paraId="057AE2DE"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sidRPr="008B0174">
              <w:rPr>
                <w:rFonts w:ascii="Arial Narrow" w:hAnsi="Arial Narrow"/>
                <w:color w:val="000000"/>
                <w:sz w:val="20"/>
                <w:szCs w:val="20"/>
                <w:lang w:eastAsia="en-AU"/>
              </w:rPr>
              <w:t>Project Coordination Office (PCO)</w:t>
            </w:r>
            <w:r>
              <w:rPr>
                <w:rFonts w:ascii="Arial Narrow" w:hAnsi="Arial Narrow"/>
                <w:color w:val="000000"/>
                <w:sz w:val="20"/>
                <w:szCs w:val="20"/>
                <w:lang w:eastAsia="en-AU"/>
              </w:rPr>
              <w:t xml:space="preserve">, </w:t>
            </w:r>
            <w:r w:rsidRPr="008B0174">
              <w:rPr>
                <w:rFonts w:ascii="Arial Narrow" w:hAnsi="Arial Narrow"/>
                <w:color w:val="000000"/>
                <w:sz w:val="20"/>
                <w:szCs w:val="20"/>
                <w:lang w:eastAsia="en-AU"/>
              </w:rPr>
              <w:t>Accelerating Infrastructure Delivery Through Better</w:t>
            </w:r>
            <w:r>
              <w:rPr>
                <w:rFonts w:ascii="Arial Narrow" w:hAnsi="Arial Narrow"/>
                <w:color w:val="000000"/>
                <w:sz w:val="20"/>
                <w:szCs w:val="20"/>
                <w:lang w:eastAsia="en-AU"/>
              </w:rPr>
              <w:t xml:space="preserve"> </w:t>
            </w:r>
            <w:r w:rsidRPr="008B0174">
              <w:rPr>
                <w:rFonts w:ascii="Arial Narrow" w:hAnsi="Arial Narrow"/>
                <w:color w:val="000000"/>
                <w:sz w:val="20"/>
                <w:szCs w:val="20"/>
                <w:lang w:eastAsia="en-AU"/>
              </w:rPr>
              <w:t>En</w:t>
            </w:r>
            <w:r>
              <w:rPr>
                <w:rFonts w:ascii="Arial Narrow" w:hAnsi="Arial Narrow"/>
                <w:color w:val="000000"/>
                <w:sz w:val="20"/>
                <w:szCs w:val="20"/>
                <w:lang w:eastAsia="en-AU"/>
              </w:rPr>
              <w:t>gineering Services Project</w:t>
            </w:r>
          </w:p>
        </w:tc>
      </w:tr>
      <w:tr w:rsidR="00B036A0" w:rsidRPr="00F833D8" w14:paraId="03D93CEF" w14:textId="77777777" w:rsidTr="008B0174">
        <w:trPr>
          <w:trHeight w:val="525"/>
        </w:trPr>
        <w:tc>
          <w:tcPr>
            <w:tcW w:w="1131" w:type="pct"/>
            <w:vMerge/>
          </w:tcPr>
          <w:p w14:paraId="72DE7C4D"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5C5390B4"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 xml:space="preserve">Muhammad Sundoro </w:t>
            </w:r>
          </w:p>
          <w:p w14:paraId="0CE3379D" w14:textId="77777777" w:rsidR="00B036A0" w:rsidRPr="00F833D8" w:rsidRDefault="00B036A0"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GoI contact for Development of National Urban Water Supply Program</w:t>
            </w:r>
          </w:p>
        </w:tc>
      </w:tr>
      <w:tr w:rsidR="00120801" w:rsidRPr="00F833D8" w14:paraId="12549306" w14:textId="77777777" w:rsidTr="00120801">
        <w:tc>
          <w:tcPr>
            <w:tcW w:w="1131" w:type="pct"/>
          </w:tcPr>
          <w:p w14:paraId="40034775" w14:textId="77777777" w:rsidR="00120801" w:rsidRPr="00F833D8" w:rsidRDefault="00120801"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PLN (National Electricity Company)</w:t>
            </w:r>
          </w:p>
        </w:tc>
        <w:tc>
          <w:tcPr>
            <w:tcW w:w="3869" w:type="pct"/>
          </w:tcPr>
          <w:p w14:paraId="58D93AE7"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Doddy Benyamin Pangaribuan</w:t>
            </w:r>
          </w:p>
          <w:p w14:paraId="20B5A33C"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Head of Corporate Planning Division</w:t>
            </w:r>
          </w:p>
          <w:p w14:paraId="7343FD2D" w14:textId="77777777" w:rsidR="00120801" w:rsidRPr="00F833D8" w:rsidRDefault="00120801" w:rsidP="00F833D8">
            <w:pPr>
              <w:tabs>
                <w:tab w:val="left" w:pos="318"/>
              </w:tabs>
              <w:spacing w:before="20" w:after="20" w:line="240" w:lineRule="auto"/>
              <w:rPr>
                <w:rFonts w:ascii="Arial Narrow" w:hAnsi="Arial Narrow"/>
                <w:sz w:val="20"/>
                <w:szCs w:val="20"/>
              </w:rPr>
            </w:pPr>
            <w:r w:rsidRPr="00F833D8">
              <w:rPr>
                <w:rFonts w:ascii="Arial Narrow" w:hAnsi="Arial Narrow"/>
                <w:color w:val="000000"/>
                <w:sz w:val="20"/>
                <w:szCs w:val="20"/>
                <w:lang w:eastAsia="en-AU"/>
              </w:rPr>
              <w:t>Counterpart for Verification of Result Based Lending (RBL) Electricity Grid Strengthening Program, Sumatera</w:t>
            </w:r>
          </w:p>
        </w:tc>
      </w:tr>
      <w:tr w:rsidR="008B0174" w:rsidRPr="00F833D8" w14:paraId="0220A0FD" w14:textId="77777777" w:rsidTr="00120801">
        <w:tc>
          <w:tcPr>
            <w:tcW w:w="1131" w:type="pct"/>
          </w:tcPr>
          <w:p w14:paraId="51990167" w14:textId="77777777" w:rsidR="008B0174" w:rsidRPr="00F833D8" w:rsidRDefault="008B0174"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75D7BD68"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Anggraini Ika Dewi</w:t>
            </w:r>
          </w:p>
          <w:p w14:paraId="708A3BAF" w14:textId="77777777" w:rsidR="008B0174" w:rsidRDefault="008B0174" w:rsidP="008B0174">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Senior Manager of Foreign Loan and Grant Planning</w:t>
            </w:r>
          </w:p>
        </w:tc>
      </w:tr>
      <w:tr w:rsidR="008B0174" w:rsidRPr="00F833D8" w14:paraId="7AAD7449" w14:textId="77777777" w:rsidTr="00120801">
        <w:tc>
          <w:tcPr>
            <w:tcW w:w="1131" w:type="pct"/>
          </w:tcPr>
          <w:p w14:paraId="38CCB97E" w14:textId="77777777" w:rsidR="008B0174" w:rsidRPr="00F833D8" w:rsidRDefault="008B0174"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20F4D75E"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M. Tagor E B Sidjabat</w:t>
            </w:r>
          </w:p>
          <w:p w14:paraId="6BF6EB4A" w14:textId="77777777" w:rsidR="008B0174" w:rsidRDefault="008B0174" w:rsidP="00F833D8">
            <w:pPr>
              <w:tabs>
                <w:tab w:val="left" w:pos="318"/>
              </w:tabs>
              <w:spacing w:before="20" w:after="20" w:line="240" w:lineRule="auto"/>
              <w:rPr>
                <w:rFonts w:ascii="Arial Narrow" w:hAnsi="Arial Narrow"/>
                <w:color w:val="000000"/>
                <w:sz w:val="20"/>
                <w:szCs w:val="20"/>
                <w:lang w:eastAsia="en-AU"/>
              </w:rPr>
            </w:pPr>
            <w:r>
              <w:rPr>
                <w:rFonts w:ascii="Arial Narrow" w:hAnsi="Arial Narrow"/>
                <w:color w:val="000000"/>
                <w:sz w:val="20"/>
                <w:szCs w:val="20"/>
                <w:lang w:eastAsia="en-AU"/>
              </w:rPr>
              <w:t>Business Expert, Sumatera Region</w:t>
            </w:r>
          </w:p>
        </w:tc>
      </w:tr>
      <w:tr w:rsidR="00B036A0" w:rsidRPr="00F833D8" w14:paraId="42B5F9C4" w14:textId="77777777" w:rsidTr="00120801">
        <w:tc>
          <w:tcPr>
            <w:tcW w:w="1131" w:type="pct"/>
            <w:vMerge w:val="restart"/>
          </w:tcPr>
          <w:p w14:paraId="6B52FED7"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r w:rsidRPr="00F833D8">
              <w:rPr>
                <w:rFonts w:ascii="Arial Narrow" w:hAnsi="Arial Narrow"/>
                <w:color w:val="000000"/>
                <w:sz w:val="20"/>
                <w:szCs w:val="20"/>
                <w:lang w:eastAsia="en-AU"/>
              </w:rPr>
              <w:t>Cardno Emerging Markets KIAT Facility</w:t>
            </w:r>
          </w:p>
        </w:tc>
        <w:tc>
          <w:tcPr>
            <w:tcW w:w="3869" w:type="pct"/>
          </w:tcPr>
          <w:p w14:paraId="6A0774B7"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Harry Roover</w:t>
            </w:r>
            <w:r w:rsidR="0011797B">
              <w:rPr>
                <w:rFonts w:ascii="Arial Narrow" w:hAnsi="Arial Narrow"/>
                <w:sz w:val="20"/>
                <w:szCs w:val="20"/>
              </w:rPr>
              <w:t>s</w:t>
            </w:r>
          </w:p>
          <w:p w14:paraId="3B157F00" w14:textId="77777777" w:rsidR="00B036A0" w:rsidRPr="00F833D8" w:rsidRDefault="00B036A0" w:rsidP="00F833D8">
            <w:pPr>
              <w:widowControl w:val="0"/>
              <w:autoSpaceDE w:val="0"/>
              <w:autoSpaceDN w:val="0"/>
              <w:adjustRightInd w:val="0"/>
              <w:spacing w:before="20" w:after="20" w:line="240" w:lineRule="auto"/>
              <w:rPr>
                <w:rFonts w:ascii="Arial Narrow" w:hAnsi="Arial Narrow"/>
                <w:b/>
                <w:color w:val="000000"/>
                <w:sz w:val="20"/>
                <w:szCs w:val="20"/>
                <w:lang w:eastAsia="en-AU"/>
              </w:rPr>
            </w:pPr>
            <w:r w:rsidRPr="00F833D8">
              <w:rPr>
                <w:rFonts w:ascii="Arial Narrow" w:hAnsi="Arial Narrow"/>
                <w:sz w:val="20"/>
                <w:szCs w:val="20"/>
              </w:rPr>
              <w:t>KIAT Facility Director</w:t>
            </w:r>
          </w:p>
        </w:tc>
      </w:tr>
      <w:tr w:rsidR="00B036A0" w:rsidRPr="00F833D8" w14:paraId="1E4634E3" w14:textId="77777777" w:rsidTr="00120801">
        <w:tc>
          <w:tcPr>
            <w:tcW w:w="1131" w:type="pct"/>
            <w:vMerge/>
          </w:tcPr>
          <w:p w14:paraId="5A3BBB14" w14:textId="77777777" w:rsidR="00B036A0" w:rsidRPr="00F833D8" w:rsidRDefault="00B036A0" w:rsidP="00F833D8">
            <w:pPr>
              <w:tabs>
                <w:tab w:val="left" w:pos="318"/>
              </w:tabs>
              <w:spacing w:before="20" w:after="20" w:line="240" w:lineRule="auto"/>
              <w:rPr>
                <w:rFonts w:ascii="Arial Narrow" w:hAnsi="Arial Narrow"/>
                <w:color w:val="000000"/>
                <w:sz w:val="20"/>
                <w:szCs w:val="20"/>
                <w:lang w:eastAsia="en-AU"/>
              </w:rPr>
            </w:pPr>
          </w:p>
        </w:tc>
        <w:tc>
          <w:tcPr>
            <w:tcW w:w="3869" w:type="pct"/>
          </w:tcPr>
          <w:p w14:paraId="4084D72A" w14:textId="77777777" w:rsidR="00B036A0" w:rsidRPr="00F833D8" w:rsidRDefault="00B036A0" w:rsidP="00F833D8">
            <w:pPr>
              <w:widowControl w:val="0"/>
              <w:autoSpaceDE w:val="0"/>
              <w:autoSpaceDN w:val="0"/>
              <w:adjustRightInd w:val="0"/>
              <w:spacing w:before="20" w:after="20" w:line="240" w:lineRule="auto"/>
              <w:rPr>
                <w:rFonts w:ascii="Arial Narrow" w:hAnsi="Arial Narrow"/>
                <w:sz w:val="20"/>
                <w:szCs w:val="20"/>
              </w:rPr>
            </w:pPr>
            <w:r w:rsidRPr="00F833D8">
              <w:rPr>
                <w:rFonts w:ascii="Arial Narrow" w:hAnsi="Arial Narrow"/>
                <w:sz w:val="20"/>
                <w:szCs w:val="20"/>
              </w:rPr>
              <w:t xml:space="preserve">David Hawes </w:t>
            </w:r>
          </w:p>
          <w:p w14:paraId="433F4B7C" w14:textId="77777777" w:rsidR="0011797B" w:rsidRDefault="0011797B" w:rsidP="00F833D8">
            <w:pPr>
              <w:widowControl w:val="0"/>
              <w:autoSpaceDE w:val="0"/>
              <w:autoSpaceDN w:val="0"/>
              <w:adjustRightInd w:val="0"/>
              <w:spacing w:before="20" w:after="20" w:line="240" w:lineRule="auto"/>
              <w:rPr>
                <w:rFonts w:ascii="Arial Narrow" w:hAnsi="Arial Narrow"/>
                <w:sz w:val="20"/>
                <w:szCs w:val="20"/>
              </w:rPr>
            </w:pPr>
            <w:r>
              <w:rPr>
                <w:rFonts w:ascii="Arial Narrow" w:hAnsi="Arial Narrow"/>
                <w:sz w:val="20"/>
                <w:szCs w:val="20"/>
              </w:rPr>
              <w:t>DFAT</w:t>
            </w:r>
            <w:r w:rsidR="00B036A0" w:rsidRPr="00F833D8">
              <w:rPr>
                <w:rFonts w:ascii="Arial Narrow" w:hAnsi="Arial Narrow"/>
                <w:sz w:val="20"/>
                <w:szCs w:val="20"/>
              </w:rPr>
              <w:t xml:space="preserve"> Infrastructure Adviser</w:t>
            </w:r>
            <w:r>
              <w:rPr>
                <w:rFonts w:ascii="Arial Narrow" w:hAnsi="Arial Narrow"/>
                <w:sz w:val="20"/>
                <w:szCs w:val="20"/>
              </w:rPr>
              <w:t xml:space="preserve"> </w:t>
            </w:r>
          </w:p>
          <w:p w14:paraId="6E3FBD18" w14:textId="77777777" w:rsidR="00B036A0" w:rsidRPr="00F833D8" w:rsidRDefault="0011797B" w:rsidP="00F833D8">
            <w:pPr>
              <w:widowControl w:val="0"/>
              <w:autoSpaceDE w:val="0"/>
              <w:autoSpaceDN w:val="0"/>
              <w:adjustRightInd w:val="0"/>
              <w:spacing w:before="20" w:after="20" w:line="240" w:lineRule="auto"/>
              <w:rPr>
                <w:rFonts w:ascii="Arial Narrow" w:hAnsi="Arial Narrow"/>
                <w:sz w:val="20"/>
                <w:szCs w:val="20"/>
              </w:rPr>
            </w:pPr>
            <w:r>
              <w:rPr>
                <w:rFonts w:ascii="Arial Narrow" w:hAnsi="Arial Narrow"/>
                <w:sz w:val="20"/>
                <w:szCs w:val="20"/>
              </w:rPr>
              <w:t>KIAT Permanent Adviser to the Management Committee</w:t>
            </w:r>
          </w:p>
        </w:tc>
      </w:tr>
    </w:tbl>
    <w:p w14:paraId="0667A2FD" w14:textId="77777777" w:rsidR="00724F8C" w:rsidRDefault="00724F8C">
      <w:pPr>
        <w:spacing w:before="0" w:after="200" w:line="276" w:lineRule="auto"/>
        <w:rPr>
          <w:rFonts w:asciiTheme="minorHAnsi" w:hAnsiTheme="minorHAnsi"/>
        </w:rPr>
      </w:pPr>
    </w:p>
    <w:p w14:paraId="50E47211" w14:textId="77777777" w:rsidR="00D4448B" w:rsidRDefault="00D4448B">
      <w:pPr>
        <w:spacing w:before="0" w:after="200" w:line="276" w:lineRule="auto"/>
        <w:rPr>
          <w:rFonts w:ascii="Arial" w:hAnsi="Arial"/>
          <w:b/>
          <w:smallCaps/>
          <w:sz w:val="36"/>
          <w:szCs w:val="36"/>
        </w:rPr>
      </w:pPr>
      <w:r>
        <w:br w:type="page"/>
      </w:r>
    </w:p>
    <w:p w14:paraId="66F8CBD1" w14:textId="77777777" w:rsidR="000661CF" w:rsidRDefault="00C32145" w:rsidP="00D4448B">
      <w:pPr>
        <w:pStyle w:val="Heading1"/>
      </w:pPr>
      <w:bookmarkStart w:id="25" w:name="_Toc505838195"/>
      <w:r>
        <w:lastRenderedPageBreak/>
        <w:t xml:space="preserve">Annex </w:t>
      </w:r>
      <w:r w:rsidR="009C6F6E">
        <w:t>5</w:t>
      </w:r>
      <w:r>
        <w:t>: D</w:t>
      </w:r>
      <w:r w:rsidR="00724F8C">
        <w:t>ocuments</w:t>
      </w:r>
      <w:r>
        <w:t xml:space="preserve"> reviewed as part of the evaluation</w:t>
      </w:r>
      <w:bookmarkEnd w:id="25"/>
    </w:p>
    <w:p w14:paraId="71B0025D" w14:textId="77777777" w:rsidR="00BE5FF8" w:rsidRPr="00BE5FF8" w:rsidRDefault="00BE5FF8" w:rsidP="00724F8C">
      <w:pPr>
        <w:rPr>
          <w:u w:val="single"/>
        </w:rPr>
      </w:pPr>
      <w:r w:rsidRPr="00BE5FF8">
        <w:rPr>
          <w:u w:val="single"/>
        </w:rPr>
        <w:t xml:space="preserve">MDB-IAP </w:t>
      </w:r>
      <w:r>
        <w:rPr>
          <w:u w:val="single"/>
        </w:rPr>
        <w:t>related</w:t>
      </w:r>
      <w:r w:rsidRPr="00BE5FF8">
        <w:rPr>
          <w:u w:val="single"/>
        </w:rPr>
        <w:t xml:space="preserve"> documentation</w:t>
      </w:r>
    </w:p>
    <w:p w14:paraId="0857AA24" w14:textId="77777777" w:rsidR="00545A4D" w:rsidRDefault="00545A4D" w:rsidP="00545A4D">
      <w:r w:rsidRPr="00C32145">
        <w:t xml:space="preserve">MDB-IAP </w:t>
      </w:r>
      <w:r>
        <w:t>Investment Design Summary</w:t>
      </w:r>
    </w:p>
    <w:p w14:paraId="2626E066" w14:textId="77777777" w:rsidR="00545A4D" w:rsidRDefault="00545A4D" w:rsidP="00545A4D">
      <w:r>
        <w:t>MDB-IAP original FMA authorisation and approval, including attachments, April 2013</w:t>
      </w:r>
    </w:p>
    <w:p w14:paraId="3C7B812C" w14:textId="77777777" w:rsidR="00545A4D" w:rsidRDefault="00545A4D" w:rsidP="00545A4D">
      <w:r>
        <w:t>MDB-IAP Briefing per June 2017</w:t>
      </w:r>
    </w:p>
    <w:p w14:paraId="69173FD6" w14:textId="77777777" w:rsidR="00545A4D" w:rsidRDefault="00545A4D" w:rsidP="00545A4D">
      <w:r>
        <w:t>MDB Briefing per August 2017</w:t>
      </w:r>
    </w:p>
    <w:p w14:paraId="3BF8E031" w14:textId="77777777" w:rsidR="00545A4D" w:rsidRDefault="00545A4D" w:rsidP="00C32145">
      <w:r>
        <w:t>Agreement</w:t>
      </w:r>
      <w:r w:rsidR="00C32145" w:rsidRPr="00C32145">
        <w:t xml:space="preserve"> between DFAT and the </w:t>
      </w:r>
      <w:r w:rsidR="001648E2">
        <w:t>World Bank</w:t>
      </w:r>
      <w:r w:rsidR="00C32145" w:rsidRPr="00C32145">
        <w:t xml:space="preserve"> </w:t>
      </w:r>
      <w:r>
        <w:t>for INIS Trust Fund (and all amendments) dated 2008 to 2017</w:t>
      </w:r>
    </w:p>
    <w:p w14:paraId="55BD7D68" w14:textId="77777777" w:rsidR="00545A4D" w:rsidRDefault="00545A4D" w:rsidP="00545A4D">
      <w:r w:rsidRPr="00C32145">
        <w:t>Minutes of the S</w:t>
      </w:r>
      <w:r>
        <w:t xml:space="preserve">teering </w:t>
      </w:r>
      <w:r w:rsidRPr="00C32145">
        <w:t>C</w:t>
      </w:r>
      <w:r>
        <w:t xml:space="preserve">ommittee meeting of INIS </w:t>
      </w:r>
      <w:r w:rsidRPr="00C32145">
        <w:t>T</w:t>
      </w:r>
      <w:r>
        <w:t xml:space="preserve">rust </w:t>
      </w:r>
      <w:r w:rsidRPr="00C32145">
        <w:t>F</w:t>
      </w:r>
      <w:r>
        <w:t>und</w:t>
      </w:r>
      <w:r w:rsidRPr="00C32145">
        <w:t xml:space="preserve"> (9 April 2015, 16 May 2014 and 7 November 2012) </w:t>
      </w:r>
    </w:p>
    <w:p w14:paraId="6180F52B" w14:textId="77777777" w:rsidR="00545A4D" w:rsidRDefault="00545A4D" w:rsidP="00545A4D">
      <w:r>
        <w:t>INIS Trust Fund Progress Reports for 2013 through to 2017</w:t>
      </w:r>
    </w:p>
    <w:p w14:paraId="2B4A4C29" w14:textId="77777777" w:rsidR="00545A4D" w:rsidRDefault="00545A4D" w:rsidP="00545A4D">
      <w:r>
        <w:t xml:space="preserve">INIS Trust Fund </w:t>
      </w:r>
      <w:r w:rsidRPr="00C32145">
        <w:t xml:space="preserve">Activity reports (spot check) 2013-2017  </w:t>
      </w:r>
    </w:p>
    <w:p w14:paraId="5C589D0E" w14:textId="77777777" w:rsidR="00545A4D" w:rsidRDefault="00545A4D" w:rsidP="00545A4D">
      <w:r w:rsidRPr="00C32145">
        <w:t xml:space="preserve">IBRD Lending Pipeline FY16-18 of the </w:t>
      </w:r>
      <w:r w:rsidR="001648E2">
        <w:t>World Bank</w:t>
      </w:r>
      <w:r w:rsidRPr="00C32145">
        <w:t xml:space="preserve"> </w:t>
      </w:r>
    </w:p>
    <w:p w14:paraId="4E8E0BF6" w14:textId="77777777" w:rsidR="00545A4D" w:rsidRDefault="00545A4D" w:rsidP="00545A4D">
      <w:r w:rsidRPr="00C32145">
        <w:t>Final Report of Independent External Review of INIS T</w:t>
      </w:r>
      <w:r>
        <w:t xml:space="preserve">rust </w:t>
      </w:r>
      <w:r w:rsidRPr="00C32145">
        <w:t>F</w:t>
      </w:r>
      <w:r>
        <w:t>und</w:t>
      </w:r>
      <w:r w:rsidRPr="00C32145">
        <w:t xml:space="preserve"> by Lloyd R. Kenward, in May 2012 </w:t>
      </w:r>
    </w:p>
    <w:p w14:paraId="3A6DA918" w14:textId="77777777" w:rsidR="00C32145" w:rsidRDefault="00545A4D" w:rsidP="00C32145">
      <w:r>
        <w:t>Agreement</w:t>
      </w:r>
      <w:r w:rsidRPr="00C32145">
        <w:t xml:space="preserve"> between</w:t>
      </w:r>
      <w:r w:rsidR="00C32145" w:rsidRPr="00C32145">
        <w:t xml:space="preserve"> DFAT and ADB </w:t>
      </w:r>
      <w:r>
        <w:t>for SIAP Technical Assistance Cluster (and all amendments) dated 2013 to 2017</w:t>
      </w:r>
    </w:p>
    <w:p w14:paraId="1BFCD78F" w14:textId="6782C354" w:rsidR="00C32145" w:rsidRDefault="00C32145" w:rsidP="00C32145">
      <w:r>
        <w:t xml:space="preserve">SIAP </w:t>
      </w:r>
      <w:r w:rsidR="00545A4D">
        <w:t>Technical</w:t>
      </w:r>
      <w:r>
        <w:t xml:space="preserve"> Assistance Cluster</w:t>
      </w:r>
      <w:r w:rsidRPr="00C32145">
        <w:t xml:space="preserve"> Progress Report</w:t>
      </w:r>
      <w:r>
        <w:t xml:space="preserve">s for 2013 through to </w:t>
      </w:r>
      <w:r w:rsidRPr="00C32145">
        <w:t xml:space="preserve">2017 </w:t>
      </w:r>
    </w:p>
    <w:p w14:paraId="1E8C66AD" w14:textId="5C6FC3B0" w:rsidR="00435EB1" w:rsidRDefault="00435EB1" w:rsidP="00C32145">
      <w:r>
        <w:t>SIAP Review Report and First Quarter Update 2016. June 2016</w:t>
      </w:r>
    </w:p>
    <w:p w14:paraId="4DE65A9F" w14:textId="77777777" w:rsidR="00C32145" w:rsidRDefault="00C32145" w:rsidP="00C32145">
      <w:r>
        <w:t xml:space="preserve">ADB </w:t>
      </w:r>
      <w:r w:rsidRPr="00C32145">
        <w:t xml:space="preserve">Proposed Lending Pipeline 2015-2019 </w:t>
      </w:r>
    </w:p>
    <w:p w14:paraId="192F5F27" w14:textId="77777777" w:rsidR="00545A4D" w:rsidRDefault="00545A4D" w:rsidP="00C32145">
      <w:r>
        <w:t xml:space="preserve">ADB Country Partnership Strategy, </w:t>
      </w:r>
      <w:r w:rsidR="001852E9">
        <w:rPr>
          <w:i/>
        </w:rPr>
        <w:t xml:space="preserve">Indonesia 2016-2019: Towards a Higher, More Inclusive and Sustainable Growth Path, </w:t>
      </w:r>
      <w:r w:rsidR="001852E9">
        <w:t>August 2016</w:t>
      </w:r>
    </w:p>
    <w:p w14:paraId="49622965" w14:textId="77777777" w:rsidR="001852E9" w:rsidRDefault="001852E9" w:rsidP="00C32145">
      <w:r>
        <w:t xml:space="preserve">ADB Country Operations Business Plan, </w:t>
      </w:r>
      <w:r>
        <w:rPr>
          <w:i/>
        </w:rPr>
        <w:t>Indonesia 2018-2020</w:t>
      </w:r>
      <w:r>
        <w:t>, September 2017</w:t>
      </w:r>
    </w:p>
    <w:p w14:paraId="55DAD371" w14:textId="77777777" w:rsidR="001852E9" w:rsidRPr="001852E9" w:rsidRDefault="001852E9" w:rsidP="00C32145">
      <w:r>
        <w:t>ADB Indonesia Country Operations and Business Plan 2018-2020 presentation on the Country Programming Mission, 7 June to 14 July 2017</w:t>
      </w:r>
    </w:p>
    <w:p w14:paraId="46EE8864" w14:textId="77777777" w:rsidR="00C32145" w:rsidRDefault="00C32145" w:rsidP="00C32145">
      <w:r w:rsidRPr="00C32145">
        <w:t>Minutes of the S</w:t>
      </w:r>
      <w:r w:rsidR="00545A4D">
        <w:t xml:space="preserve">teering </w:t>
      </w:r>
      <w:r w:rsidRPr="00C32145">
        <w:t>C</w:t>
      </w:r>
      <w:r w:rsidR="00545A4D">
        <w:t>ommittee</w:t>
      </w:r>
      <w:r w:rsidRPr="00C32145">
        <w:t xml:space="preserve"> meeting of </w:t>
      </w:r>
      <w:r w:rsidR="00545A4D">
        <w:t>SIAP Technical Assistance Cluster</w:t>
      </w:r>
      <w:r w:rsidR="00545A4D" w:rsidRPr="00C32145">
        <w:t xml:space="preserve"> </w:t>
      </w:r>
      <w:r w:rsidRPr="00C32145">
        <w:t>(2 July 2014 and 13 June 2017)</w:t>
      </w:r>
    </w:p>
    <w:p w14:paraId="47F34536" w14:textId="77777777" w:rsidR="00C32145" w:rsidRDefault="00C32145" w:rsidP="00C32145"/>
    <w:p w14:paraId="5AB2FD23" w14:textId="77777777" w:rsidR="00C32145" w:rsidRPr="00BE5FF8" w:rsidRDefault="00BE5FF8" w:rsidP="00C32145">
      <w:pPr>
        <w:rPr>
          <w:u w:val="single"/>
        </w:rPr>
      </w:pPr>
      <w:r w:rsidRPr="00BE5FF8">
        <w:rPr>
          <w:u w:val="single"/>
        </w:rPr>
        <w:t>Broader documentation</w:t>
      </w:r>
    </w:p>
    <w:p w14:paraId="1FA5FD5C" w14:textId="77777777" w:rsidR="00BE5FF8" w:rsidRPr="00BE5FF8" w:rsidRDefault="00BE5FF8" w:rsidP="00BE5FF8">
      <w:r>
        <w:t xml:space="preserve">Commonwealth of Australia, ANAO, The Auditor-General Audit Report No.39 2012-13, </w:t>
      </w:r>
      <w:r>
        <w:rPr>
          <w:i/>
        </w:rPr>
        <w:t xml:space="preserve">AusAID’s Management of Infrastructure Aid to Indonesia, </w:t>
      </w:r>
      <w:r>
        <w:t>28 May 2013</w:t>
      </w:r>
    </w:p>
    <w:p w14:paraId="331C601A" w14:textId="6F38C637" w:rsidR="00435EB1" w:rsidRDefault="00435EB1" w:rsidP="00435EB1">
      <w:r>
        <w:t xml:space="preserve">Commonwealth of Australia, DFAT, </w:t>
      </w:r>
      <w:r>
        <w:rPr>
          <w:i/>
        </w:rPr>
        <w:t>Aid Investment Plan, I</w:t>
      </w:r>
      <w:r w:rsidRPr="00166739">
        <w:rPr>
          <w:i/>
        </w:rPr>
        <w:t>ndonesia</w:t>
      </w:r>
      <w:r>
        <w:rPr>
          <w:i/>
        </w:rPr>
        <w:t>: 2015/16 to 2018/19</w:t>
      </w:r>
      <w:r>
        <w:t xml:space="preserve">, </w:t>
      </w:r>
      <w:r>
        <w:rPr>
          <w:rFonts w:cs="Calibri"/>
          <w:color w:val="1F497D"/>
        </w:rPr>
        <w:t>(</w:t>
      </w:r>
      <w:hyperlink r:id="rId13" w:history="1">
        <w:r>
          <w:rPr>
            <w:rStyle w:val="Hyperlink"/>
            <w:rFonts w:cs="Calibri"/>
          </w:rPr>
          <w:t>http://dfat.gov.au/about-us/publications/Pages/aid-investment-plan-aip-indonesia-2015-16-to-2018-19.aspx</w:t>
        </w:r>
      </w:hyperlink>
      <w:r>
        <w:rPr>
          <w:rFonts w:cs="Calibri"/>
        </w:rPr>
        <w:t>)</w:t>
      </w:r>
    </w:p>
    <w:p w14:paraId="3DF57D80" w14:textId="77777777" w:rsidR="00BE5FF8" w:rsidRDefault="00BE5FF8" w:rsidP="00BE5FF8">
      <w:r>
        <w:t xml:space="preserve">Commonwealth of Australia, DFAT, </w:t>
      </w:r>
      <w:r w:rsidRPr="00166739">
        <w:rPr>
          <w:i/>
        </w:rPr>
        <w:t>Indonesia Australia Infrastructure Partnership, Kemitraan Indonesia Australia Untuk Infrastructure (KIAT)</w:t>
      </w:r>
      <w:r w:rsidR="00166739" w:rsidRPr="00166739">
        <w:rPr>
          <w:i/>
        </w:rPr>
        <w:t>:</w:t>
      </w:r>
      <w:r>
        <w:t xml:space="preserve"> </w:t>
      </w:r>
      <w:r w:rsidRPr="00166739">
        <w:rPr>
          <w:i/>
        </w:rPr>
        <w:t>Facility Design Document</w:t>
      </w:r>
      <w:r>
        <w:t>, Third Draft – February 2017</w:t>
      </w:r>
    </w:p>
    <w:p w14:paraId="0DDC717E" w14:textId="77777777" w:rsidR="00BE5FF8" w:rsidRDefault="00BE5FF8" w:rsidP="00BE5FF8">
      <w:r w:rsidRPr="00724F8C">
        <w:t xml:space="preserve">Commonwealth of Australia, DFAT, </w:t>
      </w:r>
      <w:r w:rsidRPr="00166739">
        <w:rPr>
          <w:i/>
        </w:rPr>
        <w:t>Strategy for Australia’s aid investments in economic infrastructure</w:t>
      </w:r>
      <w:r w:rsidRPr="00724F8C">
        <w:t>, June 2015</w:t>
      </w:r>
    </w:p>
    <w:p w14:paraId="5CFAA804" w14:textId="77777777" w:rsidR="00BE5FF8" w:rsidRDefault="00BE5FF8" w:rsidP="00BE5FF8">
      <w:r w:rsidRPr="00724F8C">
        <w:lastRenderedPageBreak/>
        <w:t>Commonwealth of Australia, DFAT</w:t>
      </w:r>
      <w:r>
        <w:t xml:space="preserve"> – Office of Development Effectiveness</w:t>
      </w:r>
      <w:r w:rsidRPr="00724F8C">
        <w:t xml:space="preserve">, </w:t>
      </w:r>
      <w:r w:rsidRPr="00166739">
        <w:rPr>
          <w:i/>
        </w:rPr>
        <w:t>Banking our aid: Australia’s non-core funding to the Asian Development Bank and the World Bank</w:t>
      </w:r>
      <w:r w:rsidRPr="00724F8C">
        <w:t>,</w:t>
      </w:r>
      <w:r>
        <w:t xml:space="preserve"> September</w:t>
      </w:r>
      <w:r w:rsidRPr="00724F8C">
        <w:t xml:space="preserve"> 2015</w:t>
      </w:r>
    </w:p>
    <w:p w14:paraId="170C98F7" w14:textId="77777777" w:rsidR="00C32145" w:rsidRDefault="00BE5FF8" w:rsidP="00C32145">
      <w:r w:rsidRPr="00724F8C">
        <w:t>Commonwealth of Australia, DFAT</w:t>
      </w:r>
      <w:r>
        <w:t xml:space="preserve"> – Office of Development Effectiveness</w:t>
      </w:r>
      <w:r w:rsidRPr="00724F8C">
        <w:t xml:space="preserve">, </w:t>
      </w:r>
      <w:r w:rsidRPr="00166739">
        <w:rPr>
          <w:i/>
        </w:rPr>
        <w:t>Investing in Roads—Lessons from the Eastern Indonesia National Roads Improvement Project: Completion Evaluation</w:t>
      </w:r>
      <w:r>
        <w:t>, March</w:t>
      </w:r>
      <w:r w:rsidRPr="00724F8C">
        <w:t xml:space="preserve"> 201</w:t>
      </w:r>
      <w:r>
        <w:t>7</w:t>
      </w:r>
    </w:p>
    <w:p w14:paraId="59550AB4" w14:textId="77777777" w:rsidR="00BF1B5C" w:rsidRPr="00BF1B5C" w:rsidRDefault="00BF1B5C" w:rsidP="00BF1B5C">
      <w:r>
        <w:t xml:space="preserve">Republic of Indonesia, Ministry of National Development Planning/ National Development Planning Agency, </w:t>
      </w:r>
      <w:r>
        <w:rPr>
          <w:i/>
        </w:rPr>
        <w:t xml:space="preserve">List of Medium-Term Planned External Loans 2015-2019 2017 Revision </w:t>
      </w:r>
      <w:r>
        <w:t>(The Blue Book)</w:t>
      </w:r>
      <w:r>
        <w:rPr>
          <w:i/>
        </w:rPr>
        <w:t xml:space="preserve">, </w:t>
      </w:r>
      <w:r>
        <w:t>2017, KEP.91/M.PPN/HK/08/2017.</w:t>
      </w:r>
    </w:p>
    <w:p w14:paraId="2E888677" w14:textId="77777777" w:rsidR="00BF1B5C" w:rsidRPr="00BF1B5C" w:rsidRDefault="00BF1B5C" w:rsidP="00C32145">
      <w:r>
        <w:t xml:space="preserve">Republic of Indonesia, Ministry of National Development Planning/ National Development Planning Agency, </w:t>
      </w:r>
      <w:r>
        <w:rPr>
          <w:i/>
        </w:rPr>
        <w:t>List of Planned Priority Loans 2017</w:t>
      </w:r>
      <w:r>
        <w:t xml:space="preserve"> (The Green Book)</w:t>
      </w:r>
      <w:r>
        <w:rPr>
          <w:i/>
        </w:rPr>
        <w:t xml:space="preserve">, </w:t>
      </w:r>
      <w:r>
        <w:t>2017, KEP.82/M.PPN/HK/07/2017.</w:t>
      </w:r>
    </w:p>
    <w:sectPr w:rsidR="00BF1B5C" w:rsidRPr="00BF1B5C" w:rsidSect="006A238A">
      <w:headerReference w:type="even" r:id="rId14"/>
      <w:headerReference w:type="default" r:id="rId15"/>
      <w:footerReference w:type="even" r:id="rId16"/>
      <w:footerReference w:type="default" r:id="rId17"/>
      <w:headerReference w:type="first" r:id="rId18"/>
      <w:footerReference w:type="first" r:id="rId19"/>
      <w:pgSz w:w="11899" w:h="16838"/>
      <w:pgMar w:top="851" w:right="1440" w:bottom="1560" w:left="144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36E8B" w14:textId="77777777" w:rsidR="00063F80" w:rsidRDefault="00063F80" w:rsidP="00D44A68">
      <w:pPr>
        <w:spacing w:after="0"/>
      </w:pPr>
      <w:r>
        <w:separator/>
      </w:r>
    </w:p>
  </w:endnote>
  <w:endnote w:type="continuationSeparator" w:id="0">
    <w:p w14:paraId="18E8AF75" w14:textId="77777777" w:rsidR="00063F80" w:rsidRDefault="00063F80" w:rsidP="00D44A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0931" w14:textId="77777777" w:rsidR="003A36EF" w:rsidRDefault="003A3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AE3FB" w14:textId="77A755C0" w:rsidR="00016FEA" w:rsidRPr="006A238A" w:rsidRDefault="00016FEA" w:rsidP="006A238A">
    <w:pPr>
      <w:pStyle w:val="Header"/>
      <w:pBdr>
        <w:top w:val="single" w:sz="4" w:space="1" w:color="auto"/>
      </w:pBdr>
      <w:tabs>
        <w:tab w:val="clear" w:pos="4513"/>
        <w:tab w:val="clear" w:pos="9026"/>
        <w:tab w:val="left" w:pos="3744"/>
      </w:tabs>
      <w:jc w:val="right"/>
      <w:rPr>
        <w:sz w:val="20"/>
      </w:rPr>
    </w:pPr>
    <w:r w:rsidRPr="006A238A">
      <w:rPr>
        <w:rStyle w:val="PageNumber"/>
        <w:sz w:val="20"/>
      </w:rPr>
      <w:t xml:space="preserve">Page </w:t>
    </w:r>
    <w:r w:rsidRPr="006A238A">
      <w:rPr>
        <w:rStyle w:val="PageNumber"/>
        <w:sz w:val="20"/>
      </w:rPr>
      <w:fldChar w:fldCharType="begin"/>
    </w:r>
    <w:r w:rsidRPr="006A238A">
      <w:rPr>
        <w:rStyle w:val="PageNumber"/>
        <w:sz w:val="20"/>
      </w:rPr>
      <w:instrText xml:space="preserve"> PAGE </w:instrText>
    </w:r>
    <w:r w:rsidRPr="006A238A">
      <w:rPr>
        <w:rStyle w:val="PageNumber"/>
        <w:sz w:val="20"/>
      </w:rPr>
      <w:fldChar w:fldCharType="separate"/>
    </w:r>
    <w:r w:rsidR="003A36EF">
      <w:rPr>
        <w:rStyle w:val="PageNumber"/>
        <w:noProof/>
        <w:sz w:val="20"/>
      </w:rPr>
      <w:t>4</w:t>
    </w:r>
    <w:r w:rsidRPr="006A238A">
      <w:rPr>
        <w:rStyle w:val="PageNumber"/>
        <w:sz w:val="20"/>
      </w:rPr>
      <w:fldChar w:fldCharType="end"/>
    </w:r>
    <w:r>
      <w:rPr>
        <w:rStyle w:val="PageNumber"/>
        <w:sz w:val="20"/>
      </w:rPr>
      <w:tab/>
    </w:r>
    <w:r w:rsidRPr="006A238A">
      <w:rPr>
        <w:rStyle w:val="PageNumber"/>
        <w:sz w:val="20"/>
      </w:rPr>
      <w:tab/>
    </w:r>
    <w:r w:rsidRPr="006A238A">
      <w:rPr>
        <w:rStyle w:val="PageNumber"/>
        <w:sz w:val="20"/>
      </w:rPr>
      <w:tab/>
    </w:r>
    <w:r>
      <w:rPr>
        <w:rStyle w:val="PageNumber"/>
        <w:sz w:val="20"/>
      </w:rPr>
      <w:t>Final Report</w:t>
    </w:r>
    <w:r w:rsidRPr="006A238A">
      <w:rPr>
        <w:sz w:val="20"/>
      </w:rPr>
      <w:t>: Evaluation of the MDB-IAP</w:t>
    </w:r>
    <w:r w:rsidRPr="006A238A">
      <w:rPr>
        <w:sz w:val="20"/>
      </w:rPr>
      <w:br/>
    </w:r>
    <w:r>
      <w:rPr>
        <w:sz w:val="20"/>
      </w:rPr>
      <w:t>8 February</w:t>
    </w:r>
    <w:r w:rsidRPr="006A238A">
      <w:rPr>
        <w:sz w:val="20"/>
      </w:rPr>
      <w:t xml:space="preserve"> 201</w:t>
    </w:r>
    <w:r>
      <w:rPr>
        <w:sz w:val="20"/>
      </w:rPr>
      <w:t>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13971" w14:textId="77777777" w:rsidR="00016FEA" w:rsidRDefault="00016FEA" w:rsidP="00AD3097">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34EC" w14:textId="77777777" w:rsidR="00063F80" w:rsidRDefault="00063F80" w:rsidP="00D44A68">
      <w:pPr>
        <w:spacing w:after="0"/>
      </w:pPr>
      <w:r>
        <w:separator/>
      </w:r>
    </w:p>
  </w:footnote>
  <w:footnote w:type="continuationSeparator" w:id="0">
    <w:p w14:paraId="532448C7" w14:textId="77777777" w:rsidR="00063F80" w:rsidRDefault="00063F80" w:rsidP="00D44A68">
      <w:pPr>
        <w:spacing w:after="0"/>
      </w:pPr>
      <w:r>
        <w:continuationSeparator/>
      </w:r>
    </w:p>
  </w:footnote>
  <w:footnote w:id="1">
    <w:p w14:paraId="5D00F8E7" w14:textId="77777777" w:rsidR="00016FEA" w:rsidRPr="000521B7" w:rsidRDefault="00016FEA">
      <w:pPr>
        <w:pStyle w:val="FootnoteText"/>
        <w:rPr>
          <w:sz w:val="20"/>
        </w:rPr>
      </w:pPr>
      <w:r>
        <w:rPr>
          <w:rStyle w:val="FootnoteReference"/>
        </w:rPr>
        <w:footnoteRef/>
      </w:r>
      <w:r>
        <w:t xml:space="preserve"> </w:t>
      </w:r>
      <w:r w:rsidRPr="000521B7">
        <w:rPr>
          <w:rFonts w:asciiTheme="minorHAnsi" w:hAnsiTheme="minorHAnsi" w:cs="Calibri"/>
          <w:sz w:val="20"/>
        </w:rPr>
        <w:t xml:space="preserve">This funding was in addition to the AUD10 million already provided to </w:t>
      </w:r>
      <w:r>
        <w:rPr>
          <w:rFonts w:asciiTheme="minorHAnsi" w:hAnsiTheme="minorHAnsi" w:cs="Calibri"/>
          <w:sz w:val="20"/>
        </w:rPr>
        <w:t>World Bank</w:t>
      </w:r>
      <w:r w:rsidRPr="000521B7">
        <w:rPr>
          <w:rFonts w:asciiTheme="minorHAnsi" w:hAnsiTheme="minorHAnsi" w:cs="Calibri"/>
          <w:sz w:val="20"/>
        </w:rPr>
        <w:t xml:space="preserve"> between 2008 and 2013 and AUD5</w:t>
      </w:r>
      <w:r>
        <w:rPr>
          <w:rFonts w:asciiTheme="minorHAnsi" w:hAnsiTheme="minorHAnsi" w:cs="Calibri"/>
          <w:sz w:val="20"/>
        </w:rPr>
        <w:t> </w:t>
      </w:r>
      <w:r w:rsidRPr="000521B7">
        <w:rPr>
          <w:rFonts w:asciiTheme="minorHAnsi" w:hAnsiTheme="minorHAnsi" w:cs="Calibri"/>
          <w:sz w:val="20"/>
        </w:rPr>
        <w:t>million to the ADB in 2011-12 for specific technical assistance activities.</w:t>
      </w:r>
    </w:p>
  </w:footnote>
  <w:footnote w:id="2">
    <w:p w14:paraId="095995E8" w14:textId="110557C7" w:rsidR="00016FEA" w:rsidRPr="00166739" w:rsidRDefault="00016FEA">
      <w:pPr>
        <w:pStyle w:val="FootnoteText"/>
        <w:rPr>
          <w:sz w:val="20"/>
        </w:rPr>
      </w:pPr>
      <w:r>
        <w:rPr>
          <w:rStyle w:val="FootnoteReference"/>
        </w:rPr>
        <w:footnoteRef/>
      </w:r>
      <w:r>
        <w:t xml:space="preserve"> </w:t>
      </w:r>
      <w:r>
        <w:rPr>
          <w:sz w:val="20"/>
        </w:rPr>
        <w:t>I</w:t>
      </w:r>
      <w:r w:rsidRPr="00166739">
        <w:rPr>
          <w:sz w:val="20"/>
        </w:rPr>
        <w:t xml:space="preserve">n July 2015 DFAT released </w:t>
      </w:r>
      <w:r>
        <w:rPr>
          <w:sz w:val="20"/>
        </w:rPr>
        <w:t xml:space="preserve">the </w:t>
      </w:r>
      <w:r w:rsidRPr="00166739">
        <w:rPr>
          <w:i/>
          <w:sz w:val="20"/>
        </w:rPr>
        <w:t>Strategy for Australia’s Aid Investment in Economic Infrastructure</w:t>
      </w:r>
      <w:r w:rsidRPr="00166739">
        <w:rPr>
          <w:sz w:val="20"/>
        </w:rPr>
        <w:t xml:space="preserve">. </w:t>
      </w:r>
      <w:r>
        <w:rPr>
          <w:sz w:val="20"/>
        </w:rPr>
        <w:t>While not providing specific insight and priorities for Indonesia, t</w:t>
      </w:r>
      <w:r w:rsidRPr="00166739">
        <w:rPr>
          <w:sz w:val="20"/>
        </w:rPr>
        <w:t xml:space="preserve">he theory of change outlined in that strategy, as replicated in Annex </w:t>
      </w:r>
      <w:r>
        <w:rPr>
          <w:sz w:val="20"/>
        </w:rPr>
        <w:t>3 of this report</w:t>
      </w:r>
      <w:r w:rsidRPr="00166739">
        <w:rPr>
          <w:sz w:val="20"/>
        </w:rPr>
        <w:t>, reinforces the</w:t>
      </w:r>
      <w:r>
        <w:rPr>
          <w:sz w:val="20"/>
        </w:rPr>
        <w:t xml:space="preserve"> overarching</w:t>
      </w:r>
      <w:r w:rsidRPr="00166739">
        <w:rPr>
          <w:sz w:val="20"/>
        </w:rPr>
        <w:t xml:space="preserve"> concept that improved economic infrastructure improves economic integration and growth. Improved infrastructure may also enable households to access the services they need more easily which in turn enhances productivity and wellbeing. </w:t>
      </w:r>
      <w:r>
        <w:rPr>
          <w:sz w:val="20"/>
        </w:rPr>
        <w:t xml:space="preserve">More recently, the </w:t>
      </w:r>
      <w:r w:rsidRPr="006C2444">
        <w:rPr>
          <w:i/>
          <w:sz w:val="20"/>
        </w:rPr>
        <w:t>Aid Investment Plan Indonesia 2015/16 to 2018/19</w:t>
      </w:r>
      <w:r>
        <w:rPr>
          <w:sz w:val="20"/>
        </w:rPr>
        <w:t xml:space="preserve"> provides information on Australia’s broad areas of interest in economic infrastructure investment in Indonesia. The MDB-IAP governance and administrative documents make no reference to either of these documents. </w:t>
      </w:r>
    </w:p>
  </w:footnote>
  <w:footnote w:id="3">
    <w:p w14:paraId="4CD88C8B" w14:textId="77777777" w:rsidR="00016FEA" w:rsidRPr="006A238A" w:rsidRDefault="00016FEA" w:rsidP="008479FD">
      <w:pPr>
        <w:pStyle w:val="FootnoteText"/>
        <w:rPr>
          <w:sz w:val="20"/>
        </w:rPr>
      </w:pPr>
      <w:r>
        <w:rPr>
          <w:rStyle w:val="FootnoteReference"/>
        </w:rPr>
        <w:footnoteRef/>
      </w:r>
      <w:r>
        <w:t xml:space="preserve"> </w:t>
      </w:r>
      <w:r w:rsidRPr="006A238A">
        <w:rPr>
          <w:sz w:val="20"/>
        </w:rPr>
        <w:t xml:space="preserve">The </w:t>
      </w:r>
      <w:r w:rsidRPr="006A238A">
        <w:rPr>
          <w:rFonts w:asciiTheme="minorHAnsi" w:hAnsiTheme="minorHAnsi" w:cs="Calibri"/>
          <w:sz w:val="20"/>
        </w:rPr>
        <w:t xml:space="preserve">Indonesia Australia Infrastructure Partnership facility program is known as </w:t>
      </w:r>
      <w:r w:rsidRPr="006A238A">
        <w:rPr>
          <w:rFonts w:asciiTheme="minorHAnsi" w:hAnsiTheme="minorHAnsi" w:cs="Calibri"/>
          <w:i/>
          <w:sz w:val="20"/>
        </w:rPr>
        <w:t>Kemitraan Indonesia Australia Untuk Instrasruktur</w:t>
      </w:r>
      <w:r w:rsidRPr="006A238A">
        <w:rPr>
          <w:rFonts w:asciiTheme="minorHAnsi" w:hAnsiTheme="minorHAnsi" w:cs="Calibri"/>
          <w:sz w:val="20"/>
        </w:rPr>
        <w:t xml:space="preserve"> (KIAT). The KIAT officially commenced in July 2017 and replaces the IndII facility that ended in June 2017. The KIAT involves up to AUD300 million being spent between 2016 and 2026.</w:t>
      </w:r>
    </w:p>
  </w:footnote>
  <w:footnote w:id="4">
    <w:p w14:paraId="221E6442" w14:textId="0C99535C" w:rsidR="00016FEA" w:rsidRDefault="00016FEA">
      <w:pPr>
        <w:pStyle w:val="FootnoteText"/>
      </w:pPr>
      <w:r>
        <w:rPr>
          <w:rStyle w:val="FootnoteReference"/>
        </w:rPr>
        <w:footnoteRef/>
      </w:r>
      <w:r>
        <w:t xml:space="preserve"> </w:t>
      </w:r>
      <w:r>
        <w:rPr>
          <w:rFonts w:asciiTheme="minorHAnsi" w:hAnsiTheme="minorHAnsi" w:cs="Calibri"/>
          <w:sz w:val="20"/>
          <w:szCs w:val="20"/>
        </w:rPr>
        <w:t>For example, s</w:t>
      </w:r>
      <w:r w:rsidRPr="00DB0637">
        <w:rPr>
          <w:rFonts w:asciiTheme="minorHAnsi" w:hAnsiTheme="minorHAnsi" w:cs="Calibri"/>
          <w:sz w:val="20"/>
          <w:szCs w:val="20"/>
        </w:rPr>
        <w:t xml:space="preserve">upporting Indonesia </w:t>
      </w:r>
      <w:r w:rsidRPr="006C2444">
        <w:rPr>
          <w:rFonts w:asciiTheme="minorHAnsi" w:hAnsiTheme="minorHAnsi" w:cs="Calibri"/>
          <w:sz w:val="20"/>
          <w:szCs w:val="20"/>
        </w:rPr>
        <w:t xml:space="preserve">to expand and improve </w:t>
      </w:r>
      <w:r>
        <w:rPr>
          <w:rFonts w:asciiTheme="minorHAnsi" w:hAnsiTheme="minorHAnsi" w:cs="Calibri"/>
          <w:sz w:val="20"/>
          <w:szCs w:val="20"/>
        </w:rPr>
        <w:t xml:space="preserve">its </w:t>
      </w:r>
      <w:r w:rsidRPr="006C2444">
        <w:rPr>
          <w:rFonts w:asciiTheme="minorHAnsi" w:hAnsiTheme="minorHAnsi" w:cs="Calibri"/>
          <w:sz w:val="20"/>
          <w:szCs w:val="20"/>
        </w:rPr>
        <w:t>infrastructure</w:t>
      </w:r>
      <w:r w:rsidRPr="00DB0637">
        <w:rPr>
          <w:sz w:val="20"/>
          <w:szCs w:val="20"/>
        </w:rPr>
        <w:t xml:space="preserve"> </w:t>
      </w:r>
      <w:r>
        <w:rPr>
          <w:sz w:val="20"/>
          <w:szCs w:val="20"/>
        </w:rPr>
        <w:t xml:space="preserve">through </w:t>
      </w:r>
      <w:r w:rsidRPr="006C2444">
        <w:rPr>
          <w:sz w:val="20"/>
          <w:szCs w:val="20"/>
        </w:rPr>
        <w:t>increased investment</w:t>
      </w:r>
      <w:r>
        <w:rPr>
          <w:sz w:val="20"/>
          <w:szCs w:val="20"/>
        </w:rPr>
        <w:t>.</w:t>
      </w:r>
    </w:p>
  </w:footnote>
  <w:footnote w:id="5">
    <w:p w14:paraId="2A94913B" w14:textId="77777777" w:rsidR="00016FEA" w:rsidRPr="00923508" w:rsidRDefault="00016FEA" w:rsidP="00923508">
      <w:pPr>
        <w:pStyle w:val="FootnoteText"/>
        <w:rPr>
          <w:sz w:val="20"/>
        </w:rPr>
      </w:pPr>
      <w:r>
        <w:rPr>
          <w:rStyle w:val="FootnoteReference"/>
        </w:rPr>
        <w:footnoteRef/>
      </w:r>
      <w:r>
        <w:t xml:space="preserve"> </w:t>
      </w:r>
      <w:r w:rsidRPr="00923508">
        <w:rPr>
          <w:sz w:val="20"/>
        </w:rPr>
        <w:t xml:space="preserve">It </w:t>
      </w:r>
      <w:r>
        <w:rPr>
          <w:sz w:val="20"/>
        </w:rPr>
        <w:t>is understood that GoA’s priorities are raised through high level meetings with MDBs</w:t>
      </w:r>
      <w:r w:rsidRPr="00923508">
        <w:rPr>
          <w:sz w:val="20"/>
        </w:rPr>
        <w:t xml:space="preserve"> </w:t>
      </w:r>
      <w:r>
        <w:rPr>
          <w:sz w:val="20"/>
        </w:rPr>
        <w:t xml:space="preserve">however </w:t>
      </w:r>
      <w:r w:rsidRPr="00923508">
        <w:rPr>
          <w:sz w:val="20"/>
        </w:rPr>
        <w:t xml:space="preserve">there is </w:t>
      </w:r>
      <w:r>
        <w:rPr>
          <w:sz w:val="20"/>
        </w:rPr>
        <w:t>no explicit mention in the governance or administrative arrangements for the MDB-IAP that requires the program to be adaptive to any associated changes in these priorities.</w:t>
      </w:r>
    </w:p>
  </w:footnote>
  <w:footnote w:id="6">
    <w:p w14:paraId="20944B05" w14:textId="77777777" w:rsidR="00016FEA" w:rsidRPr="009251CA" w:rsidRDefault="00016FEA">
      <w:pPr>
        <w:pStyle w:val="FootnoteText"/>
        <w:rPr>
          <w:sz w:val="20"/>
        </w:rPr>
      </w:pPr>
      <w:r>
        <w:rPr>
          <w:rStyle w:val="FootnoteReference"/>
        </w:rPr>
        <w:footnoteRef/>
      </w:r>
      <w:r>
        <w:t xml:space="preserve"> </w:t>
      </w:r>
      <w:r w:rsidRPr="009251CA">
        <w:rPr>
          <w:sz w:val="20"/>
        </w:rPr>
        <w:t xml:space="preserve">Commonwealth of Australia, DFAT – Office of Development Effectiveness, </w:t>
      </w:r>
      <w:r w:rsidRPr="009251CA">
        <w:rPr>
          <w:i/>
          <w:sz w:val="20"/>
        </w:rPr>
        <w:t>Banking our aid: Australia’s non-core funding to the Asian Development Bank and the World Bank</w:t>
      </w:r>
      <w:r w:rsidRPr="009251CA">
        <w:rPr>
          <w:sz w:val="20"/>
        </w:rPr>
        <w:t>, September 2015</w:t>
      </w:r>
      <w:r>
        <w:rPr>
          <w:sz w:val="20"/>
        </w:rPr>
        <w:t>, pp.2–3.</w:t>
      </w:r>
    </w:p>
  </w:footnote>
  <w:footnote w:id="7">
    <w:p w14:paraId="740EB656" w14:textId="77777777" w:rsidR="00016FEA" w:rsidRPr="001E5611" w:rsidRDefault="00016FEA">
      <w:pPr>
        <w:pStyle w:val="FootnoteText"/>
        <w:rPr>
          <w:sz w:val="20"/>
        </w:rPr>
      </w:pPr>
      <w:r>
        <w:rPr>
          <w:rStyle w:val="FootnoteReference"/>
        </w:rPr>
        <w:footnoteRef/>
      </w:r>
      <w:r>
        <w:t xml:space="preserve"> </w:t>
      </w:r>
      <w:r w:rsidRPr="001E5611">
        <w:rPr>
          <w:sz w:val="20"/>
        </w:rPr>
        <w:t xml:space="preserve">Commonwealth of Australia, DFAT, </w:t>
      </w:r>
      <w:r w:rsidRPr="001E5611">
        <w:rPr>
          <w:i/>
          <w:sz w:val="20"/>
        </w:rPr>
        <w:t>Strategy for Australia’s aid investments in economic infrastructure</w:t>
      </w:r>
      <w:r w:rsidRPr="001E5611">
        <w:rPr>
          <w:sz w:val="20"/>
        </w:rPr>
        <w:t>, June 2015</w:t>
      </w:r>
      <w:r>
        <w:rPr>
          <w:sz w:val="20"/>
        </w:rPr>
        <w:t>, p.10.</w:t>
      </w:r>
    </w:p>
  </w:footnote>
  <w:footnote w:id="8">
    <w:p w14:paraId="7375F1EE" w14:textId="77777777" w:rsidR="00016FEA" w:rsidRDefault="00016FEA" w:rsidP="005A6EF6">
      <w:r w:rsidRPr="00B319DE">
        <w:rPr>
          <w:rStyle w:val="FootnoteReference"/>
          <w:sz w:val="24"/>
        </w:rPr>
        <w:footnoteRef/>
      </w:r>
      <w:r>
        <w:t xml:space="preserve"> </w:t>
      </w:r>
      <w:r w:rsidRPr="007B3E5E">
        <w:rPr>
          <w:sz w:val="20"/>
        </w:rPr>
        <w:t xml:space="preserve">The lack of an explicit Indonesian infrastructure sector engagement strategy was </w:t>
      </w:r>
      <w:r>
        <w:rPr>
          <w:sz w:val="20"/>
        </w:rPr>
        <w:t>highlighted</w:t>
      </w:r>
      <w:r w:rsidRPr="007B3E5E">
        <w:rPr>
          <w:sz w:val="20"/>
        </w:rPr>
        <w:t xml:space="preserve"> in the A</w:t>
      </w:r>
      <w:r>
        <w:rPr>
          <w:sz w:val="20"/>
        </w:rPr>
        <w:t xml:space="preserve">NAO’s </w:t>
      </w:r>
      <w:r w:rsidRPr="007B3E5E">
        <w:rPr>
          <w:sz w:val="20"/>
        </w:rPr>
        <w:t xml:space="preserve">2013 performance audit on </w:t>
      </w:r>
      <w:r w:rsidRPr="007B3E5E">
        <w:rPr>
          <w:i/>
          <w:sz w:val="20"/>
        </w:rPr>
        <w:t>AusAID’s Management of Infrastructure Aid to Indonesia</w:t>
      </w:r>
      <w:r w:rsidRPr="007B3E5E">
        <w:rPr>
          <w:sz w:val="20"/>
        </w:rPr>
        <w:t>.</w:t>
      </w:r>
      <w:r>
        <w:rPr>
          <w:sz w:val="20"/>
        </w:rPr>
        <w:t xml:space="preserve"> ANAO recommended that AusAID progress the development of a sector strategy, with the view to finalising the strategy as soon as possible. AusAID agreed to the recommendation and advised that a strategy was under development. The finalised strategy was anticipated to guide Australia’s investment in the development of Indonesian infrastructure over the following five-year period. </w:t>
      </w:r>
    </w:p>
  </w:footnote>
  <w:footnote w:id="9">
    <w:p w14:paraId="0ECF3EDC" w14:textId="77777777" w:rsidR="00016FEA" w:rsidRPr="00AB2F34" w:rsidRDefault="00016FEA" w:rsidP="006A21D6">
      <w:pPr>
        <w:pStyle w:val="FootnoteText"/>
        <w:rPr>
          <w:sz w:val="18"/>
        </w:rPr>
      </w:pPr>
      <w:r w:rsidRPr="00AB2F34">
        <w:rPr>
          <w:rStyle w:val="FootnoteReference"/>
          <w:sz w:val="18"/>
        </w:rPr>
        <w:footnoteRef/>
      </w:r>
      <w:r w:rsidRPr="00AB2F34">
        <w:rPr>
          <w:sz w:val="18"/>
        </w:rPr>
        <w:t xml:space="preserve"> KPMG, </w:t>
      </w:r>
      <w:r w:rsidRPr="00AB2F34">
        <w:rPr>
          <w:rFonts w:asciiTheme="minorHAnsi" w:hAnsiTheme="minorHAnsi" w:cs="Calibri"/>
          <w:sz w:val="18"/>
        </w:rPr>
        <w:t xml:space="preserve">Indonesia Infrastructure Initiative (IndII) Phase 2, </w:t>
      </w:r>
      <w:r w:rsidRPr="00AB2F34">
        <w:rPr>
          <w:rFonts w:asciiTheme="minorHAnsi" w:hAnsiTheme="minorHAnsi" w:cs="Calibri"/>
          <w:i/>
          <w:sz w:val="18"/>
        </w:rPr>
        <w:t xml:space="preserve">Impact Assessment Team: Mission 3 Report, </w:t>
      </w:r>
      <w:r w:rsidRPr="00AB2F34">
        <w:rPr>
          <w:rFonts w:asciiTheme="minorHAnsi" w:hAnsiTheme="minorHAnsi" w:cs="Calibri"/>
          <w:sz w:val="18"/>
        </w:rPr>
        <w:t>Version 2.2 Final, 28</w:t>
      </w:r>
      <w:r>
        <w:rPr>
          <w:rFonts w:asciiTheme="minorHAnsi" w:hAnsiTheme="minorHAnsi" w:cs="Calibri"/>
          <w:sz w:val="18"/>
        </w:rPr>
        <w:t> </w:t>
      </w:r>
      <w:r w:rsidRPr="00AB2F34">
        <w:rPr>
          <w:rFonts w:asciiTheme="minorHAnsi" w:hAnsiTheme="minorHAnsi" w:cs="Calibri"/>
          <w:sz w:val="18"/>
        </w:rPr>
        <w:t>February 2017</w:t>
      </w:r>
      <w:r>
        <w:rPr>
          <w:rFonts w:asciiTheme="minorHAnsi" w:hAnsiTheme="minorHAnsi" w:cs="Calibri"/>
          <w:sz w:val="18"/>
        </w:rPr>
        <w:t>, pp. 13-15.</w:t>
      </w:r>
      <w:r w:rsidRPr="00AB2F34">
        <w:rPr>
          <w:rFonts w:asciiTheme="minorHAnsi" w:hAnsiTheme="minorHAnsi" w:cs="Calibri"/>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E5C7E" w14:textId="77777777" w:rsidR="003A36EF" w:rsidRDefault="003A3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D6CD5" w14:textId="77777777" w:rsidR="003A36EF" w:rsidRDefault="003A36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07EB8" w14:textId="77777777" w:rsidR="00016FEA" w:rsidRDefault="00016FEA" w:rsidP="00AD3097">
    <w:pPr>
      <w:pStyle w:val="Header"/>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CA45C6"/>
    <w:lvl w:ilvl="0">
      <w:start w:val="1"/>
      <w:numFmt w:val="decimal"/>
      <w:lvlText w:val="%1."/>
      <w:lvlJc w:val="left"/>
      <w:pPr>
        <w:tabs>
          <w:tab w:val="num" w:pos="1492"/>
        </w:tabs>
        <w:ind w:left="1492" w:hanging="360"/>
      </w:pPr>
    </w:lvl>
  </w:abstractNum>
  <w:abstractNum w:abstractNumId="1" w15:restartNumberingAfterBreak="0">
    <w:nsid w:val="FFFFFF83"/>
    <w:multiLevelType w:val="singleLevel"/>
    <w:tmpl w:val="00840F7C"/>
    <w:lvl w:ilvl="0">
      <w:start w:val="1"/>
      <w:numFmt w:val="bullet"/>
      <w:pStyle w:val="ListBullet"/>
      <w:lvlText w:val=""/>
      <w:lvlJc w:val="left"/>
      <w:pPr>
        <w:tabs>
          <w:tab w:val="num" w:pos="357"/>
        </w:tabs>
        <w:ind w:left="357" w:hanging="357"/>
      </w:pPr>
      <w:rPr>
        <w:rFonts w:ascii="Symbol" w:hAnsi="Symbol" w:hint="default"/>
      </w:rPr>
    </w:lvl>
  </w:abstractNum>
  <w:abstractNum w:abstractNumId="2" w15:restartNumberingAfterBreak="0">
    <w:nsid w:val="010B22DA"/>
    <w:multiLevelType w:val="multilevel"/>
    <w:tmpl w:val="9CE6B48C"/>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3" w15:restartNumberingAfterBreak="0">
    <w:nsid w:val="05704D40"/>
    <w:multiLevelType w:val="multilevel"/>
    <w:tmpl w:val="0B3EB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BB5901"/>
    <w:multiLevelType w:val="multilevel"/>
    <w:tmpl w:val="707A84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nnex %6"/>
      <w:lvlJc w:val="left"/>
      <w:pPr>
        <w:tabs>
          <w:tab w:val="num" w:pos="567"/>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5" w15:restartNumberingAfterBreak="0">
    <w:nsid w:val="07422DCC"/>
    <w:multiLevelType w:val="hybridMultilevel"/>
    <w:tmpl w:val="3FC6D974"/>
    <w:lvl w:ilvl="0" w:tplc="2000F15C">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5A05FA"/>
    <w:multiLevelType w:val="multilevel"/>
    <w:tmpl w:val="707A842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nnex %6"/>
      <w:lvlJc w:val="left"/>
      <w:pPr>
        <w:tabs>
          <w:tab w:val="num" w:pos="567"/>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7" w15:restartNumberingAfterBreak="0">
    <w:nsid w:val="0EF039CB"/>
    <w:multiLevelType w:val="hybridMultilevel"/>
    <w:tmpl w:val="D7B2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13739"/>
    <w:multiLevelType w:val="multilevel"/>
    <w:tmpl w:val="9D98803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nnex %6"/>
      <w:lvlJc w:val="left"/>
      <w:pPr>
        <w:tabs>
          <w:tab w:val="num" w:pos="851"/>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9" w15:restartNumberingAfterBreak="0">
    <w:nsid w:val="10070DE4"/>
    <w:multiLevelType w:val="multilevel"/>
    <w:tmpl w:val="176CCE14"/>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10" w15:restartNumberingAfterBreak="0">
    <w:nsid w:val="14FB2417"/>
    <w:multiLevelType w:val="multilevel"/>
    <w:tmpl w:val="99444B0A"/>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5C3F4D"/>
    <w:multiLevelType w:val="hybridMultilevel"/>
    <w:tmpl w:val="7746131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B88612C"/>
    <w:multiLevelType w:val="multilevel"/>
    <w:tmpl w:val="D91800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07617D"/>
    <w:multiLevelType w:val="hybridMultilevel"/>
    <w:tmpl w:val="9E4423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CEF37D1"/>
    <w:multiLevelType w:val="multilevel"/>
    <w:tmpl w:val="F7422C86"/>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15" w15:restartNumberingAfterBreak="0">
    <w:nsid w:val="20726CAE"/>
    <w:multiLevelType w:val="hybridMultilevel"/>
    <w:tmpl w:val="15EC5D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241F719F"/>
    <w:multiLevelType w:val="hybridMultilevel"/>
    <w:tmpl w:val="68200A78"/>
    <w:lvl w:ilvl="0" w:tplc="D3BEC43E">
      <w:numFmt w:val="bullet"/>
      <w:lvlText w:val="•"/>
      <w:lvlJc w:val="left"/>
      <w:pPr>
        <w:ind w:left="825" w:hanging="465"/>
      </w:pPr>
      <w:rPr>
        <w:rFonts w:ascii="Calibri" w:eastAsia="Calibri" w:hAnsi="Calibri" w:cs="ArialMT" w:hint="default"/>
      </w:rPr>
    </w:lvl>
    <w:lvl w:ilvl="1" w:tplc="0C090003" w:tentative="1">
      <w:start w:val="1"/>
      <w:numFmt w:val="bullet"/>
      <w:lvlText w:val="o"/>
      <w:lvlJc w:val="left"/>
      <w:pPr>
        <w:ind w:left="1440" w:hanging="360"/>
      </w:pPr>
      <w:rPr>
        <w:rFonts w:ascii="Courier New" w:hAnsi="Courier New" w:cs="Aria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MT"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MT"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917086"/>
    <w:multiLevelType w:val="hybridMultilevel"/>
    <w:tmpl w:val="66702D08"/>
    <w:lvl w:ilvl="0" w:tplc="04090001">
      <w:start w:val="1"/>
      <w:numFmt w:val="decimal"/>
      <w:pStyle w:val="Figure"/>
      <w:lvlText w:val="Figure %1:"/>
      <w:lvlJc w:val="left"/>
      <w:pPr>
        <w:tabs>
          <w:tab w:val="num" w:pos="992"/>
        </w:tabs>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284D3D1A"/>
    <w:multiLevelType w:val="hybridMultilevel"/>
    <w:tmpl w:val="7DEAF9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28BD22B3"/>
    <w:multiLevelType w:val="hybridMultilevel"/>
    <w:tmpl w:val="BFA22D30"/>
    <w:name w:val="AGSQA222222222"/>
    <w:lvl w:ilvl="0" w:tplc="31282B30">
      <w:start w:val="1"/>
      <w:numFmt w:val="bullet"/>
      <w:lvlText w:val=""/>
      <w:lvlJc w:val="left"/>
      <w:pPr>
        <w:ind w:left="360" w:hanging="360"/>
      </w:pPr>
      <w:rPr>
        <w:rFonts w:ascii="Symbol" w:hAnsi="Symbol" w:hint="default"/>
      </w:rPr>
    </w:lvl>
    <w:lvl w:ilvl="1" w:tplc="28CEEAA4" w:tentative="1">
      <w:start w:val="1"/>
      <w:numFmt w:val="bullet"/>
      <w:lvlText w:val="o"/>
      <w:lvlJc w:val="left"/>
      <w:pPr>
        <w:ind w:left="1080" w:hanging="360"/>
      </w:pPr>
      <w:rPr>
        <w:rFonts w:ascii="Courier New" w:hAnsi="Courier New" w:hint="default"/>
      </w:rPr>
    </w:lvl>
    <w:lvl w:ilvl="2" w:tplc="5D74B468" w:tentative="1">
      <w:start w:val="1"/>
      <w:numFmt w:val="bullet"/>
      <w:lvlText w:val=""/>
      <w:lvlJc w:val="left"/>
      <w:pPr>
        <w:ind w:left="1800" w:hanging="360"/>
      </w:pPr>
      <w:rPr>
        <w:rFonts w:ascii="Wingdings" w:hAnsi="Wingdings" w:hint="default"/>
      </w:rPr>
    </w:lvl>
    <w:lvl w:ilvl="3" w:tplc="A4909952" w:tentative="1">
      <w:start w:val="1"/>
      <w:numFmt w:val="bullet"/>
      <w:lvlText w:val=""/>
      <w:lvlJc w:val="left"/>
      <w:pPr>
        <w:ind w:left="2520" w:hanging="360"/>
      </w:pPr>
      <w:rPr>
        <w:rFonts w:ascii="Symbol" w:hAnsi="Symbol" w:hint="default"/>
      </w:rPr>
    </w:lvl>
    <w:lvl w:ilvl="4" w:tplc="6ED8F0F2" w:tentative="1">
      <w:start w:val="1"/>
      <w:numFmt w:val="bullet"/>
      <w:lvlText w:val="o"/>
      <w:lvlJc w:val="left"/>
      <w:pPr>
        <w:ind w:left="3240" w:hanging="360"/>
      </w:pPr>
      <w:rPr>
        <w:rFonts w:ascii="Courier New" w:hAnsi="Courier New" w:hint="default"/>
      </w:rPr>
    </w:lvl>
    <w:lvl w:ilvl="5" w:tplc="22D25178" w:tentative="1">
      <w:start w:val="1"/>
      <w:numFmt w:val="bullet"/>
      <w:lvlText w:val=""/>
      <w:lvlJc w:val="left"/>
      <w:pPr>
        <w:ind w:left="3960" w:hanging="360"/>
      </w:pPr>
      <w:rPr>
        <w:rFonts w:ascii="Wingdings" w:hAnsi="Wingdings" w:hint="default"/>
      </w:rPr>
    </w:lvl>
    <w:lvl w:ilvl="6" w:tplc="ED9E8C82" w:tentative="1">
      <w:start w:val="1"/>
      <w:numFmt w:val="bullet"/>
      <w:lvlText w:val=""/>
      <w:lvlJc w:val="left"/>
      <w:pPr>
        <w:ind w:left="4680" w:hanging="360"/>
      </w:pPr>
      <w:rPr>
        <w:rFonts w:ascii="Symbol" w:hAnsi="Symbol" w:hint="default"/>
      </w:rPr>
    </w:lvl>
    <w:lvl w:ilvl="7" w:tplc="D98C6F96" w:tentative="1">
      <w:start w:val="1"/>
      <w:numFmt w:val="bullet"/>
      <w:lvlText w:val="o"/>
      <w:lvlJc w:val="left"/>
      <w:pPr>
        <w:ind w:left="5400" w:hanging="360"/>
      </w:pPr>
      <w:rPr>
        <w:rFonts w:ascii="Courier New" w:hAnsi="Courier New" w:hint="default"/>
      </w:rPr>
    </w:lvl>
    <w:lvl w:ilvl="8" w:tplc="377C086C" w:tentative="1">
      <w:start w:val="1"/>
      <w:numFmt w:val="bullet"/>
      <w:lvlText w:val=""/>
      <w:lvlJc w:val="left"/>
      <w:pPr>
        <w:ind w:left="6120" w:hanging="360"/>
      </w:pPr>
      <w:rPr>
        <w:rFonts w:ascii="Wingdings" w:hAnsi="Wingdings" w:hint="default"/>
      </w:rPr>
    </w:lvl>
  </w:abstractNum>
  <w:abstractNum w:abstractNumId="20" w15:restartNumberingAfterBreak="0">
    <w:nsid w:val="29E90FAC"/>
    <w:multiLevelType w:val="hybridMultilevel"/>
    <w:tmpl w:val="AE1030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CC4FEE"/>
    <w:multiLevelType w:val="multilevel"/>
    <w:tmpl w:val="B1F21C0A"/>
    <w:lvl w:ilvl="0">
      <w:start w:val="1"/>
      <w:numFmt w:val="decimal"/>
      <w:pStyle w:val="ClauseLevel1"/>
      <w:lvlText w:val="%1."/>
      <w:lvlJc w:val="left"/>
      <w:pPr>
        <w:tabs>
          <w:tab w:val="num" w:pos="1134"/>
        </w:tabs>
        <w:ind w:left="1134" w:hanging="113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auseLevel2"/>
      <w:lvlText w:val="%1.%2."/>
      <w:lvlJc w:val="left"/>
      <w:pPr>
        <w:tabs>
          <w:tab w:val="num" w:pos="7229"/>
        </w:tabs>
        <w:ind w:left="7229" w:hanging="1134"/>
      </w:pPr>
      <w:rPr>
        <w:rFonts w:hint="default"/>
        <w:b w:val="0"/>
        <w:i w:val="0"/>
        <w:sz w:val="22"/>
      </w:rPr>
    </w:lvl>
    <w:lvl w:ilvl="2">
      <w:start w:val="1"/>
      <w:numFmt w:val="decimal"/>
      <w:pStyle w:val="ClauseLevel3"/>
      <w:lvlText w:val="%1.%2.%3."/>
      <w:lvlJc w:val="left"/>
      <w:pPr>
        <w:tabs>
          <w:tab w:val="num" w:pos="1418"/>
        </w:tabs>
        <w:ind w:left="1418" w:hanging="1134"/>
      </w:pPr>
      <w:rPr>
        <w:rFonts w:hint="default"/>
        <w:b w:val="0"/>
        <w:sz w:val="22"/>
      </w:rPr>
    </w:lvl>
    <w:lvl w:ilvl="3">
      <w:start w:val="1"/>
      <w:numFmt w:val="lowerLetter"/>
      <w:pStyle w:val="ClauseLevel4"/>
      <w:lvlText w:val="%4."/>
      <w:lvlJc w:val="left"/>
      <w:pPr>
        <w:tabs>
          <w:tab w:val="num" w:pos="1560"/>
        </w:tabs>
        <w:ind w:left="1560" w:hanging="425"/>
      </w:pPr>
      <w:rPr>
        <w:rFonts w:hint="default"/>
        <w:b w:val="0"/>
      </w:rPr>
    </w:lvl>
    <w:lvl w:ilvl="4">
      <w:start w:val="1"/>
      <w:numFmt w:val="lowerRoman"/>
      <w:pStyle w:val="ClauseLevel5"/>
      <w:lvlText w:val="%5."/>
      <w:lvlJc w:val="left"/>
      <w:pPr>
        <w:tabs>
          <w:tab w:val="num" w:pos="1985"/>
        </w:tabs>
        <w:ind w:left="1985" w:hanging="426"/>
      </w:pPr>
      <w:rPr>
        <w:rFonts w:hint="default"/>
        <w:b w:val="0"/>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2" w15:restartNumberingAfterBreak="0">
    <w:nsid w:val="304F78A2"/>
    <w:multiLevelType w:val="multilevel"/>
    <w:tmpl w:val="888E104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ppendix %6"/>
      <w:lvlJc w:val="left"/>
      <w:pPr>
        <w:tabs>
          <w:tab w:val="num" w:pos="1701"/>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23" w15:restartNumberingAfterBreak="0">
    <w:nsid w:val="31640B3B"/>
    <w:multiLevelType w:val="hybridMultilevel"/>
    <w:tmpl w:val="0B3EB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EC08FF"/>
    <w:multiLevelType w:val="hybridMultilevel"/>
    <w:tmpl w:val="A9884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425247"/>
    <w:multiLevelType w:val="multilevel"/>
    <w:tmpl w:val="F574F2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nnex %6"/>
      <w:lvlJc w:val="left"/>
      <w:pPr>
        <w:tabs>
          <w:tab w:val="num" w:pos="567"/>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26" w15:restartNumberingAfterBreak="0">
    <w:nsid w:val="355360BA"/>
    <w:multiLevelType w:val="multilevel"/>
    <w:tmpl w:val="EA9E3E1E"/>
    <w:name w:val="AGSTableList"/>
    <w:lvl w:ilvl="0">
      <w:numFmt w:val="bullet"/>
      <w:lvlText w:val="-"/>
      <w:lvlJc w:val="left"/>
      <w:pPr>
        <w:ind w:left="530" w:hanging="360"/>
      </w:pPr>
      <w:rPr>
        <w:rFonts w:ascii="Calibri" w:eastAsia="Calibri" w:hAnsi="Calibri" w:cs="Times New Roman" w:hint="default"/>
      </w:rPr>
    </w:lvl>
    <w:lvl w:ilvl="1">
      <w:start w:val="1"/>
      <w:numFmt w:val="bullet"/>
      <w:lvlText w:val="o"/>
      <w:lvlJc w:val="left"/>
      <w:pPr>
        <w:ind w:left="1525" w:hanging="360"/>
      </w:pPr>
      <w:rPr>
        <w:rFonts w:ascii="Courier New" w:hAnsi="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hint="default"/>
      </w:rPr>
    </w:lvl>
    <w:lvl w:ilvl="8">
      <w:start w:val="1"/>
      <w:numFmt w:val="bullet"/>
      <w:lvlText w:val=""/>
      <w:lvlJc w:val="left"/>
      <w:pPr>
        <w:ind w:left="6565" w:hanging="360"/>
      </w:pPr>
      <w:rPr>
        <w:rFonts w:ascii="Wingdings" w:hAnsi="Wingdings" w:hint="default"/>
      </w:rPr>
    </w:lvl>
  </w:abstractNum>
  <w:abstractNum w:abstractNumId="27" w15:restartNumberingAfterBreak="0">
    <w:nsid w:val="3B7C3BEF"/>
    <w:multiLevelType w:val="hybridMultilevel"/>
    <w:tmpl w:val="E7BA6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7F07DD"/>
    <w:multiLevelType w:val="hybridMultilevel"/>
    <w:tmpl w:val="77C6707E"/>
    <w:lvl w:ilvl="0" w:tplc="E806D590">
      <w:start w:val="20"/>
      <w:numFmt w:val="bullet"/>
      <w:lvlText w:val="-"/>
      <w:lvlJc w:val="left"/>
      <w:pPr>
        <w:ind w:left="720" w:hanging="36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DF524B"/>
    <w:multiLevelType w:val="multilevel"/>
    <w:tmpl w:val="7B167E02"/>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30" w15:restartNumberingAfterBreak="0">
    <w:nsid w:val="41FD4168"/>
    <w:multiLevelType w:val="hybridMultilevel"/>
    <w:tmpl w:val="EF008E4A"/>
    <w:lvl w:ilvl="0" w:tplc="E16EDB10">
      <w:start w:val="1"/>
      <w:numFmt w:val="bullet"/>
      <w:pStyle w:val="Table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AF5801"/>
    <w:multiLevelType w:val="multilevel"/>
    <w:tmpl w:val="E7B6B9BC"/>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32" w15:restartNumberingAfterBreak="0">
    <w:nsid w:val="4438634D"/>
    <w:multiLevelType w:val="multilevel"/>
    <w:tmpl w:val="EC949C1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upperLetter"/>
      <w:pStyle w:val="Heading6"/>
      <w:lvlText w:val="Annex %6"/>
      <w:lvlJc w:val="left"/>
      <w:pPr>
        <w:tabs>
          <w:tab w:val="num" w:pos="567"/>
        </w:tabs>
        <w:ind w:left="0" w:firstLine="0"/>
      </w:pPr>
      <w:rPr>
        <w:rFonts w:hint="default"/>
        <w:caps/>
        <w:sz w:val="24"/>
      </w:rPr>
    </w:lvl>
    <w:lvl w:ilvl="6">
      <w:start w:val="1"/>
      <w:numFmt w:val="decimal"/>
      <w:pStyle w:val="Heading7"/>
      <w:lvlText w:val="%6.%7"/>
      <w:lvlJc w:val="left"/>
      <w:pPr>
        <w:tabs>
          <w:tab w:val="num" w:pos="567"/>
        </w:tabs>
        <w:ind w:left="567" w:hanging="567"/>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33" w15:restartNumberingAfterBreak="0">
    <w:nsid w:val="44D7300A"/>
    <w:multiLevelType w:val="hybridMultilevel"/>
    <w:tmpl w:val="3A0C2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5520CD1"/>
    <w:multiLevelType w:val="multilevel"/>
    <w:tmpl w:val="AFD2A22A"/>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35" w15:restartNumberingAfterBreak="0">
    <w:nsid w:val="46880B64"/>
    <w:multiLevelType w:val="hybridMultilevel"/>
    <w:tmpl w:val="68C2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C02A04"/>
    <w:multiLevelType w:val="multilevel"/>
    <w:tmpl w:val="1122B7D2"/>
    <w:styleLink w:val="Dash"/>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37" w15:restartNumberingAfterBreak="0">
    <w:nsid w:val="49963662"/>
    <w:multiLevelType w:val="hybridMultilevel"/>
    <w:tmpl w:val="1ED423B6"/>
    <w:lvl w:ilvl="0" w:tplc="51385D28">
      <w:start w:val="1"/>
      <w:numFmt w:val="decimal"/>
      <w:pStyle w:val="ListMultilevel"/>
      <w:lvlText w:val="%1"/>
      <w:lvlJc w:val="left"/>
      <w:pPr>
        <w:tabs>
          <w:tab w:val="num" w:pos="357"/>
        </w:tabs>
        <w:ind w:left="357" w:hanging="357"/>
      </w:pPr>
      <w:rPr>
        <w:rFonts w:hint="default"/>
      </w:rPr>
    </w:lvl>
    <w:lvl w:ilvl="1" w:tplc="4A644D50" w:tentative="1">
      <w:start w:val="1"/>
      <w:numFmt w:val="lowerLetter"/>
      <w:lvlText w:val="%2."/>
      <w:lvlJc w:val="left"/>
      <w:pPr>
        <w:ind w:left="1440" w:hanging="360"/>
      </w:pPr>
    </w:lvl>
    <w:lvl w:ilvl="2" w:tplc="69DC8CCA" w:tentative="1">
      <w:start w:val="1"/>
      <w:numFmt w:val="lowerRoman"/>
      <w:lvlText w:val="%3."/>
      <w:lvlJc w:val="right"/>
      <w:pPr>
        <w:ind w:left="2160" w:hanging="180"/>
      </w:pPr>
    </w:lvl>
    <w:lvl w:ilvl="3" w:tplc="B7A02CEE" w:tentative="1">
      <w:start w:val="1"/>
      <w:numFmt w:val="decimal"/>
      <w:lvlText w:val="%4."/>
      <w:lvlJc w:val="left"/>
      <w:pPr>
        <w:ind w:left="2880" w:hanging="360"/>
      </w:pPr>
    </w:lvl>
    <w:lvl w:ilvl="4" w:tplc="00C03B1A" w:tentative="1">
      <w:start w:val="1"/>
      <w:numFmt w:val="lowerLetter"/>
      <w:lvlText w:val="%5."/>
      <w:lvlJc w:val="left"/>
      <w:pPr>
        <w:ind w:left="3600" w:hanging="360"/>
      </w:pPr>
    </w:lvl>
    <w:lvl w:ilvl="5" w:tplc="D79E48FE" w:tentative="1">
      <w:start w:val="1"/>
      <w:numFmt w:val="lowerRoman"/>
      <w:lvlText w:val="%6."/>
      <w:lvlJc w:val="right"/>
      <w:pPr>
        <w:ind w:left="4320" w:hanging="180"/>
      </w:pPr>
    </w:lvl>
    <w:lvl w:ilvl="6" w:tplc="8EF0112C" w:tentative="1">
      <w:start w:val="1"/>
      <w:numFmt w:val="decimal"/>
      <w:lvlText w:val="%7."/>
      <w:lvlJc w:val="left"/>
      <w:pPr>
        <w:ind w:left="5040" w:hanging="360"/>
      </w:pPr>
    </w:lvl>
    <w:lvl w:ilvl="7" w:tplc="4112E2EE" w:tentative="1">
      <w:start w:val="1"/>
      <w:numFmt w:val="lowerLetter"/>
      <w:lvlText w:val="%8."/>
      <w:lvlJc w:val="left"/>
      <w:pPr>
        <w:ind w:left="5760" w:hanging="360"/>
      </w:pPr>
    </w:lvl>
    <w:lvl w:ilvl="8" w:tplc="8482E0BE" w:tentative="1">
      <w:start w:val="1"/>
      <w:numFmt w:val="lowerRoman"/>
      <w:lvlText w:val="%9."/>
      <w:lvlJc w:val="right"/>
      <w:pPr>
        <w:ind w:left="6480" w:hanging="180"/>
      </w:pPr>
    </w:lvl>
  </w:abstractNum>
  <w:abstractNum w:abstractNumId="38" w15:restartNumberingAfterBreak="0">
    <w:nsid w:val="4EAE25A9"/>
    <w:multiLevelType w:val="hybridMultilevel"/>
    <w:tmpl w:val="EAF44DF8"/>
    <w:lvl w:ilvl="0" w:tplc="04090001">
      <w:start w:val="1"/>
      <w:numFmt w:val="decimal"/>
      <w:pStyle w:val="ListNumber2"/>
      <w:lvlText w:val="%1"/>
      <w:lvlJc w:val="left"/>
      <w:pPr>
        <w:tabs>
          <w:tab w:val="num" w:pos="567"/>
        </w:tabs>
        <w:ind w:left="567" w:hanging="567"/>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4FB2308F"/>
    <w:multiLevelType w:val="multilevel"/>
    <w:tmpl w:val="5A525736"/>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40" w15:restartNumberingAfterBreak="0">
    <w:nsid w:val="5002247B"/>
    <w:multiLevelType w:val="multilevel"/>
    <w:tmpl w:val="778A7352"/>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41" w15:restartNumberingAfterBreak="0">
    <w:nsid w:val="540D34A2"/>
    <w:multiLevelType w:val="hybridMultilevel"/>
    <w:tmpl w:val="CBF6168C"/>
    <w:lvl w:ilvl="0" w:tplc="25929ABE">
      <w:start w:val="1"/>
      <w:numFmt w:val="lowerLetter"/>
      <w:lvlText w:val="%1."/>
      <w:lvlJc w:val="left"/>
      <w:pPr>
        <w:tabs>
          <w:tab w:val="num" w:pos="357"/>
        </w:tabs>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524748"/>
    <w:multiLevelType w:val="hybridMultilevel"/>
    <w:tmpl w:val="CEFC21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8F8605F"/>
    <w:multiLevelType w:val="hybridMultilevel"/>
    <w:tmpl w:val="E62CA50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91363FB"/>
    <w:multiLevelType w:val="multilevel"/>
    <w:tmpl w:val="18967DC6"/>
    <w:lvl w:ilvl="0">
      <w:start w:val="1"/>
      <w:numFmt w:val="decimal"/>
      <w:pStyle w:val="List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913798E"/>
    <w:multiLevelType w:val="hybridMultilevel"/>
    <w:tmpl w:val="252C659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5F1329E8"/>
    <w:multiLevelType w:val="hybridMultilevel"/>
    <w:tmpl w:val="028296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7" w15:restartNumberingAfterBreak="0">
    <w:nsid w:val="63620248"/>
    <w:multiLevelType w:val="hybridMultilevel"/>
    <w:tmpl w:val="78A27B6A"/>
    <w:lvl w:ilvl="0" w:tplc="1CC4D624">
      <w:start w:val="1"/>
      <w:numFmt w:val="bullet"/>
      <w:lvlText w:val=""/>
      <w:lvlJc w:val="left"/>
      <w:pPr>
        <w:tabs>
          <w:tab w:val="num" w:pos="357"/>
        </w:tabs>
        <w:ind w:left="357" w:hanging="357"/>
      </w:pPr>
      <w:rPr>
        <w:rFonts w:ascii="Symbol" w:hAnsi="Symbol" w:hint="default"/>
      </w:rPr>
    </w:lvl>
    <w:lvl w:ilvl="1" w:tplc="A42A8452" w:tentative="1">
      <w:start w:val="1"/>
      <w:numFmt w:val="bullet"/>
      <w:lvlText w:val="o"/>
      <w:lvlJc w:val="left"/>
      <w:pPr>
        <w:ind w:left="1440" w:hanging="360"/>
      </w:pPr>
      <w:rPr>
        <w:rFonts w:ascii="Courier New" w:hAnsi="Courier New" w:hint="default"/>
      </w:rPr>
    </w:lvl>
    <w:lvl w:ilvl="2" w:tplc="DE6A2A66" w:tentative="1">
      <w:start w:val="1"/>
      <w:numFmt w:val="bullet"/>
      <w:lvlText w:val=""/>
      <w:lvlJc w:val="left"/>
      <w:pPr>
        <w:ind w:left="2160" w:hanging="360"/>
      </w:pPr>
      <w:rPr>
        <w:rFonts w:ascii="Wingdings" w:hAnsi="Wingdings" w:hint="default"/>
      </w:rPr>
    </w:lvl>
    <w:lvl w:ilvl="3" w:tplc="DD4C6308" w:tentative="1">
      <w:start w:val="1"/>
      <w:numFmt w:val="bullet"/>
      <w:lvlText w:val=""/>
      <w:lvlJc w:val="left"/>
      <w:pPr>
        <w:ind w:left="2880" w:hanging="360"/>
      </w:pPr>
      <w:rPr>
        <w:rFonts w:ascii="Symbol" w:hAnsi="Symbol" w:hint="default"/>
      </w:rPr>
    </w:lvl>
    <w:lvl w:ilvl="4" w:tplc="81D8AB60" w:tentative="1">
      <w:start w:val="1"/>
      <w:numFmt w:val="bullet"/>
      <w:lvlText w:val="o"/>
      <w:lvlJc w:val="left"/>
      <w:pPr>
        <w:ind w:left="3600" w:hanging="360"/>
      </w:pPr>
      <w:rPr>
        <w:rFonts w:ascii="Courier New" w:hAnsi="Courier New" w:hint="default"/>
      </w:rPr>
    </w:lvl>
    <w:lvl w:ilvl="5" w:tplc="2D1A981E" w:tentative="1">
      <w:start w:val="1"/>
      <w:numFmt w:val="bullet"/>
      <w:lvlText w:val=""/>
      <w:lvlJc w:val="left"/>
      <w:pPr>
        <w:ind w:left="4320" w:hanging="360"/>
      </w:pPr>
      <w:rPr>
        <w:rFonts w:ascii="Wingdings" w:hAnsi="Wingdings" w:hint="default"/>
      </w:rPr>
    </w:lvl>
    <w:lvl w:ilvl="6" w:tplc="352E7B10" w:tentative="1">
      <w:start w:val="1"/>
      <w:numFmt w:val="bullet"/>
      <w:lvlText w:val=""/>
      <w:lvlJc w:val="left"/>
      <w:pPr>
        <w:ind w:left="5040" w:hanging="360"/>
      </w:pPr>
      <w:rPr>
        <w:rFonts w:ascii="Symbol" w:hAnsi="Symbol" w:hint="default"/>
      </w:rPr>
    </w:lvl>
    <w:lvl w:ilvl="7" w:tplc="B950A378" w:tentative="1">
      <w:start w:val="1"/>
      <w:numFmt w:val="bullet"/>
      <w:lvlText w:val="o"/>
      <w:lvlJc w:val="left"/>
      <w:pPr>
        <w:ind w:left="5760" w:hanging="360"/>
      </w:pPr>
      <w:rPr>
        <w:rFonts w:ascii="Courier New" w:hAnsi="Courier New" w:hint="default"/>
      </w:rPr>
    </w:lvl>
    <w:lvl w:ilvl="8" w:tplc="B48E41A6" w:tentative="1">
      <w:start w:val="1"/>
      <w:numFmt w:val="bullet"/>
      <w:lvlText w:val=""/>
      <w:lvlJc w:val="left"/>
      <w:pPr>
        <w:ind w:left="6480" w:hanging="360"/>
      </w:pPr>
      <w:rPr>
        <w:rFonts w:ascii="Wingdings" w:hAnsi="Wingdings" w:hint="default"/>
      </w:rPr>
    </w:lvl>
  </w:abstractNum>
  <w:abstractNum w:abstractNumId="48" w15:restartNumberingAfterBreak="0">
    <w:nsid w:val="655E179A"/>
    <w:multiLevelType w:val="hybridMultilevel"/>
    <w:tmpl w:val="4FF4B7A6"/>
    <w:lvl w:ilvl="0" w:tplc="CBE215D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73B0DBD"/>
    <w:multiLevelType w:val="multilevel"/>
    <w:tmpl w:val="56624B3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lvlText w:val="Annex %6"/>
      <w:lvlJc w:val="left"/>
      <w:pPr>
        <w:tabs>
          <w:tab w:val="num" w:pos="1701"/>
        </w:tabs>
        <w:ind w:left="0" w:firstLine="0"/>
      </w:pPr>
      <w:rPr>
        <w:rFonts w:hint="default"/>
        <w:caps/>
        <w:sz w:val="24"/>
      </w:rPr>
    </w:lvl>
    <w:lvl w:ilvl="6">
      <w:start w:val="1"/>
      <w:numFmt w:val="decimal"/>
      <w:lvlText w:val="%6.%7"/>
      <w:lvlJc w:val="left"/>
      <w:pPr>
        <w:tabs>
          <w:tab w:val="num" w:pos="567"/>
        </w:tabs>
        <w:ind w:left="567"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32767" w:firstLine="32767"/>
      </w:pPr>
      <w:rPr>
        <w:rFonts w:hint="default"/>
      </w:rPr>
    </w:lvl>
  </w:abstractNum>
  <w:abstractNum w:abstractNumId="50" w15:restartNumberingAfterBreak="0">
    <w:nsid w:val="6CEB53E4"/>
    <w:multiLevelType w:val="hybridMultilevel"/>
    <w:tmpl w:val="E62CA5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E47622F"/>
    <w:multiLevelType w:val="hybridMultilevel"/>
    <w:tmpl w:val="E10AD716"/>
    <w:lvl w:ilvl="0" w:tplc="6644CEDE">
      <w:start w:val="1"/>
      <w:numFmt w:val="decimal"/>
      <w:pStyle w:val="Table"/>
      <w:lvlText w:val="Table %1:  "/>
      <w:lvlJc w:val="left"/>
      <w:pPr>
        <w:tabs>
          <w:tab w:val="num" w:pos="822"/>
        </w:tabs>
        <w:ind w:left="0" w:firstLine="0"/>
      </w:pPr>
      <w:rPr>
        <w:rFonts w:hint="default"/>
      </w:rPr>
    </w:lvl>
    <w:lvl w:ilvl="1" w:tplc="D1A411EC" w:tentative="1">
      <w:start w:val="1"/>
      <w:numFmt w:val="lowerLetter"/>
      <w:lvlText w:val="%2."/>
      <w:lvlJc w:val="left"/>
      <w:pPr>
        <w:ind w:left="1440" w:hanging="360"/>
      </w:pPr>
    </w:lvl>
    <w:lvl w:ilvl="2" w:tplc="E4787202" w:tentative="1">
      <w:start w:val="1"/>
      <w:numFmt w:val="lowerRoman"/>
      <w:lvlText w:val="%3."/>
      <w:lvlJc w:val="right"/>
      <w:pPr>
        <w:ind w:left="2160" w:hanging="180"/>
      </w:pPr>
    </w:lvl>
    <w:lvl w:ilvl="3" w:tplc="3C5AC1EE" w:tentative="1">
      <w:start w:val="1"/>
      <w:numFmt w:val="decimal"/>
      <w:lvlText w:val="%4."/>
      <w:lvlJc w:val="left"/>
      <w:pPr>
        <w:ind w:left="2880" w:hanging="360"/>
      </w:pPr>
    </w:lvl>
    <w:lvl w:ilvl="4" w:tplc="4628E5E8" w:tentative="1">
      <w:start w:val="1"/>
      <w:numFmt w:val="lowerLetter"/>
      <w:lvlText w:val="%5."/>
      <w:lvlJc w:val="left"/>
      <w:pPr>
        <w:ind w:left="3600" w:hanging="360"/>
      </w:pPr>
    </w:lvl>
    <w:lvl w:ilvl="5" w:tplc="AA08920A" w:tentative="1">
      <w:start w:val="1"/>
      <w:numFmt w:val="lowerRoman"/>
      <w:lvlText w:val="%6."/>
      <w:lvlJc w:val="right"/>
      <w:pPr>
        <w:ind w:left="4320" w:hanging="180"/>
      </w:pPr>
    </w:lvl>
    <w:lvl w:ilvl="6" w:tplc="2DD810D4" w:tentative="1">
      <w:start w:val="1"/>
      <w:numFmt w:val="decimal"/>
      <w:lvlText w:val="%7."/>
      <w:lvlJc w:val="left"/>
      <w:pPr>
        <w:ind w:left="5040" w:hanging="360"/>
      </w:pPr>
    </w:lvl>
    <w:lvl w:ilvl="7" w:tplc="191CC57E" w:tentative="1">
      <w:start w:val="1"/>
      <w:numFmt w:val="lowerLetter"/>
      <w:lvlText w:val="%8."/>
      <w:lvlJc w:val="left"/>
      <w:pPr>
        <w:ind w:left="5760" w:hanging="360"/>
      </w:pPr>
    </w:lvl>
    <w:lvl w:ilvl="8" w:tplc="1C1A5498" w:tentative="1">
      <w:start w:val="1"/>
      <w:numFmt w:val="lowerRoman"/>
      <w:lvlText w:val="%9."/>
      <w:lvlJc w:val="right"/>
      <w:pPr>
        <w:ind w:left="6480" w:hanging="180"/>
      </w:pPr>
    </w:lvl>
  </w:abstractNum>
  <w:abstractNum w:abstractNumId="52" w15:restartNumberingAfterBreak="0">
    <w:nsid w:val="6FF72C43"/>
    <w:multiLevelType w:val="multilevel"/>
    <w:tmpl w:val="601EF3FE"/>
    <w:name w:val="AGSParaa2"/>
    <w:lvl w:ilvl="0">
      <w:numFmt w:val="bullet"/>
      <w:lvlText w:val="-"/>
      <w:lvlJc w:val="left"/>
      <w:pPr>
        <w:ind w:left="530" w:hanging="360"/>
      </w:pPr>
      <w:rPr>
        <w:rFonts w:ascii="Calibri" w:eastAsia="Calibri" w:hAnsi="Calibri" w:cs="Times New Roman" w:hint="default"/>
      </w:rPr>
    </w:lvl>
    <w:lvl w:ilvl="1">
      <w:start w:val="1"/>
      <w:numFmt w:val="bullet"/>
      <w:lvlText w:val="o"/>
      <w:lvlJc w:val="left"/>
      <w:pPr>
        <w:ind w:left="1525" w:hanging="360"/>
      </w:pPr>
      <w:rPr>
        <w:rFonts w:ascii="Courier New" w:hAnsi="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hint="default"/>
      </w:rPr>
    </w:lvl>
    <w:lvl w:ilvl="8">
      <w:start w:val="1"/>
      <w:numFmt w:val="bullet"/>
      <w:lvlText w:val=""/>
      <w:lvlJc w:val="left"/>
      <w:pPr>
        <w:ind w:left="6565" w:hanging="360"/>
      </w:pPr>
      <w:rPr>
        <w:rFonts w:ascii="Wingdings" w:hAnsi="Wingdings" w:hint="default"/>
      </w:rPr>
    </w:lvl>
  </w:abstractNum>
  <w:abstractNum w:abstractNumId="53" w15:restartNumberingAfterBreak="0">
    <w:nsid w:val="767F36E1"/>
    <w:multiLevelType w:val="hybridMultilevel"/>
    <w:tmpl w:val="176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6A771C"/>
    <w:multiLevelType w:val="hybridMultilevel"/>
    <w:tmpl w:val="9B385FA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5" w15:restartNumberingAfterBreak="0">
    <w:nsid w:val="7BFA0798"/>
    <w:multiLevelType w:val="multilevel"/>
    <w:tmpl w:val="FE886FE4"/>
    <w:lvl w:ilvl="0">
      <w:numFmt w:val="bullet"/>
      <w:lvlText w:val="-"/>
      <w:lvlJc w:val="left"/>
      <w:pPr>
        <w:tabs>
          <w:tab w:val="num" w:pos="240"/>
        </w:tabs>
        <w:ind w:left="240" w:hanging="240"/>
      </w:pPr>
      <w:rPr>
        <w:rFonts w:ascii="Calibri" w:eastAsia="Calibri" w:hAnsi="Calibri" w:cs="ArialMT"/>
        <w:position w:val="4"/>
        <w:u w:color="000000"/>
        <w:rtl w:val="0"/>
      </w:rPr>
    </w:lvl>
    <w:lvl w:ilvl="1">
      <w:start w:val="1"/>
      <w:numFmt w:val="bullet"/>
      <w:lvlText w:val="-"/>
      <w:lvlJc w:val="left"/>
      <w:pPr>
        <w:tabs>
          <w:tab w:val="num" w:pos="480"/>
        </w:tabs>
        <w:ind w:left="480" w:hanging="240"/>
      </w:pPr>
      <w:rPr>
        <w:rFonts w:ascii="Calibri" w:eastAsia="Calibri" w:hAnsi="Calibri" w:cs="ArialMT"/>
        <w:position w:val="4"/>
        <w:u w:color="000000"/>
        <w:rtl w:val="0"/>
      </w:rPr>
    </w:lvl>
    <w:lvl w:ilvl="2">
      <w:start w:val="1"/>
      <w:numFmt w:val="bullet"/>
      <w:lvlText w:val="-"/>
      <w:lvlJc w:val="left"/>
      <w:pPr>
        <w:tabs>
          <w:tab w:val="num" w:pos="720"/>
        </w:tabs>
        <w:ind w:left="720" w:hanging="240"/>
      </w:pPr>
      <w:rPr>
        <w:rFonts w:ascii="Calibri" w:eastAsia="Calibri" w:hAnsi="Calibri" w:cs="ArialMT"/>
        <w:position w:val="4"/>
        <w:u w:color="000000"/>
        <w:rtl w:val="0"/>
      </w:rPr>
    </w:lvl>
    <w:lvl w:ilvl="3">
      <w:start w:val="1"/>
      <w:numFmt w:val="bullet"/>
      <w:lvlText w:val="-"/>
      <w:lvlJc w:val="left"/>
      <w:pPr>
        <w:tabs>
          <w:tab w:val="num" w:pos="960"/>
        </w:tabs>
        <w:ind w:left="960" w:hanging="240"/>
      </w:pPr>
      <w:rPr>
        <w:rFonts w:ascii="Calibri" w:eastAsia="Calibri" w:hAnsi="Calibri" w:cs="ArialMT"/>
        <w:position w:val="4"/>
        <w:u w:color="000000"/>
        <w:rtl w:val="0"/>
      </w:rPr>
    </w:lvl>
    <w:lvl w:ilvl="4">
      <w:start w:val="1"/>
      <w:numFmt w:val="bullet"/>
      <w:lvlText w:val="-"/>
      <w:lvlJc w:val="left"/>
      <w:pPr>
        <w:tabs>
          <w:tab w:val="num" w:pos="1200"/>
        </w:tabs>
        <w:ind w:left="1200" w:hanging="240"/>
      </w:pPr>
      <w:rPr>
        <w:rFonts w:ascii="Calibri" w:eastAsia="Calibri" w:hAnsi="Calibri" w:cs="ArialMT"/>
        <w:position w:val="4"/>
        <w:u w:color="000000"/>
        <w:rtl w:val="0"/>
      </w:rPr>
    </w:lvl>
    <w:lvl w:ilvl="5">
      <w:start w:val="1"/>
      <w:numFmt w:val="bullet"/>
      <w:lvlText w:val="-"/>
      <w:lvlJc w:val="left"/>
      <w:pPr>
        <w:tabs>
          <w:tab w:val="num" w:pos="1440"/>
        </w:tabs>
        <w:ind w:left="1440" w:hanging="240"/>
      </w:pPr>
      <w:rPr>
        <w:rFonts w:ascii="Calibri" w:eastAsia="Calibri" w:hAnsi="Calibri" w:cs="ArialMT"/>
        <w:position w:val="4"/>
        <w:u w:color="000000"/>
        <w:rtl w:val="0"/>
      </w:rPr>
    </w:lvl>
    <w:lvl w:ilvl="6">
      <w:start w:val="1"/>
      <w:numFmt w:val="bullet"/>
      <w:lvlText w:val="-"/>
      <w:lvlJc w:val="left"/>
      <w:pPr>
        <w:tabs>
          <w:tab w:val="num" w:pos="1680"/>
        </w:tabs>
        <w:ind w:left="1680" w:hanging="240"/>
      </w:pPr>
      <w:rPr>
        <w:rFonts w:ascii="Calibri" w:eastAsia="Calibri" w:hAnsi="Calibri" w:cs="ArialMT"/>
        <w:position w:val="4"/>
        <w:u w:color="000000"/>
        <w:rtl w:val="0"/>
      </w:rPr>
    </w:lvl>
    <w:lvl w:ilvl="7">
      <w:start w:val="1"/>
      <w:numFmt w:val="bullet"/>
      <w:lvlText w:val="-"/>
      <w:lvlJc w:val="left"/>
      <w:pPr>
        <w:tabs>
          <w:tab w:val="num" w:pos="1920"/>
        </w:tabs>
        <w:ind w:left="1920" w:hanging="240"/>
      </w:pPr>
      <w:rPr>
        <w:rFonts w:ascii="Calibri" w:eastAsia="Calibri" w:hAnsi="Calibri" w:cs="ArialMT"/>
        <w:position w:val="4"/>
        <w:u w:color="000000"/>
        <w:rtl w:val="0"/>
      </w:rPr>
    </w:lvl>
    <w:lvl w:ilvl="8">
      <w:start w:val="1"/>
      <w:numFmt w:val="bullet"/>
      <w:lvlText w:val="-"/>
      <w:lvlJc w:val="left"/>
      <w:pPr>
        <w:tabs>
          <w:tab w:val="num" w:pos="2160"/>
        </w:tabs>
        <w:ind w:left="2160" w:hanging="240"/>
      </w:pPr>
      <w:rPr>
        <w:rFonts w:ascii="Calibri" w:eastAsia="Calibri" w:hAnsi="Calibri" w:cs="ArialMT"/>
        <w:position w:val="4"/>
        <w:u w:color="000000"/>
        <w:rtl w:val="0"/>
      </w:rPr>
    </w:lvl>
  </w:abstractNum>
  <w:abstractNum w:abstractNumId="56" w15:restartNumberingAfterBreak="0">
    <w:nsid w:val="7C5A5B1A"/>
    <w:multiLevelType w:val="hybridMultilevel"/>
    <w:tmpl w:val="7FB85CFE"/>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37"/>
  </w:num>
  <w:num w:numId="2">
    <w:abstractNumId w:val="44"/>
  </w:num>
  <w:num w:numId="3">
    <w:abstractNumId w:val="56"/>
  </w:num>
  <w:num w:numId="4">
    <w:abstractNumId w:val="17"/>
  </w:num>
  <w:num w:numId="5">
    <w:abstractNumId w:val="51"/>
  </w:num>
  <w:num w:numId="6">
    <w:abstractNumId w:val="1"/>
  </w:num>
  <w:num w:numId="7">
    <w:abstractNumId w:val="5"/>
  </w:num>
  <w:num w:numId="8">
    <w:abstractNumId w:val="30"/>
  </w:num>
  <w:num w:numId="9">
    <w:abstractNumId w:val="12"/>
  </w:num>
  <w:num w:numId="10">
    <w:abstractNumId w:val="25"/>
  </w:num>
  <w:num w:numId="11">
    <w:abstractNumId w:val="47"/>
  </w:num>
  <w:num w:numId="12">
    <w:abstractNumId w:val="7"/>
  </w:num>
  <w:num w:numId="13">
    <w:abstractNumId w:val="39"/>
  </w:num>
  <w:num w:numId="14">
    <w:abstractNumId w:val="14"/>
  </w:num>
  <w:num w:numId="15">
    <w:abstractNumId w:val="40"/>
  </w:num>
  <w:num w:numId="16">
    <w:abstractNumId w:val="29"/>
  </w:num>
  <w:num w:numId="17">
    <w:abstractNumId w:val="31"/>
  </w:num>
  <w:num w:numId="18">
    <w:abstractNumId w:val="2"/>
  </w:num>
  <w:num w:numId="19">
    <w:abstractNumId w:val="55"/>
  </w:num>
  <w:num w:numId="20">
    <w:abstractNumId w:val="9"/>
  </w:num>
  <w:num w:numId="21">
    <w:abstractNumId w:val="34"/>
  </w:num>
  <w:num w:numId="22">
    <w:abstractNumId w:val="36"/>
  </w:num>
  <w:num w:numId="23">
    <w:abstractNumId w:val="53"/>
  </w:num>
  <w:num w:numId="24">
    <w:abstractNumId w:val="25"/>
  </w:num>
  <w:num w:numId="25">
    <w:abstractNumId w:val="25"/>
  </w:num>
  <w:num w:numId="26">
    <w:abstractNumId w:val="16"/>
  </w:num>
  <w:num w:numId="27">
    <w:abstractNumId w:val="18"/>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num>
  <w:num w:numId="30">
    <w:abstractNumId w:val="46"/>
  </w:num>
  <w:num w:numId="3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35"/>
  </w:num>
  <w:num w:numId="34">
    <w:abstractNumId w:val="22"/>
  </w:num>
  <w:num w:numId="35">
    <w:abstractNumId w:val="49"/>
  </w:num>
  <w:num w:numId="36">
    <w:abstractNumId w:val="8"/>
  </w:num>
  <w:num w:numId="37">
    <w:abstractNumId w:val="21"/>
  </w:num>
  <w:num w:numId="38">
    <w:abstractNumId w:val="23"/>
  </w:num>
  <w:num w:numId="39">
    <w:abstractNumId w:val="3"/>
  </w:num>
  <w:num w:numId="40">
    <w:abstractNumId w:val="41"/>
  </w:num>
  <w:num w:numId="41">
    <w:abstractNumId w:val="10"/>
  </w:num>
  <w:num w:numId="42">
    <w:abstractNumId w:val="38"/>
  </w:num>
  <w:num w:numId="43">
    <w:abstractNumId w:val="38"/>
    <w:lvlOverride w:ilvl="0">
      <w:startOverride w:val="1"/>
    </w:lvlOverride>
  </w:num>
  <w:num w:numId="44">
    <w:abstractNumId w:val="4"/>
  </w:num>
  <w:num w:numId="45">
    <w:abstractNumId w:val="3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50"/>
  </w:num>
  <w:num w:numId="50">
    <w:abstractNumId w:val="15"/>
  </w:num>
  <w:num w:numId="51">
    <w:abstractNumId w:val="42"/>
  </w:num>
  <w:num w:numId="52">
    <w:abstractNumId w:val="20"/>
  </w:num>
  <w:num w:numId="53">
    <w:abstractNumId w:val="24"/>
  </w:num>
  <w:num w:numId="54">
    <w:abstractNumId w:val="32"/>
  </w:num>
  <w:num w:numId="55">
    <w:abstractNumId w:val="28"/>
  </w:num>
  <w:num w:numId="56">
    <w:abstractNumId w:val="48"/>
    <w:lvlOverride w:ilvl="0">
      <w:startOverride w:val="1"/>
    </w:lvlOverride>
  </w:num>
  <w:num w:numId="57">
    <w:abstractNumId w:val="27"/>
  </w:num>
  <w:num w:numId="58">
    <w:abstractNumId w:val="11"/>
  </w:num>
  <w:num w:numId="59">
    <w:abstractNumId w:val="0"/>
  </w:num>
  <w:num w:numId="60">
    <w:abstractNumId w:val="32"/>
  </w:num>
  <w:num w:numId="61">
    <w:abstractNumId w:val="32"/>
  </w:num>
  <w:num w:numId="62">
    <w:abstractNumId w:val="13"/>
  </w:num>
  <w:num w:numId="63">
    <w:abstractNumId w:val="33"/>
  </w:num>
  <w:num w:numId="64">
    <w:abstractNumId w:val="32"/>
  </w:num>
  <w:num w:numId="65">
    <w:abstractNumId w:val="32"/>
  </w:num>
  <w:num w:numId="66">
    <w:abstractNumId w:val="43"/>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1"/>
  <w:activeWritingStyle w:appName="MSWord" w:lang="ja-JP" w:vendorID="64" w:dllVersion="131078" w:nlCheck="1" w:checkStyle="1"/>
  <w:activeWritingStyle w:appName="MSWord" w:lang="fr-FR" w:vendorID="64" w:dllVersion="131078" w:nlCheck="1" w:checkStyle="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3"/>
    <w:rsid w:val="000005AF"/>
    <w:rsid w:val="00000D19"/>
    <w:rsid w:val="00002EB7"/>
    <w:rsid w:val="00003AB0"/>
    <w:rsid w:val="00004614"/>
    <w:rsid w:val="00004991"/>
    <w:rsid w:val="00004A49"/>
    <w:rsid w:val="00006833"/>
    <w:rsid w:val="00006979"/>
    <w:rsid w:val="00006D0D"/>
    <w:rsid w:val="00007B50"/>
    <w:rsid w:val="00007CDF"/>
    <w:rsid w:val="00011485"/>
    <w:rsid w:val="000117EF"/>
    <w:rsid w:val="00012754"/>
    <w:rsid w:val="00013903"/>
    <w:rsid w:val="00013B26"/>
    <w:rsid w:val="0001405B"/>
    <w:rsid w:val="00014114"/>
    <w:rsid w:val="00014C54"/>
    <w:rsid w:val="00015211"/>
    <w:rsid w:val="0001592E"/>
    <w:rsid w:val="00016AF8"/>
    <w:rsid w:val="00016FEA"/>
    <w:rsid w:val="000208A7"/>
    <w:rsid w:val="000216B2"/>
    <w:rsid w:val="00021D76"/>
    <w:rsid w:val="0002388A"/>
    <w:rsid w:val="00023BF3"/>
    <w:rsid w:val="00024D62"/>
    <w:rsid w:val="00026670"/>
    <w:rsid w:val="00027434"/>
    <w:rsid w:val="0002754E"/>
    <w:rsid w:val="0002758F"/>
    <w:rsid w:val="00030EF2"/>
    <w:rsid w:val="00031AC1"/>
    <w:rsid w:val="00032948"/>
    <w:rsid w:val="000334CA"/>
    <w:rsid w:val="00033A98"/>
    <w:rsid w:val="00034336"/>
    <w:rsid w:val="00034572"/>
    <w:rsid w:val="000364B0"/>
    <w:rsid w:val="0004035A"/>
    <w:rsid w:val="000404FE"/>
    <w:rsid w:val="00040EEA"/>
    <w:rsid w:val="00041484"/>
    <w:rsid w:val="000423F6"/>
    <w:rsid w:val="00043717"/>
    <w:rsid w:val="000445BC"/>
    <w:rsid w:val="0004524F"/>
    <w:rsid w:val="00045297"/>
    <w:rsid w:val="00045672"/>
    <w:rsid w:val="00045ADB"/>
    <w:rsid w:val="00047FD9"/>
    <w:rsid w:val="00050D06"/>
    <w:rsid w:val="00051194"/>
    <w:rsid w:val="000519F7"/>
    <w:rsid w:val="00051D8E"/>
    <w:rsid w:val="00051F49"/>
    <w:rsid w:val="000520C1"/>
    <w:rsid w:val="000521B7"/>
    <w:rsid w:val="0005285A"/>
    <w:rsid w:val="00052F2C"/>
    <w:rsid w:val="00054131"/>
    <w:rsid w:val="00054926"/>
    <w:rsid w:val="00055455"/>
    <w:rsid w:val="00056361"/>
    <w:rsid w:val="00057F13"/>
    <w:rsid w:val="00060A98"/>
    <w:rsid w:val="00062F72"/>
    <w:rsid w:val="000635A0"/>
    <w:rsid w:val="000637C7"/>
    <w:rsid w:val="00063F80"/>
    <w:rsid w:val="000650D0"/>
    <w:rsid w:val="00065182"/>
    <w:rsid w:val="00065C02"/>
    <w:rsid w:val="000661CF"/>
    <w:rsid w:val="0007032F"/>
    <w:rsid w:val="00070D35"/>
    <w:rsid w:val="00071659"/>
    <w:rsid w:val="00071B5B"/>
    <w:rsid w:val="000721BB"/>
    <w:rsid w:val="00074E2D"/>
    <w:rsid w:val="000756AE"/>
    <w:rsid w:val="000761EC"/>
    <w:rsid w:val="00077093"/>
    <w:rsid w:val="000779A3"/>
    <w:rsid w:val="000808C0"/>
    <w:rsid w:val="00081488"/>
    <w:rsid w:val="000818AE"/>
    <w:rsid w:val="00082142"/>
    <w:rsid w:val="00082833"/>
    <w:rsid w:val="000843EB"/>
    <w:rsid w:val="0008504A"/>
    <w:rsid w:val="000858D3"/>
    <w:rsid w:val="00086351"/>
    <w:rsid w:val="00087A6A"/>
    <w:rsid w:val="00087AA5"/>
    <w:rsid w:val="00091DDA"/>
    <w:rsid w:val="00091E61"/>
    <w:rsid w:val="00092944"/>
    <w:rsid w:val="00093663"/>
    <w:rsid w:val="00095114"/>
    <w:rsid w:val="0009514C"/>
    <w:rsid w:val="00096024"/>
    <w:rsid w:val="000A0A3A"/>
    <w:rsid w:val="000A1135"/>
    <w:rsid w:val="000A1144"/>
    <w:rsid w:val="000A2485"/>
    <w:rsid w:val="000A348F"/>
    <w:rsid w:val="000A3510"/>
    <w:rsid w:val="000A4130"/>
    <w:rsid w:val="000A46A9"/>
    <w:rsid w:val="000A4D2B"/>
    <w:rsid w:val="000A5AD3"/>
    <w:rsid w:val="000A6F67"/>
    <w:rsid w:val="000B0948"/>
    <w:rsid w:val="000B1240"/>
    <w:rsid w:val="000B24EA"/>
    <w:rsid w:val="000B2670"/>
    <w:rsid w:val="000B26C0"/>
    <w:rsid w:val="000B276B"/>
    <w:rsid w:val="000B3546"/>
    <w:rsid w:val="000B3BD2"/>
    <w:rsid w:val="000B4A48"/>
    <w:rsid w:val="000B4B86"/>
    <w:rsid w:val="000B4FDE"/>
    <w:rsid w:val="000B5D55"/>
    <w:rsid w:val="000B6248"/>
    <w:rsid w:val="000B64BC"/>
    <w:rsid w:val="000B77C7"/>
    <w:rsid w:val="000B7FFE"/>
    <w:rsid w:val="000C016E"/>
    <w:rsid w:val="000C100E"/>
    <w:rsid w:val="000C21E5"/>
    <w:rsid w:val="000C3A37"/>
    <w:rsid w:val="000C4E36"/>
    <w:rsid w:val="000C57F0"/>
    <w:rsid w:val="000C5D18"/>
    <w:rsid w:val="000C5D2E"/>
    <w:rsid w:val="000C6CBF"/>
    <w:rsid w:val="000C7DFC"/>
    <w:rsid w:val="000D00D1"/>
    <w:rsid w:val="000D0793"/>
    <w:rsid w:val="000D203F"/>
    <w:rsid w:val="000D2633"/>
    <w:rsid w:val="000D2765"/>
    <w:rsid w:val="000D281A"/>
    <w:rsid w:val="000D2C17"/>
    <w:rsid w:val="000D3952"/>
    <w:rsid w:val="000D4400"/>
    <w:rsid w:val="000D46F1"/>
    <w:rsid w:val="000D64C9"/>
    <w:rsid w:val="000D6CB6"/>
    <w:rsid w:val="000D6D15"/>
    <w:rsid w:val="000D7609"/>
    <w:rsid w:val="000E015E"/>
    <w:rsid w:val="000E06AE"/>
    <w:rsid w:val="000E1353"/>
    <w:rsid w:val="000E1636"/>
    <w:rsid w:val="000E2BEC"/>
    <w:rsid w:val="000E35B9"/>
    <w:rsid w:val="000E3755"/>
    <w:rsid w:val="000E55FA"/>
    <w:rsid w:val="000E68DB"/>
    <w:rsid w:val="000E7859"/>
    <w:rsid w:val="000F0227"/>
    <w:rsid w:val="000F0DE4"/>
    <w:rsid w:val="000F1C25"/>
    <w:rsid w:val="000F1F63"/>
    <w:rsid w:val="000F2133"/>
    <w:rsid w:val="000F22EA"/>
    <w:rsid w:val="000F236D"/>
    <w:rsid w:val="000F248C"/>
    <w:rsid w:val="000F6035"/>
    <w:rsid w:val="000F63B4"/>
    <w:rsid w:val="000F7325"/>
    <w:rsid w:val="00101338"/>
    <w:rsid w:val="001016E0"/>
    <w:rsid w:val="00103127"/>
    <w:rsid w:val="001048D8"/>
    <w:rsid w:val="00104F71"/>
    <w:rsid w:val="001052A2"/>
    <w:rsid w:val="001059B3"/>
    <w:rsid w:val="00105DFD"/>
    <w:rsid w:val="00106439"/>
    <w:rsid w:val="00106AC1"/>
    <w:rsid w:val="0011027D"/>
    <w:rsid w:val="001104E3"/>
    <w:rsid w:val="001106DE"/>
    <w:rsid w:val="001109DB"/>
    <w:rsid w:val="00110B6E"/>
    <w:rsid w:val="00111370"/>
    <w:rsid w:val="001116C7"/>
    <w:rsid w:val="00113798"/>
    <w:rsid w:val="001148B6"/>
    <w:rsid w:val="00115040"/>
    <w:rsid w:val="00115DD5"/>
    <w:rsid w:val="001164BE"/>
    <w:rsid w:val="0011797B"/>
    <w:rsid w:val="00117C56"/>
    <w:rsid w:val="001202B0"/>
    <w:rsid w:val="001206C9"/>
    <w:rsid w:val="00120801"/>
    <w:rsid w:val="001216E0"/>
    <w:rsid w:val="001218A3"/>
    <w:rsid w:val="001229BB"/>
    <w:rsid w:val="00122CD0"/>
    <w:rsid w:val="00123185"/>
    <w:rsid w:val="00124C55"/>
    <w:rsid w:val="00125057"/>
    <w:rsid w:val="00125402"/>
    <w:rsid w:val="00127D41"/>
    <w:rsid w:val="001307D9"/>
    <w:rsid w:val="0013156C"/>
    <w:rsid w:val="00131FD0"/>
    <w:rsid w:val="00132010"/>
    <w:rsid w:val="001323FA"/>
    <w:rsid w:val="0013270B"/>
    <w:rsid w:val="00132DF7"/>
    <w:rsid w:val="00132F13"/>
    <w:rsid w:val="00132F47"/>
    <w:rsid w:val="0013461E"/>
    <w:rsid w:val="0013569F"/>
    <w:rsid w:val="00136473"/>
    <w:rsid w:val="001377B0"/>
    <w:rsid w:val="00137BFB"/>
    <w:rsid w:val="00141827"/>
    <w:rsid w:val="00141F7E"/>
    <w:rsid w:val="00146A82"/>
    <w:rsid w:val="00147BF3"/>
    <w:rsid w:val="00150F21"/>
    <w:rsid w:val="00153C61"/>
    <w:rsid w:val="00156D00"/>
    <w:rsid w:val="0015703B"/>
    <w:rsid w:val="0016028D"/>
    <w:rsid w:val="0016033B"/>
    <w:rsid w:val="00160D66"/>
    <w:rsid w:val="0016276D"/>
    <w:rsid w:val="00163CC5"/>
    <w:rsid w:val="001648E2"/>
    <w:rsid w:val="0016542C"/>
    <w:rsid w:val="00165830"/>
    <w:rsid w:val="00165991"/>
    <w:rsid w:val="00166739"/>
    <w:rsid w:val="00167EBE"/>
    <w:rsid w:val="001708F3"/>
    <w:rsid w:val="001717BB"/>
    <w:rsid w:val="0017180B"/>
    <w:rsid w:val="001719CD"/>
    <w:rsid w:val="00174254"/>
    <w:rsid w:val="001764D9"/>
    <w:rsid w:val="0017660A"/>
    <w:rsid w:val="0017687C"/>
    <w:rsid w:val="00177333"/>
    <w:rsid w:val="00180983"/>
    <w:rsid w:val="00180C1A"/>
    <w:rsid w:val="001815D9"/>
    <w:rsid w:val="001819A5"/>
    <w:rsid w:val="00182179"/>
    <w:rsid w:val="00182B0D"/>
    <w:rsid w:val="0018321C"/>
    <w:rsid w:val="00183B59"/>
    <w:rsid w:val="00184FE5"/>
    <w:rsid w:val="001852E9"/>
    <w:rsid w:val="00186614"/>
    <w:rsid w:val="001875B7"/>
    <w:rsid w:val="00190681"/>
    <w:rsid w:val="00190AF1"/>
    <w:rsid w:val="00190B34"/>
    <w:rsid w:val="00191309"/>
    <w:rsid w:val="0019252C"/>
    <w:rsid w:val="00192E83"/>
    <w:rsid w:val="001948B1"/>
    <w:rsid w:val="00194B1E"/>
    <w:rsid w:val="001950DB"/>
    <w:rsid w:val="0019519F"/>
    <w:rsid w:val="001957CE"/>
    <w:rsid w:val="001957E1"/>
    <w:rsid w:val="001960E4"/>
    <w:rsid w:val="001A0DA6"/>
    <w:rsid w:val="001A1255"/>
    <w:rsid w:val="001A1284"/>
    <w:rsid w:val="001A1917"/>
    <w:rsid w:val="001A3315"/>
    <w:rsid w:val="001A7AB2"/>
    <w:rsid w:val="001B080E"/>
    <w:rsid w:val="001B17DE"/>
    <w:rsid w:val="001B1B70"/>
    <w:rsid w:val="001B395E"/>
    <w:rsid w:val="001B3E91"/>
    <w:rsid w:val="001B47F1"/>
    <w:rsid w:val="001B59C8"/>
    <w:rsid w:val="001B5C5E"/>
    <w:rsid w:val="001B648F"/>
    <w:rsid w:val="001C07B6"/>
    <w:rsid w:val="001C198B"/>
    <w:rsid w:val="001C1AD5"/>
    <w:rsid w:val="001C457F"/>
    <w:rsid w:val="001C4638"/>
    <w:rsid w:val="001C4F43"/>
    <w:rsid w:val="001C54A1"/>
    <w:rsid w:val="001C5650"/>
    <w:rsid w:val="001C6239"/>
    <w:rsid w:val="001D1390"/>
    <w:rsid w:val="001D195C"/>
    <w:rsid w:val="001D29EC"/>
    <w:rsid w:val="001D3284"/>
    <w:rsid w:val="001D3CC3"/>
    <w:rsid w:val="001D49F7"/>
    <w:rsid w:val="001D503F"/>
    <w:rsid w:val="001D51A6"/>
    <w:rsid w:val="001D5B0C"/>
    <w:rsid w:val="001D5BFF"/>
    <w:rsid w:val="001D602D"/>
    <w:rsid w:val="001D7119"/>
    <w:rsid w:val="001D73BB"/>
    <w:rsid w:val="001E030B"/>
    <w:rsid w:val="001E1B8F"/>
    <w:rsid w:val="001E1FE8"/>
    <w:rsid w:val="001E343D"/>
    <w:rsid w:val="001E3451"/>
    <w:rsid w:val="001E493A"/>
    <w:rsid w:val="001E4BB2"/>
    <w:rsid w:val="001E5611"/>
    <w:rsid w:val="001E5927"/>
    <w:rsid w:val="001E6B07"/>
    <w:rsid w:val="001F09A3"/>
    <w:rsid w:val="001F09E8"/>
    <w:rsid w:val="001F0CCE"/>
    <w:rsid w:val="001F16D0"/>
    <w:rsid w:val="001F2A98"/>
    <w:rsid w:val="001F334D"/>
    <w:rsid w:val="001F357E"/>
    <w:rsid w:val="001F455B"/>
    <w:rsid w:val="001F4C34"/>
    <w:rsid w:val="001F4CFC"/>
    <w:rsid w:val="001F591A"/>
    <w:rsid w:val="001F7725"/>
    <w:rsid w:val="001F7CC2"/>
    <w:rsid w:val="002007A0"/>
    <w:rsid w:val="00203A0B"/>
    <w:rsid w:val="00205200"/>
    <w:rsid w:val="00205607"/>
    <w:rsid w:val="00205F75"/>
    <w:rsid w:val="00210580"/>
    <w:rsid w:val="0021436B"/>
    <w:rsid w:val="00214D8D"/>
    <w:rsid w:val="00214E46"/>
    <w:rsid w:val="00215D66"/>
    <w:rsid w:val="00216BD8"/>
    <w:rsid w:val="002206C8"/>
    <w:rsid w:val="00220B9C"/>
    <w:rsid w:val="00222287"/>
    <w:rsid w:val="00223154"/>
    <w:rsid w:val="00223275"/>
    <w:rsid w:val="00223744"/>
    <w:rsid w:val="00223D69"/>
    <w:rsid w:val="002241B8"/>
    <w:rsid w:val="00224CBA"/>
    <w:rsid w:val="002252C2"/>
    <w:rsid w:val="00225D2A"/>
    <w:rsid w:val="00227777"/>
    <w:rsid w:val="00230125"/>
    <w:rsid w:val="002307AC"/>
    <w:rsid w:val="002314B0"/>
    <w:rsid w:val="0023238E"/>
    <w:rsid w:val="00232D22"/>
    <w:rsid w:val="002332C5"/>
    <w:rsid w:val="00233413"/>
    <w:rsid w:val="0023444C"/>
    <w:rsid w:val="0023526C"/>
    <w:rsid w:val="0024043E"/>
    <w:rsid w:val="002421E6"/>
    <w:rsid w:val="002449C8"/>
    <w:rsid w:val="00245C0B"/>
    <w:rsid w:val="002468F6"/>
    <w:rsid w:val="00246B91"/>
    <w:rsid w:val="0025077C"/>
    <w:rsid w:val="00252667"/>
    <w:rsid w:val="00252EF8"/>
    <w:rsid w:val="00254C9F"/>
    <w:rsid w:val="00254D3F"/>
    <w:rsid w:val="00254F0E"/>
    <w:rsid w:val="002572D9"/>
    <w:rsid w:val="002575B5"/>
    <w:rsid w:val="0025770E"/>
    <w:rsid w:val="002618FF"/>
    <w:rsid w:val="00262833"/>
    <w:rsid w:val="00262DEC"/>
    <w:rsid w:val="00263729"/>
    <w:rsid w:val="002649C0"/>
    <w:rsid w:val="00267FEB"/>
    <w:rsid w:val="00272812"/>
    <w:rsid w:val="002729CC"/>
    <w:rsid w:val="0027725D"/>
    <w:rsid w:val="002775E8"/>
    <w:rsid w:val="00277996"/>
    <w:rsid w:val="002803A7"/>
    <w:rsid w:val="00280425"/>
    <w:rsid w:val="00280FD9"/>
    <w:rsid w:val="00283C5D"/>
    <w:rsid w:val="00284A85"/>
    <w:rsid w:val="00285B58"/>
    <w:rsid w:val="00285CB6"/>
    <w:rsid w:val="0028656C"/>
    <w:rsid w:val="00286A43"/>
    <w:rsid w:val="00286D17"/>
    <w:rsid w:val="002873A7"/>
    <w:rsid w:val="00287419"/>
    <w:rsid w:val="00290859"/>
    <w:rsid w:val="00291A46"/>
    <w:rsid w:val="00293109"/>
    <w:rsid w:val="002959A3"/>
    <w:rsid w:val="00297727"/>
    <w:rsid w:val="00297CE6"/>
    <w:rsid w:val="002A14F5"/>
    <w:rsid w:val="002A1F94"/>
    <w:rsid w:val="002A21D4"/>
    <w:rsid w:val="002A28EB"/>
    <w:rsid w:val="002A299F"/>
    <w:rsid w:val="002A3477"/>
    <w:rsid w:val="002A3A67"/>
    <w:rsid w:val="002A4583"/>
    <w:rsid w:val="002A592D"/>
    <w:rsid w:val="002A5E48"/>
    <w:rsid w:val="002B0B2D"/>
    <w:rsid w:val="002B14CD"/>
    <w:rsid w:val="002B1C06"/>
    <w:rsid w:val="002B1D4F"/>
    <w:rsid w:val="002B2C2B"/>
    <w:rsid w:val="002B2EF7"/>
    <w:rsid w:val="002B32A6"/>
    <w:rsid w:val="002B51CC"/>
    <w:rsid w:val="002B5A31"/>
    <w:rsid w:val="002B5D04"/>
    <w:rsid w:val="002B6663"/>
    <w:rsid w:val="002B6DB5"/>
    <w:rsid w:val="002B7A21"/>
    <w:rsid w:val="002C0094"/>
    <w:rsid w:val="002C127B"/>
    <w:rsid w:val="002C1E12"/>
    <w:rsid w:val="002C2E2B"/>
    <w:rsid w:val="002C31E3"/>
    <w:rsid w:val="002C4CB0"/>
    <w:rsid w:val="002C7B3B"/>
    <w:rsid w:val="002D03C1"/>
    <w:rsid w:val="002D22B3"/>
    <w:rsid w:val="002D4A59"/>
    <w:rsid w:val="002D5020"/>
    <w:rsid w:val="002D55C4"/>
    <w:rsid w:val="002D6883"/>
    <w:rsid w:val="002E0FE1"/>
    <w:rsid w:val="002E1AD5"/>
    <w:rsid w:val="002E26FC"/>
    <w:rsid w:val="002E2FA9"/>
    <w:rsid w:val="002E412B"/>
    <w:rsid w:val="002E41E2"/>
    <w:rsid w:val="002E451E"/>
    <w:rsid w:val="002E4B7E"/>
    <w:rsid w:val="002E4BB1"/>
    <w:rsid w:val="002E4DA2"/>
    <w:rsid w:val="002E5334"/>
    <w:rsid w:val="002E5434"/>
    <w:rsid w:val="002E6223"/>
    <w:rsid w:val="002E6D3D"/>
    <w:rsid w:val="002E75F3"/>
    <w:rsid w:val="002E7D6B"/>
    <w:rsid w:val="002F0266"/>
    <w:rsid w:val="002F08EE"/>
    <w:rsid w:val="002F0A11"/>
    <w:rsid w:val="002F165D"/>
    <w:rsid w:val="002F2C55"/>
    <w:rsid w:val="002F35EE"/>
    <w:rsid w:val="002F6B1B"/>
    <w:rsid w:val="002F7646"/>
    <w:rsid w:val="0030059F"/>
    <w:rsid w:val="003012D1"/>
    <w:rsid w:val="00301348"/>
    <w:rsid w:val="00301EC9"/>
    <w:rsid w:val="00301F53"/>
    <w:rsid w:val="0030324F"/>
    <w:rsid w:val="0030398C"/>
    <w:rsid w:val="00303B80"/>
    <w:rsid w:val="00303CDF"/>
    <w:rsid w:val="003042A0"/>
    <w:rsid w:val="00305466"/>
    <w:rsid w:val="003065B4"/>
    <w:rsid w:val="00306BE0"/>
    <w:rsid w:val="00306DBE"/>
    <w:rsid w:val="00307357"/>
    <w:rsid w:val="00310B82"/>
    <w:rsid w:val="0031201D"/>
    <w:rsid w:val="0031348A"/>
    <w:rsid w:val="00313B37"/>
    <w:rsid w:val="00313B68"/>
    <w:rsid w:val="00313CD9"/>
    <w:rsid w:val="00314B9E"/>
    <w:rsid w:val="00314F27"/>
    <w:rsid w:val="0031532B"/>
    <w:rsid w:val="00315759"/>
    <w:rsid w:val="00316BD1"/>
    <w:rsid w:val="00316C32"/>
    <w:rsid w:val="003207CB"/>
    <w:rsid w:val="0032096D"/>
    <w:rsid w:val="00321363"/>
    <w:rsid w:val="00321D43"/>
    <w:rsid w:val="0032238E"/>
    <w:rsid w:val="00322513"/>
    <w:rsid w:val="00322789"/>
    <w:rsid w:val="00323C92"/>
    <w:rsid w:val="003245A4"/>
    <w:rsid w:val="003256F9"/>
    <w:rsid w:val="00325C99"/>
    <w:rsid w:val="00326583"/>
    <w:rsid w:val="00330D86"/>
    <w:rsid w:val="003333D8"/>
    <w:rsid w:val="00334B53"/>
    <w:rsid w:val="00335761"/>
    <w:rsid w:val="00335B33"/>
    <w:rsid w:val="00335F42"/>
    <w:rsid w:val="00336212"/>
    <w:rsid w:val="003371D6"/>
    <w:rsid w:val="003375A7"/>
    <w:rsid w:val="00337B85"/>
    <w:rsid w:val="0034089A"/>
    <w:rsid w:val="00341BD5"/>
    <w:rsid w:val="003435BA"/>
    <w:rsid w:val="003443F1"/>
    <w:rsid w:val="00344CCB"/>
    <w:rsid w:val="003474BE"/>
    <w:rsid w:val="003474D6"/>
    <w:rsid w:val="00350216"/>
    <w:rsid w:val="00350241"/>
    <w:rsid w:val="003508F4"/>
    <w:rsid w:val="00351666"/>
    <w:rsid w:val="003519EF"/>
    <w:rsid w:val="00351B48"/>
    <w:rsid w:val="00352B9C"/>
    <w:rsid w:val="0035409F"/>
    <w:rsid w:val="00355614"/>
    <w:rsid w:val="003556CA"/>
    <w:rsid w:val="003561F8"/>
    <w:rsid w:val="003600B9"/>
    <w:rsid w:val="003613BD"/>
    <w:rsid w:val="00361D70"/>
    <w:rsid w:val="00362789"/>
    <w:rsid w:val="003634A3"/>
    <w:rsid w:val="00363962"/>
    <w:rsid w:val="00365E4B"/>
    <w:rsid w:val="003666CB"/>
    <w:rsid w:val="003671BB"/>
    <w:rsid w:val="003671BC"/>
    <w:rsid w:val="00367500"/>
    <w:rsid w:val="00370160"/>
    <w:rsid w:val="00370F33"/>
    <w:rsid w:val="003716E2"/>
    <w:rsid w:val="00371741"/>
    <w:rsid w:val="003724E3"/>
    <w:rsid w:val="00374068"/>
    <w:rsid w:val="0037449D"/>
    <w:rsid w:val="00374957"/>
    <w:rsid w:val="00374D58"/>
    <w:rsid w:val="00374EA5"/>
    <w:rsid w:val="0037593E"/>
    <w:rsid w:val="00376997"/>
    <w:rsid w:val="003779C4"/>
    <w:rsid w:val="00380035"/>
    <w:rsid w:val="003804AF"/>
    <w:rsid w:val="003805DE"/>
    <w:rsid w:val="00381109"/>
    <w:rsid w:val="0038274E"/>
    <w:rsid w:val="00382EE0"/>
    <w:rsid w:val="00383C7C"/>
    <w:rsid w:val="003854CC"/>
    <w:rsid w:val="00385D4A"/>
    <w:rsid w:val="003869D2"/>
    <w:rsid w:val="00390FEF"/>
    <w:rsid w:val="00391492"/>
    <w:rsid w:val="00391FA7"/>
    <w:rsid w:val="003925E1"/>
    <w:rsid w:val="00393C0D"/>
    <w:rsid w:val="00393EB3"/>
    <w:rsid w:val="00395764"/>
    <w:rsid w:val="00395FE2"/>
    <w:rsid w:val="0039690A"/>
    <w:rsid w:val="00396C03"/>
    <w:rsid w:val="00397DB4"/>
    <w:rsid w:val="003A0263"/>
    <w:rsid w:val="003A18C3"/>
    <w:rsid w:val="003A1E87"/>
    <w:rsid w:val="003A264B"/>
    <w:rsid w:val="003A36EF"/>
    <w:rsid w:val="003A3744"/>
    <w:rsid w:val="003A3BF3"/>
    <w:rsid w:val="003A54AF"/>
    <w:rsid w:val="003A56DC"/>
    <w:rsid w:val="003A7AD3"/>
    <w:rsid w:val="003B0663"/>
    <w:rsid w:val="003B1F80"/>
    <w:rsid w:val="003B2D4D"/>
    <w:rsid w:val="003B3D63"/>
    <w:rsid w:val="003B52A7"/>
    <w:rsid w:val="003C00AF"/>
    <w:rsid w:val="003C1EE7"/>
    <w:rsid w:val="003C251E"/>
    <w:rsid w:val="003C2C26"/>
    <w:rsid w:val="003C3673"/>
    <w:rsid w:val="003C41A0"/>
    <w:rsid w:val="003C4CF3"/>
    <w:rsid w:val="003C7916"/>
    <w:rsid w:val="003D2290"/>
    <w:rsid w:val="003D22EA"/>
    <w:rsid w:val="003D240A"/>
    <w:rsid w:val="003D352B"/>
    <w:rsid w:val="003D5129"/>
    <w:rsid w:val="003D6B8F"/>
    <w:rsid w:val="003D7230"/>
    <w:rsid w:val="003E01A0"/>
    <w:rsid w:val="003E1B2A"/>
    <w:rsid w:val="003E47AF"/>
    <w:rsid w:val="003E4BC6"/>
    <w:rsid w:val="003E55BA"/>
    <w:rsid w:val="003E7216"/>
    <w:rsid w:val="003E7978"/>
    <w:rsid w:val="003E7D67"/>
    <w:rsid w:val="003F113E"/>
    <w:rsid w:val="003F115B"/>
    <w:rsid w:val="003F1D37"/>
    <w:rsid w:val="003F238E"/>
    <w:rsid w:val="003F2792"/>
    <w:rsid w:val="003F281F"/>
    <w:rsid w:val="003F29D7"/>
    <w:rsid w:val="003F314D"/>
    <w:rsid w:val="003F3817"/>
    <w:rsid w:val="003F38E0"/>
    <w:rsid w:val="003F507A"/>
    <w:rsid w:val="003F5141"/>
    <w:rsid w:val="003F61BA"/>
    <w:rsid w:val="003F6A63"/>
    <w:rsid w:val="00400F08"/>
    <w:rsid w:val="00400FA0"/>
    <w:rsid w:val="00401CC5"/>
    <w:rsid w:val="0040271F"/>
    <w:rsid w:val="00402F5D"/>
    <w:rsid w:val="004041FA"/>
    <w:rsid w:val="004045C2"/>
    <w:rsid w:val="00404B87"/>
    <w:rsid w:val="00405171"/>
    <w:rsid w:val="0040620B"/>
    <w:rsid w:val="00406697"/>
    <w:rsid w:val="0040698C"/>
    <w:rsid w:val="004073DB"/>
    <w:rsid w:val="00407B53"/>
    <w:rsid w:val="0041002D"/>
    <w:rsid w:val="00411CE1"/>
    <w:rsid w:val="00412440"/>
    <w:rsid w:val="0041398C"/>
    <w:rsid w:val="00413DCE"/>
    <w:rsid w:val="0041447F"/>
    <w:rsid w:val="004145DA"/>
    <w:rsid w:val="0041607F"/>
    <w:rsid w:val="0041634A"/>
    <w:rsid w:val="00423F59"/>
    <w:rsid w:val="00424023"/>
    <w:rsid w:val="00425E69"/>
    <w:rsid w:val="00426431"/>
    <w:rsid w:val="00427A0C"/>
    <w:rsid w:val="00427A11"/>
    <w:rsid w:val="00427C77"/>
    <w:rsid w:val="00431924"/>
    <w:rsid w:val="0043193F"/>
    <w:rsid w:val="00432C30"/>
    <w:rsid w:val="0043323E"/>
    <w:rsid w:val="0043445B"/>
    <w:rsid w:val="00435EB1"/>
    <w:rsid w:val="0043622B"/>
    <w:rsid w:val="00436494"/>
    <w:rsid w:val="004365CB"/>
    <w:rsid w:val="00437802"/>
    <w:rsid w:val="00437886"/>
    <w:rsid w:val="004378DC"/>
    <w:rsid w:val="00441D5A"/>
    <w:rsid w:val="00442B01"/>
    <w:rsid w:val="0044397F"/>
    <w:rsid w:val="00444DB5"/>
    <w:rsid w:val="0044632D"/>
    <w:rsid w:val="004501F7"/>
    <w:rsid w:val="004504BE"/>
    <w:rsid w:val="004509DC"/>
    <w:rsid w:val="00450E8F"/>
    <w:rsid w:val="00451693"/>
    <w:rsid w:val="004530A4"/>
    <w:rsid w:val="00453497"/>
    <w:rsid w:val="00454F5A"/>
    <w:rsid w:val="00455012"/>
    <w:rsid w:val="004560B2"/>
    <w:rsid w:val="004564A0"/>
    <w:rsid w:val="00456854"/>
    <w:rsid w:val="004568AC"/>
    <w:rsid w:val="00457915"/>
    <w:rsid w:val="0046124C"/>
    <w:rsid w:val="00461B92"/>
    <w:rsid w:val="00463AAC"/>
    <w:rsid w:val="00464B25"/>
    <w:rsid w:val="004650BE"/>
    <w:rsid w:val="00466DA1"/>
    <w:rsid w:val="004702CA"/>
    <w:rsid w:val="00470CDA"/>
    <w:rsid w:val="00470F42"/>
    <w:rsid w:val="00471614"/>
    <w:rsid w:val="00471B7C"/>
    <w:rsid w:val="00473578"/>
    <w:rsid w:val="00473BB3"/>
    <w:rsid w:val="00473FBD"/>
    <w:rsid w:val="004744B2"/>
    <w:rsid w:val="00474AA7"/>
    <w:rsid w:val="00475146"/>
    <w:rsid w:val="00475389"/>
    <w:rsid w:val="004759CC"/>
    <w:rsid w:val="00476FB5"/>
    <w:rsid w:val="004775D4"/>
    <w:rsid w:val="00477710"/>
    <w:rsid w:val="0048018D"/>
    <w:rsid w:val="004809E7"/>
    <w:rsid w:val="00481240"/>
    <w:rsid w:val="00481959"/>
    <w:rsid w:val="00481B30"/>
    <w:rsid w:val="00482139"/>
    <w:rsid w:val="00482534"/>
    <w:rsid w:val="00483750"/>
    <w:rsid w:val="00483DDF"/>
    <w:rsid w:val="00484D83"/>
    <w:rsid w:val="00486ADD"/>
    <w:rsid w:val="004878B5"/>
    <w:rsid w:val="00487A92"/>
    <w:rsid w:val="0049029D"/>
    <w:rsid w:val="00491451"/>
    <w:rsid w:val="00491D4F"/>
    <w:rsid w:val="00491F54"/>
    <w:rsid w:val="00492204"/>
    <w:rsid w:val="00492BEC"/>
    <w:rsid w:val="004934C5"/>
    <w:rsid w:val="004956F9"/>
    <w:rsid w:val="0049688B"/>
    <w:rsid w:val="00496D9E"/>
    <w:rsid w:val="004976A9"/>
    <w:rsid w:val="004A00C6"/>
    <w:rsid w:val="004A26C8"/>
    <w:rsid w:val="004A2D37"/>
    <w:rsid w:val="004A31E1"/>
    <w:rsid w:val="004A3CC7"/>
    <w:rsid w:val="004A64D9"/>
    <w:rsid w:val="004A7CE8"/>
    <w:rsid w:val="004B0182"/>
    <w:rsid w:val="004B04CC"/>
    <w:rsid w:val="004B06A7"/>
    <w:rsid w:val="004B1202"/>
    <w:rsid w:val="004B3602"/>
    <w:rsid w:val="004B379C"/>
    <w:rsid w:val="004B3F8A"/>
    <w:rsid w:val="004B420A"/>
    <w:rsid w:val="004B51CA"/>
    <w:rsid w:val="004B549F"/>
    <w:rsid w:val="004B5AD2"/>
    <w:rsid w:val="004B5F73"/>
    <w:rsid w:val="004B67EF"/>
    <w:rsid w:val="004B68B1"/>
    <w:rsid w:val="004B71A1"/>
    <w:rsid w:val="004C178C"/>
    <w:rsid w:val="004C1A2C"/>
    <w:rsid w:val="004C20C6"/>
    <w:rsid w:val="004C4B30"/>
    <w:rsid w:val="004C53AE"/>
    <w:rsid w:val="004C5474"/>
    <w:rsid w:val="004C66D6"/>
    <w:rsid w:val="004D0F44"/>
    <w:rsid w:val="004D2153"/>
    <w:rsid w:val="004D2243"/>
    <w:rsid w:val="004D5AE9"/>
    <w:rsid w:val="004D7AB3"/>
    <w:rsid w:val="004E0878"/>
    <w:rsid w:val="004E1530"/>
    <w:rsid w:val="004E169C"/>
    <w:rsid w:val="004E25EC"/>
    <w:rsid w:val="004E3A68"/>
    <w:rsid w:val="004E7E04"/>
    <w:rsid w:val="004F11A3"/>
    <w:rsid w:val="004F240C"/>
    <w:rsid w:val="004F3046"/>
    <w:rsid w:val="004F3246"/>
    <w:rsid w:val="004F3517"/>
    <w:rsid w:val="004F439E"/>
    <w:rsid w:val="004F4D0C"/>
    <w:rsid w:val="004F5285"/>
    <w:rsid w:val="004F547C"/>
    <w:rsid w:val="004F643E"/>
    <w:rsid w:val="004F76F9"/>
    <w:rsid w:val="00500980"/>
    <w:rsid w:val="0050133B"/>
    <w:rsid w:val="00501577"/>
    <w:rsid w:val="00501E13"/>
    <w:rsid w:val="005033C5"/>
    <w:rsid w:val="00504C84"/>
    <w:rsid w:val="00504DB8"/>
    <w:rsid w:val="0050559F"/>
    <w:rsid w:val="0050660C"/>
    <w:rsid w:val="00506700"/>
    <w:rsid w:val="00506A94"/>
    <w:rsid w:val="00511DD3"/>
    <w:rsid w:val="005133C9"/>
    <w:rsid w:val="00513EEC"/>
    <w:rsid w:val="00514CD7"/>
    <w:rsid w:val="005165C3"/>
    <w:rsid w:val="00517740"/>
    <w:rsid w:val="00517B2F"/>
    <w:rsid w:val="00517C9D"/>
    <w:rsid w:val="0052154F"/>
    <w:rsid w:val="00521C9A"/>
    <w:rsid w:val="0052326F"/>
    <w:rsid w:val="00525616"/>
    <w:rsid w:val="00525ED1"/>
    <w:rsid w:val="00530362"/>
    <w:rsid w:val="00530486"/>
    <w:rsid w:val="00530611"/>
    <w:rsid w:val="00531904"/>
    <w:rsid w:val="00531E02"/>
    <w:rsid w:val="005325A1"/>
    <w:rsid w:val="005359BA"/>
    <w:rsid w:val="00535C6B"/>
    <w:rsid w:val="00536F71"/>
    <w:rsid w:val="00537C60"/>
    <w:rsid w:val="0054042D"/>
    <w:rsid w:val="0054202C"/>
    <w:rsid w:val="00542119"/>
    <w:rsid w:val="005423E5"/>
    <w:rsid w:val="00542654"/>
    <w:rsid w:val="00542C3E"/>
    <w:rsid w:val="00545722"/>
    <w:rsid w:val="00545A4D"/>
    <w:rsid w:val="0054682A"/>
    <w:rsid w:val="00547BE8"/>
    <w:rsid w:val="00550523"/>
    <w:rsid w:val="005508F1"/>
    <w:rsid w:val="00552EBE"/>
    <w:rsid w:val="005535AC"/>
    <w:rsid w:val="00553DEC"/>
    <w:rsid w:val="0055563C"/>
    <w:rsid w:val="005556A9"/>
    <w:rsid w:val="005557DB"/>
    <w:rsid w:val="00555B09"/>
    <w:rsid w:val="00560C57"/>
    <w:rsid w:val="00561A75"/>
    <w:rsid w:val="00561BE8"/>
    <w:rsid w:val="0056434A"/>
    <w:rsid w:val="00564770"/>
    <w:rsid w:val="0056550B"/>
    <w:rsid w:val="005662AA"/>
    <w:rsid w:val="00566579"/>
    <w:rsid w:val="00567EF2"/>
    <w:rsid w:val="00571C53"/>
    <w:rsid w:val="00571D2F"/>
    <w:rsid w:val="00572666"/>
    <w:rsid w:val="00573843"/>
    <w:rsid w:val="005749BB"/>
    <w:rsid w:val="00574D1E"/>
    <w:rsid w:val="00575275"/>
    <w:rsid w:val="0057783E"/>
    <w:rsid w:val="00577C6E"/>
    <w:rsid w:val="0058138E"/>
    <w:rsid w:val="00581EB4"/>
    <w:rsid w:val="00582222"/>
    <w:rsid w:val="00582930"/>
    <w:rsid w:val="00583FC3"/>
    <w:rsid w:val="00583FE9"/>
    <w:rsid w:val="00584A08"/>
    <w:rsid w:val="00584C87"/>
    <w:rsid w:val="00585DB3"/>
    <w:rsid w:val="00587DDD"/>
    <w:rsid w:val="0059038B"/>
    <w:rsid w:val="00590C25"/>
    <w:rsid w:val="0059148F"/>
    <w:rsid w:val="00591E6B"/>
    <w:rsid w:val="005930C4"/>
    <w:rsid w:val="00594299"/>
    <w:rsid w:val="00595DD6"/>
    <w:rsid w:val="005A2405"/>
    <w:rsid w:val="005A36BE"/>
    <w:rsid w:val="005A4AAD"/>
    <w:rsid w:val="005A4CA3"/>
    <w:rsid w:val="005A5C7C"/>
    <w:rsid w:val="005A6970"/>
    <w:rsid w:val="005A6C1F"/>
    <w:rsid w:val="005A6EF6"/>
    <w:rsid w:val="005A7ACC"/>
    <w:rsid w:val="005A7EE9"/>
    <w:rsid w:val="005B0C53"/>
    <w:rsid w:val="005B205A"/>
    <w:rsid w:val="005B20BE"/>
    <w:rsid w:val="005B274C"/>
    <w:rsid w:val="005B2A71"/>
    <w:rsid w:val="005B2A74"/>
    <w:rsid w:val="005B34EE"/>
    <w:rsid w:val="005B415A"/>
    <w:rsid w:val="005B4D3F"/>
    <w:rsid w:val="005B50C3"/>
    <w:rsid w:val="005B5851"/>
    <w:rsid w:val="005B6567"/>
    <w:rsid w:val="005B6778"/>
    <w:rsid w:val="005B7953"/>
    <w:rsid w:val="005C00B3"/>
    <w:rsid w:val="005C03FD"/>
    <w:rsid w:val="005C193B"/>
    <w:rsid w:val="005C1B18"/>
    <w:rsid w:val="005C30F9"/>
    <w:rsid w:val="005C3868"/>
    <w:rsid w:val="005C4C7E"/>
    <w:rsid w:val="005C501E"/>
    <w:rsid w:val="005C55C7"/>
    <w:rsid w:val="005C5E4C"/>
    <w:rsid w:val="005C6A59"/>
    <w:rsid w:val="005C6C63"/>
    <w:rsid w:val="005C78E0"/>
    <w:rsid w:val="005D0ED8"/>
    <w:rsid w:val="005D1518"/>
    <w:rsid w:val="005D1E11"/>
    <w:rsid w:val="005D34CE"/>
    <w:rsid w:val="005D3736"/>
    <w:rsid w:val="005D45C0"/>
    <w:rsid w:val="005D4804"/>
    <w:rsid w:val="005D4D82"/>
    <w:rsid w:val="005D55C2"/>
    <w:rsid w:val="005D7EB4"/>
    <w:rsid w:val="005E118B"/>
    <w:rsid w:val="005E1405"/>
    <w:rsid w:val="005E1CFB"/>
    <w:rsid w:val="005E216E"/>
    <w:rsid w:val="005E2DD6"/>
    <w:rsid w:val="005E37C7"/>
    <w:rsid w:val="005E4612"/>
    <w:rsid w:val="005E5327"/>
    <w:rsid w:val="005E5A6F"/>
    <w:rsid w:val="005E6257"/>
    <w:rsid w:val="005E75E6"/>
    <w:rsid w:val="005F1436"/>
    <w:rsid w:val="005F15E6"/>
    <w:rsid w:val="005F246B"/>
    <w:rsid w:val="005F324A"/>
    <w:rsid w:val="005F3DF2"/>
    <w:rsid w:val="005F465D"/>
    <w:rsid w:val="005F4822"/>
    <w:rsid w:val="005F4ABA"/>
    <w:rsid w:val="005F54AB"/>
    <w:rsid w:val="005F6204"/>
    <w:rsid w:val="005F625B"/>
    <w:rsid w:val="005F6439"/>
    <w:rsid w:val="005F6B03"/>
    <w:rsid w:val="00601468"/>
    <w:rsid w:val="00602B06"/>
    <w:rsid w:val="00603612"/>
    <w:rsid w:val="0060442F"/>
    <w:rsid w:val="00604BC4"/>
    <w:rsid w:val="006051CA"/>
    <w:rsid w:val="00606E35"/>
    <w:rsid w:val="0061159A"/>
    <w:rsid w:val="0061173C"/>
    <w:rsid w:val="006120A5"/>
    <w:rsid w:val="00613B2E"/>
    <w:rsid w:val="00615A82"/>
    <w:rsid w:val="00616046"/>
    <w:rsid w:val="00617C89"/>
    <w:rsid w:val="00617EEC"/>
    <w:rsid w:val="006201E3"/>
    <w:rsid w:val="00620B20"/>
    <w:rsid w:val="00621E3D"/>
    <w:rsid w:val="006239F2"/>
    <w:rsid w:val="00623C8A"/>
    <w:rsid w:val="00623F8E"/>
    <w:rsid w:val="0062446C"/>
    <w:rsid w:val="0062458E"/>
    <w:rsid w:val="00624B96"/>
    <w:rsid w:val="006276B0"/>
    <w:rsid w:val="0062775D"/>
    <w:rsid w:val="00631F0B"/>
    <w:rsid w:val="00632ADE"/>
    <w:rsid w:val="006331D1"/>
    <w:rsid w:val="006360D2"/>
    <w:rsid w:val="00636900"/>
    <w:rsid w:val="006402E3"/>
    <w:rsid w:val="006403AD"/>
    <w:rsid w:val="00640E0A"/>
    <w:rsid w:val="00641485"/>
    <w:rsid w:val="00642420"/>
    <w:rsid w:val="00643C21"/>
    <w:rsid w:val="00643F85"/>
    <w:rsid w:val="00645BA4"/>
    <w:rsid w:val="00647E27"/>
    <w:rsid w:val="00650AE3"/>
    <w:rsid w:val="006513BF"/>
    <w:rsid w:val="006515E2"/>
    <w:rsid w:val="0065200F"/>
    <w:rsid w:val="006524D8"/>
    <w:rsid w:val="006533C3"/>
    <w:rsid w:val="00653887"/>
    <w:rsid w:val="00653B89"/>
    <w:rsid w:val="00653D4B"/>
    <w:rsid w:val="00653F88"/>
    <w:rsid w:val="00655303"/>
    <w:rsid w:val="00656661"/>
    <w:rsid w:val="0065769B"/>
    <w:rsid w:val="00660BEF"/>
    <w:rsid w:val="00660FB1"/>
    <w:rsid w:val="00663336"/>
    <w:rsid w:val="0066586E"/>
    <w:rsid w:val="00666BF3"/>
    <w:rsid w:val="00671FC7"/>
    <w:rsid w:val="0067343F"/>
    <w:rsid w:val="00673AD3"/>
    <w:rsid w:val="00673CD3"/>
    <w:rsid w:val="00674308"/>
    <w:rsid w:val="00675287"/>
    <w:rsid w:val="006762C6"/>
    <w:rsid w:val="00676911"/>
    <w:rsid w:val="0067769C"/>
    <w:rsid w:val="00680068"/>
    <w:rsid w:val="00680138"/>
    <w:rsid w:val="00680588"/>
    <w:rsid w:val="006806B3"/>
    <w:rsid w:val="00681042"/>
    <w:rsid w:val="00681AB5"/>
    <w:rsid w:val="006837BE"/>
    <w:rsid w:val="00683D0A"/>
    <w:rsid w:val="00683D90"/>
    <w:rsid w:val="00684B9F"/>
    <w:rsid w:val="006853EA"/>
    <w:rsid w:val="00692D70"/>
    <w:rsid w:val="00694A96"/>
    <w:rsid w:val="00695BD3"/>
    <w:rsid w:val="00696860"/>
    <w:rsid w:val="006A001C"/>
    <w:rsid w:val="006A1367"/>
    <w:rsid w:val="006A1AA0"/>
    <w:rsid w:val="006A1FD9"/>
    <w:rsid w:val="006A21D6"/>
    <w:rsid w:val="006A238A"/>
    <w:rsid w:val="006A4DB5"/>
    <w:rsid w:val="006A642B"/>
    <w:rsid w:val="006A6A82"/>
    <w:rsid w:val="006A790D"/>
    <w:rsid w:val="006B3DDF"/>
    <w:rsid w:val="006B4236"/>
    <w:rsid w:val="006B44C9"/>
    <w:rsid w:val="006B44E7"/>
    <w:rsid w:val="006B4777"/>
    <w:rsid w:val="006B4AF3"/>
    <w:rsid w:val="006B61EC"/>
    <w:rsid w:val="006B672C"/>
    <w:rsid w:val="006B6B13"/>
    <w:rsid w:val="006B6EB4"/>
    <w:rsid w:val="006C0F73"/>
    <w:rsid w:val="006C109B"/>
    <w:rsid w:val="006C2444"/>
    <w:rsid w:val="006C24CA"/>
    <w:rsid w:val="006C55BB"/>
    <w:rsid w:val="006C5976"/>
    <w:rsid w:val="006C5A98"/>
    <w:rsid w:val="006D049E"/>
    <w:rsid w:val="006D4031"/>
    <w:rsid w:val="006D4EB6"/>
    <w:rsid w:val="006D6046"/>
    <w:rsid w:val="006D6852"/>
    <w:rsid w:val="006D6D6F"/>
    <w:rsid w:val="006D72D4"/>
    <w:rsid w:val="006D73B8"/>
    <w:rsid w:val="006E0E0B"/>
    <w:rsid w:val="006E0EFD"/>
    <w:rsid w:val="006E10DC"/>
    <w:rsid w:val="006E1826"/>
    <w:rsid w:val="006E2638"/>
    <w:rsid w:val="006E28F6"/>
    <w:rsid w:val="006E347C"/>
    <w:rsid w:val="006E4603"/>
    <w:rsid w:val="006E4D25"/>
    <w:rsid w:val="006E64E4"/>
    <w:rsid w:val="006E6D58"/>
    <w:rsid w:val="006E78B9"/>
    <w:rsid w:val="006F0776"/>
    <w:rsid w:val="006F3592"/>
    <w:rsid w:val="006F3C73"/>
    <w:rsid w:val="006F5D3D"/>
    <w:rsid w:val="006F6498"/>
    <w:rsid w:val="006F729B"/>
    <w:rsid w:val="006F7CC3"/>
    <w:rsid w:val="00700A8D"/>
    <w:rsid w:val="007015E2"/>
    <w:rsid w:val="0070323C"/>
    <w:rsid w:val="007036B8"/>
    <w:rsid w:val="007038B2"/>
    <w:rsid w:val="0071009A"/>
    <w:rsid w:val="00711310"/>
    <w:rsid w:val="0071292E"/>
    <w:rsid w:val="007143EA"/>
    <w:rsid w:val="00714D0A"/>
    <w:rsid w:val="007153A6"/>
    <w:rsid w:val="00715709"/>
    <w:rsid w:val="00716E74"/>
    <w:rsid w:val="007172FA"/>
    <w:rsid w:val="007175F8"/>
    <w:rsid w:val="007200D0"/>
    <w:rsid w:val="0072079D"/>
    <w:rsid w:val="00720D76"/>
    <w:rsid w:val="0072128A"/>
    <w:rsid w:val="00722112"/>
    <w:rsid w:val="007240E4"/>
    <w:rsid w:val="00724539"/>
    <w:rsid w:val="00724F8C"/>
    <w:rsid w:val="007252BA"/>
    <w:rsid w:val="00725FCA"/>
    <w:rsid w:val="007265F0"/>
    <w:rsid w:val="00727641"/>
    <w:rsid w:val="00730936"/>
    <w:rsid w:val="00732E65"/>
    <w:rsid w:val="00732F23"/>
    <w:rsid w:val="007334AC"/>
    <w:rsid w:val="00733E67"/>
    <w:rsid w:val="007344A9"/>
    <w:rsid w:val="00741020"/>
    <w:rsid w:val="00742354"/>
    <w:rsid w:val="007433D1"/>
    <w:rsid w:val="007434E5"/>
    <w:rsid w:val="0074418A"/>
    <w:rsid w:val="00744D02"/>
    <w:rsid w:val="007456C2"/>
    <w:rsid w:val="0074698F"/>
    <w:rsid w:val="00751D06"/>
    <w:rsid w:val="007529B0"/>
    <w:rsid w:val="00753963"/>
    <w:rsid w:val="0075445F"/>
    <w:rsid w:val="00754C72"/>
    <w:rsid w:val="007571A9"/>
    <w:rsid w:val="007603FB"/>
    <w:rsid w:val="00760900"/>
    <w:rsid w:val="0076125B"/>
    <w:rsid w:val="00761D9F"/>
    <w:rsid w:val="00761E6F"/>
    <w:rsid w:val="007653F4"/>
    <w:rsid w:val="00766EBA"/>
    <w:rsid w:val="007676F0"/>
    <w:rsid w:val="0077026B"/>
    <w:rsid w:val="00770FCE"/>
    <w:rsid w:val="007715D1"/>
    <w:rsid w:val="00772DD8"/>
    <w:rsid w:val="007731CC"/>
    <w:rsid w:val="0077352B"/>
    <w:rsid w:val="00774229"/>
    <w:rsid w:val="0077680E"/>
    <w:rsid w:val="007809A7"/>
    <w:rsid w:val="007812B7"/>
    <w:rsid w:val="00782759"/>
    <w:rsid w:val="00783330"/>
    <w:rsid w:val="00783D9F"/>
    <w:rsid w:val="00783F97"/>
    <w:rsid w:val="00784D5B"/>
    <w:rsid w:val="00784FDD"/>
    <w:rsid w:val="0078684F"/>
    <w:rsid w:val="00786E16"/>
    <w:rsid w:val="00786EFF"/>
    <w:rsid w:val="007873DE"/>
    <w:rsid w:val="007909FD"/>
    <w:rsid w:val="0079104C"/>
    <w:rsid w:val="00791EF2"/>
    <w:rsid w:val="0079240B"/>
    <w:rsid w:val="0079275C"/>
    <w:rsid w:val="00792A2C"/>
    <w:rsid w:val="00793ECA"/>
    <w:rsid w:val="00795734"/>
    <w:rsid w:val="00795B2C"/>
    <w:rsid w:val="00797A80"/>
    <w:rsid w:val="007A016C"/>
    <w:rsid w:val="007A10F2"/>
    <w:rsid w:val="007A1A95"/>
    <w:rsid w:val="007A2830"/>
    <w:rsid w:val="007A2EB4"/>
    <w:rsid w:val="007A37B7"/>
    <w:rsid w:val="007A44C0"/>
    <w:rsid w:val="007A461B"/>
    <w:rsid w:val="007A5252"/>
    <w:rsid w:val="007A5487"/>
    <w:rsid w:val="007A63D6"/>
    <w:rsid w:val="007A6D4D"/>
    <w:rsid w:val="007A778E"/>
    <w:rsid w:val="007A7ECC"/>
    <w:rsid w:val="007B0BF3"/>
    <w:rsid w:val="007B0C38"/>
    <w:rsid w:val="007B198C"/>
    <w:rsid w:val="007B2365"/>
    <w:rsid w:val="007B2E3A"/>
    <w:rsid w:val="007B3282"/>
    <w:rsid w:val="007B3E5E"/>
    <w:rsid w:val="007B4A4D"/>
    <w:rsid w:val="007B4DD9"/>
    <w:rsid w:val="007B4FAD"/>
    <w:rsid w:val="007B53A4"/>
    <w:rsid w:val="007B5B02"/>
    <w:rsid w:val="007B7DAB"/>
    <w:rsid w:val="007C23D4"/>
    <w:rsid w:val="007C5BC4"/>
    <w:rsid w:val="007C6023"/>
    <w:rsid w:val="007C638A"/>
    <w:rsid w:val="007C719B"/>
    <w:rsid w:val="007C7CBF"/>
    <w:rsid w:val="007C7D76"/>
    <w:rsid w:val="007C7EDD"/>
    <w:rsid w:val="007D0036"/>
    <w:rsid w:val="007D01E2"/>
    <w:rsid w:val="007D0403"/>
    <w:rsid w:val="007D11B2"/>
    <w:rsid w:val="007D14AF"/>
    <w:rsid w:val="007D212F"/>
    <w:rsid w:val="007D377A"/>
    <w:rsid w:val="007D409C"/>
    <w:rsid w:val="007D441B"/>
    <w:rsid w:val="007D465D"/>
    <w:rsid w:val="007D50AE"/>
    <w:rsid w:val="007D7A71"/>
    <w:rsid w:val="007E014F"/>
    <w:rsid w:val="007E1407"/>
    <w:rsid w:val="007E209B"/>
    <w:rsid w:val="007E3EA4"/>
    <w:rsid w:val="007E47A9"/>
    <w:rsid w:val="007E481F"/>
    <w:rsid w:val="007E7EA9"/>
    <w:rsid w:val="007F1D6F"/>
    <w:rsid w:val="007F257D"/>
    <w:rsid w:val="007F2752"/>
    <w:rsid w:val="007F380D"/>
    <w:rsid w:val="007F4ACE"/>
    <w:rsid w:val="007F55AC"/>
    <w:rsid w:val="007F55F6"/>
    <w:rsid w:val="007F6DDD"/>
    <w:rsid w:val="007F7357"/>
    <w:rsid w:val="007F7FCA"/>
    <w:rsid w:val="008007AA"/>
    <w:rsid w:val="00801A75"/>
    <w:rsid w:val="00801C86"/>
    <w:rsid w:val="008026CA"/>
    <w:rsid w:val="0080362F"/>
    <w:rsid w:val="0080446B"/>
    <w:rsid w:val="00805235"/>
    <w:rsid w:val="00807FA7"/>
    <w:rsid w:val="00810435"/>
    <w:rsid w:val="008107E5"/>
    <w:rsid w:val="00810B1F"/>
    <w:rsid w:val="00810C01"/>
    <w:rsid w:val="008112EC"/>
    <w:rsid w:val="00811717"/>
    <w:rsid w:val="00811FE9"/>
    <w:rsid w:val="00812E4E"/>
    <w:rsid w:val="00813327"/>
    <w:rsid w:val="00813363"/>
    <w:rsid w:val="008155CC"/>
    <w:rsid w:val="00817474"/>
    <w:rsid w:val="00820769"/>
    <w:rsid w:val="00820B51"/>
    <w:rsid w:val="008218C4"/>
    <w:rsid w:val="00822803"/>
    <w:rsid w:val="008237AF"/>
    <w:rsid w:val="00824681"/>
    <w:rsid w:val="00825704"/>
    <w:rsid w:val="00825F0F"/>
    <w:rsid w:val="0082621B"/>
    <w:rsid w:val="00826A5C"/>
    <w:rsid w:val="00827389"/>
    <w:rsid w:val="0082751A"/>
    <w:rsid w:val="008278CE"/>
    <w:rsid w:val="00830349"/>
    <w:rsid w:val="008315CB"/>
    <w:rsid w:val="008316A4"/>
    <w:rsid w:val="008329C0"/>
    <w:rsid w:val="008330A0"/>
    <w:rsid w:val="008336A2"/>
    <w:rsid w:val="008350D6"/>
    <w:rsid w:val="00835822"/>
    <w:rsid w:val="008401A1"/>
    <w:rsid w:val="00840795"/>
    <w:rsid w:val="00840DB6"/>
    <w:rsid w:val="00841740"/>
    <w:rsid w:val="008417CD"/>
    <w:rsid w:val="00841CF3"/>
    <w:rsid w:val="00842655"/>
    <w:rsid w:val="00846D8D"/>
    <w:rsid w:val="00846EEB"/>
    <w:rsid w:val="0084748C"/>
    <w:rsid w:val="0084769C"/>
    <w:rsid w:val="008479FD"/>
    <w:rsid w:val="00850AD1"/>
    <w:rsid w:val="00850DFC"/>
    <w:rsid w:val="0085150A"/>
    <w:rsid w:val="00852F2A"/>
    <w:rsid w:val="0085311F"/>
    <w:rsid w:val="00853132"/>
    <w:rsid w:val="008538CC"/>
    <w:rsid w:val="00853D99"/>
    <w:rsid w:val="00853F1A"/>
    <w:rsid w:val="008547D7"/>
    <w:rsid w:val="008552FD"/>
    <w:rsid w:val="0085583A"/>
    <w:rsid w:val="00855873"/>
    <w:rsid w:val="00856170"/>
    <w:rsid w:val="00856735"/>
    <w:rsid w:val="00857D01"/>
    <w:rsid w:val="00860500"/>
    <w:rsid w:val="00861016"/>
    <w:rsid w:val="008639AA"/>
    <w:rsid w:val="008640A7"/>
    <w:rsid w:val="008656A1"/>
    <w:rsid w:val="00867786"/>
    <w:rsid w:val="008677C5"/>
    <w:rsid w:val="00871933"/>
    <w:rsid w:val="008724B8"/>
    <w:rsid w:val="00873204"/>
    <w:rsid w:val="008732B1"/>
    <w:rsid w:val="0087390F"/>
    <w:rsid w:val="008739C4"/>
    <w:rsid w:val="00873A6C"/>
    <w:rsid w:val="00875479"/>
    <w:rsid w:val="008767E7"/>
    <w:rsid w:val="00883254"/>
    <w:rsid w:val="00883AE5"/>
    <w:rsid w:val="008851E4"/>
    <w:rsid w:val="00885AAC"/>
    <w:rsid w:val="00885E14"/>
    <w:rsid w:val="0088743C"/>
    <w:rsid w:val="008939AB"/>
    <w:rsid w:val="00893EB5"/>
    <w:rsid w:val="008959CF"/>
    <w:rsid w:val="00895D49"/>
    <w:rsid w:val="008A0832"/>
    <w:rsid w:val="008A3721"/>
    <w:rsid w:val="008A3C9F"/>
    <w:rsid w:val="008A4C1A"/>
    <w:rsid w:val="008A4CAE"/>
    <w:rsid w:val="008A5FA2"/>
    <w:rsid w:val="008A6655"/>
    <w:rsid w:val="008B0174"/>
    <w:rsid w:val="008B035B"/>
    <w:rsid w:val="008B0395"/>
    <w:rsid w:val="008B0842"/>
    <w:rsid w:val="008B1B92"/>
    <w:rsid w:val="008B2105"/>
    <w:rsid w:val="008B2C01"/>
    <w:rsid w:val="008B37C5"/>
    <w:rsid w:val="008B539C"/>
    <w:rsid w:val="008B67CA"/>
    <w:rsid w:val="008B737C"/>
    <w:rsid w:val="008C1721"/>
    <w:rsid w:val="008C1AB4"/>
    <w:rsid w:val="008C21A1"/>
    <w:rsid w:val="008C245D"/>
    <w:rsid w:val="008C4917"/>
    <w:rsid w:val="008C5598"/>
    <w:rsid w:val="008C63CB"/>
    <w:rsid w:val="008C6623"/>
    <w:rsid w:val="008C6FEB"/>
    <w:rsid w:val="008D1480"/>
    <w:rsid w:val="008D1831"/>
    <w:rsid w:val="008D18B5"/>
    <w:rsid w:val="008D1CE0"/>
    <w:rsid w:val="008D4910"/>
    <w:rsid w:val="008D4B0F"/>
    <w:rsid w:val="008D617A"/>
    <w:rsid w:val="008D6FD8"/>
    <w:rsid w:val="008D7278"/>
    <w:rsid w:val="008E0978"/>
    <w:rsid w:val="008E1F46"/>
    <w:rsid w:val="008E23F7"/>
    <w:rsid w:val="008E3776"/>
    <w:rsid w:val="008E39E9"/>
    <w:rsid w:val="008E408A"/>
    <w:rsid w:val="008E4BF4"/>
    <w:rsid w:val="008E510C"/>
    <w:rsid w:val="008E6DA5"/>
    <w:rsid w:val="008E72C4"/>
    <w:rsid w:val="008F2F3A"/>
    <w:rsid w:val="008F2FD6"/>
    <w:rsid w:val="008F31C8"/>
    <w:rsid w:val="008F3315"/>
    <w:rsid w:val="008F36AD"/>
    <w:rsid w:val="008F4343"/>
    <w:rsid w:val="008F4751"/>
    <w:rsid w:val="008F6AD8"/>
    <w:rsid w:val="008F7171"/>
    <w:rsid w:val="008F7F0B"/>
    <w:rsid w:val="00901FF7"/>
    <w:rsid w:val="009028B6"/>
    <w:rsid w:val="009039BC"/>
    <w:rsid w:val="00904EC1"/>
    <w:rsid w:val="0090552A"/>
    <w:rsid w:val="00906FBC"/>
    <w:rsid w:val="0090722D"/>
    <w:rsid w:val="0090730A"/>
    <w:rsid w:val="00907834"/>
    <w:rsid w:val="0090789D"/>
    <w:rsid w:val="009108AF"/>
    <w:rsid w:val="00910D06"/>
    <w:rsid w:val="00911F82"/>
    <w:rsid w:val="00912283"/>
    <w:rsid w:val="00912787"/>
    <w:rsid w:val="00912CCB"/>
    <w:rsid w:val="009130AA"/>
    <w:rsid w:val="00913731"/>
    <w:rsid w:val="0091379E"/>
    <w:rsid w:val="009150B7"/>
    <w:rsid w:val="009150D4"/>
    <w:rsid w:val="00915F0F"/>
    <w:rsid w:val="00916684"/>
    <w:rsid w:val="009166BE"/>
    <w:rsid w:val="00917E23"/>
    <w:rsid w:val="00917FF6"/>
    <w:rsid w:val="009203DB"/>
    <w:rsid w:val="0092044E"/>
    <w:rsid w:val="00920A21"/>
    <w:rsid w:val="00921C6F"/>
    <w:rsid w:val="00921FC4"/>
    <w:rsid w:val="009225E9"/>
    <w:rsid w:val="009234C2"/>
    <w:rsid w:val="00923508"/>
    <w:rsid w:val="0092379E"/>
    <w:rsid w:val="009251CA"/>
    <w:rsid w:val="00925523"/>
    <w:rsid w:val="00926D9F"/>
    <w:rsid w:val="009274BA"/>
    <w:rsid w:val="00927ACD"/>
    <w:rsid w:val="00930540"/>
    <w:rsid w:val="0093109E"/>
    <w:rsid w:val="00931ABC"/>
    <w:rsid w:val="00933D52"/>
    <w:rsid w:val="009356A6"/>
    <w:rsid w:val="00936520"/>
    <w:rsid w:val="00937833"/>
    <w:rsid w:val="00937A8E"/>
    <w:rsid w:val="00937B8E"/>
    <w:rsid w:val="009404CD"/>
    <w:rsid w:val="00942719"/>
    <w:rsid w:val="00943942"/>
    <w:rsid w:val="009447A6"/>
    <w:rsid w:val="009459D3"/>
    <w:rsid w:val="00946424"/>
    <w:rsid w:val="00946A0C"/>
    <w:rsid w:val="00950127"/>
    <w:rsid w:val="0095088A"/>
    <w:rsid w:val="009508C2"/>
    <w:rsid w:val="009509C7"/>
    <w:rsid w:val="00950ECC"/>
    <w:rsid w:val="00953329"/>
    <w:rsid w:val="0095365C"/>
    <w:rsid w:val="0095437D"/>
    <w:rsid w:val="00954546"/>
    <w:rsid w:val="00954F0A"/>
    <w:rsid w:val="0095522B"/>
    <w:rsid w:val="00955C39"/>
    <w:rsid w:val="00956B8D"/>
    <w:rsid w:val="00957602"/>
    <w:rsid w:val="009602D5"/>
    <w:rsid w:val="00960AB7"/>
    <w:rsid w:val="009613C0"/>
    <w:rsid w:val="00962140"/>
    <w:rsid w:val="0096471C"/>
    <w:rsid w:val="009648F4"/>
    <w:rsid w:val="009665CE"/>
    <w:rsid w:val="00966621"/>
    <w:rsid w:val="00966E06"/>
    <w:rsid w:val="0096723D"/>
    <w:rsid w:val="00971163"/>
    <w:rsid w:val="009729B6"/>
    <w:rsid w:val="00973317"/>
    <w:rsid w:val="00975683"/>
    <w:rsid w:val="00975917"/>
    <w:rsid w:val="009777F0"/>
    <w:rsid w:val="00977FC7"/>
    <w:rsid w:val="009819E9"/>
    <w:rsid w:val="00982965"/>
    <w:rsid w:val="009841EB"/>
    <w:rsid w:val="00986289"/>
    <w:rsid w:val="009903AD"/>
    <w:rsid w:val="009919F0"/>
    <w:rsid w:val="00992B12"/>
    <w:rsid w:val="009935FD"/>
    <w:rsid w:val="00994323"/>
    <w:rsid w:val="0099451E"/>
    <w:rsid w:val="00996331"/>
    <w:rsid w:val="009A0B0F"/>
    <w:rsid w:val="009A17CC"/>
    <w:rsid w:val="009A365A"/>
    <w:rsid w:val="009A3804"/>
    <w:rsid w:val="009A3A12"/>
    <w:rsid w:val="009A4754"/>
    <w:rsid w:val="009A4B8B"/>
    <w:rsid w:val="009A75A0"/>
    <w:rsid w:val="009A7644"/>
    <w:rsid w:val="009B0580"/>
    <w:rsid w:val="009B0A56"/>
    <w:rsid w:val="009B34C1"/>
    <w:rsid w:val="009B35F9"/>
    <w:rsid w:val="009B3EE7"/>
    <w:rsid w:val="009B6872"/>
    <w:rsid w:val="009B69F0"/>
    <w:rsid w:val="009B75F1"/>
    <w:rsid w:val="009C0F43"/>
    <w:rsid w:val="009C2636"/>
    <w:rsid w:val="009C4248"/>
    <w:rsid w:val="009C56B1"/>
    <w:rsid w:val="009C57FA"/>
    <w:rsid w:val="009C6F6E"/>
    <w:rsid w:val="009C7105"/>
    <w:rsid w:val="009D3608"/>
    <w:rsid w:val="009D58FA"/>
    <w:rsid w:val="009D62CC"/>
    <w:rsid w:val="009D7255"/>
    <w:rsid w:val="009D7BB5"/>
    <w:rsid w:val="009E1DAC"/>
    <w:rsid w:val="009E24E5"/>
    <w:rsid w:val="009E28BA"/>
    <w:rsid w:val="009E45CF"/>
    <w:rsid w:val="009E4772"/>
    <w:rsid w:val="009E4829"/>
    <w:rsid w:val="009E4BE2"/>
    <w:rsid w:val="009E52D4"/>
    <w:rsid w:val="009E647E"/>
    <w:rsid w:val="009E64A2"/>
    <w:rsid w:val="009E658B"/>
    <w:rsid w:val="009E7A72"/>
    <w:rsid w:val="009F0CB3"/>
    <w:rsid w:val="009F0E15"/>
    <w:rsid w:val="009F17B1"/>
    <w:rsid w:val="009F18D1"/>
    <w:rsid w:val="009F21C6"/>
    <w:rsid w:val="009F2395"/>
    <w:rsid w:val="009F28F0"/>
    <w:rsid w:val="009F2BCC"/>
    <w:rsid w:val="009F571D"/>
    <w:rsid w:val="009F6474"/>
    <w:rsid w:val="009F711A"/>
    <w:rsid w:val="009F7196"/>
    <w:rsid w:val="009F71DC"/>
    <w:rsid w:val="009F7C41"/>
    <w:rsid w:val="00A019A9"/>
    <w:rsid w:val="00A04F1F"/>
    <w:rsid w:val="00A10847"/>
    <w:rsid w:val="00A11FD7"/>
    <w:rsid w:val="00A124DF"/>
    <w:rsid w:val="00A12E26"/>
    <w:rsid w:val="00A132DC"/>
    <w:rsid w:val="00A16242"/>
    <w:rsid w:val="00A20130"/>
    <w:rsid w:val="00A20139"/>
    <w:rsid w:val="00A20EDB"/>
    <w:rsid w:val="00A2334A"/>
    <w:rsid w:val="00A234B2"/>
    <w:rsid w:val="00A23CE0"/>
    <w:rsid w:val="00A2402A"/>
    <w:rsid w:val="00A24F57"/>
    <w:rsid w:val="00A256DC"/>
    <w:rsid w:val="00A274B2"/>
    <w:rsid w:val="00A31750"/>
    <w:rsid w:val="00A31AAA"/>
    <w:rsid w:val="00A34A99"/>
    <w:rsid w:val="00A34DF7"/>
    <w:rsid w:val="00A356B4"/>
    <w:rsid w:val="00A35A87"/>
    <w:rsid w:val="00A36CD5"/>
    <w:rsid w:val="00A41310"/>
    <w:rsid w:val="00A4140C"/>
    <w:rsid w:val="00A44198"/>
    <w:rsid w:val="00A444DB"/>
    <w:rsid w:val="00A44613"/>
    <w:rsid w:val="00A465DE"/>
    <w:rsid w:val="00A521BB"/>
    <w:rsid w:val="00A55238"/>
    <w:rsid w:val="00A5582F"/>
    <w:rsid w:val="00A55946"/>
    <w:rsid w:val="00A5673E"/>
    <w:rsid w:val="00A578C3"/>
    <w:rsid w:val="00A57994"/>
    <w:rsid w:val="00A61B96"/>
    <w:rsid w:val="00A6213B"/>
    <w:rsid w:val="00A62D10"/>
    <w:rsid w:val="00A62D45"/>
    <w:rsid w:val="00A63736"/>
    <w:rsid w:val="00A637EF"/>
    <w:rsid w:val="00A63BD7"/>
    <w:rsid w:val="00A64D86"/>
    <w:rsid w:val="00A65811"/>
    <w:rsid w:val="00A65B2D"/>
    <w:rsid w:val="00A665EE"/>
    <w:rsid w:val="00A677C7"/>
    <w:rsid w:val="00A71B45"/>
    <w:rsid w:val="00A71DFB"/>
    <w:rsid w:val="00A7220E"/>
    <w:rsid w:val="00A72685"/>
    <w:rsid w:val="00A734B5"/>
    <w:rsid w:val="00A73710"/>
    <w:rsid w:val="00A741B2"/>
    <w:rsid w:val="00A755E3"/>
    <w:rsid w:val="00A75989"/>
    <w:rsid w:val="00A77637"/>
    <w:rsid w:val="00A81568"/>
    <w:rsid w:val="00A81AE7"/>
    <w:rsid w:val="00A826B0"/>
    <w:rsid w:val="00A82D02"/>
    <w:rsid w:val="00A83764"/>
    <w:rsid w:val="00A83D90"/>
    <w:rsid w:val="00A8479D"/>
    <w:rsid w:val="00A848CE"/>
    <w:rsid w:val="00A853B1"/>
    <w:rsid w:val="00A859CB"/>
    <w:rsid w:val="00A862C4"/>
    <w:rsid w:val="00A87E8C"/>
    <w:rsid w:val="00A90A13"/>
    <w:rsid w:val="00A90EAD"/>
    <w:rsid w:val="00A91184"/>
    <w:rsid w:val="00A918E8"/>
    <w:rsid w:val="00A91CCD"/>
    <w:rsid w:val="00A94656"/>
    <w:rsid w:val="00A95166"/>
    <w:rsid w:val="00A96B6F"/>
    <w:rsid w:val="00AA0838"/>
    <w:rsid w:val="00AA1B83"/>
    <w:rsid w:val="00AA1CD7"/>
    <w:rsid w:val="00AA260F"/>
    <w:rsid w:val="00AA3B86"/>
    <w:rsid w:val="00AA48BE"/>
    <w:rsid w:val="00AA5BB9"/>
    <w:rsid w:val="00AA5CAE"/>
    <w:rsid w:val="00AA699F"/>
    <w:rsid w:val="00AA7952"/>
    <w:rsid w:val="00AA7AC1"/>
    <w:rsid w:val="00AA7AF5"/>
    <w:rsid w:val="00AA7B8C"/>
    <w:rsid w:val="00AA7C2F"/>
    <w:rsid w:val="00AB1DA6"/>
    <w:rsid w:val="00AB23CF"/>
    <w:rsid w:val="00AB2EC4"/>
    <w:rsid w:val="00AB2F34"/>
    <w:rsid w:val="00AB3137"/>
    <w:rsid w:val="00AB3787"/>
    <w:rsid w:val="00AB3860"/>
    <w:rsid w:val="00AB5133"/>
    <w:rsid w:val="00AB54B2"/>
    <w:rsid w:val="00AB63F4"/>
    <w:rsid w:val="00AC114E"/>
    <w:rsid w:val="00AC17F6"/>
    <w:rsid w:val="00AC1C45"/>
    <w:rsid w:val="00AC1CDA"/>
    <w:rsid w:val="00AC29D2"/>
    <w:rsid w:val="00AC3180"/>
    <w:rsid w:val="00AC39E4"/>
    <w:rsid w:val="00AC46D1"/>
    <w:rsid w:val="00AC4F7A"/>
    <w:rsid w:val="00AC5B57"/>
    <w:rsid w:val="00AC5C64"/>
    <w:rsid w:val="00AC6AA7"/>
    <w:rsid w:val="00AD0206"/>
    <w:rsid w:val="00AD0A3B"/>
    <w:rsid w:val="00AD0DD7"/>
    <w:rsid w:val="00AD3097"/>
    <w:rsid w:val="00AD32B7"/>
    <w:rsid w:val="00AD3EB3"/>
    <w:rsid w:val="00AD5648"/>
    <w:rsid w:val="00AD5EA1"/>
    <w:rsid w:val="00AD6311"/>
    <w:rsid w:val="00AD783D"/>
    <w:rsid w:val="00AD7BA8"/>
    <w:rsid w:val="00AE0076"/>
    <w:rsid w:val="00AE0298"/>
    <w:rsid w:val="00AE146F"/>
    <w:rsid w:val="00AE183F"/>
    <w:rsid w:val="00AE19C8"/>
    <w:rsid w:val="00AE1EDC"/>
    <w:rsid w:val="00AE2062"/>
    <w:rsid w:val="00AE3CBC"/>
    <w:rsid w:val="00AE4542"/>
    <w:rsid w:val="00AE5222"/>
    <w:rsid w:val="00AE5482"/>
    <w:rsid w:val="00AE76BB"/>
    <w:rsid w:val="00AF182C"/>
    <w:rsid w:val="00AF3AA3"/>
    <w:rsid w:val="00AF402C"/>
    <w:rsid w:val="00AF49F1"/>
    <w:rsid w:val="00AF5941"/>
    <w:rsid w:val="00AF5D48"/>
    <w:rsid w:val="00AF7128"/>
    <w:rsid w:val="00B01A4D"/>
    <w:rsid w:val="00B02B2B"/>
    <w:rsid w:val="00B036A0"/>
    <w:rsid w:val="00B04E30"/>
    <w:rsid w:val="00B066D9"/>
    <w:rsid w:val="00B073D0"/>
    <w:rsid w:val="00B100F9"/>
    <w:rsid w:val="00B101E7"/>
    <w:rsid w:val="00B105CE"/>
    <w:rsid w:val="00B11184"/>
    <w:rsid w:val="00B11735"/>
    <w:rsid w:val="00B11CB3"/>
    <w:rsid w:val="00B11EE4"/>
    <w:rsid w:val="00B123D6"/>
    <w:rsid w:val="00B138F4"/>
    <w:rsid w:val="00B13EDA"/>
    <w:rsid w:val="00B14F7D"/>
    <w:rsid w:val="00B1559C"/>
    <w:rsid w:val="00B166F1"/>
    <w:rsid w:val="00B21D6B"/>
    <w:rsid w:val="00B238F3"/>
    <w:rsid w:val="00B24A76"/>
    <w:rsid w:val="00B26DFB"/>
    <w:rsid w:val="00B27287"/>
    <w:rsid w:val="00B306AA"/>
    <w:rsid w:val="00B30993"/>
    <w:rsid w:val="00B315A2"/>
    <w:rsid w:val="00B319DE"/>
    <w:rsid w:val="00B31B79"/>
    <w:rsid w:val="00B31CA0"/>
    <w:rsid w:val="00B31F23"/>
    <w:rsid w:val="00B349D6"/>
    <w:rsid w:val="00B34A00"/>
    <w:rsid w:val="00B350C4"/>
    <w:rsid w:val="00B359A7"/>
    <w:rsid w:val="00B35EFF"/>
    <w:rsid w:val="00B3614E"/>
    <w:rsid w:val="00B3784C"/>
    <w:rsid w:val="00B378C4"/>
    <w:rsid w:val="00B4019B"/>
    <w:rsid w:val="00B417B0"/>
    <w:rsid w:val="00B42301"/>
    <w:rsid w:val="00B42AAE"/>
    <w:rsid w:val="00B42C00"/>
    <w:rsid w:val="00B44491"/>
    <w:rsid w:val="00B44D53"/>
    <w:rsid w:val="00B45379"/>
    <w:rsid w:val="00B459E8"/>
    <w:rsid w:val="00B45CE1"/>
    <w:rsid w:val="00B4682E"/>
    <w:rsid w:val="00B50A0F"/>
    <w:rsid w:val="00B5149B"/>
    <w:rsid w:val="00B51E3A"/>
    <w:rsid w:val="00B523A0"/>
    <w:rsid w:val="00B528BA"/>
    <w:rsid w:val="00B52F2E"/>
    <w:rsid w:val="00B55680"/>
    <w:rsid w:val="00B56C37"/>
    <w:rsid w:val="00B56EFB"/>
    <w:rsid w:val="00B5769C"/>
    <w:rsid w:val="00B57CD2"/>
    <w:rsid w:val="00B60122"/>
    <w:rsid w:val="00B604B6"/>
    <w:rsid w:val="00B61F2C"/>
    <w:rsid w:val="00B62A83"/>
    <w:rsid w:val="00B62F47"/>
    <w:rsid w:val="00B63BF4"/>
    <w:rsid w:val="00B64148"/>
    <w:rsid w:val="00B64DF5"/>
    <w:rsid w:val="00B6566D"/>
    <w:rsid w:val="00B67B4E"/>
    <w:rsid w:val="00B7025A"/>
    <w:rsid w:val="00B71FA5"/>
    <w:rsid w:val="00B73017"/>
    <w:rsid w:val="00B741AE"/>
    <w:rsid w:val="00B74A7E"/>
    <w:rsid w:val="00B75F8D"/>
    <w:rsid w:val="00B76748"/>
    <w:rsid w:val="00B7767F"/>
    <w:rsid w:val="00B77E71"/>
    <w:rsid w:val="00B80216"/>
    <w:rsid w:val="00B80616"/>
    <w:rsid w:val="00B812E0"/>
    <w:rsid w:val="00B82381"/>
    <w:rsid w:val="00B83471"/>
    <w:rsid w:val="00B85BDD"/>
    <w:rsid w:val="00B90E52"/>
    <w:rsid w:val="00B92449"/>
    <w:rsid w:val="00B92CDA"/>
    <w:rsid w:val="00B92E89"/>
    <w:rsid w:val="00B9361B"/>
    <w:rsid w:val="00B93637"/>
    <w:rsid w:val="00B93F9B"/>
    <w:rsid w:val="00B940B9"/>
    <w:rsid w:val="00B94BED"/>
    <w:rsid w:val="00B94EBE"/>
    <w:rsid w:val="00B958FC"/>
    <w:rsid w:val="00B975EB"/>
    <w:rsid w:val="00BA07C0"/>
    <w:rsid w:val="00BA11E7"/>
    <w:rsid w:val="00BA3076"/>
    <w:rsid w:val="00BA3A13"/>
    <w:rsid w:val="00BA4F98"/>
    <w:rsid w:val="00BA7D44"/>
    <w:rsid w:val="00BA7DFD"/>
    <w:rsid w:val="00BB17FD"/>
    <w:rsid w:val="00BB29BE"/>
    <w:rsid w:val="00BB447A"/>
    <w:rsid w:val="00BB6829"/>
    <w:rsid w:val="00BB6BE4"/>
    <w:rsid w:val="00BB6EC1"/>
    <w:rsid w:val="00BB6FE7"/>
    <w:rsid w:val="00BB7245"/>
    <w:rsid w:val="00BC36C6"/>
    <w:rsid w:val="00BC4713"/>
    <w:rsid w:val="00BC4BB1"/>
    <w:rsid w:val="00BC4CBF"/>
    <w:rsid w:val="00BC4FED"/>
    <w:rsid w:val="00BC6195"/>
    <w:rsid w:val="00BC654E"/>
    <w:rsid w:val="00BC66F3"/>
    <w:rsid w:val="00BC7715"/>
    <w:rsid w:val="00BC7C4E"/>
    <w:rsid w:val="00BD00B5"/>
    <w:rsid w:val="00BD0CE2"/>
    <w:rsid w:val="00BD2BF1"/>
    <w:rsid w:val="00BD2D16"/>
    <w:rsid w:val="00BD399F"/>
    <w:rsid w:val="00BD55C0"/>
    <w:rsid w:val="00BD5810"/>
    <w:rsid w:val="00BD67A9"/>
    <w:rsid w:val="00BD7C91"/>
    <w:rsid w:val="00BD7F78"/>
    <w:rsid w:val="00BE1595"/>
    <w:rsid w:val="00BE15DE"/>
    <w:rsid w:val="00BE22AD"/>
    <w:rsid w:val="00BE359D"/>
    <w:rsid w:val="00BE4790"/>
    <w:rsid w:val="00BE529D"/>
    <w:rsid w:val="00BE556C"/>
    <w:rsid w:val="00BE5CA1"/>
    <w:rsid w:val="00BE5D71"/>
    <w:rsid w:val="00BE5FF8"/>
    <w:rsid w:val="00BE6C76"/>
    <w:rsid w:val="00BF0FCD"/>
    <w:rsid w:val="00BF1193"/>
    <w:rsid w:val="00BF1B5C"/>
    <w:rsid w:val="00BF2A1E"/>
    <w:rsid w:val="00BF306A"/>
    <w:rsid w:val="00BF3AA1"/>
    <w:rsid w:val="00BF42E0"/>
    <w:rsid w:val="00BF5126"/>
    <w:rsid w:val="00BF598E"/>
    <w:rsid w:val="00BF5CA5"/>
    <w:rsid w:val="00BF5E75"/>
    <w:rsid w:val="00BF7C58"/>
    <w:rsid w:val="00C012CC"/>
    <w:rsid w:val="00C01D3D"/>
    <w:rsid w:val="00C030F5"/>
    <w:rsid w:val="00C03C12"/>
    <w:rsid w:val="00C045F4"/>
    <w:rsid w:val="00C04D8C"/>
    <w:rsid w:val="00C053BE"/>
    <w:rsid w:val="00C06582"/>
    <w:rsid w:val="00C06A07"/>
    <w:rsid w:val="00C07AC0"/>
    <w:rsid w:val="00C07EBE"/>
    <w:rsid w:val="00C10D50"/>
    <w:rsid w:val="00C124FA"/>
    <w:rsid w:val="00C12AEF"/>
    <w:rsid w:val="00C12D77"/>
    <w:rsid w:val="00C139B9"/>
    <w:rsid w:val="00C14187"/>
    <w:rsid w:val="00C14384"/>
    <w:rsid w:val="00C169E3"/>
    <w:rsid w:val="00C16B5B"/>
    <w:rsid w:val="00C170C8"/>
    <w:rsid w:val="00C17A3F"/>
    <w:rsid w:val="00C20B65"/>
    <w:rsid w:val="00C21BCD"/>
    <w:rsid w:val="00C2232B"/>
    <w:rsid w:val="00C22AA7"/>
    <w:rsid w:val="00C2383B"/>
    <w:rsid w:val="00C2529A"/>
    <w:rsid w:val="00C262F6"/>
    <w:rsid w:val="00C269AA"/>
    <w:rsid w:val="00C26E5E"/>
    <w:rsid w:val="00C26E60"/>
    <w:rsid w:val="00C27BBD"/>
    <w:rsid w:val="00C32145"/>
    <w:rsid w:val="00C325B6"/>
    <w:rsid w:val="00C3394C"/>
    <w:rsid w:val="00C345A7"/>
    <w:rsid w:val="00C3538D"/>
    <w:rsid w:val="00C35B27"/>
    <w:rsid w:val="00C370F3"/>
    <w:rsid w:val="00C374F1"/>
    <w:rsid w:val="00C40552"/>
    <w:rsid w:val="00C41119"/>
    <w:rsid w:val="00C419C2"/>
    <w:rsid w:val="00C41DBE"/>
    <w:rsid w:val="00C435DC"/>
    <w:rsid w:val="00C43FBE"/>
    <w:rsid w:val="00C44C65"/>
    <w:rsid w:val="00C4521C"/>
    <w:rsid w:val="00C452E3"/>
    <w:rsid w:val="00C45ADC"/>
    <w:rsid w:val="00C4655A"/>
    <w:rsid w:val="00C46744"/>
    <w:rsid w:val="00C46C3B"/>
    <w:rsid w:val="00C47439"/>
    <w:rsid w:val="00C47785"/>
    <w:rsid w:val="00C50356"/>
    <w:rsid w:val="00C5107E"/>
    <w:rsid w:val="00C56B2A"/>
    <w:rsid w:val="00C57108"/>
    <w:rsid w:val="00C57270"/>
    <w:rsid w:val="00C60C37"/>
    <w:rsid w:val="00C6123A"/>
    <w:rsid w:val="00C62548"/>
    <w:rsid w:val="00C647AF"/>
    <w:rsid w:val="00C6508D"/>
    <w:rsid w:val="00C653D7"/>
    <w:rsid w:val="00C65A85"/>
    <w:rsid w:val="00C664B7"/>
    <w:rsid w:val="00C664EF"/>
    <w:rsid w:val="00C66749"/>
    <w:rsid w:val="00C669EF"/>
    <w:rsid w:val="00C70016"/>
    <w:rsid w:val="00C70423"/>
    <w:rsid w:val="00C7089B"/>
    <w:rsid w:val="00C72321"/>
    <w:rsid w:val="00C72662"/>
    <w:rsid w:val="00C72A41"/>
    <w:rsid w:val="00C72C3D"/>
    <w:rsid w:val="00C73A55"/>
    <w:rsid w:val="00C747BE"/>
    <w:rsid w:val="00C74D67"/>
    <w:rsid w:val="00C75D7C"/>
    <w:rsid w:val="00C76738"/>
    <w:rsid w:val="00C767B4"/>
    <w:rsid w:val="00C76B0D"/>
    <w:rsid w:val="00C76F33"/>
    <w:rsid w:val="00C7731D"/>
    <w:rsid w:val="00C776A5"/>
    <w:rsid w:val="00C81011"/>
    <w:rsid w:val="00C81389"/>
    <w:rsid w:val="00C81A8C"/>
    <w:rsid w:val="00C83523"/>
    <w:rsid w:val="00C8480C"/>
    <w:rsid w:val="00C8510E"/>
    <w:rsid w:val="00C86ED5"/>
    <w:rsid w:val="00C875F6"/>
    <w:rsid w:val="00C929AC"/>
    <w:rsid w:val="00C92D32"/>
    <w:rsid w:val="00C93438"/>
    <w:rsid w:val="00C9377C"/>
    <w:rsid w:val="00C9416A"/>
    <w:rsid w:val="00C958B7"/>
    <w:rsid w:val="00C95F6F"/>
    <w:rsid w:val="00C9600D"/>
    <w:rsid w:val="00C96469"/>
    <w:rsid w:val="00C96702"/>
    <w:rsid w:val="00C973AE"/>
    <w:rsid w:val="00C97B08"/>
    <w:rsid w:val="00C97B48"/>
    <w:rsid w:val="00CA0083"/>
    <w:rsid w:val="00CA106D"/>
    <w:rsid w:val="00CA36E6"/>
    <w:rsid w:val="00CA5612"/>
    <w:rsid w:val="00CA6021"/>
    <w:rsid w:val="00CA7754"/>
    <w:rsid w:val="00CB3657"/>
    <w:rsid w:val="00CB36B6"/>
    <w:rsid w:val="00CB46E7"/>
    <w:rsid w:val="00CB4862"/>
    <w:rsid w:val="00CB4E83"/>
    <w:rsid w:val="00CB681E"/>
    <w:rsid w:val="00CB6E62"/>
    <w:rsid w:val="00CB78E2"/>
    <w:rsid w:val="00CC0802"/>
    <w:rsid w:val="00CC0A0B"/>
    <w:rsid w:val="00CC4075"/>
    <w:rsid w:val="00CC40F6"/>
    <w:rsid w:val="00CC4E3F"/>
    <w:rsid w:val="00CC56AF"/>
    <w:rsid w:val="00CD0201"/>
    <w:rsid w:val="00CD026B"/>
    <w:rsid w:val="00CD0712"/>
    <w:rsid w:val="00CD219D"/>
    <w:rsid w:val="00CD2B4C"/>
    <w:rsid w:val="00CD4A90"/>
    <w:rsid w:val="00CD53D8"/>
    <w:rsid w:val="00CD76C3"/>
    <w:rsid w:val="00CD77C6"/>
    <w:rsid w:val="00CE0156"/>
    <w:rsid w:val="00CE0576"/>
    <w:rsid w:val="00CE1E55"/>
    <w:rsid w:val="00CE2548"/>
    <w:rsid w:val="00CE5449"/>
    <w:rsid w:val="00CE5A1D"/>
    <w:rsid w:val="00CE6969"/>
    <w:rsid w:val="00CE74EA"/>
    <w:rsid w:val="00CE7623"/>
    <w:rsid w:val="00CF07C8"/>
    <w:rsid w:val="00CF0AAE"/>
    <w:rsid w:val="00CF19CC"/>
    <w:rsid w:val="00CF1DB2"/>
    <w:rsid w:val="00CF2525"/>
    <w:rsid w:val="00CF29C4"/>
    <w:rsid w:val="00CF3E5D"/>
    <w:rsid w:val="00CF590C"/>
    <w:rsid w:val="00CF6881"/>
    <w:rsid w:val="00CF70C0"/>
    <w:rsid w:val="00D02009"/>
    <w:rsid w:val="00D02BD2"/>
    <w:rsid w:val="00D02DBA"/>
    <w:rsid w:val="00D02E5B"/>
    <w:rsid w:val="00D0369D"/>
    <w:rsid w:val="00D045BF"/>
    <w:rsid w:val="00D04E95"/>
    <w:rsid w:val="00D0520B"/>
    <w:rsid w:val="00D05A62"/>
    <w:rsid w:val="00D06466"/>
    <w:rsid w:val="00D06717"/>
    <w:rsid w:val="00D077DC"/>
    <w:rsid w:val="00D07E80"/>
    <w:rsid w:val="00D11B8E"/>
    <w:rsid w:val="00D11DEF"/>
    <w:rsid w:val="00D13A81"/>
    <w:rsid w:val="00D14D2E"/>
    <w:rsid w:val="00D17DDB"/>
    <w:rsid w:val="00D208AC"/>
    <w:rsid w:val="00D22BB1"/>
    <w:rsid w:val="00D237E7"/>
    <w:rsid w:val="00D241A4"/>
    <w:rsid w:val="00D246CA"/>
    <w:rsid w:val="00D24BDB"/>
    <w:rsid w:val="00D24F0F"/>
    <w:rsid w:val="00D25117"/>
    <w:rsid w:val="00D25C6C"/>
    <w:rsid w:val="00D25E0F"/>
    <w:rsid w:val="00D261D5"/>
    <w:rsid w:val="00D270D2"/>
    <w:rsid w:val="00D278C1"/>
    <w:rsid w:val="00D32018"/>
    <w:rsid w:val="00D3275B"/>
    <w:rsid w:val="00D33518"/>
    <w:rsid w:val="00D34AE1"/>
    <w:rsid w:val="00D35B38"/>
    <w:rsid w:val="00D3665C"/>
    <w:rsid w:val="00D36891"/>
    <w:rsid w:val="00D36C88"/>
    <w:rsid w:val="00D374C1"/>
    <w:rsid w:val="00D37665"/>
    <w:rsid w:val="00D377AF"/>
    <w:rsid w:val="00D4056A"/>
    <w:rsid w:val="00D40890"/>
    <w:rsid w:val="00D40B4E"/>
    <w:rsid w:val="00D414BF"/>
    <w:rsid w:val="00D41AC7"/>
    <w:rsid w:val="00D437F6"/>
    <w:rsid w:val="00D43A79"/>
    <w:rsid w:val="00D43C4E"/>
    <w:rsid w:val="00D4448B"/>
    <w:rsid w:val="00D44A68"/>
    <w:rsid w:val="00D46FDE"/>
    <w:rsid w:val="00D4794C"/>
    <w:rsid w:val="00D47CD8"/>
    <w:rsid w:val="00D47D7F"/>
    <w:rsid w:val="00D509F2"/>
    <w:rsid w:val="00D51196"/>
    <w:rsid w:val="00D521DF"/>
    <w:rsid w:val="00D52206"/>
    <w:rsid w:val="00D52AF0"/>
    <w:rsid w:val="00D53850"/>
    <w:rsid w:val="00D53BD7"/>
    <w:rsid w:val="00D53E23"/>
    <w:rsid w:val="00D54E4C"/>
    <w:rsid w:val="00D54EF7"/>
    <w:rsid w:val="00D55D79"/>
    <w:rsid w:val="00D6072D"/>
    <w:rsid w:val="00D62427"/>
    <w:rsid w:val="00D64296"/>
    <w:rsid w:val="00D647A2"/>
    <w:rsid w:val="00D66AB5"/>
    <w:rsid w:val="00D66C8D"/>
    <w:rsid w:val="00D66F05"/>
    <w:rsid w:val="00D67F7B"/>
    <w:rsid w:val="00D70400"/>
    <w:rsid w:val="00D70C17"/>
    <w:rsid w:val="00D73749"/>
    <w:rsid w:val="00D737E9"/>
    <w:rsid w:val="00D74F4D"/>
    <w:rsid w:val="00D750FA"/>
    <w:rsid w:val="00D75CD6"/>
    <w:rsid w:val="00D761C7"/>
    <w:rsid w:val="00D76F02"/>
    <w:rsid w:val="00D77660"/>
    <w:rsid w:val="00D809AF"/>
    <w:rsid w:val="00D80D29"/>
    <w:rsid w:val="00D8124E"/>
    <w:rsid w:val="00D823C4"/>
    <w:rsid w:val="00D82805"/>
    <w:rsid w:val="00D85290"/>
    <w:rsid w:val="00D872C3"/>
    <w:rsid w:val="00D90FAD"/>
    <w:rsid w:val="00D92EA1"/>
    <w:rsid w:val="00D93C4C"/>
    <w:rsid w:val="00D953E9"/>
    <w:rsid w:val="00D9691A"/>
    <w:rsid w:val="00DA395D"/>
    <w:rsid w:val="00DA3BBC"/>
    <w:rsid w:val="00DA4448"/>
    <w:rsid w:val="00DA4F29"/>
    <w:rsid w:val="00DA5E41"/>
    <w:rsid w:val="00DB046B"/>
    <w:rsid w:val="00DB04FB"/>
    <w:rsid w:val="00DB0637"/>
    <w:rsid w:val="00DB1D5B"/>
    <w:rsid w:val="00DB2229"/>
    <w:rsid w:val="00DB29CE"/>
    <w:rsid w:val="00DB39AE"/>
    <w:rsid w:val="00DB53BE"/>
    <w:rsid w:val="00DB5A60"/>
    <w:rsid w:val="00DB64E1"/>
    <w:rsid w:val="00DB6945"/>
    <w:rsid w:val="00DB6B2A"/>
    <w:rsid w:val="00DC067D"/>
    <w:rsid w:val="00DC1B2C"/>
    <w:rsid w:val="00DC1B76"/>
    <w:rsid w:val="00DC1FD3"/>
    <w:rsid w:val="00DC2308"/>
    <w:rsid w:val="00DC3472"/>
    <w:rsid w:val="00DC3A44"/>
    <w:rsid w:val="00DC59BF"/>
    <w:rsid w:val="00DC5B57"/>
    <w:rsid w:val="00DC5FA7"/>
    <w:rsid w:val="00DC7A5E"/>
    <w:rsid w:val="00DC7E4B"/>
    <w:rsid w:val="00DD022F"/>
    <w:rsid w:val="00DD0280"/>
    <w:rsid w:val="00DD08E4"/>
    <w:rsid w:val="00DD1773"/>
    <w:rsid w:val="00DD1A1F"/>
    <w:rsid w:val="00DD1C86"/>
    <w:rsid w:val="00DD20BA"/>
    <w:rsid w:val="00DD24B3"/>
    <w:rsid w:val="00DD3349"/>
    <w:rsid w:val="00DD4E2C"/>
    <w:rsid w:val="00DD722E"/>
    <w:rsid w:val="00DD7B2F"/>
    <w:rsid w:val="00DD7B7F"/>
    <w:rsid w:val="00DE1DC1"/>
    <w:rsid w:val="00DE31B4"/>
    <w:rsid w:val="00DE34E8"/>
    <w:rsid w:val="00DE38D7"/>
    <w:rsid w:val="00DE5225"/>
    <w:rsid w:val="00DE657E"/>
    <w:rsid w:val="00DE680A"/>
    <w:rsid w:val="00DE7CB9"/>
    <w:rsid w:val="00DF0D92"/>
    <w:rsid w:val="00DF34CD"/>
    <w:rsid w:val="00DF3B34"/>
    <w:rsid w:val="00DF3CFE"/>
    <w:rsid w:val="00DF4DF6"/>
    <w:rsid w:val="00DF6811"/>
    <w:rsid w:val="00DF69BD"/>
    <w:rsid w:val="00DF7921"/>
    <w:rsid w:val="00DF7C1F"/>
    <w:rsid w:val="00E000B3"/>
    <w:rsid w:val="00E0058E"/>
    <w:rsid w:val="00E0183A"/>
    <w:rsid w:val="00E0246E"/>
    <w:rsid w:val="00E02F1C"/>
    <w:rsid w:val="00E07479"/>
    <w:rsid w:val="00E0765F"/>
    <w:rsid w:val="00E115DB"/>
    <w:rsid w:val="00E12122"/>
    <w:rsid w:val="00E122AC"/>
    <w:rsid w:val="00E12C36"/>
    <w:rsid w:val="00E1384D"/>
    <w:rsid w:val="00E14167"/>
    <w:rsid w:val="00E14402"/>
    <w:rsid w:val="00E14914"/>
    <w:rsid w:val="00E14C8F"/>
    <w:rsid w:val="00E15478"/>
    <w:rsid w:val="00E1555B"/>
    <w:rsid w:val="00E1768C"/>
    <w:rsid w:val="00E20BE8"/>
    <w:rsid w:val="00E20C0B"/>
    <w:rsid w:val="00E21D5C"/>
    <w:rsid w:val="00E2228C"/>
    <w:rsid w:val="00E2266C"/>
    <w:rsid w:val="00E2341B"/>
    <w:rsid w:val="00E24D93"/>
    <w:rsid w:val="00E2539B"/>
    <w:rsid w:val="00E255EE"/>
    <w:rsid w:val="00E257D4"/>
    <w:rsid w:val="00E2686E"/>
    <w:rsid w:val="00E27587"/>
    <w:rsid w:val="00E27751"/>
    <w:rsid w:val="00E31361"/>
    <w:rsid w:val="00E317F8"/>
    <w:rsid w:val="00E32C8B"/>
    <w:rsid w:val="00E32EA6"/>
    <w:rsid w:val="00E3320D"/>
    <w:rsid w:val="00E408D0"/>
    <w:rsid w:val="00E415F0"/>
    <w:rsid w:val="00E4253B"/>
    <w:rsid w:val="00E4344F"/>
    <w:rsid w:val="00E43F35"/>
    <w:rsid w:val="00E4426F"/>
    <w:rsid w:val="00E44857"/>
    <w:rsid w:val="00E45288"/>
    <w:rsid w:val="00E4528C"/>
    <w:rsid w:val="00E50045"/>
    <w:rsid w:val="00E50CFC"/>
    <w:rsid w:val="00E510EA"/>
    <w:rsid w:val="00E52D34"/>
    <w:rsid w:val="00E5435B"/>
    <w:rsid w:val="00E54DE6"/>
    <w:rsid w:val="00E6092A"/>
    <w:rsid w:val="00E60BEA"/>
    <w:rsid w:val="00E61A57"/>
    <w:rsid w:val="00E61B11"/>
    <w:rsid w:val="00E61F7F"/>
    <w:rsid w:val="00E626A3"/>
    <w:rsid w:val="00E63E92"/>
    <w:rsid w:val="00E645BE"/>
    <w:rsid w:val="00E648A7"/>
    <w:rsid w:val="00E650B0"/>
    <w:rsid w:val="00E654AC"/>
    <w:rsid w:val="00E65880"/>
    <w:rsid w:val="00E65D95"/>
    <w:rsid w:val="00E664EF"/>
    <w:rsid w:val="00E667CA"/>
    <w:rsid w:val="00E66FC8"/>
    <w:rsid w:val="00E672DB"/>
    <w:rsid w:val="00E70A94"/>
    <w:rsid w:val="00E71054"/>
    <w:rsid w:val="00E71159"/>
    <w:rsid w:val="00E7241C"/>
    <w:rsid w:val="00E74F8D"/>
    <w:rsid w:val="00E74FB1"/>
    <w:rsid w:val="00E75CC5"/>
    <w:rsid w:val="00E763B4"/>
    <w:rsid w:val="00E810F7"/>
    <w:rsid w:val="00E82986"/>
    <w:rsid w:val="00E83D35"/>
    <w:rsid w:val="00E84EF4"/>
    <w:rsid w:val="00E857A5"/>
    <w:rsid w:val="00E86031"/>
    <w:rsid w:val="00E92A72"/>
    <w:rsid w:val="00E9382D"/>
    <w:rsid w:val="00E96C34"/>
    <w:rsid w:val="00E96CA0"/>
    <w:rsid w:val="00E97F44"/>
    <w:rsid w:val="00EA237B"/>
    <w:rsid w:val="00EA3038"/>
    <w:rsid w:val="00EA377C"/>
    <w:rsid w:val="00EA52E3"/>
    <w:rsid w:val="00EA544A"/>
    <w:rsid w:val="00EA6D58"/>
    <w:rsid w:val="00EA7471"/>
    <w:rsid w:val="00EA7FD9"/>
    <w:rsid w:val="00EB2D02"/>
    <w:rsid w:val="00EB3A6B"/>
    <w:rsid w:val="00EB3D9C"/>
    <w:rsid w:val="00EB42FC"/>
    <w:rsid w:val="00EB64A2"/>
    <w:rsid w:val="00EB6661"/>
    <w:rsid w:val="00EC1124"/>
    <w:rsid w:val="00EC222F"/>
    <w:rsid w:val="00EC2D4A"/>
    <w:rsid w:val="00EC4F12"/>
    <w:rsid w:val="00EC50BD"/>
    <w:rsid w:val="00EC52F8"/>
    <w:rsid w:val="00EC55F7"/>
    <w:rsid w:val="00EC6A65"/>
    <w:rsid w:val="00EC7927"/>
    <w:rsid w:val="00EC7BBB"/>
    <w:rsid w:val="00EC7C3A"/>
    <w:rsid w:val="00ED18F9"/>
    <w:rsid w:val="00ED1D91"/>
    <w:rsid w:val="00ED219C"/>
    <w:rsid w:val="00ED3C5F"/>
    <w:rsid w:val="00ED4E2B"/>
    <w:rsid w:val="00ED5274"/>
    <w:rsid w:val="00ED75C7"/>
    <w:rsid w:val="00ED7B20"/>
    <w:rsid w:val="00EE29FC"/>
    <w:rsid w:val="00EE2F9B"/>
    <w:rsid w:val="00EE33F1"/>
    <w:rsid w:val="00EE395A"/>
    <w:rsid w:val="00EE3EE4"/>
    <w:rsid w:val="00EE4B9A"/>
    <w:rsid w:val="00EE56C2"/>
    <w:rsid w:val="00EE5C94"/>
    <w:rsid w:val="00EE60A5"/>
    <w:rsid w:val="00EE69C9"/>
    <w:rsid w:val="00EE73E8"/>
    <w:rsid w:val="00EE7DA4"/>
    <w:rsid w:val="00EF1778"/>
    <w:rsid w:val="00EF1B5F"/>
    <w:rsid w:val="00EF3598"/>
    <w:rsid w:val="00EF3784"/>
    <w:rsid w:val="00EF3BCD"/>
    <w:rsid w:val="00EF3D43"/>
    <w:rsid w:val="00EF4546"/>
    <w:rsid w:val="00EF6BDC"/>
    <w:rsid w:val="00EF6D04"/>
    <w:rsid w:val="00EF71E3"/>
    <w:rsid w:val="00EF78A7"/>
    <w:rsid w:val="00EF7D71"/>
    <w:rsid w:val="00F013C0"/>
    <w:rsid w:val="00F01839"/>
    <w:rsid w:val="00F024C5"/>
    <w:rsid w:val="00F066CA"/>
    <w:rsid w:val="00F06A1E"/>
    <w:rsid w:val="00F06A31"/>
    <w:rsid w:val="00F06BEE"/>
    <w:rsid w:val="00F07701"/>
    <w:rsid w:val="00F10C75"/>
    <w:rsid w:val="00F1122D"/>
    <w:rsid w:val="00F12258"/>
    <w:rsid w:val="00F13240"/>
    <w:rsid w:val="00F139F0"/>
    <w:rsid w:val="00F13D5A"/>
    <w:rsid w:val="00F14DEE"/>
    <w:rsid w:val="00F15ADB"/>
    <w:rsid w:val="00F15B71"/>
    <w:rsid w:val="00F17339"/>
    <w:rsid w:val="00F20AD3"/>
    <w:rsid w:val="00F222BD"/>
    <w:rsid w:val="00F25E84"/>
    <w:rsid w:val="00F26973"/>
    <w:rsid w:val="00F27431"/>
    <w:rsid w:val="00F27536"/>
    <w:rsid w:val="00F31072"/>
    <w:rsid w:val="00F3360A"/>
    <w:rsid w:val="00F36592"/>
    <w:rsid w:val="00F37318"/>
    <w:rsid w:val="00F373E9"/>
    <w:rsid w:val="00F40833"/>
    <w:rsid w:val="00F412B1"/>
    <w:rsid w:val="00F42DDD"/>
    <w:rsid w:val="00F513D6"/>
    <w:rsid w:val="00F5157F"/>
    <w:rsid w:val="00F51E3A"/>
    <w:rsid w:val="00F52C9F"/>
    <w:rsid w:val="00F54172"/>
    <w:rsid w:val="00F54173"/>
    <w:rsid w:val="00F549DA"/>
    <w:rsid w:val="00F5579F"/>
    <w:rsid w:val="00F55811"/>
    <w:rsid w:val="00F55C4B"/>
    <w:rsid w:val="00F55EB1"/>
    <w:rsid w:val="00F5732F"/>
    <w:rsid w:val="00F5738A"/>
    <w:rsid w:val="00F5792C"/>
    <w:rsid w:val="00F62CD8"/>
    <w:rsid w:val="00F62EA7"/>
    <w:rsid w:val="00F634D1"/>
    <w:rsid w:val="00F637E1"/>
    <w:rsid w:val="00F6404B"/>
    <w:rsid w:val="00F66341"/>
    <w:rsid w:val="00F66797"/>
    <w:rsid w:val="00F679E2"/>
    <w:rsid w:val="00F70DEE"/>
    <w:rsid w:val="00F732AA"/>
    <w:rsid w:val="00F766A7"/>
    <w:rsid w:val="00F7681A"/>
    <w:rsid w:val="00F77B24"/>
    <w:rsid w:val="00F82279"/>
    <w:rsid w:val="00F82E53"/>
    <w:rsid w:val="00F833D8"/>
    <w:rsid w:val="00F83704"/>
    <w:rsid w:val="00F83F1E"/>
    <w:rsid w:val="00F85F5F"/>
    <w:rsid w:val="00F862E7"/>
    <w:rsid w:val="00F86944"/>
    <w:rsid w:val="00F86D46"/>
    <w:rsid w:val="00F87CE8"/>
    <w:rsid w:val="00F87D98"/>
    <w:rsid w:val="00F87E9E"/>
    <w:rsid w:val="00F90ECA"/>
    <w:rsid w:val="00F9275E"/>
    <w:rsid w:val="00F92B80"/>
    <w:rsid w:val="00F92CAA"/>
    <w:rsid w:val="00F933A4"/>
    <w:rsid w:val="00F93E1C"/>
    <w:rsid w:val="00F93E2B"/>
    <w:rsid w:val="00F944BD"/>
    <w:rsid w:val="00F94B90"/>
    <w:rsid w:val="00F9545C"/>
    <w:rsid w:val="00F954A8"/>
    <w:rsid w:val="00F95F3C"/>
    <w:rsid w:val="00F96515"/>
    <w:rsid w:val="00F97CC8"/>
    <w:rsid w:val="00F97D47"/>
    <w:rsid w:val="00FA0513"/>
    <w:rsid w:val="00FA0F92"/>
    <w:rsid w:val="00FA2D07"/>
    <w:rsid w:val="00FA3BD3"/>
    <w:rsid w:val="00FA404E"/>
    <w:rsid w:val="00FA487A"/>
    <w:rsid w:val="00FA4C0A"/>
    <w:rsid w:val="00FA4E5D"/>
    <w:rsid w:val="00FA5356"/>
    <w:rsid w:val="00FA56A8"/>
    <w:rsid w:val="00FA5762"/>
    <w:rsid w:val="00FA5972"/>
    <w:rsid w:val="00FA68C8"/>
    <w:rsid w:val="00FB1403"/>
    <w:rsid w:val="00FB431D"/>
    <w:rsid w:val="00FB4755"/>
    <w:rsid w:val="00FB5F17"/>
    <w:rsid w:val="00FB620A"/>
    <w:rsid w:val="00FB6DBD"/>
    <w:rsid w:val="00FB7741"/>
    <w:rsid w:val="00FB7F2E"/>
    <w:rsid w:val="00FC0B9D"/>
    <w:rsid w:val="00FC1165"/>
    <w:rsid w:val="00FC1AAD"/>
    <w:rsid w:val="00FC1BF4"/>
    <w:rsid w:val="00FC223D"/>
    <w:rsid w:val="00FC311D"/>
    <w:rsid w:val="00FC3A4F"/>
    <w:rsid w:val="00FC3C4A"/>
    <w:rsid w:val="00FC4311"/>
    <w:rsid w:val="00FC4985"/>
    <w:rsid w:val="00FC4BC4"/>
    <w:rsid w:val="00FC4E4D"/>
    <w:rsid w:val="00FC5C56"/>
    <w:rsid w:val="00FC79ED"/>
    <w:rsid w:val="00FD011F"/>
    <w:rsid w:val="00FD11CF"/>
    <w:rsid w:val="00FD215B"/>
    <w:rsid w:val="00FD22D6"/>
    <w:rsid w:val="00FD2F65"/>
    <w:rsid w:val="00FD313C"/>
    <w:rsid w:val="00FD3A98"/>
    <w:rsid w:val="00FD5F68"/>
    <w:rsid w:val="00FD6F8A"/>
    <w:rsid w:val="00FD7D3C"/>
    <w:rsid w:val="00FE03B9"/>
    <w:rsid w:val="00FE0943"/>
    <w:rsid w:val="00FE0B4B"/>
    <w:rsid w:val="00FE209D"/>
    <w:rsid w:val="00FE2178"/>
    <w:rsid w:val="00FE3C9E"/>
    <w:rsid w:val="00FE4F87"/>
    <w:rsid w:val="00FE5409"/>
    <w:rsid w:val="00FE5421"/>
    <w:rsid w:val="00FE6B10"/>
    <w:rsid w:val="00FF0493"/>
    <w:rsid w:val="00FF20EF"/>
    <w:rsid w:val="00FF243D"/>
    <w:rsid w:val="00FF25E1"/>
    <w:rsid w:val="00FF3053"/>
    <w:rsid w:val="00FF4AEB"/>
    <w:rsid w:val="00FF4C1A"/>
    <w:rsid w:val="00FF579D"/>
    <w:rsid w:val="00FF5FCA"/>
    <w:rsid w:val="00FF6730"/>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C99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uiPriority="9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B0D"/>
    <w:pPr>
      <w:spacing w:before="120" w:after="120" w:line="260" w:lineRule="atLeast"/>
    </w:pPr>
    <w:rPr>
      <w:rFonts w:ascii="Calibri" w:eastAsia="Calibri" w:hAnsi="Calibri" w:cs="Times New Roman"/>
    </w:rPr>
  </w:style>
  <w:style w:type="paragraph" w:styleId="Heading1">
    <w:name w:val="heading 1"/>
    <w:basedOn w:val="Normal"/>
    <w:next w:val="Normal"/>
    <w:link w:val="Heading1Char"/>
    <w:autoRedefine/>
    <w:uiPriority w:val="99"/>
    <w:qFormat/>
    <w:rsid w:val="00D4448B"/>
    <w:pPr>
      <w:keepNext/>
      <w:pBdr>
        <w:top w:val="single" w:sz="4" w:space="4" w:color="E5EFD5"/>
        <w:left w:val="single" w:sz="4" w:space="5" w:color="E5EFD5"/>
        <w:bottom w:val="single" w:sz="4" w:space="4" w:color="E5EFD5"/>
        <w:right w:val="single" w:sz="4" w:space="5" w:color="E5EFD5"/>
      </w:pBdr>
      <w:shd w:val="clear" w:color="auto" w:fill="EAF1DD"/>
      <w:tabs>
        <w:tab w:val="left" w:pos="5812"/>
      </w:tabs>
      <w:spacing w:before="200" w:after="200"/>
      <w:outlineLvl w:val="0"/>
    </w:pPr>
    <w:rPr>
      <w:rFonts w:ascii="Arial" w:hAnsi="Arial"/>
      <w:b/>
      <w:smallCaps/>
      <w:sz w:val="36"/>
      <w:szCs w:val="36"/>
    </w:rPr>
  </w:style>
  <w:style w:type="paragraph" w:styleId="Heading2">
    <w:name w:val="heading 2"/>
    <w:basedOn w:val="Normal"/>
    <w:next w:val="Normal"/>
    <w:link w:val="Heading2Char"/>
    <w:autoRedefine/>
    <w:uiPriority w:val="9"/>
    <w:qFormat/>
    <w:rsid w:val="00E6092A"/>
    <w:pPr>
      <w:keepNext/>
      <w:keepLines/>
      <w:spacing w:before="240"/>
      <w:outlineLvl w:val="1"/>
    </w:pPr>
    <w:rPr>
      <w:rFonts w:eastAsia="MS Gothic"/>
      <w:b/>
      <w:bCs/>
      <w:color w:val="000000"/>
      <w:sz w:val="24"/>
      <w:szCs w:val="28"/>
    </w:rPr>
  </w:style>
  <w:style w:type="paragraph" w:styleId="Heading3">
    <w:name w:val="heading 3"/>
    <w:basedOn w:val="Normal"/>
    <w:next w:val="Normal"/>
    <w:link w:val="Heading3Char"/>
    <w:autoRedefine/>
    <w:uiPriority w:val="9"/>
    <w:qFormat/>
    <w:rsid w:val="00223275"/>
    <w:pPr>
      <w:keepNext/>
      <w:keepLines/>
      <w:numPr>
        <w:ilvl w:val="2"/>
        <w:numId w:val="45"/>
      </w:numPr>
      <w:spacing w:after="60" w:line="240" w:lineRule="auto"/>
      <w:outlineLvl w:val="2"/>
    </w:pPr>
    <w:rPr>
      <w:rFonts w:asciiTheme="minorHAnsi" w:eastAsia="MS Gothic" w:hAnsiTheme="minorHAnsi"/>
      <w:b/>
      <w:bCs/>
    </w:rPr>
  </w:style>
  <w:style w:type="paragraph" w:styleId="Heading4">
    <w:name w:val="heading 4"/>
    <w:basedOn w:val="Normal"/>
    <w:next w:val="Normal"/>
    <w:link w:val="Heading4Char"/>
    <w:autoRedefine/>
    <w:uiPriority w:val="9"/>
    <w:qFormat/>
    <w:rsid w:val="00F62EA7"/>
    <w:pPr>
      <w:keepNext/>
      <w:keepLines/>
      <w:numPr>
        <w:ilvl w:val="3"/>
        <w:numId w:val="45"/>
      </w:numPr>
      <w:spacing w:after="60"/>
      <w:outlineLvl w:val="3"/>
    </w:pPr>
    <w:rPr>
      <w:rFonts w:eastAsia="MS Gothic"/>
      <w:bCs/>
      <w:i/>
      <w:iCs/>
    </w:rPr>
  </w:style>
  <w:style w:type="paragraph" w:styleId="Heading5">
    <w:name w:val="heading 5"/>
    <w:basedOn w:val="Normal"/>
    <w:next w:val="Normal"/>
    <w:link w:val="Heading5Char"/>
    <w:uiPriority w:val="9"/>
    <w:unhideWhenUsed/>
    <w:qFormat/>
    <w:rsid w:val="00F62EA7"/>
    <w:pPr>
      <w:keepNext/>
      <w:keepLines/>
      <w:numPr>
        <w:ilvl w:val="4"/>
        <w:numId w:val="45"/>
      </w:numPr>
      <w:spacing w:before="240" w:after="60"/>
      <w:outlineLvl w:val="4"/>
    </w:pPr>
    <w:rPr>
      <w:rFonts w:eastAsiaTheme="majorEastAsia" w:cstheme="majorBidi"/>
      <w:color w:val="000000" w:themeColor="text1"/>
      <w:sz w:val="24"/>
    </w:rPr>
  </w:style>
  <w:style w:type="paragraph" w:styleId="Heading6">
    <w:name w:val="heading 6"/>
    <w:basedOn w:val="Normal"/>
    <w:next w:val="Normal"/>
    <w:link w:val="Heading6Char"/>
    <w:uiPriority w:val="9"/>
    <w:unhideWhenUsed/>
    <w:qFormat/>
    <w:rsid w:val="00F62EA7"/>
    <w:pPr>
      <w:keepNext/>
      <w:keepLines/>
      <w:numPr>
        <w:ilvl w:val="5"/>
        <w:numId w:val="45"/>
      </w:numPr>
      <w:tabs>
        <w:tab w:val="left" w:pos="1134"/>
      </w:tabs>
      <w:spacing w:before="360" w:after="60"/>
      <w:outlineLvl w:val="5"/>
    </w:pPr>
    <w:rPr>
      <w:rFonts w:asciiTheme="minorHAnsi" w:eastAsiaTheme="minorEastAsia" w:hAnsiTheme="minorHAnsi" w:cstheme="minorBidi"/>
      <w:b/>
      <w:sz w:val="28"/>
      <w:lang w:val="en-US" w:bidi="en-US"/>
    </w:rPr>
  </w:style>
  <w:style w:type="paragraph" w:styleId="Heading7">
    <w:name w:val="heading 7"/>
    <w:basedOn w:val="Normal"/>
    <w:next w:val="Normal"/>
    <w:link w:val="Heading7Char"/>
    <w:uiPriority w:val="9"/>
    <w:unhideWhenUsed/>
    <w:qFormat/>
    <w:rsid w:val="00F62EA7"/>
    <w:pPr>
      <w:numPr>
        <w:ilvl w:val="6"/>
        <w:numId w:val="45"/>
      </w:numPr>
      <w:spacing w:after="0" w:line="276" w:lineRule="auto"/>
      <w:outlineLvl w:val="6"/>
    </w:pPr>
    <w:rPr>
      <w:rFonts w:asciiTheme="minorHAnsi" w:eastAsiaTheme="minorEastAsia" w:hAnsiTheme="minorHAnsi" w:cstheme="minorBidi"/>
      <w:b/>
      <w:smallCaps/>
      <w:color w:val="C0504D" w:themeColor="accent2"/>
      <w:spacing w:val="10"/>
      <w:lang w:val="en-US" w:bidi="en-US"/>
    </w:rPr>
  </w:style>
  <w:style w:type="paragraph" w:styleId="Heading8">
    <w:name w:val="heading 8"/>
    <w:basedOn w:val="Normal"/>
    <w:next w:val="Normal"/>
    <w:link w:val="Heading8Char"/>
    <w:uiPriority w:val="9"/>
    <w:unhideWhenUsed/>
    <w:qFormat/>
    <w:rsid w:val="00F62EA7"/>
    <w:pPr>
      <w:numPr>
        <w:ilvl w:val="7"/>
        <w:numId w:val="45"/>
      </w:numPr>
      <w:spacing w:after="0" w:line="276" w:lineRule="auto"/>
      <w:outlineLvl w:val="7"/>
    </w:pPr>
    <w:rPr>
      <w:rFonts w:asciiTheme="minorHAnsi" w:eastAsiaTheme="minorEastAsia" w:hAnsiTheme="minorHAnsi" w:cstheme="minorBidi"/>
      <w:b/>
      <w:i/>
      <w:smallCaps/>
      <w:color w:val="943634" w:themeColor="accent2" w:themeShade="BF"/>
      <w:lang w:val="en-US" w:bidi="en-US"/>
    </w:rPr>
  </w:style>
  <w:style w:type="paragraph" w:styleId="Heading9">
    <w:name w:val="heading 9"/>
    <w:basedOn w:val="Normal"/>
    <w:next w:val="Normal"/>
    <w:link w:val="Heading9Char"/>
    <w:uiPriority w:val="9"/>
    <w:unhideWhenUsed/>
    <w:qFormat/>
    <w:rsid w:val="000A46A9"/>
    <w:pPr>
      <w:numPr>
        <w:ilvl w:val="8"/>
        <w:numId w:val="9"/>
      </w:numPr>
      <w:spacing w:after="0" w:line="276" w:lineRule="auto"/>
      <w:outlineLvl w:val="8"/>
    </w:pPr>
    <w:rPr>
      <w:rFonts w:asciiTheme="minorHAnsi" w:eastAsiaTheme="minorEastAsia" w:hAnsiTheme="minorHAnsi" w:cstheme="minorBidi"/>
      <w:b/>
      <w:i/>
      <w:smallCaps/>
      <w:color w:val="622423" w:themeColor="accent2" w:themeShade="7F"/>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BF598E"/>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064C88"/>
    <w:rPr>
      <w:rFonts w:ascii="Lucida Grande" w:hAnsi="Lucida Grande"/>
      <w:sz w:val="18"/>
      <w:szCs w:val="18"/>
    </w:rPr>
  </w:style>
  <w:style w:type="character" w:customStyle="1" w:styleId="BalloonTextChar0">
    <w:name w:val="Balloon Text Char"/>
    <w:basedOn w:val="DefaultParagraphFont"/>
    <w:uiPriority w:val="99"/>
    <w:semiHidden/>
    <w:rsid w:val="00064C88"/>
    <w:rPr>
      <w:rFonts w:ascii="Lucida Grande" w:hAnsi="Lucida Grande"/>
      <w:sz w:val="18"/>
      <w:szCs w:val="18"/>
    </w:rPr>
  </w:style>
  <w:style w:type="character" w:customStyle="1" w:styleId="BalloonTextChar2">
    <w:name w:val="Balloon Text Char"/>
    <w:basedOn w:val="DefaultParagraphFont"/>
    <w:uiPriority w:val="99"/>
    <w:semiHidden/>
    <w:rsid w:val="00064C88"/>
    <w:rPr>
      <w:rFonts w:ascii="Lucida Grande" w:hAnsi="Lucida Grande"/>
      <w:sz w:val="18"/>
      <w:szCs w:val="18"/>
    </w:rPr>
  </w:style>
  <w:style w:type="character" w:customStyle="1" w:styleId="BalloonTextChar3">
    <w:name w:val="Balloon Text Char"/>
    <w:basedOn w:val="DefaultParagraphFont"/>
    <w:uiPriority w:val="99"/>
    <w:semiHidden/>
    <w:rsid w:val="00831AE5"/>
    <w:rPr>
      <w:rFonts w:ascii="Lucida Grande" w:hAnsi="Lucida Grande"/>
      <w:sz w:val="18"/>
      <w:szCs w:val="18"/>
    </w:rPr>
  </w:style>
  <w:style w:type="character" w:customStyle="1" w:styleId="Heading1Char">
    <w:name w:val="Heading 1 Char"/>
    <w:basedOn w:val="DefaultParagraphFont"/>
    <w:link w:val="Heading1"/>
    <w:uiPriority w:val="99"/>
    <w:rsid w:val="00D4448B"/>
    <w:rPr>
      <w:rFonts w:ascii="Arial" w:eastAsia="Calibri" w:hAnsi="Arial" w:cs="Times New Roman"/>
      <w:b/>
      <w:smallCaps/>
      <w:sz w:val="36"/>
      <w:szCs w:val="36"/>
      <w:shd w:val="clear" w:color="auto" w:fill="EAF1DD"/>
    </w:rPr>
  </w:style>
  <w:style w:type="character" w:customStyle="1" w:styleId="Heading2Char">
    <w:name w:val="Heading 2 Char"/>
    <w:basedOn w:val="DefaultParagraphFont"/>
    <w:link w:val="Heading2"/>
    <w:uiPriority w:val="9"/>
    <w:rsid w:val="00E6092A"/>
    <w:rPr>
      <w:rFonts w:ascii="Calibri" w:eastAsia="MS Gothic" w:hAnsi="Calibri" w:cs="Times New Roman"/>
      <w:b/>
      <w:bCs/>
      <w:color w:val="000000"/>
      <w:sz w:val="24"/>
      <w:szCs w:val="28"/>
    </w:rPr>
  </w:style>
  <w:style w:type="character" w:customStyle="1" w:styleId="Heading3Char">
    <w:name w:val="Heading 3 Char"/>
    <w:basedOn w:val="DefaultParagraphFont"/>
    <w:link w:val="Heading3"/>
    <w:uiPriority w:val="9"/>
    <w:rsid w:val="00223275"/>
    <w:rPr>
      <w:rFonts w:eastAsia="MS Gothic" w:cs="Times New Roman"/>
      <w:b/>
      <w:bCs/>
    </w:rPr>
  </w:style>
  <w:style w:type="character" w:customStyle="1" w:styleId="Heading4Char">
    <w:name w:val="Heading 4 Char"/>
    <w:basedOn w:val="DefaultParagraphFont"/>
    <w:link w:val="Heading4"/>
    <w:uiPriority w:val="9"/>
    <w:rsid w:val="00F62EA7"/>
    <w:rPr>
      <w:rFonts w:ascii="Calibri" w:eastAsia="MS Gothic" w:hAnsi="Calibri" w:cs="Times New Roman"/>
      <w:bCs/>
      <w:i/>
      <w:iCs/>
    </w:rPr>
  </w:style>
  <w:style w:type="character" w:customStyle="1" w:styleId="Heading5Char">
    <w:name w:val="Heading 5 Char"/>
    <w:basedOn w:val="DefaultParagraphFont"/>
    <w:link w:val="Heading5"/>
    <w:uiPriority w:val="9"/>
    <w:rsid w:val="00F62EA7"/>
    <w:rPr>
      <w:rFonts w:ascii="Calibri" w:eastAsiaTheme="majorEastAsia" w:hAnsi="Calibri" w:cstheme="majorBidi"/>
      <w:color w:val="000000" w:themeColor="text1"/>
      <w:sz w:val="24"/>
    </w:rPr>
  </w:style>
  <w:style w:type="character" w:customStyle="1" w:styleId="Heading6Char">
    <w:name w:val="Heading 6 Char"/>
    <w:basedOn w:val="DefaultParagraphFont"/>
    <w:link w:val="Heading6"/>
    <w:uiPriority w:val="9"/>
    <w:rsid w:val="00F62EA7"/>
    <w:rPr>
      <w:rFonts w:eastAsiaTheme="minorEastAsia"/>
      <w:b/>
      <w:sz w:val="28"/>
      <w:lang w:val="en-US" w:bidi="en-US"/>
    </w:rPr>
  </w:style>
  <w:style w:type="character" w:customStyle="1" w:styleId="Heading7Char">
    <w:name w:val="Heading 7 Char"/>
    <w:basedOn w:val="DefaultParagraphFont"/>
    <w:link w:val="Heading7"/>
    <w:uiPriority w:val="9"/>
    <w:rsid w:val="00F62EA7"/>
    <w:rPr>
      <w:rFonts w:eastAsiaTheme="minorEastAsia"/>
      <w:b/>
      <w:smallCaps/>
      <w:color w:val="C0504D" w:themeColor="accent2"/>
      <w:spacing w:val="10"/>
      <w:lang w:val="en-US" w:bidi="en-US"/>
    </w:rPr>
  </w:style>
  <w:style w:type="character" w:customStyle="1" w:styleId="Heading8Char">
    <w:name w:val="Heading 8 Char"/>
    <w:basedOn w:val="DefaultParagraphFont"/>
    <w:link w:val="Heading8"/>
    <w:uiPriority w:val="9"/>
    <w:rsid w:val="00F62EA7"/>
    <w:rPr>
      <w:rFonts w:eastAsiaTheme="minorEastAsia"/>
      <w:b/>
      <w:i/>
      <w:smallCaps/>
      <w:color w:val="943634" w:themeColor="accent2" w:themeShade="BF"/>
      <w:lang w:val="en-US" w:bidi="en-US"/>
    </w:rPr>
  </w:style>
  <w:style w:type="character" w:customStyle="1" w:styleId="Heading9Char">
    <w:name w:val="Heading 9 Char"/>
    <w:basedOn w:val="DefaultParagraphFont"/>
    <w:link w:val="Heading9"/>
    <w:uiPriority w:val="9"/>
    <w:rsid w:val="000A46A9"/>
    <w:rPr>
      <w:rFonts w:eastAsiaTheme="minorEastAsia"/>
      <w:b/>
      <w:i/>
      <w:smallCaps/>
      <w:color w:val="622423" w:themeColor="accent2" w:themeShade="7F"/>
      <w:lang w:val="en-US" w:bidi="en-US"/>
    </w:rPr>
  </w:style>
  <w:style w:type="paragraph" w:styleId="Header">
    <w:name w:val="header"/>
    <w:basedOn w:val="Normal"/>
    <w:link w:val="HeaderChar"/>
    <w:uiPriority w:val="99"/>
    <w:unhideWhenUsed/>
    <w:rsid w:val="00182B0D"/>
    <w:pPr>
      <w:tabs>
        <w:tab w:val="center" w:pos="4513"/>
        <w:tab w:val="right" w:pos="9026"/>
      </w:tabs>
      <w:spacing w:after="0"/>
    </w:pPr>
  </w:style>
  <w:style w:type="character" w:customStyle="1" w:styleId="HeaderChar">
    <w:name w:val="Header Char"/>
    <w:basedOn w:val="DefaultParagraphFont"/>
    <w:link w:val="Header"/>
    <w:uiPriority w:val="99"/>
    <w:rsid w:val="00216BD8"/>
    <w:rPr>
      <w:rFonts w:ascii="Calibri" w:eastAsia="Calibri" w:hAnsi="Calibri" w:cs="Times New Roman"/>
    </w:rPr>
  </w:style>
  <w:style w:type="paragraph" w:styleId="Footer">
    <w:name w:val="footer"/>
    <w:basedOn w:val="Normal"/>
    <w:link w:val="FooterChar"/>
    <w:uiPriority w:val="99"/>
    <w:unhideWhenUsed/>
    <w:rsid w:val="00182B0D"/>
    <w:pPr>
      <w:tabs>
        <w:tab w:val="center" w:pos="4513"/>
        <w:tab w:val="right" w:pos="9026"/>
      </w:tabs>
      <w:spacing w:after="0"/>
    </w:pPr>
  </w:style>
  <w:style w:type="character" w:customStyle="1" w:styleId="FooterChar">
    <w:name w:val="Footer Char"/>
    <w:basedOn w:val="DefaultParagraphFont"/>
    <w:link w:val="Footer"/>
    <w:uiPriority w:val="99"/>
    <w:rsid w:val="00216BD8"/>
    <w:rPr>
      <w:rFonts w:ascii="Calibri" w:eastAsia="Calibri" w:hAnsi="Calibri" w:cs="Times New Roman"/>
    </w:rPr>
  </w:style>
  <w:style w:type="paragraph" w:styleId="BodyText">
    <w:name w:val="Body Text"/>
    <w:basedOn w:val="Normal"/>
    <w:link w:val="BodyTextChar"/>
    <w:uiPriority w:val="99"/>
    <w:rsid w:val="00182B0D"/>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216BD8"/>
    <w:rPr>
      <w:rFonts w:ascii="Times New Roman" w:eastAsia="Times New Roman" w:hAnsi="Times New Roman" w:cs="Times New Roman"/>
      <w:sz w:val="24"/>
      <w:szCs w:val="24"/>
    </w:rPr>
  </w:style>
  <w:style w:type="paragraph" w:styleId="Caption">
    <w:name w:val="caption"/>
    <w:basedOn w:val="Normal"/>
    <w:next w:val="Normal"/>
    <w:uiPriority w:val="99"/>
    <w:qFormat/>
    <w:rsid w:val="00182B0D"/>
    <w:pPr>
      <w:spacing w:after="140" w:line="280" w:lineRule="atLeast"/>
    </w:pPr>
    <w:rPr>
      <w:rFonts w:ascii="Times New Roman" w:eastAsia="Times New Roman" w:hAnsi="Times New Roman" w:cs="Angsana New"/>
      <w:b/>
      <w:bCs/>
      <w:sz w:val="20"/>
      <w:szCs w:val="20"/>
      <w:lang w:eastAsia="zh-CN" w:bidi="th-TH"/>
    </w:rPr>
  </w:style>
  <w:style w:type="paragraph" w:customStyle="1" w:styleId="Table">
    <w:name w:val="Table"/>
    <w:basedOn w:val="Normal"/>
    <w:next w:val="Normal"/>
    <w:qFormat/>
    <w:rsid w:val="003C00AF"/>
    <w:pPr>
      <w:numPr>
        <w:numId w:val="5"/>
      </w:numPr>
      <w:spacing w:after="240"/>
      <w:jc w:val="center"/>
    </w:pPr>
    <w:rPr>
      <w:b/>
    </w:rPr>
  </w:style>
  <w:style w:type="paragraph" w:customStyle="1" w:styleId="HeadingAppendix">
    <w:name w:val="Heading Appendix"/>
    <w:basedOn w:val="Heading1"/>
    <w:autoRedefine/>
    <w:qFormat/>
    <w:rsid w:val="00182B0D"/>
    <w:pPr>
      <w:pageBreakBefore/>
    </w:pPr>
  </w:style>
  <w:style w:type="paragraph" w:styleId="ListBullet">
    <w:name w:val="List Bullet"/>
    <w:basedOn w:val="Normal"/>
    <w:link w:val="ListBulletChar"/>
    <w:uiPriority w:val="99"/>
    <w:unhideWhenUsed/>
    <w:qFormat/>
    <w:rsid w:val="00FC1AAD"/>
    <w:pPr>
      <w:numPr>
        <w:numId w:val="6"/>
      </w:numPr>
      <w:spacing w:before="60" w:after="60"/>
    </w:pPr>
  </w:style>
  <w:style w:type="character" w:customStyle="1" w:styleId="ListBulletChar">
    <w:name w:val="List Bullet Char"/>
    <w:link w:val="ListBullet"/>
    <w:uiPriority w:val="99"/>
    <w:rsid w:val="001016E0"/>
    <w:rPr>
      <w:rFonts w:ascii="Calibri" w:eastAsia="Calibri" w:hAnsi="Calibri" w:cs="Times New Roman"/>
    </w:rPr>
  </w:style>
  <w:style w:type="paragraph" w:styleId="ListBullet2">
    <w:name w:val="List Bullet 2"/>
    <w:basedOn w:val="Normal"/>
    <w:uiPriority w:val="99"/>
    <w:unhideWhenUsed/>
    <w:rsid w:val="00FC1AAD"/>
    <w:pPr>
      <w:numPr>
        <w:numId w:val="7"/>
      </w:numPr>
      <w:ind w:left="714" w:hanging="357"/>
      <w:contextualSpacing/>
    </w:pPr>
  </w:style>
  <w:style w:type="paragraph" w:styleId="ListParagraph">
    <w:name w:val="List Paragraph"/>
    <w:aliases w:val="List Paragraph1,Recommendation,List Paragraph11,L,Bullet point,Bullet Point,Bullet points,Content descriptions,Body Bullets 1,Main,CV text,Table text,F5 List Paragraph,Dot pt,List Paragraph111,Medium Grid 1 - Accent 21,Numbered Paragraph"/>
    <w:basedOn w:val="Normal"/>
    <w:link w:val="ListParagraphChar"/>
    <w:uiPriority w:val="34"/>
    <w:qFormat/>
    <w:rsid w:val="00182B0D"/>
    <w:pPr>
      <w:ind w:left="720"/>
      <w:contextualSpacing/>
    </w:pPr>
  </w:style>
  <w:style w:type="character" w:customStyle="1" w:styleId="ListParagraphChar">
    <w:name w:val="List Paragraph Char"/>
    <w:aliases w:val="List Paragraph1 Char,Recommendation Char,List Paragraph11 Char,L Char,Bullet point Char,Bullet Point Char,Bullet points Char,Content descriptions Char,Body Bullets 1 Char,Main Char,CV text Char,Table text Char,F5 List Paragraph Char"/>
    <w:link w:val="ListParagraph"/>
    <w:uiPriority w:val="34"/>
    <w:rsid w:val="00182B0D"/>
    <w:rPr>
      <w:rFonts w:ascii="Calibri" w:eastAsia="Calibri" w:hAnsi="Calibri" w:cs="Times New Roman"/>
    </w:rPr>
  </w:style>
  <w:style w:type="paragraph" w:customStyle="1" w:styleId="ListMultilevel">
    <w:name w:val="List Multilevel"/>
    <w:basedOn w:val="ListParagraph"/>
    <w:qFormat/>
    <w:rsid w:val="003C00AF"/>
    <w:pPr>
      <w:numPr>
        <w:numId w:val="1"/>
      </w:numPr>
    </w:pPr>
  </w:style>
  <w:style w:type="paragraph" w:styleId="ListNumber">
    <w:name w:val="List Number"/>
    <w:basedOn w:val="Normal"/>
    <w:uiPriority w:val="99"/>
    <w:unhideWhenUsed/>
    <w:rsid w:val="003C00AF"/>
    <w:pPr>
      <w:numPr>
        <w:numId w:val="2"/>
      </w:numPr>
      <w:spacing w:before="60" w:after="60"/>
    </w:pPr>
  </w:style>
  <w:style w:type="paragraph" w:styleId="ListNumber2">
    <w:name w:val="List Number 2"/>
    <w:basedOn w:val="Normal"/>
    <w:uiPriority w:val="99"/>
    <w:unhideWhenUsed/>
    <w:rsid w:val="003C00AF"/>
    <w:pPr>
      <w:numPr>
        <w:numId w:val="42"/>
      </w:numPr>
      <w:contextualSpacing/>
    </w:pPr>
  </w:style>
  <w:style w:type="paragraph" w:styleId="ListNumber3">
    <w:name w:val="List Number 3"/>
    <w:basedOn w:val="Normal"/>
    <w:rsid w:val="00182B0D"/>
  </w:style>
  <w:style w:type="table" w:styleId="TableGrid">
    <w:name w:val="Table Grid"/>
    <w:basedOn w:val="TableNormal"/>
    <w:uiPriority w:val="59"/>
    <w:rsid w:val="00182B0D"/>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next w:val="Normal"/>
    <w:autoRedefine/>
    <w:qFormat/>
    <w:rsid w:val="00182B0D"/>
    <w:rPr>
      <w:i/>
      <w:noProof/>
      <w:u w:val="single"/>
    </w:rPr>
  </w:style>
  <w:style w:type="paragraph" w:customStyle="1" w:styleId="TableText">
    <w:name w:val="Table Text"/>
    <w:basedOn w:val="Normal"/>
    <w:link w:val="TableTextChar"/>
    <w:qFormat/>
    <w:rsid w:val="00182B0D"/>
    <w:pPr>
      <w:spacing w:after="40"/>
    </w:pPr>
    <w:rPr>
      <w:sz w:val="18"/>
    </w:rPr>
  </w:style>
  <w:style w:type="character" w:customStyle="1" w:styleId="TableTextChar">
    <w:name w:val="Table Text Char"/>
    <w:link w:val="TableText"/>
    <w:rsid w:val="001F16D0"/>
    <w:rPr>
      <w:rFonts w:ascii="Calibri" w:eastAsia="Calibri" w:hAnsi="Calibri" w:cs="Times New Roman"/>
      <w:sz w:val="18"/>
    </w:rPr>
  </w:style>
  <w:style w:type="paragraph" w:styleId="Title">
    <w:name w:val="Title"/>
    <w:basedOn w:val="Normal"/>
    <w:next w:val="Normal"/>
    <w:link w:val="TitleChar"/>
    <w:autoRedefine/>
    <w:uiPriority w:val="10"/>
    <w:qFormat/>
    <w:rsid w:val="0085583A"/>
    <w:pPr>
      <w:pBdr>
        <w:bottom w:val="single" w:sz="8" w:space="4" w:color="5F6062"/>
      </w:pBdr>
      <w:spacing w:after="300"/>
      <w:contextualSpacing/>
      <w:jc w:val="center"/>
    </w:pPr>
    <w:rPr>
      <w:rFonts w:asciiTheme="minorHAnsi" w:eastAsiaTheme="majorEastAsia" w:hAnsiTheme="minorHAnsi" w:cstheme="majorBidi"/>
      <w:smallCaps/>
      <w:color w:val="6EB33F"/>
      <w:spacing w:val="5"/>
      <w:kern w:val="28"/>
      <w:sz w:val="52"/>
      <w:szCs w:val="52"/>
    </w:rPr>
  </w:style>
  <w:style w:type="character" w:customStyle="1" w:styleId="TitleChar">
    <w:name w:val="Title Char"/>
    <w:basedOn w:val="DefaultParagraphFont"/>
    <w:link w:val="Title"/>
    <w:uiPriority w:val="10"/>
    <w:rsid w:val="0085583A"/>
    <w:rPr>
      <w:rFonts w:eastAsiaTheme="majorEastAsia" w:cstheme="majorBidi"/>
      <w:smallCaps/>
      <w:color w:val="6EB33F"/>
      <w:spacing w:val="5"/>
      <w:kern w:val="28"/>
      <w:sz w:val="52"/>
      <w:szCs w:val="52"/>
    </w:rPr>
  </w:style>
  <w:style w:type="paragraph" w:styleId="TOC1">
    <w:name w:val="toc 1"/>
    <w:basedOn w:val="Normal"/>
    <w:next w:val="Normal"/>
    <w:autoRedefine/>
    <w:uiPriority w:val="39"/>
    <w:unhideWhenUsed/>
    <w:qFormat/>
    <w:rsid w:val="00182B0D"/>
    <w:pPr>
      <w:tabs>
        <w:tab w:val="right" w:leader="underscore" w:pos="9032"/>
      </w:tabs>
      <w:spacing w:before="240" w:after="60"/>
      <w:ind w:left="357" w:hanging="357"/>
    </w:pPr>
    <w:rPr>
      <w:rFonts w:asciiTheme="minorHAnsi" w:hAnsiTheme="minorHAnsi"/>
      <w:b/>
      <w:smallCaps/>
      <w:szCs w:val="24"/>
    </w:rPr>
  </w:style>
  <w:style w:type="paragraph" w:styleId="TOC2">
    <w:name w:val="toc 2"/>
    <w:basedOn w:val="Normal"/>
    <w:next w:val="Normal"/>
    <w:autoRedefine/>
    <w:uiPriority w:val="39"/>
    <w:unhideWhenUsed/>
    <w:qFormat/>
    <w:rsid w:val="00182B0D"/>
    <w:pPr>
      <w:tabs>
        <w:tab w:val="right" w:leader="dot" w:pos="9032"/>
      </w:tabs>
      <w:spacing w:before="60" w:after="60"/>
      <w:ind w:left="811" w:hanging="454"/>
    </w:pPr>
    <w:rPr>
      <w:rFonts w:asciiTheme="minorHAnsi" w:hAnsiTheme="minorHAnsi"/>
      <w:smallCaps/>
    </w:rPr>
  </w:style>
  <w:style w:type="paragraph" w:styleId="TOC3">
    <w:name w:val="toc 3"/>
    <w:basedOn w:val="Normal"/>
    <w:next w:val="Normal"/>
    <w:autoRedefine/>
    <w:uiPriority w:val="39"/>
    <w:qFormat/>
    <w:rsid w:val="00182B0D"/>
    <w:pPr>
      <w:spacing w:before="0" w:after="0"/>
      <w:ind w:left="440"/>
    </w:pPr>
    <w:rPr>
      <w:rFonts w:asciiTheme="minorHAnsi" w:hAnsiTheme="minorHAnsi"/>
    </w:rPr>
  </w:style>
  <w:style w:type="paragraph" w:styleId="TOCHeading">
    <w:name w:val="TOC Heading"/>
    <w:basedOn w:val="Heading1"/>
    <w:next w:val="Normal"/>
    <w:uiPriority w:val="39"/>
    <w:qFormat/>
    <w:rsid w:val="00182B0D"/>
    <w:pPr>
      <w:spacing w:before="0" w:after="0"/>
      <w:outlineLvl w:val="9"/>
    </w:pPr>
    <w:rPr>
      <w:rFonts w:ascii="Cambria" w:eastAsia="Times New Roman" w:hAnsi="Cambria"/>
      <w:bCs/>
      <w:sz w:val="32"/>
      <w:szCs w:val="28"/>
    </w:rPr>
  </w:style>
  <w:style w:type="paragraph" w:styleId="NoSpacing">
    <w:name w:val="No Spacing"/>
    <w:basedOn w:val="Normal"/>
    <w:next w:val="Normal"/>
    <w:link w:val="NoSpacingChar"/>
    <w:uiPriority w:val="1"/>
    <w:qFormat/>
    <w:rsid w:val="00182B0D"/>
    <w:pPr>
      <w:spacing w:before="0" w:after="0" w:line="240" w:lineRule="auto"/>
    </w:pPr>
    <w:rPr>
      <w:rFonts w:asciiTheme="minorHAnsi" w:eastAsiaTheme="minorEastAsia" w:hAnsiTheme="minorHAnsi" w:cstheme="minorBidi"/>
      <w:lang w:val="en-US" w:bidi="en-US"/>
    </w:rPr>
  </w:style>
  <w:style w:type="character" w:customStyle="1" w:styleId="NoSpacingChar">
    <w:name w:val="No Spacing Char"/>
    <w:basedOn w:val="DefaultParagraphFont"/>
    <w:link w:val="NoSpacing"/>
    <w:uiPriority w:val="1"/>
    <w:rsid w:val="00442B01"/>
    <w:rPr>
      <w:rFonts w:eastAsiaTheme="minorEastAsia"/>
      <w:lang w:val="en-US" w:bidi="en-US"/>
    </w:rPr>
  </w:style>
  <w:style w:type="paragraph" w:styleId="Quote">
    <w:name w:val="Quote"/>
    <w:basedOn w:val="Normal"/>
    <w:next w:val="Normal"/>
    <w:link w:val="QuoteChar"/>
    <w:uiPriority w:val="29"/>
    <w:qFormat/>
    <w:rsid w:val="00182B0D"/>
    <w:pPr>
      <w:spacing w:after="200" w:line="276" w:lineRule="auto"/>
    </w:pPr>
    <w:rPr>
      <w:rFonts w:asciiTheme="minorHAnsi" w:eastAsiaTheme="minorEastAsia" w:hAnsiTheme="minorHAnsi" w:cstheme="minorBidi"/>
      <w:i/>
      <w:lang w:val="en-US" w:bidi="en-US"/>
    </w:rPr>
  </w:style>
  <w:style w:type="character" w:customStyle="1" w:styleId="QuoteChar">
    <w:name w:val="Quote Char"/>
    <w:basedOn w:val="DefaultParagraphFont"/>
    <w:link w:val="Quote"/>
    <w:uiPriority w:val="29"/>
    <w:rsid w:val="006E4603"/>
    <w:rPr>
      <w:rFonts w:eastAsiaTheme="minorEastAsia"/>
      <w:i/>
      <w:lang w:val="en-US" w:bidi="en-US"/>
    </w:rPr>
  </w:style>
  <w:style w:type="character" w:styleId="PageNumber">
    <w:name w:val="page number"/>
    <w:basedOn w:val="DefaultParagraphFont"/>
    <w:uiPriority w:val="99"/>
    <w:unhideWhenUsed/>
    <w:rsid w:val="00182B0D"/>
  </w:style>
  <w:style w:type="paragraph" w:styleId="Revision">
    <w:name w:val="Revision"/>
    <w:hidden/>
    <w:uiPriority w:val="99"/>
    <w:rsid w:val="009A7644"/>
    <w:pPr>
      <w:spacing w:after="0" w:line="240" w:lineRule="auto"/>
    </w:pPr>
    <w:rPr>
      <w:rFonts w:ascii="Calibri" w:eastAsia="Calibri" w:hAnsi="Calibri" w:cs="Times New Roman"/>
    </w:rPr>
  </w:style>
  <w:style w:type="paragraph" w:customStyle="1" w:styleId="Boxbullett">
    <w:name w:val="Box bullett"/>
    <w:basedOn w:val="Normal"/>
    <w:qFormat/>
    <w:rsid w:val="00C3394C"/>
    <w:pPr>
      <w:pBdr>
        <w:top w:val="single" w:sz="4" w:space="8" w:color="FFFFFF"/>
        <w:left w:val="single" w:sz="4" w:space="8" w:color="FFFFFF"/>
        <w:bottom w:val="single" w:sz="4" w:space="8" w:color="FFFFFF"/>
        <w:right w:val="single" w:sz="4" w:space="8" w:color="FFFFFF"/>
      </w:pBdr>
      <w:shd w:val="clear" w:color="auto" w:fill="EAF1DD"/>
      <w:ind w:left="170" w:right="113"/>
    </w:pPr>
  </w:style>
  <w:style w:type="character" w:customStyle="1" w:styleId="BalloonTextChar1">
    <w:name w:val="Balloon Text Char1"/>
    <w:basedOn w:val="DefaultParagraphFont"/>
    <w:link w:val="BalloonText"/>
    <w:uiPriority w:val="99"/>
    <w:rsid w:val="00BF598E"/>
    <w:rPr>
      <w:rFonts w:ascii="Lucida Grande" w:eastAsia="Calibri" w:hAnsi="Lucida Grande" w:cs="Lucida Grande"/>
      <w:sz w:val="18"/>
      <w:szCs w:val="18"/>
    </w:rPr>
  </w:style>
  <w:style w:type="paragraph" w:customStyle="1" w:styleId="Default">
    <w:name w:val="Default"/>
    <w:rsid w:val="001F16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Figure">
    <w:name w:val="Figure"/>
    <w:basedOn w:val="Normal"/>
    <w:qFormat/>
    <w:rsid w:val="00FB5F17"/>
    <w:pPr>
      <w:numPr>
        <w:numId w:val="4"/>
      </w:numPr>
      <w:jc w:val="center"/>
    </w:pPr>
    <w:rPr>
      <w:b/>
      <w:szCs w:val="18"/>
      <w:lang w:val="en-GB"/>
    </w:rPr>
  </w:style>
  <w:style w:type="paragraph" w:styleId="NormalWeb">
    <w:name w:val="Normal (Web)"/>
    <w:basedOn w:val="Normal"/>
    <w:uiPriority w:val="99"/>
    <w:rsid w:val="00F42DDD"/>
    <w:pPr>
      <w:spacing w:beforeLines="1" w:afterLines="1" w:line="240" w:lineRule="auto"/>
    </w:pPr>
    <w:rPr>
      <w:rFonts w:ascii="Times" w:eastAsiaTheme="minorHAnsi" w:hAnsi="Times"/>
      <w:sz w:val="20"/>
      <w:szCs w:val="20"/>
    </w:rPr>
  </w:style>
  <w:style w:type="paragraph" w:customStyle="1" w:styleId="TableBullet">
    <w:name w:val="Table Bullet"/>
    <w:basedOn w:val="ListBullet"/>
    <w:rsid w:val="001016E0"/>
    <w:pPr>
      <w:numPr>
        <w:numId w:val="8"/>
      </w:numPr>
      <w:spacing w:before="0" w:after="0" w:line="288" w:lineRule="auto"/>
    </w:pPr>
    <w:rPr>
      <w:rFonts w:ascii="Verdana" w:hAnsi="Verdana"/>
      <w:sz w:val="20"/>
      <w:szCs w:val="24"/>
      <w:lang w:val="en-NZ" w:bidi="ar-DZ"/>
    </w:rPr>
  </w:style>
  <w:style w:type="paragraph" w:styleId="TableofFigures">
    <w:name w:val="table of figures"/>
    <w:basedOn w:val="Normal"/>
    <w:next w:val="Normal"/>
    <w:uiPriority w:val="99"/>
    <w:rsid w:val="00E50CFC"/>
    <w:pPr>
      <w:spacing w:before="100" w:after="100" w:line="240" w:lineRule="auto"/>
      <w:ind w:left="1021" w:hanging="1021"/>
    </w:pPr>
  </w:style>
  <w:style w:type="character" w:styleId="Hyperlink">
    <w:name w:val="Hyperlink"/>
    <w:basedOn w:val="DefaultParagraphFont"/>
    <w:uiPriority w:val="99"/>
    <w:rsid w:val="00BB6FE7"/>
    <w:rPr>
      <w:rFonts w:cs="Times New Roman"/>
      <w:color w:val="0000FF"/>
      <w:u w:val="single"/>
    </w:rPr>
  </w:style>
  <w:style w:type="paragraph" w:styleId="Subtitle">
    <w:name w:val="Subtitle"/>
    <w:basedOn w:val="Normal"/>
    <w:next w:val="Normal"/>
    <w:link w:val="SubtitleChar"/>
    <w:uiPriority w:val="11"/>
    <w:qFormat/>
    <w:rsid w:val="00BB6FE7"/>
    <w:pPr>
      <w:numPr>
        <w:ilvl w:val="1"/>
      </w:numPr>
      <w:spacing w:before="0" w:line="240" w:lineRule="auto"/>
      <w:jc w:val="center"/>
    </w:pPr>
    <w:rPr>
      <w:rFonts w:asciiTheme="minorHAnsi" w:eastAsiaTheme="majorEastAsia" w:hAnsiTheme="minorHAnsi" w:cstheme="majorBidi"/>
      <w:i/>
      <w:iCs/>
      <w:color w:val="262626" w:themeColor="text1" w:themeTint="D9"/>
      <w:spacing w:val="15"/>
      <w:sz w:val="24"/>
      <w:szCs w:val="24"/>
    </w:rPr>
  </w:style>
  <w:style w:type="character" w:customStyle="1" w:styleId="SubtitleChar">
    <w:name w:val="Subtitle Char"/>
    <w:basedOn w:val="DefaultParagraphFont"/>
    <w:link w:val="Subtitle"/>
    <w:uiPriority w:val="11"/>
    <w:rsid w:val="00BB6FE7"/>
    <w:rPr>
      <w:rFonts w:eastAsiaTheme="majorEastAsia" w:cstheme="majorBidi"/>
      <w:i/>
      <w:iCs/>
      <w:color w:val="262626" w:themeColor="text1" w:themeTint="D9"/>
      <w:spacing w:val="15"/>
      <w:sz w:val="24"/>
      <w:szCs w:val="24"/>
    </w:rPr>
  </w:style>
  <w:style w:type="paragraph" w:customStyle="1" w:styleId="Normal-Close">
    <w:name w:val="Normal - Close"/>
    <w:basedOn w:val="Normal"/>
    <w:qFormat/>
    <w:rsid w:val="00BB6FE7"/>
    <w:pPr>
      <w:spacing w:before="0" w:after="0" w:line="240" w:lineRule="auto"/>
    </w:pPr>
    <w:rPr>
      <w:sz w:val="20"/>
    </w:rPr>
  </w:style>
  <w:style w:type="paragraph" w:styleId="TOC4">
    <w:name w:val="toc 4"/>
    <w:basedOn w:val="Normal"/>
    <w:next w:val="Normal"/>
    <w:autoRedefine/>
    <w:uiPriority w:val="39"/>
    <w:unhideWhenUsed/>
    <w:rsid w:val="00BB6FE7"/>
    <w:pPr>
      <w:spacing w:before="0" w:line="240" w:lineRule="auto"/>
      <w:ind w:left="660"/>
    </w:pPr>
    <w:rPr>
      <w:sz w:val="21"/>
    </w:rPr>
  </w:style>
  <w:style w:type="paragraph" w:styleId="TOC5">
    <w:name w:val="toc 5"/>
    <w:basedOn w:val="Normal"/>
    <w:next w:val="Normal"/>
    <w:autoRedefine/>
    <w:uiPriority w:val="39"/>
    <w:unhideWhenUsed/>
    <w:rsid w:val="00BB6FE7"/>
    <w:pPr>
      <w:spacing w:before="0" w:line="240" w:lineRule="auto"/>
      <w:ind w:left="880"/>
    </w:pPr>
    <w:rPr>
      <w:sz w:val="21"/>
    </w:rPr>
  </w:style>
  <w:style w:type="paragraph" w:styleId="TOC6">
    <w:name w:val="toc 6"/>
    <w:basedOn w:val="Normal"/>
    <w:next w:val="Normal"/>
    <w:autoRedefine/>
    <w:uiPriority w:val="39"/>
    <w:unhideWhenUsed/>
    <w:rsid w:val="00BB6FE7"/>
    <w:pPr>
      <w:spacing w:before="0" w:line="240" w:lineRule="auto"/>
      <w:ind w:left="1100"/>
    </w:pPr>
    <w:rPr>
      <w:sz w:val="21"/>
    </w:rPr>
  </w:style>
  <w:style w:type="paragraph" w:styleId="TOC7">
    <w:name w:val="toc 7"/>
    <w:basedOn w:val="Normal"/>
    <w:next w:val="Normal"/>
    <w:autoRedefine/>
    <w:uiPriority w:val="39"/>
    <w:unhideWhenUsed/>
    <w:rsid w:val="00BB6FE7"/>
    <w:pPr>
      <w:spacing w:before="0" w:line="240" w:lineRule="auto"/>
      <w:ind w:left="1320"/>
    </w:pPr>
    <w:rPr>
      <w:sz w:val="21"/>
    </w:rPr>
  </w:style>
  <w:style w:type="paragraph" w:styleId="TOC8">
    <w:name w:val="toc 8"/>
    <w:basedOn w:val="Normal"/>
    <w:next w:val="Normal"/>
    <w:autoRedefine/>
    <w:uiPriority w:val="39"/>
    <w:unhideWhenUsed/>
    <w:rsid w:val="00BB6FE7"/>
    <w:pPr>
      <w:spacing w:before="0" w:line="240" w:lineRule="auto"/>
      <w:ind w:left="1540"/>
    </w:pPr>
    <w:rPr>
      <w:sz w:val="21"/>
    </w:rPr>
  </w:style>
  <w:style w:type="paragraph" w:styleId="TOC9">
    <w:name w:val="toc 9"/>
    <w:basedOn w:val="Normal"/>
    <w:next w:val="Normal"/>
    <w:autoRedefine/>
    <w:uiPriority w:val="39"/>
    <w:unhideWhenUsed/>
    <w:rsid w:val="00BB6FE7"/>
    <w:pPr>
      <w:spacing w:before="0" w:line="240" w:lineRule="auto"/>
      <w:ind w:left="1760"/>
    </w:pPr>
    <w:rPr>
      <w:sz w:val="21"/>
    </w:rPr>
  </w:style>
  <w:style w:type="paragraph" w:styleId="CommentText">
    <w:name w:val="annotation text"/>
    <w:basedOn w:val="Normal"/>
    <w:link w:val="CommentTextChar"/>
    <w:uiPriority w:val="99"/>
    <w:rsid w:val="009F7C41"/>
    <w:pPr>
      <w:spacing w:line="240" w:lineRule="auto"/>
    </w:pPr>
    <w:rPr>
      <w:sz w:val="24"/>
      <w:szCs w:val="24"/>
    </w:rPr>
  </w:style>
  <w:style w:type="character" w:customStyle="1" w:styleId="CommentTextChar">
    <w:name w:val="Comment Text Char"/>
    <w:basedOn w:val="DefaultParagraphFont"/>
    <w:link w:val="CommentText"/>
    <w:uiPriority w:val="99"/>
    <w:rsid w:val="009F7C41"/>
    <w:rPr>
      <w:rFonts w:ascii="Calibri" w:eastAsia="Calibri" w:hAnsi="Calibri" w:cs="Times New Roman"/>
      <w:sz w:val="24"/>
      <w:szCs w:val="24"/>
    </w:rPr>
  </w:style>
  <w:style w:type="character" w:styleId="CommentReference">
    <w:name w:val="annotation reference"/>
    <w:basedOn w:val="DefaultParagraphFont"/>
    <w:uiPriority w:val="99"/>
    <w:rsid w:val="009F7C41"/>
    <w:rPr>
      <w:sz w:val="18"/>
      <w:szCs w:val="18"/>
    </w:rPr>
  </w:style>
  <w:style w:type="paragraph" w:styleId="CommentSubject">
    <w:name w:val="annotation subject"/>
    <w:basedOn w:val="CommentText"/>
    <w:next w:val="CommentText"/>
    <w:link w:val="CommentSubjectChar"/>
    <w:uiPriority w:val="99"/>
    <w:rsid w:val="007A5252"/>
    <w:rPr>
      <w:b/>
      <w:bCs/>
      <w:sz w:val="20"/>
      <w:szCs w:val="20"/>
    </w:rPr>
  </w:style>
  <w:style w:type="character" w:customStyle="1" w:styleId="CommentSubjectChar">
    <w:name w:val="Comment Subject Char"/>
    <w:basedOn w:val="CommentTextChar"/>
    <w:link w:val="CommentSubject"/>
    <w:uiPriority w:val="99"/>
    <w:rsid w:val="007A5252"/>
    <w:rPr>
      <w:rFonts w:ascii="Calibri" w:eastAsia="Calibri" w:hAnsi="Calibri" w:cs="Times New Roman"/>
      <w:b/>
      <w:bCs/>
      <w:sz w:val="20"/>
      <w:szCs w:val="20"/>
    </w:rPr>
  </w:style>
  <w:style w:type="character" w:styleId="PlaceholderText">
    <w:name w:val="Placeholder Text"/>
    <w:basedOn w:val="DefaultParagraphFont"/>
    <w:uiPriority w:val="99"/>
    <w:rsid w:val="00BD00B5"/>
    <w:rPr>
      <w:color w:val="808080"/>
    </w:rPr>
  </w:style>
  <w:style w:type="paragraph" w:customStyle="1" w:styleId="RFPparagraph">
    <w:name w:val="RFP paragraph"/>
    <w:basedOn w:val="Heading3"/>
    <w:link w:val="RFPparagraphChar"/>
    <w:rsid w:val="00BD00B5"/>
    <w:pPr>
      <w:keepLines w:val="0"/>
      <w:numPr>
        <w:ilvl w:val="0"/>
        <w:numId w:val="0"/>
      </w:numPr>
      <w:tabs>
        <w:tab w:val="num" w:pos="851"/>
      </w:tabs>
      <w:spacing w:beforeLines="100" w:after="0"/>
      <w:ind w:left="851" w:hanging="851"/>
    </w:pPr>
    <w:rPr>
      <w:rFonts w:ascii="Times New Roman" w:eastAsia="Times New Roman" w:hAnsi="Times New Roman"/>
      <w:b w:val="0"/>
      <w:bCs w:val="0"/>
      <w:sz w:val="24"/>
      <w:szCs w:val="24"/>
    </w:rPr>
  </w:style>
  <w:style w:type="character" w:customStyle="1" w:styleId="RFPparagraphChar">
    <w:name w:val="RFP paragraph Char"/>
    <w:basedOn w:val="DefaultParagraphFont"/>
    <w:link w:val="RFPparagraph"/>
    <w:rsid w:val="00BD00B5"/>
    <w:rPr>
      <w:rFonts w:ascii="Times New Roman" w:eastAsia="Times New Roman" w:hAnsi="Times New Roman" w:cs="Times New Roman"/>
      <w:sz w:val="24"/>
      <w:szCs w:val="24"/>
    </w:rPr>
  </w:style>
  <w:style w:type="paragraph" w:customStyle="1" w:styleId="TipText">
    <w:name w:val="Tip Text"/>
    <w:basedOn w:val="Normal"/>
    <w:uiPriority w:val="99"/>
    <w:rsid w:val="007F7357"/>
    <w:pPr>
      <w:spacing w:before="0" w:after="160" w:line="264" w:lineRule="auto"/>
      <w:ind w:right="576"/>
    </w:pPr>
    <w:rPr>
      <w:rFonts w:eastAsia="Times New Roman"/>
      <w:i/>
      <w:iCs/>
      <w:color w:val="7F7F7F"/>
      <w:sz w:val="16"/>
      <w:szCs w:val="16"/>
      <w:lang w:eastAsia="ja-JP"/>
    </w:rPr>
  </w:style>
  <w:style w:type="character" w:styleId="FollowedHyperlink">
    <w:name w:val="FollowedHyperlink"/>
    <w:basedOn w:val="DefaultParagraphFont"/>
    <w:uiPriority w:val="99"/>
    <w:rsid w:val="004B420A"/>
    <w:rPr>
      <w:color w:val="800080" w:themeColor="followedHyperlink"/>
      <w:u w:val="single"/>
    </w:rPr>
  </w:style>
  <w:style w:type="paragraph" w:customStyle="1" w:styleId="BodyText1">
    <w:name w:val="Body Text1"/>
    <w:basedOn w:val="Normal"/>
    <w:qFormat/>
    <w:rsid w:val="0067343F"/>
    <w:pPr>
      <w:widowControl w:val="0"/>
      <w:suppressAutoHyphens/>
      <w:autoSpaceDE w:val="0"/>
      <w:autoSpaceDN w:val="0"/>
      <w:adjustRightInd w:val="0"/>
      <w:spacing w:before="0" w:after="113"/>
      <w:textAlignment w:val="center"/>
    </w:pPr>
    <w:rPr>
      <w:rFonts w:ascii="Arial" w:eastAsia="Times New Roman" w:hAnsi="Arial" w:cs="ArialMT"/>
      <w:color w:val="000000"/>
      <w:lang w:val="en-GB" w:eastAsia="ja-JP"/>
    </w:rPr>
  </w:style>
  <w:style w:type="paragraph" w:customStyle="1" w:styleId="Comment">
    <w:name w:val="Comment"/>
    <w:basedOn w:val="Normal"/>
    <w:rsid w:val="0082621B"/>
    <w:pPr>
      <w:spacing w:line="240" w:lineRule="auto"/>
      <w:ind w:firstLine="720"/>
      <w:jc w:val="both"/>
    </w:pPr>
    <w:rPr>
      <w:rFonts w:ascii="Arial" w:eastAsia="Times New Roman" w:hAnsi="Arial"/>
      <w:color w:val="1F497D" w:themeColor="text2"/>
      <w:sz w:val="20"/>
      <w:szCs w:val="24"/>
    </w:rPr>
  </w:style>
  <w:style w:type="paragraph" w:styleId="FootnoteText">
    <w:name w:val="footnote text"/>
    <w:basedOn w:val="Normal"/>
    <w:link w:val="FootnoteTextChar"/>
    <w:uiPriority w:val="99"/>
    <w:unhideWhenUsed/>
    <w:rsid w:val="0082621B"/>
    <w:pPr>
      <w:spacing w:before="0" w:after="0" w:line="240" w:lineRule="auto"/>
      <w:jc w:val="both"/>
    </w:pPr>
    <w:rPr>
      <w:sz w:val="24"/>
      <w:szCs w:val="24"/>
    </w:rPr>
  </w:style>
  <w:style w:type="character" w:customStyle="1" w:styleId="FootnoteTextChar">
    <w:name w:val="Footnote Text Char"/>
    <w:basedOn w:val="DefaultParagraphFont"/>
    <w:link w:val="FootnoteText"/>
    <w:uiPriority w:val="99"/>
    <w:rsid w:val="0082621B"/>
    <w:rPr>
      <w:rFonts w:ascii="Calibri" w:eastAsia="Calibri" w:hAnsi="Calibri" w:cs="Times New Roman"/>
      <w:sz w:val="24"/>
      <w:szCs w:val="24"/>
    </w:rPr>
  </w:style>
  <w:style w:type="character" w:styleId="FootnoteReference">
    <w:name w:val="footnote reference"/>
    <w:basedOn w:val="DefaultParagraphFont"/>
    <w:uiPriority w:val="99"/>
    <w:unhideWhenUsed/>
    <w:rsid w:val="0082621B"/>
    <w:rPr>
      <w:vertAlign w:val="superscript"/>
    </w:rPr>
  </w:style>
  <w:style w:type="paragraph" w:customStyle="1" w:styleId="Body">
    <w:name w:val="Body"/>
    <w:rsid w:val="0082621B"/>
    <w:pPr>
      <w:pBdr>
        <w:top w:val="nil"/>
        <w:left w:val="nil"/>
        <w:bottom w:val="nil"/>
        <w:right w:val="nil"/>
        <w:between w:val="nil"/>
        <w:bar w:val="nil"/>
      </w:pBdr>
      <w:spacing w:after="120" w:line="240" w:lineRule="auto"/>
      <w:jc w:val="both"/>
    </w:pPr>
    <w:rPr>
      <w:rFonts w:ascii="Calibri" w:eastAsia="Calibri" w:hAnsi="Calibri" w:cs="Calibri"/>
      <w:color w:val="000000"/>
      <w:u w:color="000000"/>
      <w:bdr w:val="nil"/>
      <w:lang w:val="fr-FR"/>
    </w:rPr>
  </w:style>
  <w:style w:type="numbering" w:customStyle="1" w:styleId="Dash">
    <w:name w:val="Dash"/>
    <w:rsid w:val="0082621B"/>
    <w:pPr>
      <w:numPr>
        <w:numId w:val="22"/>
      </w:numPr>
    </w:pPr>
  </w:style>
  <w:style w:type="paragraph" w:customStyle="1" w:styleId="ClauseLevel1">
    <w:name w:val="Clause Level 1"/>
    <w:next w:val="ClauseLevel2"/>
    <w:rsid w:val="00E257D4"/>
    <w:pPr>
      <w:keepNext/>
      <w:numPr>
        <w:numId w:val="37"/>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ClauseLevel3"/>
    <w:link w:val="ClauseLevel2Char"/>
    <w:rsid w:val="00E257D4"/>
    <w:pPr>
      <w:keepNext/>
      <w:numPr>
        <w:ilvl w:val="1"/>
        <w:numId w:val="37"/>
      </w:numPr>
      <w:spacing w:before="200" w:after="0" w:line="280" w:lineRule="atLeast"/>
      <w:outlineLvl w:val="1"/>
    </w:pPr>
    <w:rPr>
      <w:rFonts w:ascii="Arial" w:eastAsia="Times New Roman" w:hAnsi="Arial" w:cs="Arial"/>
      <w:b/>
      <w:lang w:eastAsia="en-AU"/>
    </w:rPr>
  </w:style>
  <w:style w:type="paragraph" w:customStyle="1" w:styleId="ClauseLevel3">
    <w:name w:val="Clause Level 3"/>
    <w:rsid w:val="00E257D4"/>
    <w:pPr>
      <w:numPr>
        <w:ilvl w:val="2"/>
        <w:numId w:val="37"/>
      </w:numPr>
      <w:spacing w:before="140" w:after="140" w:line="280" w:lineRule="atLeast"/>
      <w:outlineLvl w:val="2"/>
    </w:pPr>
    <w:rPr>
      <w:rFonts w:ascii="Arial" w:eastAsia="Times New Roman" w:hAnsi="Arial" w:cs="Arial"/>
      <w:lang w:eastAsia="en-AU"/>
    </w:rPr>
  </w:style>
  <w:style w:type="paragraph" w:customStyle="1" w:styleId="ClauseLevel4">
    <w:name w:val="Clause Level 4"/>
    <w:link w:val="ClauseLevel4Char"/>
    <w:rsid w:val="00E257D4"/>
    <w:pPr>
      <w:numPr>
        <w:ilvl w:val="3"/>
        <w:numId w:val="37"/>
      </w:numPr>
      <w:spacing w:after="140" w:line="280" w:lineRule="atLeast"/>
      <w:outlineLvl w:val="3"/>
    </w:pPr>
    <w:rPr>
      <w:rFonts w:ascii="Arial" w:eastAsia="Times New Roman" w:hAnsi="Arial" w:cs="Arial"/>
      <w:lang w:eastAsia="en-AU"/>
    </w:rPr>
  </w:style>
  <w:style w:type="paragraph" w:customStyle="1" w:styleId="ClauseLevel5">
    <w:name w:val="Clause Level 5"/>
    <w:rsid w:val="00E257D4"/>
    <w:pPr>
      <w:numPr>
        <w:ilvl w:val="4"/>
        <w:numId w:val="37"/>
      </w:numPr>
      <w:spacing w:after="140" w:line="280" w:lineRule="atLeast"/>
      <w:outlineLvl w:val="4"/>
    </w:pPr>
    <w:rPr>
      <w:rFonts w:ascii="Arial" w:eastAsia="Times New Roman" w:hAnsi="Arial" w:cs="Arial"/>
      <w:lang w:eastAsia="en-AU"/>
    </w:rPr>
  </w:style>
  <w:style w:type="paragraph" w:customStyle="1" w:styleId="ClauseLevel6">
    <w:name w:val="Clause Level 6"/>
    <w:rsid w:val="00E257D4"/>
    <w:pPr>
      <w:numPr>
        <w:ilvl w:val="5"/>
        <w:numId w:val="37"/>
      </w:numPr>
      <w:spacing w:after="140" w:line="280" w:lineRule="atLeast"/>
    </w:pPr>
    <w:rPr>
      <w:rFonts w:ascii="Arial" w:eastAsia="Times New Roman" w:hAnsi="Arial" w:cs="Arial"/>
      <w:lang w:eastAsia="en-AU"/>
    </w:rPr>
  </w:style>
  <w:style w:type="paragraph" w:customStyle="1" w:styleId="ClauseLevel7">
    <w:name w:val="Clause Level 7"/>
    <w:basedOn w:val="ClauseLevel4"/>
    <w:next w:val="ClauseLevel5"/>
    <w:semiHidden/>
    <w:rsid w:val="00E257D4"/>
    <w:pPr>
      <w:numPr>
        <w:ilvl w:val="6"/>
      </w:numPr>
      <w:tabs>
        <w:tab w:val="clear" w:pos="1985"/>
        <w:tab w:val="num" w:pos="360"/>
      </w:tabs>
      <w:ind w:left="5040" w:hanging="360"/>
    </w:pPr>
  </w:style>
  <w:style w:type="paragraph" w:customStyle="1" w:styleId="ClauseLevel8">
    <w:name w:val="Clause Level 8"/>
    <w:basedOn w:val="ClauseLevel4"/>
    <w:next w:val="ClauseLevel5"/>
    <w:semiHidden/>
    <w:rsid w:val="00E257D4"/>
    <w:pPr>
      <w:numPr>
        <w:ilvl w:val="7"/>
      </w:numPr>
      <w:tabs>
        <w:tab w:val="clear" w:pos="1985"/>
        <w:tab w:val="num" w:pos="360"/>
      </w:tabs>
      <w:ind w:left="5760" w:hanging="360"/>
    </w:pPr>
  </w:style>
  <w:style w:type="paragraph" w:customStyle="1" w:styleId="ClauseLevel9">
    <w:name w:val="Clause Level 9"/>
    <w:basedOn w:val="ClauseLevel4"/>
    <w:next w:val="ClauseLevel5"/>
    <w:semiHidden/>
    <w:rsid w:val="00E257D4"/>
    <w:pPr>
      <w:numPr>
        <w:ilvl w:val="8"/>
      </w:numPr>
      <w:tabs>
        <w:tab w:val="clear" w:pos="1985"/>
        <w:tab w:val="num" w:pos="360"/>
      </w:tabs>
      <w:ind w:left="6480" w:hanging="180"/>
    </w:pPr>
  </w:style>
  <w:style w:type="character" w:customStyle="1" w:styleId="ClauseLevel2Char">
    <w:name w:val="Clause Level 2 Char"/>
    <w:link w:val="ClauseLevel2"/>
    <w:rsid w:val="00E257D4"/>
    <w:rPr>
      <w:rFonts w:ascii="Arial" w:eastAsia="Times New Roman" w:hAnsi="Arial" w:cs="Arial"/>
      <w:b/>
      <w:lang w:eastAsia="en-AU"/>
    </w:rPr>
  </w:style>
  <w:style w:type="character" w:customStyle="1" w:styleId="ClauseLevel4Char">
    <w:name w:val="Clause Level 4 Char"/>
    <w:link w:val="ClauseLevel4"/>
    <w:rsid w:val="00E257D4"/>
    <w:rPr>
      <w:rFonts w:ascii="Arial" w:eastAsia="Times New Roman" w:hAnsi="Arial" w:cs="Arial"/>
      <w:lang w:eastAsia="en-AU"/>
    </w:rPr>
  </w:style>
  <w:style w:type="paragraph" w:customStyle="1" w:styleId="BasicParagraph">
    <w:name w:val="[Basic Paragraph]"/>
    <w:basedOn w:val="Normal"/>
    <w:uiPriority w:val="99"/>
    <w:rsid w:val="00D4794C"/>
    <w:pPr>
      <w:widowControl w:val="0"/>
      <w:autoSpaceDE w:val="0"/>
      <w:autoSpaceDN w:val="0"/>
      <w:adjustRightInd w:val="0"/>
      <w:spacing w:before="0" w:after="0" w:line="288" w:lineRule="auto"/>
      <w:textAlignment w:val="center"/>
    </w:pPr>
    <w:rPr>
      <w:rFonts w:ascii="MinionPro-Regular" w:eastAsiaTheme="minorHAnsi" w:hAnsi="MinionPro-Regular" w:cs="MinionPro-Regula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271">
      <w:bodyDiv w:val="1"/>
      <w:marLeft w:val="0"/>
      <w:marRight w:val="0"/>
      <w:marTop w:val="0"/>
      <w:marBottom w:val="0"/>
      <w:divBdr>
        <w:top w:val="none" w:sz="0" w:space="0" w:color="auto"/>
        <w:left w:val="none" w:sz="0" w:space="0" w:color="auto"/>
        <w:bottom w:val="none" w:sz="0" w:space="0" w:color="auto"/>
        <w:right w:val="none" w:sz="0" w:space="0" w:color="auto"/>
      </w:divBdr>
      <w:divsChild>
        <w:div w:id="866677918">
          <w:marLeft w:val="0"/>
          <w:marRight w:val="0"/>
          <w:marTop w:val="0"/>
          <w:marBottom w:val="0"/>
          <w:divBdr>
            <w:top w:val="none" w:sz="0" w:space="0" w:color="auto"/>
            <w:left w:val="none" w:sz="0" w:space="0" w:color="auto"/>
            <w:bottom w:val="none" w:sz="0" w:space="0" w:color="auto"/>
            <w:right w:val="none" w:sz="0" w:space="0" w:color="auto"/>
          </w:divBdr>
          <w:divsChild>
            <w:div w:id="700013853">
              <w:marLeft w:val="0"/>
              <w:marRight w:val="0"/>
              <w:marTop w:val="0"/>
              <w:marBottom w:val="0"/>
              <w:divBdr>
                <w:top w:val="none" w:sz="0" w:space="0" w:color="auto"/>
                <w:left w:val="none" w:sz="0" w:space="0" w:color="auto"/>
                <w:bottom w:val="none" w:sz="0" w:space="0" w:color="auto"/>
                <w:right w:val="none" w:sz="0" w:space="0" w:color="auto"/>
              </w:divBdr>
              <w:divsChild>
                <w:div w:id="8435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6744">
      <w:bodyDiv w:val="1"/>
      <w:marLeft w:val="0"/>
      <w:marRight w:val="0"/>
      <w:marTop w:val="0"/>
      <w:marBottom w:val="0"/>
      <w:divBdr>
        <w:top w:val="none" w:sz="0" w:space="0" w:color="auto"/>
        <w:left w:val="none" w:sz="0" w:space="0" w:color="auto"/>
        <w:bottom w:val="none" w:sz="0" w:space="0" w:color="auto"/>
        <w:right w:val="none" w:sz="0" w:space="0" w:color="auto"/>
      </w:divBdr>
    </w:div>
    <w:div w:id="45182087">
      <w:bodyDiv w:val="1"/>
      <w:marLeft w:val="0"/>
      <w:marRight w:val="0"/>
      <w:marTop w:val="0"/>
      <w:marBottom w:val="0"/>
      <w:divBdr>
        <w:top w:val="none" w:sz="0" w:space="0" w:color="auto"/>
        <w:left w:val="none" w:sz="0" w:space="0" w:color="auto"/>
        <w:bottom w:val="none" w:sz="0" w:space="0" w:color="auto"/>
        <w:right w:val="none" w:sz="0" w:space="0" w:color="auto"/>
      </w:divBdr>
      <w:divsChild>
        <w:div w:id="107893399">
          <w:marLeft w:val="0"/>
          <w:marRight w:val="0"/>
          <w:marTop w:val="0"/>
          <w:marBottom w:val="0"/>
          <w:divBdr>
            <w:top w:val="none" w:sz="0" w:space="0" w:color="auto"/>
            <w:left w:val="none" w:sz="0" w:space="0" w:color="auto"/>
            <w:bottom w:val="none" w:sz="0" w:space="0" w:color="auto"/>
            <w:right w:val="none" w:sz="0" w:space="0" w:color="auto"/>
          </w:divBdr>
          <w:divsChild>
            <w:div w:id="362636088">
              <w:marLeft w:val="0"/>
              <w:marRight w:val="0"/>
              <w:marTop w:val="0"/>
              <w:marBottom w:val="0"/>
              <w:divBdr>
                <w:top w:val="none" w:sz="0" w:space="0" w:color="auto"/>
                <w:left w:val="none" w:sz="0" w:space="0" w:color="auto"/>
                <w:bottom w:val="none" w:sz="0" w:space="0" w:color="auto"/>
                <w:right w:val="none" w:sz="0" w:space="0" w:color="auto"/>
              </w:divBdr>
              <w:divsChild>
                <w:div w:id="9613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8103">
      <w:bodyDiv w:val="1"/>
      <w:marLeft w:val="0"/>
      <w:marRight w:val="0"/>
      <w:marTop w:val="0"/>
      <w:marBottom w:val="0"/>
      <w:divBdr>
        <w:top w:val="none" w:sz="0" w:space="0" w:color="auto"/>
        <w:left w:val="none" w:sz="0" w:space="0" w:color="auto"/>
        <w:bottom w:val="none" w:sz="0" w:space="0" w:color="auto"/>
        <w:right w:val="none" w:sz="0" w:space="0" w:color="auto"/>
      </w:divBdr>
      <w:divsChild>
        <w:div w:id="2105179448">
          <w:marLeft w:val="0"/>
          <w:marRight w:val="0"/>
          <w:marTop w:val="0"/>
          <w:marBottom w:val="0"/>
          <w:divBdr>
            <w:top w:val="none" w:sz="0" w:space="0" w:color="auto"/>
            <w:left w:val="none" w:sz="0" w:space="0" w:color="auto"/>
            <w:bottom w:val="none" w:sz="0" w:space="0" w:color="auto"/>
            <w:right w:val="none" w:sz="0" w:space="0" w:color="auto"/>
          </w:divBdr>
          <w:divsChild>
            <w:div w:id="266741245">
              <w:marLeft w:val="0"/>
              <w:marRight w:val="0"/>
              <w:marTop w:val="0"/>
              <w:marBottom w:val="0"/>
              <w:divBdr>
                <w:top w:val="none" w:sz="0" w:space="0" w:color="auto"/>
                <w:left w:val="none" w:sz="0" w:space="0" w:color="auto"/>
                <w:bottom w:val="none" w:sz="0" w:space="0" w:color="auto"/>
                <w:right w:val="none" w:sz="0" w:space="0" w:color="auto"/>
              </w:divBdr>
              <w:divsChild>
                <w:div w:id="14045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3614">
      <w:bodyDiv w:val="1"/>
      <w:marLeft w:val="0"/>
      <w:marRight w:val="0"/>
      <w:marTop w:val="0"/>
      <w:marBottom w:val="0"/>
      <w:divBdr>
        <w:top w:val="none" w:sz="0" w:space="0" w:color="auto"/>
        <w:left w:val="none" w:sz="0" w:space="0" w:color="auto"/>
        <w:bottom w:val="none" w:sz="0" w:space="0" w:color="auto"/>
        <w:right w:val="none" w:sz="0" w:space="0" w:color="auto"/>
      </w:divBdr>
    </w:div>
    <w:div w:id="169149639">
      <w:bodyDiv w:val="1"/>
      <w:marLeft w:val="0"/>
      <w:marRight w:val="0"/>
      <w:marTop w:val="0"/>
      <w:marBottom w:val="0"/>
      <w:divBdr>
        <w:top w:val="none" w:sz="0" w:space="0" w:color="auto"/>
        <w:left w:val="none" w:sz="0" w:space="0" w:color="auto"/>
        <w:bottom w:val="none" w:sz="0" w:space="0" w:color="auto"/>
        <w:right w:val="none" w:sz="0" w:space="0" w:color="auto"/>
      </w:divBdr>
      <w:divsChild>
        <w:div w:id="1505170634">
          <w:marLeft w:val="0"/>
          <w:marRight w:val="0"/>
          <w:marTop w:val="0"/>
          <w:marBottom w:val="0"/>
          <w:divBdr>
            <w:top w:val="none" w:sz="0" w:space="0" w:color="auto"/>
            <w:left w:val="none" w:sz="0" w:space="0" w:color="auto"/>
            <w:bottom w:val="none" w:sz="0" w:space="0" w:color="auto"/>
            <w:right w:val="none" w:sz="0" w:space="0" w:color="auto"/>
          </w:divBdr>
          <w:divsChild>
            <w:div w:id="1134907089">
              <w:marLeft w:val="0"/>
              <w:marRight w:val="0"/>
              <w:marTop w:val="0"/>
              <w:marBottom w:val="0"/>
              <w:divBdr>
                <w:top w:val="none" w:sz="0" w:space="0" w:color="auto"/>
                <w:left w:val="none" w:sz="0" w:space="0" w:color="auto"/>
                <w:bottom w:val="none" w:sz="0" w:space="0" w:color="auto"/>
                <w:right w:val="none" w:sz="0" w:space="0" w:color="auto"/>
              </w:divBdr>
              <w:divsChild>
                <w:div w:id="8581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5524">
      <w:bodyDiv w:val="1"/>
      <w:marLeft w:val="0"/>
      <w:marRight w:val="0"/>
      <w:marTop w:val="0"/>
      <w:marBottom w:val="0"/>
      <w:divBdr>
        <w:top w:val="none" w:sz="0" w:space="0" w:color="auto"/>
        <w:left w:val="none" w:sz="0" w:space="0" w:color="auto"/>
        <w:bottom w:val="none" w:sz="0" w:space="0" w:color="auto"/>
        <w:right w:val="none" w:sz="0" w:space="0" w:color="auto"/>
      </w:divBdr>
    </w:div>
    <w:div w:id="188183622">
      <w:bodyDiv w:val="1"/>
      <w:marLeft w:val="0"/>
      <w:marRight w:val="0"/>
      <w:marTop w:val="0"/>
      <w:marBottom w:val="0"/>
      <w:divBdr>
        <w:top w:val="none" w:sz="0" w:space="0" w:color="auto"/>
        <w:left w:val="none" w:sz="0" w:space="0" w:color="auto"/>
        <w:bottom w:val="none" w:sz="0" w:space="0" w:color="auto"/>
        <w:right w:val="none" w:sz="0" w:space="0" w:color="auto"/>
      </w:divBdr>
    </w:div>
    <w:div w:id="189338636">
      <w:bodyDiv w:val="1"/>
      <w:marLeft w:val="0"/>
      <w:marRight w:val="0"/>
      <w:marTop w:val="0"/>
      <w:marBottom w:val="0"/>
      <w:divBdr>
        <w:top w:val="none" w:sz="0" w:space="0" w:color="auto"/>
        <w:left w:val="none" w:sz="0" w:space="0" w:color="auto"/>
        <w:bottom w:val="none" w:sz="0" w:space="0" w:color="auto"/>
        <w:right w:val="none" w:sz="0" w:space="0" w:color="auto"/>
      </w:divBdr>
      <w:divsChild>
        <w:div w:id="1193686260">
          <w:marLeft w:val="0"/>
          <w:marRight w:val="0"/>
          <w:marTop w:val="0"/>
          <w:marBottom w:val="0"/>
          <w:divBdr>
            <w:top w:val="none" w:sz="0" w:space="0" w:color="auto"/>
            <w:left w:val="none" w:sz="0" w:space="0" w:color="auto"/>
            <w:bottom w:val="none" w:sz="0" w:space="0" w:color="auto"/>
            <w:right w:val="none" w:sz="0" w:space="0" w:color="auto"/>
          </w:divBdr>
          <w:divsChild>
            <w:div w:id="1663461318">
              <w:marLeft w:val="0"/>
              <w:marRight w:val="0"/>
              <w:marTop w:val="0"/>
              <w:marBottom w:val="0"/>
              <w:divBdr>
                <w:top w:val="none" w:sz="0" w:space="0" w:color="auto"/>
                <w:left w:val="none" w:sz="0" w:space="0" w:color="auto"/>
                <w:bottom w:val="none" w:sz="0" w:space="0" w:color="auto"/>
                <w:right w:val="none" w:sz="0" w:space="0" w:color="auto"/>
              </w:divBdr>
              <w:divsChild>
                <w:div w:id="526065505">
                  <w:marLeft w:val="0"/>
                  <w:marRight w:val="0"/>
                  <w:marTop w:val="0"/>
                  <w:marBottom w:val="0"/>
                  <w:divBdr>
                    <w:top w:val="none" w:sz="0" w:space="0" w:color="auto"/>
                    <w:left w:val="none" w:sz="0" w:space="0" w:color="auto"/>
                    <w:bottom w:val="none" w:sz="0" w:space="0" w:color="auto"/>
                    <w:right w:val="none" w:sz="0" w:space="0" w:color="auto"/>
                  </w:divBdr>
                  <w:divsChild>
                    <w:div w:id="19765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1445">
      <w:bodyDiv w:val="1"/>
      <w:marLeft w:val="0"/>
      <w:marRight w:val="0"/>
      <w:marTop w:val="0"/>
      <w:marBottom w:val="0"/>
      <w:divBdr>
        <w:top w:val="none" w:sz="0" w:space="0" w:color="auto"/>
        <w:left w:val="none" w:sz="0" w:space="0" w:color="auto"/>
        <w:bottom w:val="none" w:sz="0" w:space="0" w:color="auto"/>
        <w:right w:val="none" w:sz="0" w:space="0" w:color="auto"/>
      </w:divBdr>
    </w:div>
    <w:div w:id="226107597">
      <w:bodyDiv w:val="1"/>
      <w:marLeft w:val="0"/>
      <w:marRight w:val="0"/>
      <w:marTop w:val="0"/>
      <w:marBottom w:val="0"/>
      <w:divBdr>
        <w:top w:val="none" w:sz="0" w:space="0" w:color="auto"/>
        <w:left w:val="none" w:sz="0" w:space="0" w:color="auto"/>
        <w:bottom w:val="none" w:sz="0" w:space="0" w:color="auto"/>
        <w:right w:val="none" w:sz="0" w:space="0" w:color="auto"/>
      </w:divBdr>
    </w:div>
    <w:div w:id="297564860">
      <w:bodyDiv w:val="1"/>
      <w:marLeft w:val="0"/>
      <w:marRight w:val="0"/>
      <w:marTop w:val="0"/>
      <w:marBottom w:val="0"/>
      <w:divBdr>
        <w:top w:val="none" w:sz="0" w:space="0" w:color="auto"/>
        <w:left w:val="none" w:sz="0" w:space="0" w:color="auto"/>
        <w:bottom w:val="none" w:sz="0" w:space="0" w:color="auto"/>
        <w:right w:val="none" w:sz="0" w:space="0" w:color="auto"/>
      </w:divBdr>
    </w:div>
    <w:div w:id="300035585">
      <w:bodyDiv w:val="1"/>
      <w:marLeft w:val="0"/>
      <w:marRight w:val="0"/>
      <w:marTop w:val="0"/>
      <w:marBottom w:val="0"/>
      <w:divBdr>
        <w:top w:val="none" w:sz="0" w:space="0" w:color="auto"/>
        <w:left w:val="none" w:sz="0" w:space="0" w:color="auto"/>
        <w:bottom w:val="none" w:sz="0" w:space="0" w:color="auto"/>
        <w:right w:val="none" w:sz="0" w:space="0" w:color="auto"/>
      </w:divBdr>
    </w:div>
    <w:div w:id="301547027">
      <w:bodyDiv w:val="1"/>
      <w:marLeft w:val="0"/>
      <w:marRight w:val="0"/>
      <w:marTop w:val="0"/>
      <w:marBottom w:val="0"/>
      <w:divBdr>
        <w:top w:val="none" w:sz="0" w:space="0" w:color="auto"/>
        <w:left w:val="none" w:sz="0" w:space="0" w:color="auto"/>
        <w:bottom w:val="none" w:sz="0" w:space="0" w:color="auto"/>
        <w:right w:val="none" w:sz="0" w:space="0" w:color="auto"/>
      </w:divBdr>
      <w:divsChild>
        <w:div w:id="1675381212">
          <w:marLeft w:val="0"/>
          <w:marRight w:val="0"/>
          <w:marTop w:val="0"/>
          <w:marBottom w:val="0"/>
          <w:divBdr>
            <w:top w:val="none" w:sz="0" w:space="0" w:color="auto"/>
            <w:left w:val="none" w:sz="0" w:space="0" w:color="auto"/>
            <w:bottom w:val="none" w:sz="0" w:space="0" w:color="auto"/>
            <w:right w:val="none" w:sz="0" w:space="0" w:color="auto"/>
          </w:divBdr>
          <w:divsChild>
            <w:div w:id="310839799">
              <w:marLeft w:val="0"/>
              <w:marRight w:val="0"/>
              <w:marTop w:val="0"/>
              <w:marBottom w:val="0"/>
              <w:divBdr>
                <w:top w:val="none" w:sz="0" w:space="0" w:color="auto"/>
                <w:left w:val="none" w:sz="0" w:space="0" w:color="auto"/>
                <w:bottom w:val="none" w:sz="0" w:space="0" w:color="auto"/>
                <w:right w:val="none" w:sz="0" w:space="0" w:color="auto"/>
              </w:divBdr>
              <w:divsChild>
                <w:div w:id="7024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515703">
      <w:bodyDiv w:val="1"/>
      <w:marLeft w:val="0"/>
      <w:marRight w:val="0"/>
      <w:marTop w:val="0"/>
      <w:marBottom w:val="0"/>
      <w:divBdr>
        <w:top w:val="none" w:sz="0" w:space="0" w:color="auto"/>
        <w:left w:val="none" w:sz="0" w:space="0" w:color="auto"/>
        <w:bottom w:val="none" w:sz="0" w:space="0" w:color="auto"/>
        <w:right w:val="none" w:sz="0" w:space="0" w:color="auto"/>
      </w:divBdr>
      <w:divsChild>
        <w:div w:id="1680040063">
          <w:marLeft w:val="0"/>
          <w:marRight w:val="0"/>
          <w:marTop w:val="0"/>
          <w:marBottom w:val="0"/>
          <w:divBdr>
            <w:top w:val="none" w:sz="0" w:space="0" w:color="auto"/>
            <w:left w:val="none" w:sz="0" w:space="0" w:color="auto"/>
            <w:bottom w:val="none" w:sz="0" w:space="0" w:color="auto"/>
            <w:right w:val="none" w:sz="0" w:space="0" w:color="auto"/>
          </w:divBdr>
          <w:divsChild>
            <w:div w:id="1182938732">
              <w:marLeft w:val="0"/>
              <w:marRight w:val="0"/>
              <w:marTop w:val="0"/>
              <w:marBottom w:val="0"/>
              <w:divBdr>
                <w:top w:val="none" w:sz="0" w:space="0" w:color="auto"/>
                <w:left w:val="none" w:sz="0" w:space="0" w:color="auto"/>
                <w:bottom w:val="none" w:sz="0" w:space="0" w:color="auto"/>
                <w:right w:val="none" w:sz="0" w:space="0" w:color="auto"/>
              </w:divBdr>
              <w:divsChild>
                <w:div w:id="2301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3602">
      <w:bodyDiv w:val="1"/>
      <w:marLeft w:val="0"/>
      <w:marRight w:val="0"/>
      <w:marTop w:val="0"/>
      <w:marBottom w:val="0"/>
      <w:divBdr>
        <w:top w:val="none" w:sz="0" w:space="0" w:color="auto"/>
        <w:left w:val="none" w:sz="0" w:space="0" w:color="auto"/>
        <w:bottom w:val="none" w:sz="0" w:space="0" w:color="auto"/>
        <w:right w:val="none" w:sz="0" w:space="0" w:color="auto"/>
      </w:divBdr>
    </w:div>
    <w:div w:id="481430574">
      <w:bodyDiv w:val="1"/>
      <w:marLeft w:val="0"/>
      <w:marRight w:val="0"/>
      <w:marTop w:val="0"/>
      <w:marBottom w:val="0"/>
      <w:divBdr>
        <w:top w:val="none" w:sz="0" w:space="0" w:color="auto"/>
        <w:left w:val="none" w:sz="0" w:space="0" w:color="auto"/>
        <w:bottom w:val="none" w:sz="0" w:space="0" w:color="auto"/>
        <w:right w:val="none" w:sz="0" w:space="0" w:color="auto"/>
      </w:divBdr>
      <w:divsChild>
        <w:div w:id="1461995355">
          <w:marLeft w:val="0"/>
          <w:marRight w:val="0"/>
          <w:marTop w:val="0"/>
          <w:marBottom w:val="0"/>
          <w:divBdr>
            <w:top w:val="none" w:sz="0" w:space="0" w:color="auto"/>
            <w:left w:val="none" w:sz="0" w:space="0" w:color="auto"/>
            <w:bottom w:val="none" w:sz="0" w:space="0" w:color="auto"/>
            <w:right w:val="none" w:sz="0" w:space="0" w:color="auto"/>
          </w:divBdr>
          <w:divsChild>
            <w:div w:id="1094014400">
              <w:marLeft w:val="0"/>
              <w:marRight w:val="0"/>
              <w:marTop w:val="0"/>
              <w:marBottom w:val="0"/>
              <w:divBdr>
                <w:top w:val="none" w:sz="0" w:space="0" w:color="auto"/>
                <w:left w:val="none" w:sz="0" w:space="0" w:color="auto"/>
                <w:bottom w:val="none" w:sz="0" w:space="0" w:color="auto"/>
                <w:right w:val="none" w:sz="0" w:space="0" w:color="auto"/>
              </w:divBdr>
              <w:divsChild>
                <w:div w:id="10704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3183">
      <w:bodyDiv w:val="1"/>
      <w:marLeft w:val="0"/>
      <w:marRight w:val="0"/>
      <w:marTop w:val="0"/>
      <w:marBottom w:val="0"/>
      <w:divBdr>
        <w:top w:val="none" w:sz="0" w:space="0" w:color="auto"/>
        <w:left w:val="none" w:sz="0" w:space="0" w:color="auto"/>
        <w:bottom w:val="none" w:sz="0" w:space="0" w:color="auto"/>
        <w:right w:val="none" w:sz="0" w:space="0" w:color="auto"/>
      </w:divBdr>
    </w:div>
    <w:div w:id="570457940">
      <w:bodyDiv w:val="1"/>
      <w:marLeft w:val="0"/>
      <w:marRight w:val="0"/>
      <w:marTop w:val="0"/>
      <w:marBottom w:val="0"/>
      <w:divBdr>
        <w:top w:val="none" w:sz="0" w:space="0" w:color="auto"/>
        <w:left w:val="none" w:sz="0" w:space="0" w:color="auto"/>
        <w:bottom w:val="none" w:sz="0" w:space="0" w:color="auto"/>
        <w:right w:val="none" w:sz="0" w:space="0" w:color="auto"/>
      </w:divBdr>
    </w:div>
    <w:div w:id="648025220">
      <w:bodyDiv w:val="1"/>
      <w:marLeft w:val="0"/>
      <w:marRight w:val="0"/>
      <w:marTop w:val="0"/>
      <w:marBottom w:val="0"/>
      <w:divBdr>
        <w:top w:val="none" w:sz="0" w:space="0" w:color="auto"/>
        <w:left w:val="none" w:sz="0" w:space="0" w:color="auto"/>
        <w:bottom w:val="none" w:sz="0" w:space="0" w:color="auto"/>
        <w:right w:val="none" w:sz="0" w:space="0" w:color="auto"/>
      </w:divBdr>
    </w:div>
    <w:div w:id="751052037">
      <w:bodyDiv w:val="1"/>
      <w:marLeft w:val="0"/>
      <w:marRight w:val="0"/>
      <w:marTop w:val="0"/>
      <w:marBottom w:val="0"/>
      <w:divBdr>
        <w:top w:val="none" w:sz="0" w:space="0" w:color="auto"/>
        <w:left w:val="none" w:sz="0" w:space="0" w:color="auto"/>
        <w:bottom w:val="none" w:sz="0" w:space="0" w:color="auto"/>
        <w:right w:val="none" w:sz="0" w:space="0" w:color="auto"/>
      </w:divBdr>
      <w:divsChild>
        <w:div w:id="925263727">
          <w:marLeft w:val="0"/>
          <w:marRight w:val="0"/>
          <w:marTop w:val="0"/>
          <w:marBottom w:val="0"/>
          <w:divBdr>
            <w:top w:val="none" w:sz="0" w:space="0" w:color="auto"/>
            <w:left w:val="none" w:sz="0" w:space="0" w:color="auto"/>
            <w:bottom w:val="none" w:sz="0" w:space="0" w:color="auto"/>
            <w:right w:val="none" w:sz="0" w:space="0" w:color="auto"/>
          </w:divBdr>
          <w:divsChild>
            <w:div w:id="557787334">
              <w:marLeft w:val="0"/>
              <w:marRight w:val="0"/>
              <w:marTop w:val="0"/>
              <w:marBottom w:val="0"/>
              <w:divBdr>
                <w:top w:val="none" w:sz="0" w:space="0" w:color="auto"/>
                <w:left w:val="none" w:sz="0" w:space="0" w:color="auto"/>
                <w:bottom w:val="none" w:sz="0" w:space="0" w:color="auto"/>
                <w:right w:val="none" w:sz="0" w:space="0" w:color="auto"/>
              </w:divBdr>
              <w:divsChild>
                <w:div w:id="464735595">
                  <w:marLeft w:val="0"/>
                  <w:marRight w:val="0"/>
                  <w:marTop w:val="0"/>
                  <w:marBottom w:val="0"/>
                  <w:divBdr>
                    <w:top w:val="none" w:sz="0" w:space="0" w:color="auto"/>
                    <w:left w:val="none" w:sz="0" w:space="0" w:color="auto"/>
                    <w:bottom w:val="none" w:sz="0" w:space="0" w:color="auto"/>
                    <w:right w:val="none" w:sz="0" w:space="0" w:color="auto"/>
                  </w:divBdr>
                  <w:divsChild>
                    <w:div w:id="39656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866086">
      <w:bodyDiv w:val="1"/>
      <w:marLeft w:val="0"/>
      <w:marRight w:val="0"/>
      <w:marTop w:val="0"/>
      <w:marBottom w:val="0"/>
      <w:divBdr>
        <w:top w:val="none" w:sz="0" w:space="0" w:color="auto"/>
        <w:left w:val="none" w:sz="0" w:space="0" w:color="auto"/>
        <w:bottom w:val="none" w:sz="0" w:space="0" w:color="auto"/>
        <w:right w:val="none" w:sz="0" w:space="0" w:color="auto"/>
      </w:divBdr>
      <w:divsChild>
        <w:div w:id="552161113">
          <w:marLeft w:val="0"/>
          <w:marRight w:val="0"/>
          <w:marTop w:val="0"/>
          <w:marBottom w:val="0"/>
          <w:divBdr>
            <w:top w:val="none" w:sz="0" w:space="0" w:color="auto"/>
            <w:left w:val="none" w:sz="0" w:space="0" w:color="auto"/>
            <w:bottom w:val="none" w:sz="0" w:space="0" w:color="auto"/>
            <w:right w:val="none" w:sz="0" w:space="0" w:color="auto"/>
          </w:divBdr>
          <w:divsChild>
            <w:div w:id="315230209">
              <w:marLeft w:val="0"/>
              <w:marRight w:val="0"/>
              <w:marTop w:val="0"/>
              <w:marBottom w:val="0"/>
              <w:divBdr>
                <w:top w:val="none" w:sz="0" w:space="0" w:color="auto"/>
                <w:left w:val="none" w:sz="0" w:space="0" w:color="auto"/>
                <w:bottom w:val="none" w:sz="0" w:space="0" w:color="auto"/>
                <w:right w:val="none" w:sz="0" w:space="0" w:color="auto"/>
              </w:divBdr>
              <w:divsChild>
                <w:div w:id="2146308558">
                  <w:marLeft w:val="0"/>
                  <w:marRight w:val="0"/>
                  <w:marTop w:val="0"/>
                  <w:marBottom w:val="0"/>
                  <w:divBdr>
                    <w:top w:val="none" w:sz="0" w:space="0" w:color="auto"/>
                    <w:left w:val="none" w:sz="0" w:space="0" w:color="auto"/>
                    <w:bottom w:val="none" w:sz="0" w:space="0" w:color="auto"/>
                    <w:right w:val="none" w:sz="0" w:space="0" w:color="auto"/>
                  </w:divBdr>
                  <w:divsChild>
                    <w:div w:id="15266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74006">
      <w:bodyDiv w:val="1"/>
      <w:marLeft w:val="0"/>
      <w:marRight w:val="0"/>
      <w:marTop w:val="0"/>
      <w:marBottom w:val="0"/>
      <w:divBdr>
        <w:top w:val="none" w:sz="0" w:space="0" w:color="auto"/>
        <w:left w:val="none" w:sz="0" w:space="0" w:color="auto"/>
        <w:bottom w:val="none" w:sz="0" w:space="0" w:color="auto"/>
        <w:right w:val="none" w:sz="0" w:space="0" w:color="auto"/>
      </w:divBdr>
    </w:div>
    <w:div w:id="847913463">
      <w:bodyDiv w:val="1"/>
      <w:marLeft w:val="0"/>
      <w:marRight w:val="0"/>
      <w:marTop w:val="0"/>
      <w:marBottom w:val="0"/>
      <w:divBdr>
        <w:top w:val="none" w:sz="0" w:space="0" w:color="auto"/>
        <w:left w:val="none" w:sz="0" w:space="0" w:color="auto"/>
        <w:bottom w:val="none" w:sz="0" w:space="0" w:color="auto"/>
        <w:right w:val="none" w:sz="0" w:space="0" w:color="auto"/>
      </w:divBdr>
      <w:divsChild>
        <w:div w:id="1091782102">
          <w:marLeft w:val="0"/>
          <w:marRight w:val="0"/>
          <w:marTop w:val="0"/>
          <w:marBottom w:val="0"/>
          <w:divBdr>
            <w:top w:val="none" w:sz="0" w:space="0" w:color="auto"/>
            <w:left w:val="none" w:sz="0" w:space="0" w:color="auto"/>
            <w:bottom w:val="none" w:sz="0" w:space="0" w:color="auto"/>
            <w:right w:val="none" w:sz="0" w:space="0" w:color="auto"/>
          </w:divBdr>
          <w:divsChild>
            <w:div w:id="2067875766">
              <w:marLeft w:val="0"/>
              <w:marRight w:val="0"/>
              <w:marTop w:val="0"/>
              <w:marBottom w:val="0"/>
              <w:divBdr>
                <w:top w:val="none" w:sz="0" w:space="0" w:color="auto"/>
                <w:left w:val="none" w:sz="0" w:space="0" w:color="auto"/>
                <w:bottom w:val="none" w:sz="0" w:space="0" w:color="auto"/>
                <w:right w:val="none" w:sz="0" w:space="0" w:color="auto"/>
              </w:divBdr>
              <w:divsChild>
                <w:div w:id="16696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8542">
      <w:bodyDiv w:val="1"/>
      <w:marLeft w:val="0"/>
      <w:marRight w:val="0"/>
      <w:marTop w:val="0"/>
      <w:marBottom w:val="0"/>
      <w:divBdr>
        <w:top w:val="none" w:sz="0" w:space="0" w:color="auto"/>
        <w:left w:val="none" w:sz="0" w:space="0" w:color="auto"/>
        <w:bottom w:val="none" w:sz="0" w:space="0" w:color="auto"/>
        <w:right w:val="none" w:sz="0" w:space="0" w:color="auto"/>
      </w:divBdr>
      <w:divsChild>
        <w:div w:id="1021131585">
          <w:marLeft w:val="0"/>
          <w:marRight w:val="0"/>
          <w:marTop w:val="0"/>
          <w:marBottom w:val="0"/>
          <w:divBdr>
            <w:top w:val="none" w:sz="0" w:space="0" w:color="auto"/>
            <w:left w:val="none" w:sz="0" w:space="0" w:color="auto"/>
            <w:bottom w:val="none" w:sz="0" w:space="0" w:color="auto"/>
            <w:right w:val="none" w:sz="0" w:space="0" w:color="auto"/>
          </w:divBdr>
          <w:divsChild>
            <w:div w:id="1181120185">
              <w:marLeft w:val="0"/>
              <w:marRight w:val="0"/>
              <w:marTop w:val="0"/>
              <w:marBottom w:val="0"/>
              <w:divBdr>
                <w:top w:val="none" w:sz="0" w:space="0" w:color="auto"/>
                <w:left w:val="none" w:sz="0" w:space="0" w:color="auto"/>
                <w:bottom w:val="none" w:sz="0" w:space="0" w:color="auto"/>
                <w:right w:val="none" w:sz="0" w:space="0" w:color="auto"/>
              </w:divBdr>
              <w:divsChild>
                <w:div w:id="11598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14288">
      <w:bodyDiv w:val="1"/>
      <w:marLeft w:val="0"/>
      <w:marRight w:val="0"/>
      <w:marTop w:val="0"/>
      <w:marBottom w:val="0"/>
      <w:divBdr>
        <w:top w:val="none" w:sz="0" w:space="0" w:color="auto"/>
        <w:left w:val="none" w:sz="0" w:space="0" w:color="auto"/>
        <w:bottom w:val="none" w:sz="0" w:space="0" w:color="auto"/>
        <w:right w:val="none" w:sz="0" w:space="0" w:color="auto"/>
      </w:divBdr>
      <w:divsChild>
        <w:div w:id="1109008331">
          <w:marLeft w:val="0"/>
          <w:marRight w:val="0"/>
          <w:marTop w:val="0"/>
          <w:marBottom w:val="0"/>
          <w:divBdr>
            <w:top w:val="none" w:sz="0" w:space="0" w:color="auto"/>
            <w:left w:val="none" w:sz="0" w:space="0" w:color="auto"/>
            <w:bottom w:val="none" w:sz="0" w:space="0" w:color="auto"/>
            <w:right w:val="none" w:sz="0" w:space="0" w:color="auto"/>
          </w:divBdr>
          <w:divsChild>
            <w:div w:id="1625692046">
              <w:marLeft w:val="0"/>
              <w:marRight w:val="0"/>
              <w:marTop w:val="0"/>
              <w:marBottom w:val="0"/>
              <w:divBdr>
                <w:top w:val="none" w:sz="0" w:space="0" w:color="auto"/>
                <w:left w:val="none" w:sz="0" w:space="0" w:color="auto"/>
                <w:bottom w:val="none" w:sz="0" w:space="0" w:color="auto"/>
                <w:right w:val="none" w:sz="0" w:space="0" w:color="auto"/>
              </w:divBdr>
              <w:divsChild>
                <w:div w:id="1153789031">
                  <w:marLeft w:val="0"/>
                  <w:marRight w:val="0"/>
                  <w:marTop w:val="0"/>
                  <w:marBottom w:val="0"/>
                  <w:divBdr>
                    <w:top w:val="none" w:sz="0" w:space="0" w:color="auto"/>
                    <w:left w:val="none" w:sz="0" w:space="0" w:color="auto"/>
                    <w:bottom w:val="none" w:sz="0" w:space="0" w:color="auto"/>
                    <w:right w:val="none" w:sz="0" w:space="0" w:color="auto"/>
                  </w:divBdr>
                  <w:divsChild>
                    <w:div w:id="18140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7121">
      <w:bodyDiv w:val="1"/>
      <w:marLeft w:val="0"/>
      <w:marRight w:val="0"/>
      <w:marTop w:val="0"/>
      <w:marBottom w:val="0"/>
      <w:divBdr>
        <w:top w:val="none" w:sz="0" w:space="0" w:color="auto"/>
        <w:left w:val="none" w:sz="0" w:space="0" w:color="auto"/>
        <w:bottom w:val="none" w:sz="0" w:space="0" w:color="auto"/>
        <w:right w:val="none" w:sz="0" w:space="0" w:color="auto"/>
      </w:divBdr>
    </w:div>
    <w:div w:id="954364364">
      <w:bodyDiv w:val="1"/>
      <w:marLeft w:val="0"/>
      <w:marRight w:val="0"/>
      <w:marTop w:val="0"/>
      <w:marBottom w:val="0"/>
      <w:divBdr>
        <w:top w:val="none" w:sz="0" w:space="0" w:color="auto"/>
        <w:left w:val="none" w:sz="0" w:space="0" w:color="auto"/>
        <w:bottom w:val="none" w:sz="0" w:space="0" w:color="auto"/>
        <w:right w:val="none" w:sz="0" w:space="0" w:color="auto"/>
      </w:divBdr>
      <w:divsChild>
        <w:div w:id="2019500039">
          <w:marLeft w:val="0"/>
          <w:marRight w:val="0"/>
          <w:marTop w:val="0"/>
          <w:marBottom w:val="0"/>
          <w:divBdr>
            <w:top w:val="none" w:sz="0" w:space="0" w:color="auto"/>
            <w:left w:val="none" w:sz="0" w:space="0" w:color="auto"/>
            <w:bottom w:val="none" w:sz="0" w:space="0" w:color="auto"/>
            <w:right w:val="none" w:sz="0" w:space="0" w:color="auto"/>
          </w:divBdr>
          <w:divsChild>
            <w:div w:id="1389911587">
              <w:marLeft w:val="0"/>
              <w:marRight w:val="0"/>
              <w:marTop w:val="0"/>
              <w:marBottom w:val="0"/>
              <w:divBdr>
                <w:top w:val="none" w:sz="0" w:space="0" w:color="auto"/>
                <w:left w:val="none" w:sz="0" w:space="0" w:color="auto"/>
                <w:bottom w:val="none" w:sz="0" w:space="0" w:color="auto"/>
                <w:right w:val="none" w:sz="0" w:space="0" w:color="auto"/>
              </w:divBdr>
              <w:divsChild>
                <w:div w:id="22861235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1041">
      <w:bodyDiv w:val="1"/>
      <w:marLeft w:val="0"/>
      <w:marRight w:val="0"/>
      <w:marTop w:val="0"/>
      <w:marBottom w:val="0"/>
      <w:divBdr>
        <w:top w:val="none" w:sz="0" w:space="0" w:color="auto"/>
        <w:left w:val="none" w:sz="0" w:space="0" w:color="auto"/>
        <w:bottom w:val="none" w:sz="0" w:space="0" w:color="auto"/>
        <w:right w:val="none" w:sz="0" w:space="0" w:color="auto"/>
      </w:divBdr>
      <w:divsChild>
        <w:div w:id="2124574576">
          <w:marLeft w:val="0"/>
          <w:marRight w:val="0"/>
          <w:marTop w:val="0"/>
          <w:marBottom w:val="0"/>
          <w:divBdr>
            <w:top w:val="none" w:sz="0" w:space="0" w:color="auto"/>
            <w:left w:val="none" w:sz="0" w:space="0" w:color="auto"/>
            <w:bottom w:val="none" w:sz="0" w:space="0" w:color="auto"/>
            <w:right w:val="none" w:sz="0" w:space="0" w:color="auto"/>
          </w:divBdr>
          <w:divsChild>
            <w:div w:id="80952054">
              <w:marLeft w:val="0"/>
              <w:marRight w:val="0"/>
              <w:marTop w:val="0"/>
              <w:marBottom w:val="0"/>
              <w:divBdr>
                <w:top w:val="none" w:sz="0" w:space="0" w:color="auto"/>
                <w:left w:val="none" w:sz="0" w:space="0" w:color="auto"/>
                <w:bottom w:val="none" w:sz="0" w:space="0" w:color="auto"/>
                <w:right w:val="none" w:sz="0" w:space="0" w:color="auto"/>
              </w:divBdr>
              <w:divsChild>
                <w:div w:id="308555359">
                  <w:marLeft w:val="0"/>
                  <w:marRight w:val="0"/>
                  <w:marTop w:val="0"/>
                  <w:marBottom w:val="0"/>
                  <w:divBdr>
                    <w:top w:val="none" w:sz="0" w:space="0" w:color="auto"/>
                    <w:left w:val="none" w:sz="0" w:space="0" w:color="auto"/>
                    <w:bottom w:val="none" w:sz="0" w:space="0" w:color="auto"/>
                    <w:right w:val="none" w:sz="0" w:space="0" w:color="auto"/>
                  </w:divBdr>
                  <w:divsChild>
                    <w:div w:id="9032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588987">
      <w:bodyDiv w:val="1"/>
      <w:marLeft w:val="0"/>
      <w:marRight w:val="0"/>
      <w:marTop w:val="0"/>
      <w:marBottom w:val="0"/>
      <w:divBdr>
        <w:top w:val="none" w:sz="0" w:space="0" w:color="auto"/>
        <w:left w:val="none" w:sz="0" w:space="0" w:color="auto"/>
        <w:bottom w:val="none" w:sz="0" w:space="0" w:color="auto"/>
        <w:right w:val="none" w:sz="0" w:space="0" w:color="auto"/>
      </w:divBdr>
      <w:divsChild>
        <w:div w:id="1485967269">
          <w:marLeft w:val="0"/>
          <w:marRight w:val="0"/>
          <w:marTop w:val="0"/>
          <w:marBottom w:val="0"/>
          <w:divBdr>
            <w:top w:val="none" w:sz="0" w:space="0" w:color="auto"/>
            <w:left w:val="none" w:sz="0" w:space="0" w:color="auto"/>
            <w:bottom w:val="none" w:sz="0" w:space="0" w:color="auto"/>
            <w:right w:val="none" w:sz="0" w:space="0" w:color="auto"/>
          </w:divBdr>
          <w:divsChild>
            <w:div w:id="719132452">
              <w:marLeft w:val="0"/>
              <w:marRight w:val="0"/>
              <w:marTop w:val="0"/>
              <w:marBottom w:val="0"/>
              <w:divBdr>
                <w:top w:val="none" w:sz="0" w:space="0" w:color="auto"/>
                <w:left w:val="none" w:sz="0" w:space="0" w:color="auto"/>
                <w:bottom w:val="none" w:sz="0" w:space="0" w:color="auto"/>
                <w:right w:val="none" w:sz="0" w:space="0" w:color="auto"/>
              </w:divBdr>
              <w:divsChild>
                <w:div w:id="20490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04490">
      <w:bodyDiv w:val="1"/>
      <w:marLeft w:val="0"/>
      <w:marRight w:val="0"/>
      <w:marTop w:val="0"/>
      <w:marBottom w:val="0"/>
      <w:divBdr>
        <w:top w:val="none" w:sz="0" w:space="0" w:color="auto"/>
        <w:left w:val="none" w:sz="0" w:space="0" w:color="auto"/>
        <w:bottom w:val="none" w:sz="0" w:space="0" w:color="auto"/>
        <w:right w:val="none" w:sz="0" w:space="0" w:color="auto"/>
      </w:divBdr>
    </w:div>
    <w:div w:id="1006663993">
      <w:bodyDiv w:val="1"/>
      <w:marLeft w:val="0"/>
      <w:marRight w:val="0"/>
      <w:marTop w:val="0"/>
      <w:marBottom w:val="0"/>
      <w:divBdr>
        <w:top w:val="none" w:sz="0" w:space="0" w:color="auto"/>
        <w:left w:val="none" w:sz="0" w:space="0" w:color="auto"/>
        <w:bottom w:val="none" w:sz="0" w:space="0" w:color="auto"/>
        <w:right w:val="none" w:sz="0" w:space="0" w:color="auto"/>
      </w:divBdr>
      <w:divsChild>
        <w:div w:id="474564357">
          <w:marLeft w:val="0"/>
          <w:marRight w:val="0"/>
          <w:marTop w:val="0"/>
          <w:marBottom w:val="0"/>
          <w:divBdr>
            <w:top w:val="none" w:sz="0" w:space="0" w:color="auto"/>
            <w:left w:val="none" w:sz="0" w:space="0" w:color="auto"/>
            <w:bottom w:val="none" w:sz="0" w:space="0" w:color="auto"/>
            <w:right w:val="none" w:sz="0" w:space="0" w:color="auto"/>
          </w:divBdr>
          <w:divsChild>
            <w:div w:id="94402692">
              <w:marLeft w:val="0"/>
              <w:marRight w:val="0"/>
              <w:marTop w:val="0"/>
              <w:marBottom w:val="0"/>
              <w:divBdr>
                <w:top w:val="none" w:sz="0" w:space="0" w:color="auto"/>
                <w:left w:val="none" w:sz="0" w:space="0" w:color="auto"/>
                <w:bottom w:val="none" w:sz="0" w:space="0" w:color="auto"/>
                <w:right w:val="none" w:sz="0" w:space="0" w:color="auto"/>
              </w:divBdr>
              <w:divsChild>
                <w:div w:id="920455809">
                  <w:marLeft w:val="0"/>
                  <w:marRight w:val="0"/>
                  <w:marTop w:val="0"/>
                  <w:marBottom w:val="0"/>
                  <w:divBdr>
                    <w:top w:val="none" w:sz="0" w:space="0" w:color="auto"/>
                    <w:left w:val="none" w:sz="0" w:space="0" w:color="auto"/>
                    <w:bottom w:val="none" w:sz="0" w:space="0" w:color="auto"/>
                    <w:right w:val="none" w:sz="0" w:space="0" w:color="auto"/>
                  </w:divBdr>
                </w:div>
              </w:divsChild>
            </w:div>
            <w:div w:id="611279234">
              <w:marLeft w:val="0"/>
              <w:marRight w:val="0"/>
              <w:marTop w:val="0"/>
              <w:marBottom w:val="0"/>
              <w:divBdr>
                <w:top w:val="none" w:sz="0" w:space="0" w:color="auto"/>
                <w:left w:val="none" w:sz="0" w:space="0" w:color="auto"/>
                <w:bottom w:val="none" w:sz="0" w:space="0" w:color="auto"/>
                <w:right w:val="none" w:sz="0" w:space="0" w:color="auto"/>
              </w:divBdr>
              <w:divsChild>
                <w:div w:id="1927182525">
                  <w:marLeft w:val="0"/>
                  <w:marRight w:val="0"/>
                  <w:marTop w:val="0"/>
                  <w:marBottom w:val="0"/>
                  <w:divBdr>
                    <w:top w:val="none" w:sz="0" w:space="0" w:color="auto"/>
                    <w:left w:val="none" w:sz="0" w:space="0" w:color="auto"/>
                    <w:bottom w:val="none" w:sz="0" w:space="0" w:color="auto"/>
                    <w:right w:val="none" w:sz="0" w:space="0" w:color="auto"/>
                  </w:divBdr>
                </w:div>
              </w:divsChild>
            </w:div>
            <w:div w:id="1043603650">
              <w:marLeft w:val="0"/>
              <w:marRight w:val="0"/>
              <w:marTop w:val="0"/>
              <w:marBottom w:val="0"/>
              <w:divBdr>
                <w:top w:val="none" w:sz="0" w:space="0" w:color="auto"/>
                <w:left w:val="none" w:sz="0" w:space="0" w:color="auto"/>
                <w:bottom w:val="none" w:sz="0" w:space="0" w:color="auto"/>
                <w:right w:val="none" w:sz="0" w:space="0" w:color="auto"/>
              </w:divBdr>
              <w:divsChild>
                <w:div w:id="2144151970">
                  <w:marLeft w:val="0"/>
                  <w:marRight w:val="0"/>
                  <w:marTop w:val="0"/>
                  <w:marBottom w:val="0"/>
                  <w:divBdr>
                    <w:top w:val="none" w:sz="0" w:space="0" w:color="auto"/>
                    <w:left w:val="none" w:sz="0" w:space="0" w:color="auto"/>
                    <w:bottom w:val="none" w:sz="0" w:space="0" w:color="auto"/>
                    <w:right w:val="none" w:sz="0" w:space="0" w:color="auto"/>
                  </w:divBdr>
                </w:div>
              </w:divsChild>
            </w:div>
            <w:div w:id="1043792195">
              <w:marLeft w:val="0"/>
              <w:marRight w:val="0"/>
              <w:marTop w:val="0"/>
              <w:marBottom w:val="0"/>
              <w:divBdr>
                <w:top w:val="none" w:sz="0" w:space="0" w:color="auto"/>
                <w:left w:val="none" w:sz="0" w:space="0" w:color="auto"/>
                <w:bottom w:val="none" w:sz="0" w:space="0" w:color="auto"/>
                <w:right w:val="none" w:sz="0" w:space="0" w:color="auto"/>
              </w:divBdr>
              <w:divsChild>
                <w:div w:id="1676496846">
                  <w:marLeft w:val="0"/>
                  <w:marRight w:val="0"/>
                  <w:marTop w:val="0"/>
                  <w:marBottom w:val="0"/>
                  <w:divBdr>
                    <w:top w:val="none" w:sz="0" w:space="0" w:color="auto"/>
                    <w:left w:val="none" w:sz="0" w:space="0" w:color="auto"/>
                    <w:bottom w:val="none" w:sz="0" w:space="0" w:color="auto"/>
                    <w:right w:val="none" w:sz="0" w:space="0" w:color="auto"/>
                  </w:divBdr>
                </w:div>
              </w:divsChild>
            </w:div>
            <w:div w:id="1627002826">
              <w:marLeft w:val="0"/>
              <w:marRight w:val="0"/>
              <w:marTop w:val="0"/>
              <w:marBottom w:val="0"/>
              <w:divBdr>
                <w:top w:val="none" w:sz="0" w:space="0" w:color="auto"/>
                <w:left w:val="none" w:sz="0" w:space="0" w:color="auto"/>
                <w:bottom w:val="none" w:sz="0" w:space="0" w:color="auto"/>
                <w:right w:val="none" w:sz="0" w:space="0" w:color="auto"/>
              </w:divBdr>
              <w:divsChild>
                <w:div w:id="997004335">
                  <w:marLeft w:val="0"/>
                  <w:marRight w:val="0"/>
                  <w:marTop w:val="0"/>
                  <w:marBottom w:val="0"/>
                  <w:divBdr>
                    <w:top w:val="none" w:sz="0" w:space="0" w:color="auto"/>
                    <w:left w:val="none" w:sz="0" w:space="0" w:color="auto"/>
                    <w:bottom w:val="none" w:sz="0" w:space="0" w:color="auto"/>
                    <w:right w:val="none" w:sz="0" w:space="0" w:color="auto"/>
                  </w:divBdr>
                </w:div>
              </w:divsChild>
            </w:div>
            <w:div w:id="2116947872">
              <w:marLeft w:val="0"/>
              <w:marRight w:val="0"/>
              <w:marTop w:val="0"/>
              <w:marBottom w:val="0"/>
              <w:divBdr>
                <w:top w:val="none" w:sz="0" w:space="0" w:color="auto"/>
                <w:left w:val="none" w:sz="0" w:space="0" w:color="auto"/>
                <w:bottom w:val="none" w:sz="0" w:space="0" w:color="auto"/>
                <w:right w:val="none" w:sz="0" w:space="0" w:color="auto"/>
              </w:divBdr>
              <w:divsChild>
                <w:div w:id="207581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2755">
          <w:marLeft w:val="0"/>
          <w:marRight w:val="0"/>
          <w:marTop w:val="0"/>
          <w:marBottom w:val="0"/>
          <w:divBdr>
            <w:top w:val="none" w:sz="0" w:space="0" w:color="auto"/>
            <w:left w:val="none" w:sz="0" w:space="0" w:color="auto"/>
            <w:bottom w:val="none" w:sz="0" w:space="0" w:color="auto"/>
            <w:right w:val="none" w:sz="0" w:space="0" w:color="auto"/>
          </w:divBdr>
          <w:divsChild>
            <w:div w:id="1967006131">
              <w:marLeft w:val="0"/>
              <w:marRight w:val="0"/>
              <w:marTop w:val="0"/>
              <w:marBottom w:val="0"/>
              <w:divBdr>
                <w:top w:val="none" w:sz="0" w:space="0" w:color="auto"/>
                <w:left w:val="none" w:sz="0" w:space="0" w:color="auto"/>
                <w:bottom w:val="none" w:sz="0" w:space="0" w:color="auto"/>
                <w:right w:val="none" w:sz="0" w:space="0" w:color="auto"/>
              </w:divBdr>
              <w:divsChild>
                <w:div w:id="4772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236279">
      <w:bodyDiv w:val="1"/>
      <w:marLeft w:val="0"/>
      <w:marRight w:val="0"/>
      <w:marTop w:val="0"/>
      <w:marBottom w:val="0"/>
      <w:divBdr>
        <w:top w:val="none" w:sz="0" w:space="0" w:color="auto"/>
        <w:left w:val="none" w:sz="0" w:space="0" w:color="auto"/>
        <w:bottom w:val="none" w:sz="0" w:space="0" w:color="auto"/>
        <w:right w:val="none" w:sz="0" w:space="0" w:color="auto"/>
      </w:divBdr>
      <w:divsChild>
        <w:div w:id="1399472120">
          <w:marLeft w:val="0"/>
          <w:marRight w:val="0"/>
          <w:marTop w:val="0"/>
          <w:marBottom w:val="0"/>
          <w:divBdr>
            <w:top w:val="none" w:sz="0" w:space="0" w:color="auto"/>
            <w:left w:val="none" w:sz="0" w:space="0" w:color="auto"/>
            <w:bottom w:val="none" w:sz="0" w:space="0" w:color="auto"/>
            <w:right w:val="none" w:sz="0" w:space="0" w:color="auto"/>
          </w:divBdr>
        </w:div>
        <w:div w:id="591740206">
          <w:marLeft w:val="0"/>
          <w:marRight w:val="0"/>
          <w:marTop w:val="0"/>
          <w:marBottom w:val="0"/>
          <w:divBdr>
            <w:top w:val="none" w:sz="0" w:space="0" w:color="auto"/>
            <w:left w:val="none" w:sz="0" w:space="0" w:color="auto"/>
            <w:bottom w:val="none" w:sz="0" w:space="0" w:color="auto"/>
            <w:right w:val="none" w:sz="0" w:space="0" w:color="auto"/>
          </w:divBdr>
        </w:div>
        <w:div w:id="926693938">
          <w:marLeft w:val="0"/>
          <w:marRight w:val="0"/>
          <w:marTop w:val="0"/>
          <w:marBottom w:val="0"/>
          <w:divBdr>
            <w:top w:val="none" w:sz="0" w:space="0" w:color="auto"/>
            <w:left w:val="none" w:sz="0" w:space="0" w:color="auto"/>
            <w:bottom w:val="none" w:sz="0" w:space="0" w:color="auto"/>
            <w:right w:val="none" w:sz="0" w:space="0" w:color="auto"/>
          </w:divBdr>
        </w:div>
        <w:div w:id="1014501947">
          <w:marLeft w:val="0"/>
          <w:marRight w:val="0"/>
          <w:marTop w:val="0"/>
          <w:marBottom w:val="0"/>
          <w:divBdr>
            <w:top w:val="none" w:sz="0" w:space="0" w:color="auto"/>
            <w:left w:val="none" w:sz="0" w:space="0" w:color="auto"/>
            <w:bottom w:val="none" w:sz="0" w:space="0" w:color="auto"/>
            <w:right w:val="none" w:sz="0" w:space="0" w:color="auto"/>
          </w:divBdr>
        </w:div>
        <w:div w:id="2008433313">
          <w:marLeft w:val="0"/>
          <w:marRight w:val="0"/>
          <w:marTop w:val="0"/>
          <w:marBottom w:val="0"/>
          <w:divBdr>
            <w:top w:val="none" w:sz="0" w:space="0" w:color="auto"/>
            <w:left w:val="none" w:sz="0" w:space="0" w:color="auto"/>
            <w:bottom w:val="none" w:sz="0" w:space="0" w:color="auto"/>
            <w:right w:val="none" w:sz="0" w:space="0" w:color="auto"/>
          </w:divBdr>
        </w:div>
        <w:div w:id="849175272">
          <w:marLeft w:val="0"/>
          <w:marRight w:val="0"/>
          <w:marTop w:val="0"/>
          <w:marBottom w:val="0"/>
          <w:divBdr>
            <w:top w:val="none" w:sz="0" w:space="0" w:color="auto"/>
            <w:left w:val="none" w:sz="0" w:space="0" w:color="auto"/>
            <w:bottom w:val="none" w:sz="0" w:space="0" w:color="auto"/>
            <w:right w:val="none" w:sz="0" w:space="0" w:color="auto"/>
          </w:divBdr>
        </w:div>
        <w:div w:id="1943300370">
          <w:marLeft w:val="0"/>
          <w:marRight w:val="0"/>
          <w:marTop w:val="0"/>
          <w:marBottom w:val="0"/>
          <w:divBdr>
            <w:top w:val="none" w:sz="0" w:space="0" w:color="auto"/>
            <w:left w:val="none" w:sz="0" w:space="0" w:color="auto"/>
            <w:bottom w:val="none" w:sz="0" w:space="0" w:color="auto"/>
            <w:right w:val="none" w:sz="0" w:space="0" w:color="auto"/>
          </w:divBdr>
        </w:div>
        <w:div w:id="303125723">
          <w:marLeft w:val="0"/>
          <w:marRight w:val="0"/>
          <w:marTop w:val="0"/>
          <w:marBottom w:val="0"/>
          <w:divBdr>
            <w:top w:val="none" w:sz="0" w:space="0" w:color="auto"/>
            <w:left w:val="none" w:sz="0" w:space="0" w:color="auto"/>
            <w:bottom w:val="none" w:sz="0" w:space="0" w:color="auto"/>
            <w:right w:val="none" w:sz="0" w:space="0" w:color="auto"/>
          </w:divBdr>
        </w:div>
        <w:div w:id="1850368759">
          <w:marLeft w:val="0"/>
          <w:marRight w:val="0"/>
          <w:marTop w:val="0"/>
          <w:marBottom w:val="0"/>
          <w:divBdr>
            <w:top w:val="none" w:sz="0" w:space="0" w:color="auto"/>
            <w:left w:val="none" w:sz="0" w:space="0" w:color="auto"/>
            <w:bottom w:val="none" w:sz="0" w:space="0" w:color="auto"/>
            <w:right w:val="none" w:sz="0" w:space="0" w:color="auto"/>
          </w:divBdr>
        </w:div>
        <w:div w:id="919291102">
          <w:marLeft w:val="0"/>
          <w:marRight w:val="0"/>
          <w:marTop w:val="0"/>
          <w:marBottom w:val="0"/>
          <w:divBdr>
            <w:top w:val="none" w:sz="0" w:space="0" w:color="auto"/>
            <w:left w:val="none" w:sz="0" w:space="0" w:color="auto"/>
            <w:bottom w:val="none" w:sz="0" w:space="0" w:color="auto"/>
            <w:right w:val="none" w:sz="0" w:space="0" w:color="auto"/>
          </w:divBdr>
        </w:div>
        <w:div w:id="460196650">
          <w:marLeft w:val="0"/>
          <w:marRight w:val="0"/>
          <w:marTop w:val="0"/>
          <w:marBottom w:val="0"/>
          <w:divBdr>
            <w:top w:val="none" w:sz="0" w:space="0" w:color="auto"/>
            <w:left w:val="none" w:sz="0" w:space="0" w:color="auto"/>
            <w:bottom w:val="none" w:sz="0" w:space="0" w:color="auto"/>
            <w:right w:val="none" w:sz="0" w:space="0" w:color="auto"/>
          </w:divBdr>
        </w:div>
        <w:div w:id="1343513578">
          <w:marLeft w:val="0"/>
          <w:marRight w:val="0"/>
          <w:marTop w:val="0"/>
          <w:marBottom w:val="0"/>
          <w:divBdr>
            <w:top w:val="none" w:sz="0" w:space="0" w:color="auto"/>
            <w:left w:val="none" w:sz="0" w:space="0" w:color="auto"/>
            <w:bottom w:val="none" w:sz="0" w:space="0" w:color="auto"/>
            <w:right w:val="none" w:sz="0" w:space="0" w:color="auto"/>
          </w:divBdr>
        </w:div>
        <w:div w:id="463353101">
          <w:marLeft w:val="0"/>
          <w:marRight w:val="0"/>
          <w:marTop w:val="0"/>
          <w:marBottom w:val="0"/>
          <w:divBdr>
            <w:top w:val="none" w:sz="0" w:space="0" w:color="auto"/>
            <w:left w:val="none" w:sz="0" w:space="0" w:color="auto"/>
            <w:bottom w:val="none" w:sz="0" w:space="0" w:color="auto"/>
            <w:right w:val="none" w:sz="0" w:space="0" w:color="auto"/>
          </w:divBdr>
        </w:div>
        <w:div w:id="1355113138">
          <w:marLeft w:val="0"/>
          <w:marRight w:val="0"/>
          <w:marTop w:val="0"/>
          <w:marBottom w:val="0"/>
          <w:divBdr>
            <w:top w:val="none" w:sz="0" w:space="0" w:color="auto"/>
            <w:left w:val="none" w:sz="0" w:space="0" w:color="auto"/>
            <w:bottom w:val="none" w:sz="0" w:space="0" w:color="auto"/>
            <w:right w:val="none" w:sz="0" w:space="0" w:color="auto"/>
          </w:divBdr>
        </w:div>
        <w:div w:id="1559635280">
          <w:marLeft w:val="0"/>
          <w:marRight w:val="0"/>
          <w:marTop w:val="0"/>
          <w:marBottom w:val="0"/>
          <w:divBdr>
            <w:top w:val="none" w:sz="0" w:space="0" w:color="auto"/>
            <w:left w:val="none" w:sz="0" w:space="0" w:color="auto"/>
            <w:bottom w:val="none" w:sz="0" w:space="0" w:color="auto"/>
            <w:right w:val="none" w:sz="0" w:space="0" w:color="auto"/>
          </w:divBdr>
        </w:div>
        <w:div w:id="1965383217">
          <w:marLeft w:val="0"/>
          <w:marRight w:val="0"/>
          <w:marTop w:val="0"/>
          <w:marBottom w:val="0"/>
          <w:divBdr>
            <w:top w:val="none" w:sz="0" w:space="0" w:color="auto"/>
            <w:left w:val="none" w:sz="0" w:space="0" w:color="auto"/>
            <w:bottom w:val="none" w:sz="0" w:space="0" w:color="auto"/>
            <w:right w:val="none" w:sz="0" w:space="0" w:color="auto"/>
          </w:divBdr>
        </w:div>
        <w:div w:id="700083633">
          <w:marLeft w:val="0"/>
          <w:marRight w:val="0"/>
          <w:marTop w:val="0"/>
          <w:marBottom w:val="0"/>
          <w:divBdr>
            <w:top w:val="none" w:sz="0" w:space="0" w:color="auto"/>
            <w:left w:val="none" w:sz="0" w:space="0" w:color="auto"/>
            <w:bottom w:val="none" w:sz="0" w:space="0" w:color="auto"/>
            <w:right w:val="none" w:sz="0" w:space="0" w:color="auto"/>
          </w:divBdr>
        </w:div>
        <w:div w:id="1094789905">
          <w:marLeft w:val="0"/>
          <w:marRight w:val="0"/>
          <w:marTop w:val="0"/>
          <w:marBottom w:val="0"/>
          <w:divBdr>
            <w:top w:val="none" w:sz="0" w:space="0" w:color="auto"/>
            <w:left w:val="none" w:sz="0" w:space="0" w:color="auto"/>
            <w:bottom w:val="none" w:sz="0" w:space="0" w:color="auto"/>
            <w:right w:val="none" w:sz="0" w:space="0" w:color="auto"/>
          </w:divBdr>
        </w:div>
        <w:div w:id="938026029">
          <w:marLeft w:val="0"/>
          <w:marRight w:val="0"/>
          <w:marTop w:val="0"/>
          <w:marBottom w:val="0"/>
          <w:divBdr>
            <w:top w:val="none" w:sz="0" w:space="0" w:color="auto"/>
            <w:left w:val="none" w:sz="0" w:space="0" w:color="auto"/>
            <w:bottom w:val="none" w:sz="0" w:space="0" w:color="auto"/>
            <w:right w:val="none" w:sz="0" w:space="0" w:color="auto"/>
          </w:divBdr>
        </w:div>
        <w:div w:id="1941140220">
          <w:marLeft w:val="0"/>
          <w:marRight w:val="0"/>
          <w:marTop w:val="0"/>
          <w:marBottom w:val="0"/>
          <w:divBdr>
            <w:top w:val="none" w:sz="0" w:space="0" w:color="auto"/>
            <w:left w:val="none" w:sz="0" w:space="0" w:color="auto"/>
            <w:bottom w:val="none" w:sz="0" w:space="0" w:color="auto"/>
            <w:right w:val="none" w:sz="0" w:space="0" w:color="auto"/>
          </w:divBdr>
        </w:div>
        <w:div w:id="1167868758">
          <w:marLeft w:val="0"/>
          <w:marRight w:val="0"/>
          <w:marTop w:val="0"/>
          <w:marBottom w:val="0"/>
          <w:divBdr>
            <w:top w:val="none" w:sz="0" w:space="0" w:color="auto"/>
            <w:left w:val="none" w:sz="0" w:space="0" w:color="auto"/>
            <w:bottom w:val="none" w:sz="0" w:space="0" w:color="auto"/>
            <w:right w:val="none" w:sz="0" w:space="0" w:color="auto"/>
          </w:divBdr>
        </w:div>
        <w:div w:id="1619141885">
          <w:marLeft w:val="0"/>
          <w:marRight w:val="0"/>
          <w:marTop w:val="0"/>
          <w:marBottom w:val="0"/>
          <w:divBdr>
            <w:top w:val="none" w:sz="0" w:space="0" w:color="auto"/>
            <w:left w:val="none" w:sz="0" w:space="0" w:color="auto"/>
            <w:bottom w:val="none" w:sz="0" w:space="0" w:color="auto"/>
            <w:right w:val="none" w:sz="0" w:space="0" w:color="auto"/>
          </w:divBdr>
        </w:div>
        <w:div w:id="453333720">
          <w:marLeft w:val="0"/>
          <w:marRight w:val="0"/>
          <w:marTop w:val="0"/>
          <w:marBottom w:val="0"/>
          <w:divBdr>
            <w:top w:val="none" w:sz="0" w:space="0" w:color="auto"/>
            <w:left w:val="none" w:sz="0" w:space="0" w:color="auto"/>
            <w:bottom w:val="none" w:sz="0" w:space="0" w:color="auto"/>
            <w:right w:val="none" w:sz="0" w:space="0" w:color="auto"/>
          </w:divBdr>
        </w:div>
        <w:div w:id="1000696667">
          <w:marLeft w:val="0"/>
          <w:marRight w:val="0"/>
          <w:marTop w:val="0"/>
          <w:marBottom w:val="0"/>
          <w:divBdr>
            <w:top w:val="none" w:sz="0" w:space="0" w:color="auto"/>
            <w:left w:val="none" w:sz="0" w:space="0" w:color="auto"/>
            <w:bottom w:val="none" w:sz="0" w:space="0" w:color="auto"/>
            <w:right w:val="none" w:sz="0" w:space="0" w:color="auto"/>
          </w:divBdr>
        </w:div>
      </w:divsChild>
    </w:div>
    <w:div w:id="1119493342">
      <w:bodyDiv w:val="1"/>
      <w:marLeft w:val="0"/>
      <w:marRight w:val="0"/>
      <w:marTop w:val="0"/>
      <w:marBottom w:val="0"/>
      <w:divBdr>
        <w:top w:val="none" w:sz="0" w:space="0" w:color="auto"/>
        <w:left w:val="none" w:sz="0" w:space="0" w:color="auto"/>
        <w:bottom w:val="none" w:sz="0" w:space="0" w:color="auto"/>
        <w:right w:val="none" w:sz="0" w:space="0" w:color="auto"/>
      </w:divBdr>
      <w:divsChild>
        <w:div w:id="267080438">
          <w:marLeft w:val="0"/>
          <w:marRight w:val="0"/>
          <w:marTop w:val="0"/>
          <w:marBottom w:val="0"/>
          <w:divBdr>
            <w:top w:val="none" w:sz="0" w:space="0" w:color="auto"/>
            <w:left w:val="none" w:sz="0" w:space="0" w:color="auto"/>
            <w:bottom w:val="none" w:sz="0" w:space="0" w:color="auto"/>
            <w:right w:val="none" w:sz="0" w:space="0" w:color="auto"/>
          </w:divBdr>
          <w:divsChild>
            <w:div w:id="34232190">
              <w:marLeft w:val="0"/>
              <w:marRight w:val="0"/>
              <w:marTop w:val="0"/>
              <w:marBottom w:val="0"/>
              <w:divBdr>
                <w:top w:val="none" w:sz="0" w:space="0" w:color="auto"/>
                <w:left w:val="none" w:sz="0" w:space="0" w:color="auto"/>
                <w:bottom w:val="none" w:sz="0" w:space="0" w:color="auto"/>
                <w:right w:val="none" w:sz="0" w:space="0" w:color="auto"/>
              </w:divBdr>
              <w:divsChild>
                <w:div w:id="12103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80413">
      <w:bodyDiv w:val="1"/>
      <w:marLeft w:val="0"/>
      <w:marRight w:val="0"/>
      <w:marTop w:val="0"/>
      <w:marBottom w:val="0"/>
      <w:divBdr>
        <w:top w:val="none" w:sz="0" w:space="0" w:color="auto"/>
        <w:left w:val="none" w:sz="0" w:space="0" w:color="auto"/>
        <w:bottom w:val="none" w:sz="0" w:space="0" w:color="auto"/>
        <w:right w:val="none" w:sz="0" w:space="0" w:color="auto"/>
      </w:divBdr>
      <w:divsChild>
        <w:div w:id="1084105332">
          <w:marLeft w:val="0"/>
          <w:marRight w:val="0"/>
          <w:marTop w:val="0"/>
          <w:marBottom w:val="0"/>
          <w:divBdr>
            <w:top w:val="none" w:sz="0" w:space="0" w:color="auto"/>
            <w:left w:val="none" w:sz="0" w:space="0" w:color="auto"/>
            <w:bottom w:val="none" w:sz="0" w:space="0" w:color="auto"/>
            <w:right w:val="none" w:sz="0" w:space="0" w:color="auto"/>
          </w:divBdr>
          <w:divsChild>
            <w:div w:id="1207987609">
              <w:marLeft w:val="0"/>
              <w:marRight w:val="0"/>
              <w:marTop w:val="0"/>
              <w:marBottom w:val="0"/>
              <w:divBdr>
                <w:top w:val="none" w:sz="0" w:space="0" w:color="auto"/>
                <w:left w:val="none" w:sz="0" w:space="0" w:color="auto"/>
                <w:bottom w:val="none" w:sz="0" w:space="0" w:color="auto"/>
                <w:right w:val="none" w:sz="0" w:space="0" w:color="auto"/>
              </w:divBdr>
              <w:divsChild>
                <w:div w:id="9647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764190">
      <w:bodyDiv w:val="1"/>
      <w:marLeft w:val="0"/>
      <w:marRight w:val="0"/>
      <w:marTop w:val="0"/>
      <w:marBottom w:val="0"/>
      <w:divBdr>
        <w:top w:val="none" w:sz="0" w:space="0" w:color="auto"/>
        <w:left w:val="none" w:sz="0" w:space="0" w:color="auto"/>
        <w:bottom w:val="none" w:sz="0" w:space="0" w:color="auto"/>
        <w:right w:val="none" w:sz="0" w:space="0" w:color="auto"/>
      </w:divBdr>
      <w:divsChild>
        <w:div w:id="901644997">
          <w:marLeft w:val="0"/>
          <w:marRight w:val="0"/>
          <w:marTop w:val="0"/>
          <w:marBottom w:val="0"/>
          <w:divBdr>
            <w:top w:val="none" w:sz="0" w:space="0" w:color="auto"/>
            <w:left w:val="none" w:sz="0" w:space="0" w:color="auto"/>
            <w:bottom w:val="none" w:sz="0" w:space="0" w:color="auto"/>
            <w:right w:val="none" w:sz="0" w:space="0" w:color="auto"/>
          </w:divBdr>
          <w:divsChild>
            <w:div w:id="509300276">
              <w:marLeft w:val="0"/>
              <w:marRight w:val="0"/>
              <w:marTop w:val="0"/>
              <w:marBottom w:val="0"/>
              <w:divBdr>
                <w:top w:val="none" w:sz="0" w:space="0" w:color="auto"/>
                <w:left w:val="none" w:sz="0" w:space="0" w:color="auto"/>
                <w:bottom w:val="none" w:sz="0" w:space="0" w:color="auto"/>
                <w:right w:val="none" w:sz="0" w:space="0" w:color="auto"/>
              </w:divBdr>
              <w:divsChild>
                <w:div w:id="16905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78315">
      <w:bodyDiv w:val="1"/>
      <w:marLeft w:val="0"/>
      <w:marRight w:val="0"/>
      <w:marTop w:val="0"/>
      <w:marBottom w:val="0"/>
      <w:divBdr>
        <w:top w:val="none" w:sz="0" w:space="0" w:color="auto"/>
        <w:left w:val="none" w:sz="0" w:space="0" w:color="auto"/>
        <w:bottom w:val="none" w:sz="0" w:space="0" w:color="auto"/>
        <w:right w:val="none" w:sz="0" w:space="0" w:color="auto"/>
      </w:divBdr>
      <w:divsChild>
        <w:div w:id="299582310">
          <w:marLeft w:val="0"/>
          <w:marRight w:val="0"/>
          <w:marTop w:val="0"/>
          <w:marBottom w:val="0"/>
          <w:divBdr>
            <w:top w:val="none" w:sz="0" w:space="0" w:color="auto"/>
            <w:left w:val="none" w:sz="0" w:space="0" w:color="auto"/>
            <w:bottom w:val="none" w:sz="0" w:space="0" w:color="auto"/>
            <w:right w:val="none" w:sz="0" w:space="0" w:color="auto"/>
          </w:divBdr>
          <w:divsChild>
            <w:div w:id="1520120456">
              <w:marLeft w:val="0"/>
              <w:marRight w:val="0"/>
              <w:marTop w:val="0"/>
              <w:marBottom w:val="0"/>
              <w:divBdr>
                <w:top w:val="none" w:sz="0" w:space="0" w:color="auto"/>
                <w:left w:val="none" w:sz="0" w:space="0" w:color="auto"/>
                <w:bottom w:val="none" w:sz="0" w:space="0" w:color="auto"/>
                <w:right w:val="none" w:sz="0" w:space="0" w:color="auto"/>
              </w:divBdr>
              <w:divsChild>
                <w:div w:id="610161575">
                  <w:marLeft w:val="0"/>
                  <w:marRight w:val="0"/>
                  <w:marTop w:val="0"/>
                  <w:marBottom w:val="0"/>
                  <w:divBdr>
                    <w:top w:val="none" w:sz="0" w:space="0" w:color="auto"/>
                    <w:left w:val="none" w:sz="0" w:space="0" w:color="auto"/>
                    <w:bottom w:val="none" w:sz="0" w:space="0" w:color="auto"/>
                    <w:right w:val="none" w:sz="0" w:space="0" w:color="auto"/>
                  </w:divBdr>
                  <w:divsChild>
                    <w:div w:id="9047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07825">
      <w:bodyDiv w:val="1"/>
      <w:marLeft w:val="0"/>
      <w:marRight w:val="0"/>
      <w:marTop w:val="0"/>
      <w:marBottom w:val="0"/>
      <w:divBdr>
        <w:top w:val="none" w:sz="0" w:space="0" w:color="auto"/>
        <w:left w:val="none" w:sz="0" w:space="0" w:color="auto"/>
        <w:bottom w:val="none" w:sz="0" w:space="0" w:color="auto"/>
        <w:right w:val="none" w:sz="0" w:space="0" w:color="auto"/>
      </w:divBdr>
    </w:div>
    <w:div w:id="1332290871">
      <w:bodyDiv w:val="1"/>
      <w:marLeft w:val="0"/>
      <w:marRight w:val="0"/>
      <w:marTop w:val="0"/>
      <w:marBottom w:val="0"/>
      <w:divBdr>
        <w:top w:val="none" w:sz="0" w:space="0" w:color="auto"/>
        <w:left w:val="none" w:sz="0" w:space="0" w:color="auto"/>
        <w:bottom w:val="none" w:sz="0" w:space="0" w:color="auto"/>
        <w:right w:val="none" w:sz="0" w:space="0" w:color="auto"/>
      </w:divBdr>
    </w:div>
    <w:div w:id="1369530101">
      <w:bodyDiv w:val="1"/>
      <w:marLeft w:val="0"/>
      <w:marRight w:val="0"/>
      <w:marTop w:val="0"/>
      <w:marBottom w:val="0"/>
      <w:divBdr>
        <w:top w:val="none" w:sz="0" w:space="0" w:color="auto"/>
        <w:left w:val="none" w:sz="0" w:space="0" w:color="auto"/>
        <w:bottom w:val="none" w:sz="0" w:space="0" w:color="auto"/>
        <w:right w:val="none" w:sz="0" w:space="0" w:color="auto"/>
      </w:divBdr>
      <w:divsChild>
        <w:div w:id="627206901">
          <w:marLeft w:val="0"/>
          <w:marRight w:val="0"/>
          <w:marTop w:val="0"/>
          <w:marBottom w:val="0"/>
          <w:divBdr>
            <w:top w:val="none" w:sz="0" w:space="0" w:color="auto"/>
            <w:left w:val="none" w:sz="0" w:space="0" w:color="auto"/>
            <w:bottom w:val="none" w:sz="0" w:space="0" w:color="auto"/>
            <w:right w:val="none" w:sz="0" w:space="0" w:color="auto"/>
          </w:divBdr>
          <w:divsChild>
            <w:div w:id="960383586">
              <w:marLeft w:val="0"/>
              <w:marRight w:val="0"/>
              <w:marTop w:val="0"/>
              <w:marBottom w:val="0"/>
              <w:divBdr>
                <w:top w:val="none" w:sz="0" w:space="0" w:color="auto"/>
                <w:left w:val="none" w:sz="0" w:space="0" w:color="auto"/>
                <w:bottom w:val="none" w:sz="0" w:space="0" w:color="auto"/>
                <w:right w:val="none" w:sz="0" w:space="0" w:color="auto"/>
              </w:divBdr>
              <w:divsChild>
                <w:div w:id="1456022288">
                  <w:marLeft w:val="0"/>
                  <w:marRight w:val="0"/>
                  <w:marTop w:val="0"/>
                  <w:marBottom w:val="0"/>
                  <w:divBdr>
                    <w:top w:val="none" w:sz="0" w:space="0" w:color="auto"/>
                    <w:left w:val="none" w:sz="0" w:space="0" w:color="auto"/>
                    <w:bottom w:val="none" w:sz="0" w:space="0" w:color="auto"/>
                    <w:right w:val="none" w:sz="0" w:space="0" w:color="auto"/>
                  </w:divBdr>
                  <w:divsChild>
                    <w:div w:id="1778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20078">
      <w:bodyDiv w:val="1"/>
      <w:marLeft w:val="0"/>
      <w:marRight w:val="0"/>
      <w:marTop w:val="0"/>
      <w:marBottom w:val="0"/>
      <w:divBdr>
        <w:top w:val="none" w:sz="0" w:space="0" w:color="auto"/>
        <w:left w:val="none" w:sz="0" w:space="0" w:color="auto"/>
        <w:bottom w:val="none" w:sz="0" w:space="0" w:color="auto"/>
        <w:right w:val="none" w:sz="0" w:space="0" w:color="auto"/>
      </w:divBdr>
    </w:div>
    <w:div w:id="1457410638">
      <w:bodyDiv w:val="1"/>
      <w:marLeft w:val="0"/>
      <w:marRight w:val="0"/>
      <w:marTop w:val="0"/>
      <w:marBottom w:val="0"/>
      <w:divBdr>
        <w:top w:val="none" w:sz="0" w:space="0" w:color="auto"/>
        <w:left w:val="none" w:sz="0" w:space="0" w:color="auto"/>
        <w:bottom w:val="none" w:sz="0" w:space="0" w:color="auto"/>
        <w:right w:val="none" w:sz="0" w:space="0" w:color="auto"/>
      </w:divBdr>
    </w:div>
    <w:div w:id="1597210433">
      <w:bodyDiv w:val="1"/>
      <w:marLeft w:val="0"/>
      <w:marRight w:val="0"/>
      <w:marTop w:val="0"/>
      <w:marBottom w:val="0"/>
      <w:divBdr>
        <w:top w:val="none" w:sz="0" w:space="0" w:color="auto"/>
        <w:left w:val="none" w:sz="0" w:space="0" w:color="auto"/>
        <w:bottom w:val="none" w:sz="0" w:space="0" w:color="auto"/>
        <w:right w:val="none" w:sz="0" w:space="0" w:color="auto"/>
      </w:divBdr>
    </w:div>
    <w:div w:id="1610624099">
      <w:bodyDiv w:val="1"/>
      <w:marLeft w:val="0"/>
      <w:marRight w:val="0"/>
      <w:marTop w:val="0"/>
      <w:marBottom w:val="0"/>
      <w:divBdr>
        <w:top w:val="none" w:sz="0" w:space="0" w:color="auto"/>
        <w:left w:val="none" w:sz="0" w:space="0" w:color="auto"/>
        <w:bottom w:val="none" w:sz="0" w:space="0" w:color="auto"/>
        <w:right w:val="none" w:sz="0" w:space="0" w:color="auto"/>
      </w:divBdr>
      <w:divsChild>
        <w:div w:id="245917946">
          <w:marLeft w:val="0"/>
          <w:marRight w:val="0"/>
          <w:marTop w:val="0"/>
          <w:marBottom w:val="0"/>
          <w:divBdr>
            <w:top w:val="none" w:sz="0" w:space="0" w:color="auto"/>
            <w:left w:val="none" w:sz="0" w:space="0" w:color="auto"/>
            <w:bottom w:val="none" w:sz="0" w:space="0" w:color="auto"/>
            <w:right w:val="none" w:sz="0" w:space="0" w:color="auto"/>
          </w:divBdr>
          <w:divsChild>
            <w:div w:id="1312828543">
              <w:marLeft w:val="0"/>
              <w:marRight w:val="0"/>
              <w:marTop w:val="0"/>
              <w:marBottom w:val="0"/>
              <w:divBdr>
                <w:top w:val="none" w:sz="0" w:space="0" w:color="auto"/>
                <w:left w:val="none" w:sz="0" w:space="0" w:color="auto"/>
                <w:bottom w:val="none" w:sz="0" w:space="0" w:color="auto"/>
                <w:right w:val="none" w:sz="0" w:space="0" w:color="auto"/>
              </w:divBdr>
              <w:divsChild>
                <w:div w:id="3063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05770">
      <w:bodyDiv w:val="1"/>
      <w:marLeft w:val="0"/>
      <w:marRight w:val="0"/>
      <w:marTop w:val="0"/>
      <w:marBottom w:val="0"/>
      <w:divBdr>
        <w:top w:val="none" w:sz="0" w:space="0" w:color="auto"/>
        <w:left w:val="none" w:sz="0" w:space="0" w:color="auto"/>
        <w:bottom w:val="none" w:sz="0" w:space="0" w:color="auto"/>
        <w:right w:val="none" w:sz="0" w:space="0" w:color="auto"/>
      </w:divBdr>
    </w:div>
    <w:div w:id="1768772722">
      <w:bodyDiv w:val="1"/>
      <w:marLeft w:val="0"/>
      <w:marRight w:val="0"/>
      <w:marTop w:val="0"/>
      <w:marBottom w:val="0"/>
      <w:divBdr>
        <w:top w:val="none" w:sz="0" w:space="0" w:color="auto"/>
        <w:left w:val="none" w:sz="0" w:space="0" w:color="auto"/>
        <w:bottom w:val="none" w:sz="0" w:space="0" w:color="auto"/>
        <w:right w:val="none" w:sz="0" w:space="0" w:color="auto"/>
      </w:divBdr>
      <w:divsChild>
        <w:div w:id="276839307">
          <w:marLeft w:val="0"/>
          <w:marRight w:val="0"/>
          <w:marTop w:val="0"/>
          <w:marBottom w:val="0"/>
          <w:divBdr>
            <w:top w:val="none" w:sz="0" w:space="0" w:color="auto"/>
            <w:left w:val="none" w:sz="0" w:space="0" w:color="auto"/>
            <w:bottom w:val="none" w:sz="0" w:space="0" w:color="auto"/>
            <w:right w:val="none" w:sz="0" w:space="0" w:color="auto"/>
          </w:divBdr>
          <w:divsChild>
            <w:div w:id="1960186221">
              <w:marLeft w:val="0"/>
              <w:marRight w:val="0"/>
              <w:marTop w:val="0"/>
              <w:marBottom w:val="0"/>
              <w:divBdr>
                <w:top w:val="none" w:sz="0" w:space="0" w:color="auto"/>
                <w:left w:val="none" w:sz="0" w:space="0" w:color="auto"/>
                <w:bottom w:val="none" w:sz="0" w:space="0" w:color="auto"/>
                <w:right w:val="none" w:sz="0" w:space="0" w:color="auto"/>
              </w:divBdr>
              <w:divsChild>
                <w:div w:id="8559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480">
          <w:marLeft w:val="0"/>
          <w:marRight w:val="0"/>
          <w:marTop w:val="0"/>
          <w:marBottom w:val="0"/>
          <w:divBdr>
            <w:top w:val="none" w:sz="0" w:space="0" w:color="auto"/>
            <w:left w:val="none" w:sz="0" w:space="0" w:color="auto"/>
            <w:bottom w:val="none" w:sz="0" w:space="0" w:color="auto"/>
            <w:right w:val="none" w:sz="0" w:space="0" w:color="auto"/>
          </w:divBdr>
          <w:divsChild>
            <w:div w:id="1019892880">
              <w:marLeft w:val="0"/>
              <w:marRight w:val="0"/>
              <w:marTop w:val="0"/>
              <w:marBottom w:val="0"/>
              <w:divBdr>
                <w:top w:val="none" w:sz="0" w:space="0" w:color="auto"/>
                <w:left w:val="none" w:sz="0" w:space="0" w:color="auto"/>
                <w:bottom w:val="none" w:sz="0" w:space="0" w:color="auto"/>
                <w:right w:val="none" w:sz="0" w:space="0" w:color="auto"/>
              </w:divBdr>
              <w:divsChild>
                <w:div w:id="20309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5261">
      <w:bodyDiv w:val="1"/>
      <w:marLeft w:val="0"/>
      <w:marRight w:val="0"/>
      <w:marTop w:val="0"/>
      <w:marBottom w:val="0"/>
      <w:divBdr>
        <w:top w:val="none" w:sz="0" w:space="0" w:color="auto"/>
        <w:left w:val="none" w:sz="0" w:space="0" w:color="auto"/>
        <w:bottom w:val="none" w:sz="0" w:space="0" w:color="auto"/>
        <w:right w:val="none" w:sz="0" w:space="0" w:color="auto"/>
      </w:divBdr>
    </w:div>
    <w:div w:id="1831559919">
      <w:bodyDiv w:val="1"/>
      <w:marLeft w:val="0"/>
      <w:marRight w:val="0"/>
      <w:marTop w:val="0"/>
      <w:marBottom w:val="0"/>
      <w:divBdr>
        <w:top w:val="none" w:sz="0" w:space="0" w:color="auto"/>
        <w:left w:val="none" w:sz="0" w:space="0" w:color="auto"/>
        <w:bottom w:val="none" w:sz="0" w:space="0" w:color="auto"/>
        <w:right w:val="none" w:sz="0" w:space="0" w:color="auto"/>
      </w:divBdr>
    </w:div>
    <w:div w:id="1868131362">
      <w:bodyDiv w:val="1"/>
      <w:marLeft w:val="0"/>
      <w:marRight w:val="0"/>
      <w:marTop w:val="0"/>
      <w:marBottom w:val="0"/>
      <w:divBdr>
        <w:top w:val="none" w:sz="0" w:space="0" w:color="auto"/>
        <w:left w:val="none" w:sz="0" w:space="0" w:color="auto"/>
        <w:bottom w:val="none" w:sz="0" w:space="0" w:color="auto"/>
        <w:right w:val="none" w:sz="0" w:space="0" w:color="auto"/>
      </w:divBdr>
      <w:divsChild>
        <w:div w:id="711922155">
          <w:marLeft w:val="0"/>
          <w:marRight w:val="0"/>
          <w:marTop w:val="0"/>
          <w:marBottom w:val="0"/>
          <w:divBdr>
            <w:top w:val="none" w:sz="0" w:space="0" w:color="auto"/>
            <w:left w:val="none" w:sz="0" w:space="0" w:color="auto"/>
            <w:bottom w:val="none" w:sz="0" w:space="0" w:color="auto"/>
            <w:right w:val="none" w:sz="0" w:space="0" w:color="auto"/>
          </w:divBdr>
          <w:divsChild>
            <w:div w:id="873269890">
              <w:marLeft w:val="0"/>
              <w:marRight w:val="0"/>
              <w:marTop w:val="0"/>
              <w:marBottom w:val="0"/>
              <w:divBdr>
                <w:top w:val="none" w:sz="0" w:space="0" w:color="auto"/>
                <w:left w:val="none" w:sz="0" w:space="0" w:color="auto"/>
                <w:bottom w:val="none" w:sz="0" w:space="0" w:color="auto"/>
                <w:right w:val="none" w:sz="0" w:space="0" w:color="auto"/>
              </w:divBdr>
              <w:divsChild>
                <w:div w:id="1754278866">
                  <w:marLeft w:val="0"/>
                  <w:marRight w:val="0"/>
                  <w:marTop w:val="0"/>
                  <w:marBottom w:val="0"/>
                  <w:divBdr>
                    <w:top w:val="none" w:sz="0" w:space="0" w:color="auto"/>
                    <w:left w:val="none" w:sz="0" w:space="0" w:color="auto"/>
                    <w:bottom w:val="none" w:sz="0" w:space="0" w:color="auto"/>
                    <w:right w:val="none" w:sz="0" w:space="0" w:color="auto"/>
                  </w:divBdr>
                  <w:divsChild>
                    <w:div w:id="1850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625287">
      <w:bodyDiv w:val="1"/>
      <w:marLeft w:val="0"/>
      <w:marRight w:val="0"/>
      <w:marTop w:val="0"/>
      <w:marBottom w:val="0"/>
      <w:divBdr>
        <w:top w:val="none" w:sz="0" w:space="0" w:color="auto"/>
        <w:left w:val="none" w:sz="0" w:space="0" w:color="auto"/>
        <w:bottom w:val="none" w:sz="0" w:space="0" w:color="auto"/>
        <w:right w:val="none" w:sz="0" w:space="0" w:color="auto"/>
      </w:divBdr>
    </w:div>
    <w:div w:id="1933707879">
      <w:bodyDiv w:val="1"/>
      <w:marLeft w:val="0"/>
      <w:marRight w:val="0"/>
      <w:marTop w:val="0"/>
      <w:marBottom w:val="0"/>
      <w:divBdr>
        <w:top w:val="none" w:sz="0" w:space="0" w:color="auto"/>
        <w:left w:val="none" w:sz="0" w:space="0" w:color="auto"/>
        <w:bottom w:val="none" w:sz="0" w:space="0" w:color="auto"/>
        <w:right w:val="none" w:sz="0" w:space="0" w:color="auto"/>
      </w:divBdr>
    </w:div>
    <w:div w:id="1942494349">
      <w:bodyDiv w:val="1"/>
      <w:marLeft w:val="0"/>
      <w:marRight w:val="0"/>
      <w:marTop w:val="0"/>
      <w:marBottom w:val="0"/>
      <w:divBdr>
        <w:top w:val="none" w:sz="0" w:space="0" w:color="auto"/>
        <w:left w:val="none" w:sz="0" w:space="0" w:color="auto"/>
        <w:bottom w:val="none" w:sz="0" w:space="0" w:color="auto"/>
        <w:right w:val="none" w:sz="0" w:space="0" w:color="auto"/>
      </w:divBdr>
    </w:div>
    <w:div w:id="1989942510">
      <w:bodyDiv w:val="1"/>
      <w:marLeft w:val="0"/>
      <w:marRight w:val="0"/>
      <w:marTop w:val="0"/>
      <w:marBottom w:val="0"/>
      <w:divBdr>
        <w:top w:val="none" w:sz="0" w:space="0" w:color="auto"/>
        <w:left w:val="none" w:sz="0" w:space="0" w:color="auto"/>
        <w:bottom w:val="none" w:sz="0" w:space="0" w:color="auto"/>
        <w:right w:val="none" w:sz="0" w:space="0" w:color="auto"/>
      </w:divBdr>
      <w:divsChild>
        <w:div w:id="1449199583">
          <w:marLeft w:val="0"/>
          <w:marRight w:val="0"/>
          <w:marTop w:val="0"/>
          <w:marBottom w:val="0"/>
          <w:divBdr>
            <w:top w:val="none" w:sz="0" w:space="0" w:color="auto"/>
            <w:left w:val="none" w:sz="0" w:space="0" w:color="auto"/>
            <w:bottom w:val="none" w:sz="0" w:space="0" w:color="auto"/>
            <w:right w:val="none" w:sz="0" w:space="0" w:color="auto"/>
          </w:divBdr>
          <w:divsChild>
            <w:div w:id="1218473634">
              <w:marLeft w:val="0"/>
              <w:marRight w:val="0"/>
              <w:marTop w:val="0"/>
              <w:marBottom w:val="0"/>
              <w:divBdr>
                <w:top w:val="none" w:sz="0" w:space="0" w:color="auto"/>
                <w:left w:val="none" w:sz="0" w:space="0" w:color="auto"/>
                <w:bottom w:val="none" w:sz="0" w:space="0" w:color="auto"/>
                <w:right w:val="none" w:sz="0" w:space="0" w:color="auto"/>
              </w:divBdr>
              <w:divsChild>
                <w:div w:id="210156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187933">
      <w:bodyDiv w:val="1"/>
      <w:marLeft w:val="0"/>
      <w:marRight w:val="0"/>
      <w:marTop w:val="0"/>
      <w:marBottom w:val="0"/>
      <w:divBdr>
        <w:top w:val="none" w:sz="0" w:space="0" w:color="auto"/>
        <w:left w:val="none" w:sz="0" w:space="0" w:color="auto"/>
        <w:bottom w:val="none" w:sz="0" w:space="0" w:color="auto"/>
        <w:right w:val="none" w:sz="0" w:space="0" w:color="auto"/>
      </w:divBdr>
      <w:divsChild>
        <w:div w:id="2125152574">
          <w:marLeft w:val="0"/>
          <w:marRight w:val="0"/>
          <w:marTop w:val="0"/>
          <w:marBottom w:val="0"/>
          <w:divBdr>
            <w:top w:val="none" w:sz="0" w:space="0" w:color="auto"/>
            <w:left w:val="none" w:sz="0" w:space="0" w:color="auto"/>
            <w:bottom w:val="none" w:sz="0" w:space="0" w:color="auto"/>
            <w:right w:val="none" w:sz="0" w:space="0" w:color="auto"/>
          </w:divBdr>
          <w:divsChild>
            <w:div w:id="334773619">
              <w:marLeft w:val="0"/>
              <w:marRight w:val="0"/>
              <w:marTop w:val="0"/>
              <w:marBottom w:val="0"/>
              <w:divBdr>
                <w:top w:val="none" w:sz="0" w:space="0" w:color="auto"/>
                <w:left w:val="none" w:sz="0" w:space="0" w:color="auto"/>
                <w:bottom w:val="none" w:sz="0" w:space="0" w:color="auto"/>
                <w:right w:val="none" w:sz="0" w:space="0" w:color="auto"/>
              </w:divBdr>
              <w:divsChild>
                <w:div w:id="281573839">
                  <w:marLeft w:val="0"/>
                  <w:marRight w:val="0"/>
                  <w:marTop w:val="0"/>
                  <w:marBottom w:val="0"/>
                  <w:divBdr>
                    <w:top w:val="none" w:sz="0" w:space="0" w:color="auto"/>
                    <w:left w:val="none" w:sz="0" w:space="0" w:color="auto"/>
                    <w:bottom w:val="none" w:sz="0" w:space="0" w:color="auto"/>
                    <w:right w:val="none" w:sz="0" w:space="0" w:color="auto"/>
                  </w:divBdr>
                  <w:divsChild>
                    <w:div w:id="20503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408261">
      <w:bodyDiv w:val="1"/>
      <w:marLeft w:val="0"/>
      <w:marRight w:val="0"/>
      <w:marTop w:val="0"/>
      <w:marBottom w:val="0"/>
      <w:divBdr>
        <w:top w:val="none" w:sz="0" w:space="0" w:color="auto"/>
        <w:left w:val="none" w:sz="0" w:space="0" w:color="auto"/>
        <w:bottom w:val="none" w:sz="0" w:space="0" w:color="auto"/>
        <w:right w:val="none" w:sz="0" w:space="0" w:color="auto"/>
      </w:divBdr>
    </w:div>
    <w:div w:id="2089228740">
      <w:bodyDiv w:val="1"/>
      <w:marLeft w:val="0"/>
      <w:marRight w:val="0"/>
      <w:marTop w:val="0"/>
      <w:marBottom w:val="0"/>
      <w:divBdr>
        <w:top w:val="none" w:sz="0" w:space="0" w:color="auto"/>
        <w:left w:val="none" w:sz="0" w:space="0" w:color="auto"/>
        <w:bottom w:val="none" w:sz="0" w:space="0" w:color="auto"/>
        <w:right w:val="none" w:sz="0" w:space="0" w:color="auto"/>
      </w:divBdr>
      <w:divsChild>
        <w:div w:id="510141911">
          <w:marLeft w:val="0"/>
          <w:marRight w:val="0"/>
          <w:marTop w:val="0"/>
          <w:marBottom w:val="0"/>
          <w:divBdr>
            <w:top w:val="none" w:sz="0" w:space="0" w:color="auto"/>
            <w:left w:val="none" w:sz="0" w:space="0" w:color="auto"/>
            <w:bottom w:val="none" w:sz="0" w:space="0" w:color="auto"/>
            <w:right w:val="none" w:sz="0" w:space="0" w:color="auto"/>
          </w:divBdr>
          <w:divsChild>
            <w:div w:id="1783110929">
              <w:marLeft w:val="0"/>
              <w:marRight w:val="0"/>
              <w:marTop w:val="0"/>
              <w:marBottom w:val="0"/>
              <w:divBdr>
                <w:top w:val="none" w:sz="0" w:space="0" w:color="auto"/>
                <w:left w:val="none" w:sz="0" w:space="0" w:color="auto"/>
                <w:bottom w:val="none" w:sz="0" w:space="0" w:color="auto"/>
                <w:right w:val="none" w:sz="0" w:space="0" w:color="auto"/>
              </w:divBdr>
              <w:divsChild>
                <w:div w:id="13973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099">
          <w:marLeft w:val="0"/>
          <w:marRight w:val="0"/>
          <w:marTop w:val="0"/>
          <w:marBottom w:val="0"/>
          <w:divBdr>
            <w:top w:val="none" w:sz="0" w:space="0" w:color="auto"/>
            <w:left w:val="none" w:sz="0" w:space="0" w:color="auto"/>
            <w:bottom w:val="none" w:sz="0" w:space="0" w:color="auto"/>
            <w:right w:val="none" w:sz="0" w:space="0" w:color="auto"/>
          </w:divBdr>
          <w:divsChild>
            <w:div w:id="1794598020">
              <w:marLeft w:val="0"/>
              <w:marRight w:val="0"/>
              <w:marTop w:val="0"/>
              <w:marBottom w:val="0"/>
              <w:divBdr>
                <w:top w:val="none" w:sz="0" w:space="0" w:color="auto"/>
                <w:left w:val="none" w:sz="0" w:space="0" w:color="auto"/>
                <w:bottom w:val="none" w:sz="0" w:space="0" w:color="auto"/>
                <w:right w:val="none" w:sz="0" w:space="0" w:color="auto"/>
              </w:divBdr>
              <w:divsChild>
                <w:div w:id="8559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6902">
      <w:bodyDiv w:val="1"/>
      <w:marLeft w:val="0"/>
      <w:marRight w:val="0"/>
      <w:marTop w:val="0"/>
      <w:marBottom w:val="0"/>
      <w:divBdr>
        <w:top w:val="none" w:sz="0" w:space="0" w:color="auto"/>
        <w:left w:val="none" w:sz="0" w:space="0" w:color="auto"/>
        <w:bottom w:val="none" w:sz="0" w:space="0" w:color="auto"/>
        <w:right w:val="none" w:sz="0" w:space="0" w:color="auto"/>
      </w:divBdr>
      <w:divsChild>
        <w:div w:id="735976586">
          <w:marLeft w:val="0"/>
          <w:marRight w:val="0"/>
          <w:marTop w:val="0"/>
          <w:marBottom w:val="0"/>
          <w:divBdr>
            <w:top w:val="none" w:sz="0" w:space="0" w:color="auto"/>
            <w:left w:val="none" w:sz="0" w:space="0" w:color="auto"/>
            <w:bottom w:val="none" w:sz="0" w:space="0" w:color="auto"/>
            <w:right w:val="none" w:sz="0" w:space="0" w:color="auto"/>
          </w:divBdr>
          <w:divsChild>
            <w:div w:id="25493542">
              <w:marLeft w:val="0"/>
              <w:marRight w:val="0"/>
              <w:marTop w:val="0"/>
              <w:marBottom w:val="0"/>
              <w:divBdr>
                <w:top w:val="none" w:sz="0" w:space="0" w:color="auto"/>
                <w:left w:val="none" w:sz="0" w:space="0" w:color="auto"/>
                <w:bottom w:val="none" w:sz="0" w:space="0" w:color="auto"/>
                <w:right w:val="none" w:sz="0" w:space="0" w:color="auto"/>
              </w:divBdr>
              <w:divsChild>
                <w:div w:id="978916734">
                  <w:marLeft w:val="0"/>
                  <w:marRight w:val="0"/>
                  <w:marTop w:val="0"/>
                  <w:marBottom w:val="0"/>
                  <w:divBdr>
                    <w:top w:val="none" w:sz="0" w:space="0" w:color="auto"/>
                    <w:left w:val="none" w:sz="0" w:space="0" w:color="auto"/>
                    <w:bottom w:val="none" w:sz="0" w:space="0" w:color="auto"/>
                    <w:right w:val="none" w:sz="0" w:space="0" w:color="auto"/>
                  </w:divBdr>
                  <w:divsChild>
                    <w:div w:id="32173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613922">
      <w:bodyDiv w:val="1"/>
      <w:marLeft w:val="0"/>
      <w:marRight w:val="0"/>
      <w:marTop w:val="0"/>
      <w:marBottom w:val="0"/>
      <w:divBdr>
        <w:top w:val="none" w:sz="0" w:space="0" w:color="auto"/>
        <w:left w:val="none" w:sz="0" w:space="0" w:color="auto"/>
        <w:bottom w:val="none" w:sz="0" w:space="0" w:color="auto"/>
        <w:right w:val="none" w:sz="0" w:space="0" w:color="auto"/>
      </w:divBdr>
      <w:divsChild>
        <w:div w:id="1136482810">
          <w:marLeft w:val="0"/>
          <w:marRight w:val="0"/>
          <w:marTop w:val="0"/>
          <w:marBottom w:val="0"/>
          <w:divBdr>
            <w:top w:val="none" w:sz="0" w:space="0" w:color="auto"/>
            <w:left w:val="none" w:sz="0" w:space="0" w:color="auto"/>
            <w:bottom w:val="none" w:sz="0" w:space="0" w:color="auto"/>
            <w:right w:val="none" w:sz="0" w:space="0" w:color="auto"/>
          </w:divBdr>
        </w:div>
        <w:div w:id="1484276843">
          <w:marLeft w:val="0"/>
          <w:marRight w:val="0"/>
          <w:marTop w:val="0"/>
          <w:marBottom w:val="0"/>
          <w:divBdr>
            <w:top w:val="none" w:sz="0" w:space="0" w:color="auto"/>
            <w:left w:val="none" w:sz="0" w:space="0" w:color="auto"/>
            <w:bottom w:val="none" w:sz="0" w:space="0" w:color="auto"/>
            <w:right w:val="none" w:sz="0" w:space="0" w:color="auto"/>
          </w:divBdr>
        </w:div>
        <w:div w:id="1569264751">
          <w:marLeft w:val="0"/>
          <w:marRight w:val="0"/>
          <w:marTop w:val="0"/>
          <w:marBottom w:val="0"/>
          <w:divBdr>
            <w:top w:val="none" w:sz="0" w:space="0" w:color="auto"/>
            <w:left w:val="none" w:sz="0" w:space="0" w:color="auto"/>
            <w:bottom w:val="none" w:sz="0" w:space="0" w:color="auto"/>
            <w:right w:val="none" w:sz="0" w:space="0" w:color="auto"/>
          </w:divBdr>
        </w:div>
        <w:div w:id="1919904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fat.gov.au/about-us/publications/Pages/aid-investment-plan-aip-indonesia-2015-16-to-2018-19.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alida.Sukmala@dfat.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nicky.thatcher@sustineo.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customXml" Target="../customXml/item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cky\Documents\employment\DFAT\DFAT%20reporting.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cky\Documents\employment\DFAT\DFAT%20reporting.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Sheet1!$A$2:$A$9</c:f>
              <c:strCache>
                <c:ptCount val="8"/>
                <c:pt idx="0">
                  <c:v>Other Multi Sector</c:v>
                </c:pt>
                <c:pt idx="1">
                  <c:v>Tourism</c:v>
                </c:pt>
                <c:pt idx="2">
                  <c:v>Energy</c:v>
                </c:pt>
                <c:pt idx="3">
                  <c:v>Other Infrastructure and Social Services</c:v>
                </c:pt>
                <c:pt idx="4">
                  <c:v>Communication</c:v>
                </c:pt>
                <c:pt idx="5">
                  <c:v>Transport and Storage</c:v>
                </c:pt>
                <c:pt idx="6">
                  <c:v>Government and Civil Society</c:v>
                </c:pt>
                <c:pt idx="7">
                  <c:v>Water and Sanitation</c:v>
                </c:pt>
              </c:strCache>
            </c:strRef>
          </c:cat>
          <c:val>
            <c:numRef>
              <c:f>Sheet1!$B$2:$B$9</c:f>
            </c:numRef>
          </c:val>
          <c:extLst>
            <c:ext xmlns:c16="http://schemas.microsoft.com/office/drawing/2014/chart" uri="{C3380CC4-5D6E-409C-BE32-E72D297353CC}">
              <c16:uniqueId val="{00000000-9D70-4B05-93FA-86ACEFC15892}"/>
            </c:ext>
          </c:extLst>
        </c:ser>
        <c:ser>
          <c:idx val="1"/>
          <c:order val="1"/>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Sheet1!$A$2:$A$9</c:f>
              <c:strCache>
                <c:ptCount val="8"/>
                <c:pt idx="0">
                  <c:v>Other Multi Sector</c:v>
                </c:pt>
                <c:pt idx="1">
                  <c:v>Tourism</c:v>
                </c:pt>
                <c:pt idx="2">
                  <c:v>Energy</c:v>
                </c:pt>
                <c:pt idx="3">
                  <c:v>Other Infrastructure and Social Services</c:v>
                </c:pt>
                <c:pt idx="4">
                  <c:v>Communication</c:v>
                </c:pt>
                <c:pt idx="5">
                  <c:v>Transport and Storage</c:v>
                </c:pt>
                <c:pt idx="6">
                  <c:v>Government and Civil Society</c:v>
                </c:pt>
                <c:pt idx="7">
                  <c:v>Water and Sanitation</c:v>
                </c:pt>
              </c:strCache>
            </c:strRef>
          </c:cat>
          <c:val>
            <c:numRef>
              <c:f>Sheet1!$C$2:$C$9</c:f>
            </c:numRef>
          </c:val>
          <c:extLst>
            <c:ext xmlns:c16="http://schemas.microsoft.com/office/drawing/2014/chart" uri="{C3380CC4-5D6E-409C-BE32-E72D297353CC}">
              <c16:uniqueId val="{00000001-9D70-4B05-93FA-86ACEFC15892}"/>
            </c:ext>
          </c:extLst>
        </c:ser>
        <c:ser>
          <c:idx val="2"/>
          <c:order val="2"/>
          <c:explosion val="3"/>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3-9D70-4B05-93FA-86ACEFC1589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5-9D70-4B05-93FA-86ACEFC1589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7-9D70-4B05-93FA-86ACEFC1589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9-9D70-4B05-93FA-86ACEFC1589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B-9D70-4B05-93FA-86ACEFC15892}"/>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c:ext xmlns:c16="http://schemas.microsoft.com/office/drawing/2014/chart" uri="{C3380CC4-5D6E-409C-BE32-E72D297353CC}">
                <c16:uniqueId val="{0000000D-9D70-4B05-93FA-86ACEFC15892}"/>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c:ext xmlns:c16="http://schemas.microsoft.com/office/drawing/2014/chart" uri="{C3380CC4-5D6E-409C-BE32-E72D297353CC}">
                <c16:uniqueId val="{0000000F-9D70-4B05-93FA-86ACEFC15892}"/>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c:ext xmlns:c16="http://schemas.microsoft.com/office/drawing/2014/chart" uri="{C3380CC4-5D6E-409C-BE32-E72D297353CC}">
                <c16:uniqueId val="{00000011-9D70-4B05-93FA-86ACEFC15892}"/>
              </c:ext>
            </c:extLst>
          </c:dPt>
          <c:dLbls>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Sheet1!$A$2:$A$9</c:f>
              <c:strCache>
                <c:ptCount val="8"/>
                <c:pt idx="0">
                  <c:v>Other Multi Sector</c:v>
                </c:pt>
                <c:pt idx="1">
                  <c:v>Tourism</c:v>
                </c:pt>
                <c:pt idx="2">
                  <c:v>Energy</c:v>
                </c:pt>
                <c:pt idx="3">
                  <c:v>Other Infrastructure and Social Services</c:v>
                </c:pt>
                <c:pt idx="4">
                  <c:v>Communication</c:v>
                </c:pt>
                <c:pt idx="5">
                  <c:v>Transport and Storage</c:v>
                </c:pt>
                <c:pt idx="6">
                  <c:v>Government and Civil Society</c:v>
                </c:pt>
                <c:pt idx="7">
                  <c:v>Water and Sanitation</c:v>
                </c:pt>
              </c:strCache>
            </c:strRef>
          </c:cat>
          <c:val>
            <c:numRef>
              <c:f>Sheet1!$D$2:$D$9</c:f>
              <c:numCache>
                <c:formatCode>0%</c:formatCode>
                <c:ptCount val="8"/>
                <c:pt idx="0">
                  <c:v>0.111863408890197</c:v>
                </c:pt>
                <c:pt idx="1">
                  <c:v>0.141301148071828</c:v>
                </c:pt>
                <c:pt idx="2">
                  <c:v>0.253164556962025</c:v>
                </c:pt>
                <c:pt idx="3">
                  <c:v>0.16426258463349999</c:v>
                </c:pt>
                <c:pt idx="4">
                  <c:v>1.4777745069178699E-2</c:v>
                </c:pt>
                <c:pt idx="5">
                  <c:v>0.135413600235502</c:v>
                </c:pt>
                <c:pt idx="6">
                  <c:v>2.6140712393288201E-2</c:v>
                </c:pt>
                <c:pt idx="7">
                  <c:v>0.15307624374448001</c:v>
                </c:pt>
              </c:numCache>
            </c:numRef>
          </c:val>
          <c:extLst>
            <c:ext xmlns:c16="http://schemas.microsoft.com/office/drawing/2014/chart" uri="{C3380CC4-5D6E-409C-BE32-E72D297353CC}">
              <c16:uniqueId val="{00000012-9D70-4B05-93FA-86ACEFC15892}"/>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solidFill>
            <a:schemeClr val="dk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Sheet1!$A$14:$A$18</c:f>
              <c:strCache>
                <c:ptCount val="5"/>
                <c:pt idx="0">
                  <c:v>Transportation</c:v>
                </c:pt>
                <c:pt idx="1">
                  <c:v>Energy</c:v>
                </c:pt>
                <c:pt idx="2">
                  <c:v>Urban Services, Water, and Sanitation</c:v>
                </c:pt>
                <c:pt idx="3">
                  <c:v>Multisector</c:v>
                </c:pt>
                <c:pt idx="4">
                  <c:v>Infrastructure Support</c:v>
                </c:pt>
              </c:strCache>
            </c:strRef>
          </c:cat>
          <c:val>
            <c:numRef>
              <c:f>Sheet1!$B$14:$B$18</c:f>
            </c:numRef>
          </c:val>
          <c:extLst>
            <c:ext xmlns:c16="http://schemas.microsoft.com/office/drawing/2014/chart" uri="{C3380CC4-5D6E-409C-BE32-E72D297353CC}">
              <c16:uniqueId val="{00000000-A411-4F71-88C5-D8355BEE7635}"/>
            </c:ext>
          </c:extLst>
        </c:ser>
        <c:ser>
          <c:idx val="1"/>
          <c:order val="1"/>
          <c:dLbls>
            <c:spPr>
              <a:solidFill>
                <a:schemeClr val="lt1">
                  <a:alpha val="75000"/>
                </a:schemeClr>
              </a:solidFill>
              <a:ln w="9525">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Sheet1!$A$14:$A$18</c:f>
              <c:strCache>
                <c:ptCount val="5"/>
                <c:pt idx="0">
                  <c:v>Transportation</c:v>
                </c:pt>
                <c:pt idx="1">
                  <c:v>Energy</c:v>
                </c:pt>
                <c:pt idx="2">
                  <c:v>Urban Services, Water, and Sanitation</c:v>
                </c:pt>
                <c:pt idx="3">
                  <c:v>Multisector</c:v>
                </c:pt>
                <c:pt idx="4">
                  <c:v>Infrastructure Support</c:v>
                </c:pt>
              </c:strCache>
            </c:strRef>
          </c:cat>
          <c:val>
            <c:numRef>
              <c:f>Sheet1!$C$14:$C$18</c:f>
            </c:numRef>
          </c:val>
          <c:extLst>
            <c:ext xmlns:c16="http://schemas.microsoft.com/office/drawing/2014/chart" uri="{C3380CC4-5D6E-409C-BE32-E72D297353CC}">
              <c16:uniqueId val="{00000001-A411-4F71-88C5-D8355BEE7635}"/>
            </c:ext>
          </c:extLst>
        </c:ser>
        <c:ser>
          <c:idx val="2"/>
          <c:order val="2"/>
          <c:explosion val="3"/>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3-A411-4F71-88C5-D8355BEE7635}"/>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5-A411-4F71-88C5-D8355BEE7635}"/>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7-A411-4F71-88C5-D8355BEE7635}"/>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9-A411-4F71-88C5-D8355BEE7635}"/>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B-A411-4F71-88C5-D8355BEE7635}"/>
              </c:ext>
            </c:extLst>
          </c:dPt>
          <c:dLbls>
            <c:dLbl>
              <c:idx val="2"/>
              <c:layout>
                <c:manualLayout>
                  <c:x val="-9.3970242756460307E-3"/>
                  <c:y val="-1.23684214797826E-2"/>
                </c:manualLayout>
              </c:layout>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8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c15:spPr>
                  <c15:layout>
                    <c:manualLayout>
                      <c:w val="0.27990602975724355"/>
                      <c:h val="0.14042465471036897"/>
                    </c:manualLayout>
                  </c15:layout>
                </c:ext>
                <c:ext xmlns:c16="http://schemas.microsoft.com/office/drawing/2014/chart" uri="{C3380CC4-5D6E-409C-BE32-E72D297353CC}">
                  <c16:uniqueId val="{00000007-A411-4F71-88C5-D8355BEE7635}"/>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15:layout/>
              </c:ext>
            </c:extLst>
          </c:dLbls>
          <c:cat>
            <c:strRef>
              <c:f>Sheet1!$A$14:$A$18</c:f>
              <c:strCache>
                <c:ptCount val="5"/>
                <c:pt idx="0">
                  <c:v>Transportation</c:v>
                </c:pt>
                <c:pt idx="1">
                  <c:v>Energy</c:v>
                </c:pt>
                <c:pt idx="2">
                  <c:v>Urban Services, Water, and Sanitation</c:v>
                </c:pt>
                <c:pt idx="3">
                  <c:v>Multisector</c:v>
                </c:pt>
                <c:pt idx="4">
                  <c:v>Infrastructure Support</c:v>
                </c:pt>
              </c:strCache>
            </c:strRef>
          </c:cat>
          <c:val>
            <c:numRef>
              <c:f>Sheet1!$D$14:$D$18</c:f>
              <c:numCache>
                <c:formatCode>0%</c:formatCode>
                <c:ptCount val="5"/>
                <c:pt idx="0">
                  <c:v>0.17647058823529399</c:v>
                </c:pt>
                <c:pt idx="1">
                  <c:v>3.9215686274509803E-2</c:v>
                </c:pt>
                <c:pt idx="2">
                  <c:v>0.23921568627451001</c:v>
                </c:pt>
                <c:pt idx="3">
                  <c:v>0.27450980392156898</c:v>
                </c:pt>
                <c:pt idx="4">
                  <c:v>0.27058823529411802</c:v>
                </c:pt>
              </c:numCache>
            </c:numRef>
          </c:val>
          <c:extLst>
            <c:ext xmlns:c16="http://schemas.microsoft.com/office/drawing/2014/chart" uri="{C3380CC4-5D6E-409C-BE32-E72D297353CC}">
              <c16:uniqueId val="{0000000C-A411-4F71-88C5-D8355BEE7635}"/>
            </c:ext>
          </c:extLst>
        </c:ser>
        <c:dLbls>
          <c:showLegendKey val="0"/>
          <c:showVal val="0"/>
          <c:showCatName val="0"/>
          <c:showSerName val="0"/>
          <c:showPercent val="0"/>
          <c:showBubbleSize val="0"/>
          <c:showLeaderLines val="0"/>
        </c:dLbls>
        <c:firstSliceAng val="88"/>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1DE302-01A5-4DA7-8290-6AECD21C32B7}"/>
</file>

<file path=customXml/itemProps2.xml><?xml version="1.0" encoding="utf-8"?>
<ds:datastoreItem xmlns:ds="http://schemas.openxmlformats.org/officeDocument/2006/customXml" ds:itemID="{2630CCB1-0612-45E8-A76F-A62D1EE77037}"/>
</file>

<file path=customXml/itemProps3.xml><?xml version="1.0" encoding="utf-8"?>
<ds:datastoreItem xmlns:ds="http://schemas.openxmlformats.org/officeDocument/2006/customXml" ds:itemID="{4980CB58-CF01-45C0-8904-B41A310F4E60}"/>
</file>

<file path=customXml/itemProps4.xml><?xml version="1.0" encoding="utf-8"?>
<ds:datastoreItem xmlns:ds="http://schemas.openxmlformats.org/officeDocument/2006/customXml" ds:itemID="{C1989759-9D68-4C58-BCBE-1D4920C79A4A}"/>
</file>

<file path=docProps/app.xml><?xml version="1.0" encoding="utf-8"?>
<Properties xmlns="http://schemas.openxmlformats.org/officeDocument/2006/extended-properties" xmlns:vt="http://schemas.openxmlformats.org/officeDocument/2006/docPropsVTypes">
  <Template>Normal.dotm</Template>
  <TotalTime>0</TotalTime>
  <Pages>30</Pages>
  <Words>11015</Words>
  <Characters>62791</Characters>
  <Application>Microsoft Office Word</Application>
  <DocSecurity>0</DocSecurity>
  <Lines>523</Lines>
  <Paragraphs>147</Paragraphs>
  <ScaleCrop>false</ScaleCrop>
  <Company/>
  <LinksUpToDate>false</LinksUpToDate>
  <CharactersWithSpaces>73659</CharactersWithSpaces>
  <SharedDoc>false</SharedDoc>
  <HyperlinkBase/>
  <HLinks>
    <vt:vector size="90" baseType="variant">
      <vt:variant>
        <vt:i4>1245289</vt:i4>
      </vt:variant>
      <vt:variant>
        <vt:i4>144</vt:i4>
      </vt:variant>
      <vt:variant>
        <vt:i4>0</vt:i4>
      </vt:variant>
      <vt:variant>
        <vt:i4>5</vt:i4>
      </vt:variant>
      <vt:variant>
        <vt:lpwstr>mailto:enquiries@sustineo.com.au</vt:lpwstr>
      </vt:variant>
      <vt:variant>
        <vt:lpwstr/>
      </vt:variant>
      <vt:variant>
        <vt:i4>1703939</vt:i4>
      </vt:variant>
      <vt:variant>
        <vt:i4>141</vt:i4>
      </vt:variant>
      <vt:variant>
        <vt:i4>0</vt:i4>
      </vt:variant>
      <vt:variant>
        <vt:i4>5</vt:i4>
      </vt:variant>
      <vt:variant>
        <vt:lpwstr>http://www.developmentprogress.org/blog/2014/05/06/seeing-not-always-believing-perceptions-security-progress-timor-leste</vt:lpwstr>
      </vt:variant>
      <vt:variant>
        <vt:lpwstr/>
      </vt:variant>
      <vt:variant>
        <vt:i4>8126581</vt:i4>
      </vt:variant>
      <vt:variant>
        <vt:i4>36</vt:i4>
      </vt:variant>
      <vt:variant>
        <vt:i4>0</vt:i4>
      </vt:variant>
      <vt:variant>
        <vt:i4>5</vt:i4>
      </vt:variant>
      <vt:variant>
        <vt:lpwstr>http://www.pactworld.org/galleries/resource-center</vt:lpwstr>
      </vt:variant>
      <vt:variant>
        <vt:lpwstr/>
      </vt:variant>
      <vt:variant>
        <vt:i4>8126581</vt:i4>
      </vt:variant>
      <vt:variant>
        <vt:i4>33</vt:i4>
      </vt:variant>
      <vt:variant>
        <vt:i4>0</vt:i4>
      </vt:variant>
      <vt:variant>
        <vt:i4>5</vt:i4>
      </vt:variant>
      <vt:variant>
        <vt:lpwstr>http://www.pactworld.org/galleries/resource-center</vt:lpwstr>
      </vt:variant>
      <vt:variant>
        <vt:lpwstr/>
      </vt:variant>
      <vt:variant>
        <vt:i4>8126581</vt:i4>
      </vt:variant>
      <vt:variant>
        <vt:i4>30</vt:i4>
      </vt:variant>
      <vt:variant>
        <vt:i4>0</vt:i4>
      </vt:variant>
      <vt:variant>
        <vt:i4>5</vt:i4>
      </vt:variant>
      <vt:variant>
        <vt:lpwstr>http://www.pactworld.org/galleries/resource-center</vt:lpwstr>
      </vt:variant>
      <vt:variant>
        <vt:lpwstr/>
      </vt:variant>
      <vt:variant>
        <vt:i4>8126581</vt:i4>
      </vt:variant>
      <vt:variant>
        <vt:i4>27</vt:i4>
      </vt:variant>
      <vt:variant>
        <vt:i4>0</vt:i4>
      </vt:variant>
      <vt:variant>
        <vt:i4>5</vt:i4>
      </vt:variant>
      <vt:variant>
        <vt:lpwstr>http://www.pactworld.org/galleries/resource-center</vt:lpwstr>
      </vt:variant>
      <vt:variant>
        <vt:lpwstr/>
      </vt:variant>
      <vt:variant>
        <vt:i4>8126581</vt:i4>
      </vt:variant>
      <vt:variant>
        <vt:i4>24</vt:i4>
      </vt:variant>
      <vt:variant>
        <vt:i4>0</vt:i4>
      </vt:variant>
      <vt:variant>
        <vt:i4>5</vt:i4>
      </vt:variant>
      <vt:variant>
        <vt:lpwstr>http://www.pactworld.org/galleries/resource-center</vt:lpwstr>
      </vt:variant>
      <vt:variant>
        <vt:lpwstr/>
      </vt:variant>
      <vt:variant>
        <vt:i4>8126581</vt:i4>
      </vt:variant>
      <vt:variant>
        <vt:i4>21</vt:i4>
      </vt:variant>
      <vt:variant>
        <vt:i4>0</vt:i4>
      </vt:variant>
      <vt:variant>
        <vt:i4>5</vt:i4>
      </vt:variant>
      <vt:variant>
        <vt:lpwstr>http://www.pactworld.org/galleries/resource-center</vt:lpwstr>
      </vt:variant>
      <vt:variant>
        <vt:lpwstr/>
      </vt:variant>
      <vt:variant>
        <vt:i4>8126581</vt:i4>
      </vt:variant>
      <vt:variant>
        <vt:i4>18</vt:i4>
      </vt:variant>
      <vt:variant>
        <vt:i4>0</vt:i4>
      </vt:variant>
      <vt:variant>
        <vt:i4>5</vt:i4>
      </vt:variant>
      <vt:variant>
        <vt:lpwstr>http://www.pactworld.org/galleries/resource-center</vt:lpwstr>
      </vt:variant>
      <vt:variant>
        <vt:lpwstr/>
      </vt:variant>
      <vt:variant>
        <vt:i4>8126581</vt:i4>
      </vt:variant>
      <vt:variant>
        <vt:i4>15</vt:i4>
      </vt:variant>
      <vt:variant>
        <vt:i4>0</vt:i4>
      </vt:variant>
      <vt:variant>
        <vt:i4>5</vt:i4>
      </vt:variant>
      <vt:variant>
        <vt:lpwstr>http://www.pactworld.org/galleries/resource-center</vt:lpwstr>
      </vt:variant>
      <vt:variant>
        <vt:lpwstr/>
      </vt:variant>
      <vt:variant>
        <vt:i4>8126581</vt:i4>
      </vt:variant>
      <vt:variant>
        <vt:i4>12</vt:i4>
      </vt:variant>
      <vt:variant>
        <vt:i4>0</vt:i4>
      </vt:variant>
      <vt:variant>
        <vt:i4>5</vt:i4>
      </vt:variant>
      <vt:variant>
        <vt:lpwstr>http://www.pactworld.org/galleries/resource-center</vt:lpwstr>
      </vt:variant>
      <vt:variant>
        <vt:lpwstr/>
      </vt:variant>
      <vt:variant>
        <vt:i4>8126581</vt:i4>
      </vt:variant>
      <vt:variant>
        <vt:i4>9</vt:i4>
      </vt:variant>
      <vt:variant>
        <vt:i4>0</vt:i4>
      </vt:variant>
      <vt:variant>
        <vt:i4>5</vt:i4>
      </vt:variant>
      <vt:variant>
        <vt:lpwstr>http://www.pactworld.org/galleries/resource-center</vt:lpwstr>
      </vt:variant>
      <vt:variant>
        <vt:lpwstr/>
      </vt:variant>
      <vt:variant>
        <vt:i4>8126581</vt:i4>
      </vt:variant>
      <vt:variant>
        <vt:i4>6</vt:i4>
      </vt:variant>
      <vt:variant>
        <vt:i4>0</vt:i4>
      </vt:variant>
      <vt:variant>
        <vt:i4>5</vt:i4>
      </vt:variant>
      <vt:variant>
        <vt:lpwstr>http://www.pactworld.org/galleries/resource-center</vt:lpwstr>
      </vt:variant>
      <vt:variant>
        <vt:lpwstr/>
      </vt:variant>
      <vt:variant>
        <vt:i4>8126581</vt:i4>
      </vt:variant>
      <vt:variant>
        <vt:i4>3</vt:i4>
      </vt:variant>
      <vt:variant>
        <vt:i4>0</vt:i4>
      </vt:variant>
      <vt:variant>
        <vt:i4>5</vt:i4>
      </vt:variant>
      <vt:variant>
        <vt:lpwstr>http://www.pactworld.org/galleries/resource-center</vt:lpwstr>
      </vt:variant>
      <vt:variant>
        <vt:lpwstr/>
      </vt:variant>
      <vt:variant>
        <vt:i4>8126581</vt:i4>
      </vt:variant>
      <vt:variant>
        <vt:i4>0</vt:i4>
      </vt:variant>
      <vt:variant>
        <vt:i4>0</vt:i4>
      </vt:variant>
      <vt:variant>
        <vt:i4>5</vt:i4>
      </vt:variant>
      <vt:variant>
        <vt:lpwstr>http://www.pactworld.org/galleries/resource-center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2018-04-09T01:22:00Z</dcterms:created>
  <dcterms:modified xsi:type="dcterms:W3CDTF">2018-04-09T01:22:00Z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0a28eec3-80b8-4159-8459-fc456e846c33</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1161000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