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64F7C" w14:textId="77777777" w:rsidR="0059146A" w:rsidRDefault="0059146A" w:rsidP="003E6482">
      <w:pPr>
        <w:pStyle w:val="Bullet1"/>
        <w:numPr>
          <w:ilvl w:val="0"/>
          <w:numId w:val="0"/>
        </w:numPr>
        <w:ind w:left="170"/>
      </w:pPr>
      <w:bookmarkStart w:id="0" w:name="_GoBack"/>
      <w:bookmarkEnd w:id="0"/>
    </w:p>
    <w:p w14:paraId="2C543046" w14:textId="77777777" w:rsidR="0059146A" w:rsidRDefault="0059146A" w:rsidP="005B5769">
      <w:pPr>
        <w:pStyle w:val="ListBullet"/>
        <w:tabs>
          <w:tab w:val="clear" w:pos="284"/>
        </w:tabs>
      </w:pPr>
    </w:p>
    <w:p w14:paraId="34CCBA4F" w14:textId="77777777" w:rsidR="0059146A" w:rsidRPr="0059146A" w:rsidRDefault="0059146A" w:rsidP="005B5769">
      <w:pPr>
        <w:pStyle w:val="ListBullet"/>
        <w:tabs>
          <w:tab w:val="clear" w:pos="284"/>
        </w:tabs>
      </w:pPr>
    </w:p>
    <w:p w14:paraId="2D142A1D" w14:textId="77777777" w:rsidR="00A56F14" w:rsidRPr="0059146A" w:rsidRDefault="00A56F14" w:rsidP="0059146A">
      <w:pPr>
        <w:pStyle w:val="ListBullet"/>
        <w:tabs>
          <w:tab w:val="clear" w:pos="284"/>
        </w:tabs>
      </w:pPr>
    </w:p>
    <w:p w14:paraId="79A063F6" w14:textId="77777777" w:rsidR="00A56F14" w:rsidRDefault="00A56F14" w:rsidP="00A56F14">
      <w:pPr>
        <w:spacing w:after="200" w:line="276" w:lineRule="auto"/>
        <w:rPr>
          <w:b/>
        </w:rPr>
      </w:pPr>
    </w:p>
    <w:p w14:paraId="1927D4DF" w14:textId="77777777" w:rsidR="00A56F14" w:rsidRDefault="00A56F14" w:rsidP="00A56F14">
      <w:pPr>
        <w:spacing w:after="200" w:line="276" w:lineRule="auto"/>
        <w:rPr>
          <w:b/>
        </w:rPr>
      </w:pPr>
    </w:p>
    <w:p w14:paraId="281E3645" w14:textId="77777777" w:rsidR="00C6626C" w:rsidRDefault="00C6626C" w:rsidP="00A56F14"/>
    <w:p w14:paraId="2A14C4F1" w14:textId="77777777" w:rsidR="00C6626C" w:rsidRDefault="00C6626C" w:rsidP="00A56F14"/>
    <w:p w14:paraId="79D41D26" w14:textId="77777777" w:rsidR="00C6626C" w:rsidRDefault="00C6626C" w:rsidP="00A56F14"/>
    <w:p w14:paraId="596F4592" w14:textId="77777777" w:rsidR="00C6626C" w:rsidRDefault="00C6626C" w:rsidP="00A56F14"/>
    <w:p w14:paraId="1CCCDB2A" w14:textId="77777777" w:rsidR="00C6626C" w:rsidRDefault="00C6626C" w:rsidP="00A56F14"/>
    <w:p w14:paraId="7A00AE06" w14:textId="77777777" w:rsidR="00C6626C" w:rsidRDefault="00C6626C" w:rsidP="00A56F14"/>
    <w:p w14:paraId="07211F3C" w14:textId="77777777" w:rsidR="00C6626C" w:rsidRDefault="00C6626C" w:rsidP="00A56F14"/>
    <w:p w14:paraId="1CB7E870" w14:textId="77777777" w:rsidR="00C6626C" w:rsidRDefault="00C6626C" w:rsidP="00A56F14"/>
    <w:p w14:paraId="565CC789" w14:textId="77777777" w:rsidR="00C6626C" w:rsidRDefault="00C6626C" w:rsidP="00A56F14"/>
    <w:p w14:paraId="405FAB1C" w14:textId="77777777" w:rsidR="00C6626C" w:rsidRDefault="00C6626C" w:rsidP="00A56F14"/>
    <w:p w14:paraId="313430EE" w14:textId="77777777" w:rsidR="00C6626C" w:rsidRDefault="00C6626C" w:rsidP="00A56F14"/>
    <w:p w14:paraId="3A45F98C" w14:textId="77777777" w:rsidR="00C6626C" w:rsidRDefault="00C6626C" w:rsidP="00A56F14"/>
    <w:p w14:paraId="29833698" w14:textId="77777777" w:rsidR="00C6626C" w:rsidRDefault="00C6626C" w:rsidP="00A56F14"/>
    <w:p w14:paraId="29D22AAE" w14:textId="77777777" w:rsidR="00C6626C" w:rsidRDefault="00C6626C" w:rsidP="00A56F14"/>
    <w:p w14:paraId="7EBC174B" w14:textId="77777777" w:rsidR="00C6626C" w:rsidRDefault="00C6626C" w:rsidP="00A56F14"/>
    <w:p w14:paraId="10D6A065" w14:textId="77777777" w:rsidR="00C6626C" w:rsidRDefault="00C6626C" w:rsidP="00A56F14"/>
    <w:p w14:paraId="14D3F7D2" w14:textId="77777777" w:rsidR="00C6626C" w:rsidRDefault="00C6626C" w:rsidP="00A56F14"/>
    <w:p w14:paraId="22D6DE73" w14:textId="77777777" w:rsidR="00C6626C" w:rsidRDefault="00C6626C" w:rsidP="00A56F14"/>
    <w:p w14:paraId="2820AD3B" w14:textId="77777777" w:rsidR="00C6626C" w:rsidRDefault="00C6626C" w:rsidP="00A56F14"/>
    <w:p w14:paraId="08A286E8" w14:textId="77777777" w:rsidR="00C6626C" w:rsidRDefault="00C6626C" w:rsidP="00A56F14"/>
    <w:p w14:paraId="5E1E16EB" w14:textId="77777777" w:rsidR="00C6626C" w:rsidRDefault="00C6626C" w:rsidP="00A56F14"/>
    <w:p w14:paraId="43622EC1" w14:textId="77777777"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5D124266" wp14:editId="208A2DFB">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7012B160" wp14:editId="182B9CC0">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14:paraId="28A885D8" w14:textId="77777777"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14:paraId="6423803D" w14:textId="77777777" w:rsidR="00C6626C" w:rsidRDefault="008B5C98" w:rsidP="00A56F14">
      <w:r>
        <w:rPr>
          <w:sz w:val="40"/>
        </w:rPr>
        <w:t>Myanmar</w:t>
      </w:r>
    </w:p>
    <w:p w14:paraId="40FB9D05" w14:textId="77777777" w:rsidR="00C6626C" w:rsidRPr="002A51CA" w:rsidRDefault="007751E5" w:rsidP="00A56F14">
      <w:pPr>
        <w:rPr>
          <w:sz w:val="24"/>
        </w:rPr>
      </w:pPr>
      <w:r>
        <w:rPr>
          <w:sz w:val="24"/>
        </w:rPr>
        <w:t>October</w:t>
      </w:r>
      <w:r w:rsidR="00C6626C" w:rsidRPr="002A51CA">
        <w:rPr>
          <w:sz w:val="24"/>
        </w:rPr>
        <w:t xml:space="preserve"> 201</w:t>
      </w:r>
      <w:r w:rsidR="00D7713F">
        <w:rPr>
          <w:sz w:val="24"/>
        </w:rPr>
        <w:t>9</w:t>
      </w:r>
    </w:p>
    <w:p w14:paraId="0FC3A222" w14:textId="77777777" w:rsidR="00C6626C" w:rsidRDefault="00C6626C" w:rsidP="00A56F14">
      <w:pPr>
        <w:sectPr w:rsidR="00C6626C" w:rsidSect="00D835FD">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5F2FB99B" w14:textId="77777777" w:rsidR="00C6626C" w:rsidRPr="00C61187" w:rsidRDefault="00C6626C" w:rsidP="00D7713F">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44F0658C" w14:textId="6F53B6A1" w:rsidR="00315CC9" w:rsidRDefault="00D7713F" w:rsidP="00315CC9">
      <w:pPr>
        <w:rPr>
          <w:color w:val="auto"/>
        </w:rPr>
      </w:pPr>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Pr>
          <w:color w:val="auto"/>
        </w:rPr>
        <w:t xml:space="preserve">’s aid </w:t>
      </w:r>
      <w:r w:rsidR="001E212E">
        <w:rPr>
          <w:color w:val="auto"/>
        </w:rPr>
        <w:t>to</w:t>
      </w:r>
      <w:r>
        <w:rPr>
          <w:color w:val="auto"/>
        </w:rPr>
        <w:t xml:space="preserve"> </w:t>
      </w:r>
      <w:r w:rsidR="00F55612" w:rsidRPr="00F55612">
        <w:rPr>
          <w:color w:val="auto"/>
        </w:rPr>
        <w:t>Myanmar</w:t>
      </w:r>
      <w:r w:rsidRPr="00F55612">
        <w:rPr>
          <w:color w:val="auto"/>
        </w:rPr>
        <w:t xml:space="preserve"> </w:t>
      </w:r>
      <w:r>
        <w:rPr>
          <w:color w:val="auto"/>
        </w:rPr>
        <w:t xml:space="preserve">from July 2018 to June 2019 against the </w:t>
      </w:r>
      <w:r w:rsidR="00F55612" w:rsidRPr="00F55612">
        <w:rPr>
          <w:color w:val="auto"/>
        </w:rPr>
        <w:t>Myanmar</w:t>
      </w:r>
      <w:r w:rsidRPr="00F55612">
        <w:rPr>
          <w:color w:val="auto"/>
        </w:rPr>
        <w:t xml:space="preserve"> </w:t>
      </w:r>
      <w:r>
        <w:rPr>
          <w:color w:val="auto"/>
        </w:rPr>
        <w:t xml:space="preserve">Aid Investment Plan (AIP) </w:t>
      </w:r>
      <w:r w:rsidR="00F55612">
        <w:rPr>
          <w:color w:val="auto"/>
        </w:rPr>
        <w:t>2015-2020.</w:t>
      </w:r>
      <w:r w:rsidR="008564AA" w:rsidRPr="008564AA">
        <w:rPr>
          <w:color w:val="auto"/>
        </w:rPr>
        <w:t xml:space="preserve"> </w:t>
      </w:r>
      <w:r w:rsidR="006E42FC">
        <w:rPr>
          <w:color w:val="auto"/>
        </w:rPr>
        <w:t xml:space="preserve">Myanmar is experiencing a period of rapid </w:t>
      </w:r>
      <w:r w:rsidR="006E1644">
        <w:rPr>
          <w:color w:val="auto"/>
        </w:rPr>
        <w:t>political</w:t>
      </w:r>
      <w:r w:rsidR="006E42FC">
        <w:rPr>
          <w:color w:val="auto"/>
        </w:rPr>
        <w:t xml:space="preserve">, economic and social </w:t>
      </w:r>
      <w:r w:rsidR="00CF5C98">
        <w:rPr>
          <w:color w:val="auto"/>
        </w:rPr>
        <w:t>change</w:t>
      </w:r>
      <w:r w:rsidR="006E42FC">
        <w:rPr>
          <w:color w:val="auto"/>
        </w:rPr>
        <w:t xml:space="preserve">. It is home to </w:t>
      </w:r>
      <w:r w:rsidR="008564AA">
        <w:rPr>
          <w:color w:val="auto"/>
        </w:rPr>
        <w:t xml:space="preserve">the largest humanitarian crisis in </w:t>
      </w:r>
      <w:r w:rsidR="000F0A89">
        <w:rPr>
          <w:color w:val="auto"/>
        </w:rPr>
        <w:t>our</w:t>
      </w:r>
      <w:r w:rsidR="006E42FC">
        <w:rPr>
          <w:color w:val="auto"/>
        </w:rPr>
        <w:t xml:space="preserve"> </w:t>
      </w:r>
      <w:r w:rsidR="008564AA">
        <w:rPr>
          <w:color w:val="auto"/>
        </w:rPr>
        <w:t xml:space="preserve">region, </w:t>
      </w:r>
      <w:r w:rsidR="00DA47BD">
        <w:rPr>
          <w:color w:val="auto"/>
        </w:rPr>
        <w:t xml:space="preserve">persistent human rights challenges and </w:t>
      </w:r>
      <w:r w:rsidR="006E1644">
        <w:rPr>
          <w:color w:val="auto"/>
        </w:rPr>
        <w:t>some</w:t>
      </w:r>
      <w:r w:rsidR="00CE4CAB">
        <w:rPr>
          <w:color w:val="auto"/>
        </w:rPr>
        <w:t xml:space="preserve"> of </w:t>
      </w:r>
      <w:r w:rsidR="008564AA">
        <w:rPr>
          <w:color w:val="auto"/>
        </w:rPr>
        <w:t>the longest runn</w:t>
      </w:r>
      <w:r w:rsidR="00CB56DC">
        <w:rPr>
          <w:color w:val="auto"/>
        </w:rPr>
        <w:t>ing civil conflict</w:t>
      </w:r>
      <w:r w:rsidR="006E1644">
        <w:rPr>
          <w:color w:val="auto"/>
        </w:rPr>
        <w:t>s</w:t>
      </w:r>
      <w:r w:rsidR="00CB56DC">
        <w:rPr>
          <w:color w:val="auto"/>
        </w:rPr>
        <w:t xml:space="preserve"> in the world</w:t>
      </w:r>
      <w:r w:rsidR="008564AA">
        <w:rPr>
          <w:color w:val="auto"/>
        </w:rPr>
        <w:t>.</w:t>
      </w:r>
      <w:r w:rsidR="00A33F1C">
        <w:rPr>
          <w:rStyle w:val="FootnoteReference"/>
          <w:color w:val="auto"/>
        </w:rPr>
        <w:footnoteReference w:id="2"/>
      </w:r>
      <w:r w:rsidR="008564AA">
        <w:rPr>
          <w:color w:val="auto"/>
        </w:rPr>
        <w:t xml:space="preserve"> </w:t>
      </w:r>
      <w:r w:rsidR="00CB56DC">
        <w:rPr>
          <w:color w:val="auto"/>
        </w:rPr>
        <w:t xml:space="preserve">Ongoing conflict is </w:t>
      </w:r>
      <w:r w:rsidR="00315CC9">
        <w:rPr>
          <w:color w:val="auto"/>
        </w:rPr>
        <w:t xml:space="preserve">a major </w:t>
      </w:r>
      <w:r w:rsidR="006E42FC">
        <w:rPr>
          <w:color w:val="auto"/>
        </w:rPr>
        <w:t xml:space="preserve">barrier </w:t>
      </w:r>
      <w:r w:rsidR="00DA47BD">
        <w:rPr>
          <w:color w:val="auto"/>
        </w:rPr>
        <w:t xml:space="preserve">to delivering services and building a cohesive nation state. </w:t>
      </w:r>
      <w:r w:rsidR="00315CC9">
        <w:rPr>
          <w:color w:val="auto"/>
        </w:rPr>
        <w:t xml:space="preserve"> </w:t>
      </w:r>
    </w:p>
    <w:p w14:paraId="55747776" w14:textId="67536291" w:rsidR="00BD3B9A" w:rsidRDefault="00F55612" w:rsidP="002A51CA">
      <w:pPr>
        <w:rPr>
          <w:color w:val="auto"/>
        </w:rPr>
      </w:pPr>
      <w:r>
        <w:rPr>
          <w:color w:val="auto"/>
        </w:rPr>
        <w:t>In 2018-19</w:t>
      </w:r>
      <w:r w:rsidRPr="00F55612">
        <w:rPr>
          <w:color w:val="auto"/>
        </w:rPr>
        <w:t xml:space="preserve">, Australia provided </w:t>
      </w:r>
      <w:r w:rsidR="00F96108">
        <w:rPr>
          <w:color w:val="auto"/>
        </w:rPr>
        <w:t xml:space="preserve">an estimated </w:t>
      </w:r>
      <w:r w:rsidR="00A06040" w:rsidRPr="00A06040">
        <w:rPr>
          <w:color w:val="auto"/>
        </w:rPr>
        <w:t xml:space="preserve">$90.0 million </w:t>
      </w:r>
      <w:r w:rsidRPr="00F55612">
        <w:rPr>
          <w:color w:val="auto"/>
        </w:rPr>
        <w:t xml:space="preserve">in </w:t>
      </w:r>
      <w:r w:rsidR="001E212E">
        <w:rPr>
          <w:color w:val="auto"/>
        </w:rPr>
        <w:t>aid</w:t>
      </w:r>
      <w:r w:rsidR="00F813B2">
        <w:rPr>
          <w:color w:val="auto"/>
        </w:rPr>
        <w:t xml:space="preserve"> to Myanmar. The d</w:t>
      </w:r>
      <w:r w:rsidR="0002676C">
        <w:rPr>
          <w:color w:val="auto"/>
        </w:rPr>
        <w:t>elivery of o</w:t>
      </w:r>
      <w:r w:rsidRPr="00F55612">
        <w:rPr>
          <w:color w:val="auto"/>
        </w:rPr>
        <w:t xml:space="preserve">ur </w:t>
      </w:r>
      <w:r w:rsidR="001E212E">
        <w:rPr>
          <w:color w:val="auto"/>
        </w:rPr>
        <w:t>aid</w:t>
      </w:r>
      <w:r w:rsidRPr="00F55612">
        <w:rPr>
          <w:color w:val="auto"/>
        </w:rPr>
        <w:t xml:space="preserve"> </w:t>
      </w:r>
      <w:r w:rsidR="00F813B2">
        <w:rPr>
          <w:color w:val="auto"/>
        </w:rPr>
        <w:t>wa</w:t>
      </w:r>
      <w:r w:rsidR="0002676C">
        <w:rPr>
          <w:color w:val="auto"/>
        </w:rPr>
        <w:t>s</w:t>
      </w:r>
      <w:r w:rsidRPr="00F55612">
        <w:rPr>
          <w:color w:val="auto"/>
        </w:rPr>
        <w:t xml:space="preserve"> in line with the three objectives of the Myanmar AIP: </w:t>
      </w:r>
      <w:r w:rsidR="005E321D">
        <w:rPr>
          <w:color w:val="auto"/>
        </w:rPr>
        <w:t xml:space="preserve">(i) </w:t>
      </w:r>
      <w:r w:rsidRPr="00F55612">
        <w:rPr>
          <w:color w:val="auto"/>
        </w:rPr>
        <w:t xml:space="preserve">enhancing human development through </w:t>
      </w:r>
      <w:r w:rsidRPr="009B573C">
        <w:rPr>
          <w:b/>
          <w:color w:val="auto"/>
        </w:rPr>
        <w:t>education</w:t>
      </w:r>
      <w:r w:rsidRPr="00F55612">
        <w:rPr>
          <w:color w:val="auto"/>
        </w:rPr>
        <w:t xml:space="preserve">; </w:t>
      </w:r>
      <w:r w:rsidR="00A06040">
        <w:rPr>
          <w:color w:val="auto"/>
        </w:rPr>
        <w:br/>
      </w:r>
      <w:r w:rsidR="005E321D">
        <w:rPr>
          <w:color w:val="auto"/>
        </w:rPr>
        <w:t xml:space="preserve">(ii) </w:t>
      </w:r>
      <w:r w:rsidRPr="00F55612">
        <w:rPr>
          <w:color w:val="auto"/>
        </w:rPr>
        <w:t xml:space="preserve">promoting </w:t>
      </w:r>
      <w:r w:rsidRPr="009B573C">
        <w:rPr>
          <w:b/>
          <w:color w:val="auto"/>
        </w:rPr>
        <w:t>peace and stability</w:t>
      </w:r>
      <w:r w:rsidRPr="00F55612">
        <w:rPr>
          <w:color w:val="auto"/>
        </w:rPr>
        <w:t xml:space="preserve"> by supporting Myanmar’s </w:t>
      </w:r>
      <w:r w:rsidR="0002676C" w:rsidRPr="00F55612">
        <w:rPr>
          <w:color w:val="auto"/>
        </w:rPr>
        <w:t>nationally</w:t>
      </w:r>
      <w:r w:rsidR="00A62064">
        <w:rPr>
          <w:color w:val="auto"/>
        </w:rPr>
        <w:t>-</w:t>
      </w:r>
      <w:r w:rsidR="0002676C" w:rsidRPr="00F55612">
        <w:rPr>
          <w:color w:val="auto"/>
        </w:rPr>
        <w:t>led</w:t>
      </w:r>
      <w:r w:rsidRPr="00F55612">
        <w:rPr>
          <w:color w:val="auto"/>
        </w:rPr>
        <w:t xml:space="preserve"> peace process and providing humanitarian assistance to conflict-affected and displaced communities</w:t>
      </w:r>
      <w:r w:rsidR="006E1644">
        <w:rPr>
          <w:color w:val="auto"/>
        </w:rPr>
        <w:t>;</w:t>
      </w:r>
      <w:r w:rsidR="00CB56DC">
        <w:rPr>
          <w:color w:val="auto"/>
        </w:rPr>
        <w:t xml:space="preserve"> </w:t>
      </w:r>
      <w:r w:rsidRPr="00F55612">
        <w:rPr>
          <w:color w:val="auto"/>
        </w:rPr>
        <w:t xml:space="preserve">and </w:t>
      </w:r>
      <w:r w:rsidR="00792218">
        <w:rPr>
          <w:color w:val="auto"/>
        </w:rPr>
        <w:t xml:space="preserve">(iii) </w:t>
      </w:r>
      <w:r w:rsidRPr="00F55612">
        <w:rPr>
          <w:color w:val="auto"/>
        </w:rPr>
        <w:t xml:space="preserve">promoting inclusive </w:t>
      </w:r>
      <w:r w:rsidRPr="009B573C">
        <w:rPr>
          <w:b/>
          <w:color w:val="auto"/>
        </w:rPr>
        <w:t>economic growth and government management</w:t>
      </w:r>
      <w:r w:rsidRPr="00F55612">
        <w:rPr>
          <w:color w:val="auto"/>
        </w:rPr>
        <w:t>.</w:t>
      </w:r>
    </w:p>
    <w:p w14:paraId="7017CE45" w14:textId="5DAEBBEF" w:rsidR="00BD3B9A" w:rsidRDefault="0008607A" w:rsidP="009B573C">
      <w:pPr>
        <w:suppressAutoHyphens w:val="0"/>
        <w:autoSpaceDE w:val="0"/>
        <w:autoSpaceDN w:val="0"/>
        <w:adjustRightInd w:val="0"/>
        <w:spacing w:before="0" w:after="120" w:line="240" w:lineRule="auto"/>
        <w:rPr>
          <w:color w:val="auto"/>
        </w:rPr>
      </w:pPr>
      <w:r>
        <w:rPr>
          <w:color w:val="auto"/>
        </w:rPr>
        <w:t xml:space="preserve">Myanmar </w:t>
      </w:r>
      <w:r w:rsidR="00F813B2">
        <w:rPr>
          <w:color w:val="auto"/>
        </w:rPr>
        <w:t>has only recently emerged</w:t>
      </w:r>
      <w:r>
        <w:rPr>
          <w:color w:val="auto"/>
        </w:rPr>
        <w:t xml:space="preserve"> </w:t>
      </w:r>
      <w:r w:rsidR="00372A4C">
        <w:rPr>
          <w:color w:val="auto"/>
        </w:rPr>
        <w:t xml:space="preserve">from </w:t>
      </w:r>
      <w:r w:rsidR="001D7C55">
        <w:rPr>
          <w:color w:val="auto"/>
        </w:rPr>
        <w:t xml:space="preserve">over </w:t>
      </w:r>
      <w:r>
        <w:rPr>
          <w:color w:val="auto"/>
        </w:rPr>
        <w:t xml:space="preserve">50 years of military rule. </w:t>
      </w:r>
      <w:r w:rsidR="00CB6C7A">
        <w:rPr>
          <w:color w:val="auto"/>
        </w:rPr>
        <w:t xml:space="preserve">While a democratically elected government came to power in 2015, the presence of the military in politics, business and society is pervasive. </w:t>
      </w:r>
      <w:r w:rsidR="00F813B2">
        <w:rPr>
          <w:color w:val="auto"/>
        </w:rPr>
        <w:t>The</w:t>
      </w:r>
      <w:r w:rsidR="00372A4C">
        <w:rPr>
          <w:color w:val="auto"/>
        </w:rPr>
        <w:t xml:space="preserve"> </w:t>
      </w:r>
      <w:r w:rsidR="0042417A" w:rsidRPr="0042417A">
        <w:rPr>
          <w:color w:val="auto"/>
        </w:rPr>
        <w:t xml:space="preserve">legacy of military rule and </w:t>
      </w:r>
      <w:r w:rsidR="00372A4C">
        <w:rPr>
          <w:color w:val="auto"/>
        </w:rPr>
        <w:t>isolation</w:t>
      </w:r>
      <w:r w:rsidR="00CB6C7A">
        <w:rPr>
          <w:color w:val="auto"/>
        </w:rPr>
        <w:t xml:space="preserve"> will take decades to </w:t>
      </w:r>
      <w:r w:rsidR="00E349E9">
        <w:rPr>
          <w:color w:val="auto"/>
        </w:rPr>
        <w:t>transition</w:t>
      </w:r>
      <w:r w:rsidR="00CB6C7A">
        <w:rPr>
          <w:color w:val="auto"/>
        </w:rPr>
        <w:t xml:space="preserve">. </w:t>
      </w:r>
      <w:r>
        <w:rPr>
          <w:color w:val="auto"/>
        </w:rPr>
        <w:t>T</w:t>
      </w:r>
      <w:r w:rsidR="00BD3B9A">
        <w:rPr>
          <w:color w:val="auto"/>
        </w:rPr>
        <w:t xml:space="preserve">he Rakhine crisis, </w:t>
      </w:r>
      <w:r w:rsidR="00DA47BD">
        <w:rPr>
          <w:color w:val="auto"/>
        </w:rPr>
        <w:t xml:space="preserve">ongoing </w:t>
      </w:r>
      <w:r w:rsidR="00BD3B9A">
        <w:rPr>
          <w:color w:val="auto"/>
        </w:rPr>
        <w:t>civil conflict</w:t>
      </w:r>
      <w:r>
        <w:rPr>
          <w:color w:val="auto"/>
        </w:rPr>
        <w:t xml:space="preserve">, </w:t>
      </w:r>
      <w:r w:rsidR="00372A4C">
        <w:rPr>
          <w:color w:val="auto"/>
        </w:rPr>
        <w:t>outdated</w:t>
      </w:r>
      <w:r>
        <w:rPr>
          <w:color w:val="auto"/>
        </w:rPr>
        <w:t xml:space="preserve"> government </w:t>
      </w:r>
      <w:r w:rsidR="00CF5C98">
        <w:rPr>
          <w:color w:val="auto"/>
        </w:rPr>
        <w:t xml:space="preserve">systems </w:t>
      </w:r>
      <w:r w:rsidR="00372A4C">
        <w:rPr>
          <w:color w:val="auto"/>
        </w:rPr>
        <w:t>and practic</w:t>
      </w:r>
      <w:r w:rsidR="00DA47BD">
        <w:rPr>
          <w:color w:val="auto"/>
        </w:rPr>
        <w:t>es</w:t>
      </w:r>
      <w:r>
        <w:rPr>
          <w:color w:val="auto"/>
        </w:rPr>
        <w:t>, legacies of cronyism, low expenditure o</w:t>
      </w:r>
      <w:r w:rsidR="008D4C57">
        <w:rPr>
          <w:color w:val="auto"/>
        </w:rPr>
        <w:t>n</w:t>
      </w:r>
      <w:r>
        <w:rPr>
          <w:color w:val="auto"/>
        </w:rPr>
        <w:t xml:space="preserve"> health and education all compound to make life </w:t>
      </w:r>
      <w:r w:rsidR="006E1644">
        <w:rPr>
          <w:color w:val="auto"/>
        </w:rPr>
        <w:t>difficult</w:t>
      </w:r>
      <w:r>
        <w:rPr>
          <w:color w:val="auto"/>
        </w:rPr>
        <w:t xml:space="preserve"> and reforms hard</w:t>
      </w:r>
      <w:r w:rsidR="00BD3B9A">
        <w:rPr>
          <w:color w:val="auto"/>
        </w:rPr>
        <w:t xml:space="preserve">. Australia’s aid program places emphasis on building the government’s capacity to </w:t>
      </w:r>
      <w:r w:rsidR="005A3AAC">
        <w:rPr>
          <w:color w:val="auto"/>
        </w:rPr>
        <w:t>improve the lives of people in Myanmar</w:t>
      </w:r>
      <w:r w:rsidR="00BD3B9A">
        <w:rPr>
          <w:color w:val="auto"/>
        </w:rPr>
        <w:t xml:space="preserve"> through education, livelihoods, economic and democratic governance </w:t>
      </w:r>
      <w:r w:rsidR="00CF5C98">
        <w:rPr>
          <w:color w:val="auto"/>
        </w:rPr>
        <w:t>efforts</w:t>
      </w:r>
      <w:r w:rsidR="00BD3B9A">
        <w:rPr>
          <w:color w:val="auto"/>
        </w:rPr>
        <w:t>, and the peace process</w:t>
      </w:r>
      <w:r w:rsidR="00663835">
        <w:rPr>
          <w:color w:val="auto"/>
        </w:rPr>
        <w:t xml:space="preserve">. </w:t>
      </w:r>
    </w:p>
    <w:p w14:paraId="5C511630" w14:textId="14D367EA" w:rsidR="008564AA" w:rsidRDefault="00E349E9" w:rsidP="00D22349">
      <w:pPr>
        <w:rPr>
          <w:color w:val="auto"/>
        </w:rPr>
      </w:pPr>
      <w:r>
        <w:rPr>
          <w:color w:val="auto"/>
        </w:rPr>
        <w:t>T</w:t>
      </w:r>
      <w:r w:rsidR="00D22349">
        <w:rPr>
          <w:color w:val="auto"/>
        </w:rPr>
        <w:t xml:space="preserve">he majority of aid investments either maintained or </w:t>
      </w:r>
      <w:r w:rsidR="00CB56DC">
        <w:rPr>
          <w:color w:val="auto"/>
        </w:rPr>
        <w:t>improved their performance</w:t>
      </w:r>
      <w:r>
        <w:rPr>
          <w:color w:val="auto"/>
        </w:rPr>
        <w:t>, since the last reporting period</w:t>
      </w:r>
      <w:r w:rsidR="00D22349">
        <w:rPr>
          <w:color w:val="auto"/>
        </w:rPr>
        <w:t>. There was a</w:t>
      </w:r>
      <w:r w:rsidR="006B2584">
        <w:rPr>
          <w:color w:val="auto"/>
        </w:rPr>
        <w:t xml:space="preserve">n </w:t>
      </w:r>
      <w:r w:rsidR="00D22349">
        <w:rPr>
          <w:color w:val="auto"/>
        </w:rPr>
        <w:t xml:space="preserve">improvement </w:t>
      </w:r>
      <w:r w:rsidR="006B2584">
        <w:rPr>
          <w:color w:val="auto"/>
        </w:rPr>
        <w:t>in the performance of the</w:t>
      </w:r>
      <w:r w:rsidR="00D22349">
        <w:rPr>
          <w:color w:val="auto"/>
        </w:rPr>
        <w:t xml:space="preserve"> democratic governance portfolio.</w:t>
      </w:r>
      <w:r w:rsidR="003E6482">
        <w:rPr>
          <w:rStyle w:val="CommentReference"/>
        </w:rPr>
        <w:t xml:space="preserve"> </w:t>
      </w:r>
      <w:r w:rsidR="003E6482">
        <w:rPr>
          <w:color w:val="auto"/>
        </w:rPr>
        <w:t xml:space="preserve">Increased </w:t>
      </w:r>
      <w:r w:rsidR="00353B71">
        <w:rPr>
          <w:color w:val="auto"/>
        </w:rPr>
        <w:t>attention to, and advocacy of</w:t>
      </w:r>
      <w:r w:rsidR="00E81F72">
        <w:rPr>
          <w:color w:val="auto"/>
        </w:rPr>
        <w:t>, gender inclusion</w:t>
      </w:r>
      <w:r w:rsidR="009372C3">
        <w:rPr>
          <w:color w:val="auto"/>
        </w:rPr>
        <w:t xml:space="preserve"> </w:t>
      </w:r>
      <w:r w:rsidR="00E81F72">
        <w:rPr>
          <w:color w:val="auto"/>
        </w:rPr>
        <w:t xml:space="preserve">across all investments </w:t>
      </w:r>
      <w:r w:rsidR="00CF5C98">
        <w:rPr>
          <w:color w:val="auto"/>
        </w:rPr>
        <w:t xml:space="preserve">and </w:t>
      </w:r>
      <w:r w:rsidR="00E81F72">
        <w:rPr>
          <w:color w:val="auto"/>
        </w:rPr>
        <w:t xml:space="preserve">sustained action by our implementing </w:t>
      </w:r>
      <w:r w:rsidR="00CF5C98">
        <w:rPr>
          <w:color w:val="auto"/>
        </w:rPr>
        <w:t>partners dramatically</w:t>
      </w:r>
      <w:r w:rsidR="008564AA">
        <w:rPr>
          <w:color w:val="auto"/>
        </w:rPr>
        <w:t xml:space="preserve"> improved </w:t>
      </w:r>
      <w:r w:rsidR="00D22349">
        <w:rPr>
          <w:color w:val="auto"/>
        </w:rPr>
        <w:t>gender ratings</w:t>
      </w:r>
      <w:r w:rsidR="00D22349" w:rsidRPr="00C87DA1">
        <w:rPr>
          <w:color w:val="auto"/>
        </w:rPr>
        <w:t xml:space="preserve">. </w:t>
      </w:r>
      <w:r w:rsidR="00F813B2">
        <w:rPr>
          <w:color w:val="auto"/>
        </w:rPr>
        <w:t>P</w:t>
      </w:r>
      <w:r w:rsidR="008564AA">
        <w:rPr>
          <w:color w:val="auto"/>
        </w:rPr>
        <w:t xml:space="preserve">rogress </w:t>
      </w:r>
      <w:r w:rsidR="00D22349">
        <w:rPr>
          <w:color w:val="auto"/>
        </w:rPr>
        <w:t>on disability</w:t>
      </w:r>
      <w:r w:rsidR="00F813B2">
        <w:rPr>
          <w:color w:val="auto"/>
        </w:rPr>
        <w:t xml:space="preserve"> could be improved</w:t>
      </w:r>
      <w:r w:rsidR="008564AA">
        <w:rPr>
          <w:color w:val="auto"/>
        </w:rPr>
        <w:t xml:space="preserve">. This will be a focus of our attention over </w:t>
      </w:r>
      <w:r w:rsidR="00962696">
        <w:rPr>
          <w:color w:val="auto"/>
        </w:rPr>
        <w:t>2019-20</w:t>
      </w:r>
      <w:r w:rsidR="008564AA">
        <w:rPr>
          <w:color w:val="auto"/>
        </w:rPr>
        <w:t xml:space="preserve">. </w:t>
      </w:r>
      <w:r w:rsidR="00D22349">
        <w:rPr>
          <w:color w:val="auto"/>
        </w:rPr>
        <w:t xml:space="preserve"> </w:t>
      </w:r>
    </w:p>
    <w:p w14:paraId="18731A4F" w14:textId="10F347D6" w:rsidR="00FD493C" w:rsidRDefault="00FD493C" w:rsidP="002A51CA">
      <w:pPr>
        <w:rPr>
          <w:color w:val="auto"/>
        </w:rPr>
      </w:pPr>
      <w:r w:rsidRPr="00FD493C">
        <w:rPr>
          <w:color w:val="auto"/>
        </w:rPr>
        <w:t xml:space="preserve">Australia’s investments in human development in Myanmar </w:t>
      </w:r>
      <w:r w:rsidR="001C45A0">
        <w:rPr>
          <w:color w:val="auto"/>
        </w:rPr>
        <w:t>are</w:t>
      </w:r>
      <w:r w:rsidRPr="00FD493C">
        <w:rPr>
          <w:color w:val="auto"/>
        </w:rPr>
        <w:t xml:space="preserve"> </w:t>
      </w:r>
      <w:r w:rsidR="004457E9">
        <w:rPr>
          <w:color w:val="auto"/>
        </w:rPr>
        <w:t>helping</w:t>
      </w:r>
      <w:r w:rsidR="004457E9" w:rsidRPr="00FD493C">
        <w:rPr>
          <w:color w:val="auto"/>
        </w:rPr>
        <w:t xml:space="preserve"> </w:t>
      </w:r>
      <w:r w:rsidR="00025AB3">
        <w:rPr>
          <w:color w:val="auto"/>
        </w:rPr>
        <w:t>to reduce</w:t>
      </w:r>
      <w:r w:rsidRPr="00FD493C">
        <w:rPr>
          <w:color w:val="auto"/>
        </w:rPr>
        <w:t xml:space="preserve"> poverty, </w:t>
      </w:r>
      <w:r w:rsidR="004457E9">
        <w:rPr>
          <w:color w:val="auto"/>
        </w:rPr>
        <w:t>grow the</w:t>
      </w:r>
      <w:r w:rsidR="004457E9" w:rsidRPr="00FD493C">
        <w:rPr>
          <w:color w:val="auto"/>
        </w:rPr>
        <w:t xml:space="preserve"> </w:t>
      </w:r>
      <w:r w:rsidRPr="00FD493C">
        <w:rPr>
          <w:color w:val="auto"/>
        </w:rPr>
        <w:t>econom</w:t>
      </w:r>
      <w:r w:rsidR="004457E9">
        <w:rPr>
          <w:color w:val="auto"/>
        </w:rPr>
        <w:t>y</w:t>
      </w:r>
      <w:r w:rsidR="006E1644">
        <w:rPr>
          <w:color w:val="auto"/>
        </w:rPr>
        <w:t>, and enhance</w:t>
      </w:r>
      <w:r w:rsidRPr="00FD493C">
        <w:rPr>
          <w:color w:val="auto"/>
        </w:rPr>
        <w:t xml:space="preserve"> stability. Our support to the education sector is providing transformational support to the children and youth of Myanmar, helping them to realise their capabilities, creating opportunities for productive lives, and fostering their ability to contribute to national peace and prosperity. Education that increases children’s ability to participate productively and meaningfully in their community is one of the best investments Australia and Myanmar can make in support of a peaceful, stable and prosperous Myanmar.</w:t>
      </w:r>
    </w:p>
    <w:p w14:paraId="32C38299" w14:textId="39542F3C" w:rsidR="005E321D" w:rsidRDefault="00353B71" w:rsidP="002A51CA">
      <w:pPr>
        <w:rPr>
          <w:color w:val="auto"/>
        </w:rPr>
      </w:pPr>
      <w:r>
        <w:rPr>
          <w:color w:val="auto"/>
        </w:rPr>
        <w:t>T</w:t>
      </w:r>
      <w:r w:rsidR="00BD206A">
        <w:rPr>
          <w:color w:val="auto"/>
        </w:rPr>
        <w:t>he Myanmar Government is</w:t>
      </w:r>
      <w:r w:rsidR="00A453F9">
        <w:rPr>
          <w:color w:val="auto"/>
        </w:rPr>
        <w:t xml:space="preserve"> </w:t>
      </w:r>
      <w:r w:rsidR="006E75AD">
        <w:rPr>
          <w:color w:val="auto"/>
        </w:rPr>
        <w:t xml:space="preserve">making </w:t>
      </w:r>
      <w:r w:rsidR="00CF5C98">
        <w:rPr>
          <w:color w:val="auto"/>
        </w:rPr>
        <w:t xml:space="preserve">headway on important </w:t>
      </w:r>
      <w:r w:rsidR="006E75AD">
        <w:rPr>
          <w:color w:val="auto"/>
        </w:rPr>
        <w:t>reform</w:t>
      </w:r>
      <w:r w:rsidR="00BD3B9A">
        <w:rPr>
          <w:color w:val="auto"/>
        </w:rPr>
        <w:t>s</w:t>
      </w:r>
      <w:r w:rsidR="00BD206A">
        <w:rPr>
          <w:color w:val="auto"/>
        </w:rPr>
        <w:t>. These include t</w:t>
      </w:r>
      <w:r w:rsidR="005C7E54">
        <w:rPr>
          <w:color w:val="auto"/>
        </w:rPr>
        <w:t>he civilianisation of the General Administration Department</w:t>
      </w:r>
      <w:r w:rsidR="00BD206A">
        <w:rPr>
          <w:color w:val="auto"/>
        </w:rPr>
        <w:t>,</w:t>
      </w:r>
      <w:r w:rsidR="00315CC9">
        <w:rPr>
          <w:color w:val="auto"/>
        </w:rPr>
        <w:t xml:space="preserve"> </w:t>
      </w:r>
      <w:r w:rsidR="005C7E54">
        <w:rPr>
          <w:color w:val="auto"/>
        </w:rPr>
        <w:t xml:space="preserve">the </w:t>
      </w:r>
      <w:r w:rsidR="00315CC9">
        <w:rPr>
          <w:color w:val="auto"/>
        </w:rPr>
        <w:t xml:space="preserve">creation of a </w:t>
      </w:r>
      <w:r w:rsidR="005C7E54">
        <w:rPr>
          <w:color w:val="auto"/>
        </w:rPr>
        <w:t xml:space="preserve">Parliamentary Committee to </w:t>
      </w:r>
      <w:r w:rsidR="00DA47BD">
        <w:rPr>
          <w:color w:val="auto"/>
        </w:rPr>
        <w:t xml:space="preserve">drive </w:t>
      </w:r>
      <w:r w:rsidR="00FB6C5D">
        <w:rPr>
          <w:color w:val="auto"/>
        </w:rPr>
        <w:t>constitut</w:t>
      </w:r>
      <w:r w:rsidR="00315CC9">
        <w:rPr>
          <w:color w:val="auto"/>
        </w:rPr>
        <w:t xml:space="preserve">ional </w:t>
      </w:r>
      <w:r w:rsidR="00DA47BD">
        <w:rPr>
          <w:color w:val="auto"/>
        </w:rPr>
        <w:t>change</w:t>
      </w:r>
      <w:r w:rsidR="00BD206A">
        <w:rPr>
          <w:color w:val="auto"/>
        </w:rPr>
        <w:t>,</w:t>
      </w:r>
      <w:r w:rsidR="005C7E54">
        <w:rPr>
          <w:color w:val="auto"/>
        </w:rPr>
        <w:t xml:space="preserve"> </w:t>
      </w:r>
      <w:r w:rsidR="00315CC9">
        <w:rPr>
          <w:color w:val="auto"/>
        </w:rPr>
        <w:t xml:space="preserve">release of </w:t>
      </w:r>
      <w:r w:rsidR="00036D2E" w:rsidRPr="00036D2E">
        <w:rPr>
          <w:color w:val="auto"/>
        </w:rPr>
        <w:t>the Myanmar Su</w:t>
      </w:r>
      <w:r w:rsidR="00CF5C98">
        <w:rPr>
          <w:color w:val="auto"/>
        </w:rPr>
        <w:t>stainab</w:t>
      </w:r>
      <w:r w:rsidR="00CB56DC">
        <w:rPr>
          <w:color w:val="auto"/>
        </w:rPr>
        <w:t>le Development Plan</w:t>
      </w:r>
      <w:r w:rsidR="00BD206A">
        <w:rPr>
          <w:color w:val="auto"/>
        </w:rPr>
        <w:t>,</w:t>
      </w:r>
      <w:r w:rsidR="00315CC9">
        <w:rPr>
          <w:color w:val="auto"/>
        </w:rPr>
        <w:t xml:space="preserve"> a major overhaul of electricity tariffs, a series of important changes to the banking sector and the reinvigoration of the National </w:t>
      </w:r>
      <w:r w:rsidR="00BD206A">
        <w:rPr>
          <w:color w:val="auto"/>
        </w:rPr>
        <w:t>Economic Coordinating Committee</w:t>
      </w:r>
      <w:r w:rsidR="00315CC9">
        <w:rPr>
          <w:color w:val="auto"/>
        </w:rPr>
        <w:t xml:space="preserve"> </w:t>
      </w:r>
      <w:r w:rsidR="00BD206A">
        <w:rPr>
          <w:color w:val="auto"/>
        </w:rPr>
        <w:t>(</w:t>
      </w:r>
      <w:r w:rsidR="00315CC9">
        <w:rPr>
          <w:color w:val="auto"/>
        </w:rPr>
        <w:t>wh</w:t>
      </w:r>
      <w:r w:rsidR="008D4C57">
        <w:rPr>
          <w:color w:val="auto"/>
        </w:rPr>
        <w:t>ich</w:t>
      </w:r>
      <w:r w:rsidR="00315CC9">
        <w:rPr>
          <w:color w:val="auto"/>
        </w:rPr>
        <w:t xml:space="preserve"> </w:t>
      </w:r>
      <w:r w:rsidR="00497FAD">
        <w:rPr>
          <w:color w:val="auto"/>
        </w:rPr>
        <w:t xml:space="preserve">the State Counsellor has </w:t>
      </w:r>
      <w:r w:rsidR="00315CC9">
        <w:rPr>
          <w:color w:val="auto"/>
        </w:rPr>
        <w:t>mandate</w:t>
      </w:r>
      <w:r w:rsidR="008D4C57">
        <w:rPr>
          <w:color w:val="auto"/>
        </w:rPr>
        <w:t>d</w:t>
      </w:r>
      <w:r w:rsidR="00315CC9">
        <w:rPr>
          <w:color w:val="auto"/>
        </w:rPr>
        <w:t xml:space="preserve"> to develop and </w:t>
      </w:r>
      <w:r w:rsidR="00D46F0F">
        <w:rPr>
          <w:color w:val="auto"/>
        </w:rPr>
        <w:t>pursue</w:t>
      </w:r>
      <w:r w:rsidR="00315CC9">
        <w:rPr>
          <w:color w:val="auto"/>
        </w:rPr>
        <w:t xml:space="preserve"> </w:t>
      </w:r>
      <w:r w:rsidR="00BD206A">
        <w:rPr>
          <w:color w:val="auto"/>
        </w:rPr>
        <w:t xml:space="preserve">critical reforms). </w:t>
      </w:r>
    </w:p>
    <w:p w14:paraId="74BA3994" w14:textId="0DCEFC4A" w:rsidR="00A453F9" w:rsidRPr="0015297D" w:rsidRDefault="00497FAD" w:rsidP="002A51CA">
      <w:pPr>
        <w:rPr>
          <w:color w:val="auto"/>
        </w:rPr>
      </w:pPr>
      <w:r>
        <w:rPr>
          <w:color w:val="auto"/>
        </w:rPr>
        <w:t>K</w:t>
      </w:r>
      <w:r w:rsidR="00DD0075" w:rsidRPr="0015297D">
        <w:rPr>
          <w:color w:val="auto"/>
        </w:rPr>
        <w:t xml:space="preserve">ey achievements </w:t>
      </w:r>
      <w:r w:rsidR="007E72EC">
        <w:rPr>
          <w:color w:val="auto"/>
        </w:rPr>
        <w:t>of</w:t>
      </w:r>
      <w:r w:rsidR="00DD0075" w:rsidRPr="0015297D">
        <w:rPr>
          <w:color w:val="auto"/>
        </w:rPr>
        <w:t xml:space="preserve"> the Australian aid program in Myanmar </w:t>
      </w:r>
      <w:r w:rsidR="006457E1">
        <w:rPr>
          <w:color w:val="auto"/>
        </w:rPr>
        <w:t xml:space="preserve">for 2018-19 </w:t>
      </w:r>
      <w:r w:rsidR="00DD0075" w:rsidRPr="0015297D">
        <w:rPr>
          <w:color w:val="auto"/>
        </w:rPr>
        <w:t>are:</w:t>
      </w:r>
    </w:p>
    <w:p w14:paraId="273FE212" w14:textId="4DFBAC61" w:rsidR="000E7F63" w:rsidRPr="0015297D" w:rsidRDefault="0015297D" w:rsidP="0015297D">
      <w:pPr>
        <w:pStyle w:val="ListParagraph"/>
        <w:numPr>
          <w:ilvl w:val="0"/>
          <w:numId w:val="38"/>
        </w:numPr>
        <w:rPr>
          <w:rFonts w:asciiTheme="minorHAnsi" w:eastAsiaTheme="minorHAnsi" w:hAnsiTheme="minorHAnsi" w:cstheme="minorBidi"/>
          <w:sz w:val="22"/>
          <w:szCs w:val="22"/>
          <w:lang w:val="en-GB"/>
        </w:rPr>
      </w:pPr>
      <w:r w:rsidRPr="0015297D">
        <w:rPr>
          <w:rFonts w:asciiTheme="minorHAnsi" w:eastAsiaTheme="minorHAnsi" w:hAnsiTheme="minorHAnsi" w:cstheme="minorBidi"/>
          <w:sz w:val="22"/>
          <w:szCs w:val="22"/>
          <w:lang w:val="en-GB"/>
        </w:rPr>
        <w:t xml:space="preserve">School grants to over </w:t>
      </w:r>
      <w:r w:rsidR="00282FAE">
        <w:rPr>
          <w:rFonts w:asciiTheme="minorHAnsi" w:eastAsiaTheme="minorHAnsi" w:hAnsiTheme="minorHAnsi" w:cstheme="minorBidi"/>
          <w:sz w:val="22"/>
          <w:szCs w:val="22"/>
          <w:lang w:val="en-GB"/>
        </w:rPr>
        <w:t>48,700</w:t>
      </w:r>
      <w:r w:rsidRPr="0015297D">
        <w:rPr>
          <w:rFonts w:asciiTheme="minorHAnsi" w:eastAsiaTheme="minorHAnsi" w:hAnsiTheme="minorHAnsi" w:cstheme="minorBidi"/>
          <w:sz w:val="22"/>
          <w:szCs w:val="22"/>
          <w:lang w:val="en-GB"/>
        </w:rPr>
        <w:t xml:space="preserve"> government and monastic schools, improving the learning environment </w:t>
      </w:r>
      <w:r w:rsidR="00A62064">
        <w:rPr>
          <w:rFonts w:asciiTheme="minorHAnsi" w:eastAsiaTheme="minorHAnsi" w:hAnsiTheme="minorHAnsi" w:cstheme="minorBidi"/>
          <w:sz w:val="22"/>
          <w:szCs w:val="22"/>
          <w:lang w:val="en-GB"/>
        </w:rPr>
        <w:t xml:space="preserve">for </w:t>
      </w:r>
      <w:r w:rsidR="00282FAE">
        <w:rPr>
          <w:rFonts w:asciiTheme="minorHAnsi" w:eastAsiaTheme="minorHAnsi" w:hAnsiTheme="minorHAnsi" w:cstheme="minorBidi"/>
          <w:sz w:val="22"/>
          <w:szCs w:val="22"/>
          <w:lang w:val="en-GB"/>
        </w:rPr>
        <w:t>nearly</w:t>
      </w:r>
      <w:r w:rsidRPr="0015297D">
        <w:rPr>
          <w:rFonts w:asciiTheme="minorHAnsi" w:eastAsiaTheme="minorHAnsi" w:hAnsiTheme="minorHAnsi" w:cstheme="minorBidi"/>
          <w:sz w:val="22"/>
          <w:szCs w:val="22"/>
          <w:lang w:val="en-GB"/>
        </w:rPr>
        <w:t xml:space="preserve"> 10 million students.</w:t>
      </w:r>
    </w:p>
    <w:p w14:paraId="5F5E7B24" w14:textId="77C04932" w:rsidR="00641D77" w:rsidRDefault="00641D77" w:rsidP="00641D77">
      <w:pPr>
        <w:pStyle w:val="ListParagraph"/>
        <w:numPr>
          <w:ilvl w:val="0"/>
          <w:numId w:val="38"/>
        </w:numPr>
        <w:rPr>
          <w:rFonts w:asciiTheme="minorHAnsi" w:eastAsiaTheme="minorHAnsi" w:hAnsiTheme="minorHAnsi" w:cstheme="minorBidi"/>
          <w:sz w:val="22"/>
          <w:szCs w:val="22"/>
          <w:lang w:val="en-GB"/>
        </w:rPr>
      </w:pPr>
      <w:r w:rsidRPr="00641D77">
        <w:rPr>
          <w:rFonts w:asciiTheme="minorHAnsi" w:eastAsiaTheme="minorHAnsi" w:hAnsiTheme="minorHAnsi" w:cstheme="minorBidi"/>
          <w:sz w:val="22"/>
          <w:szCs w:val="22"/>
          <w:lang w:val="en-GB"/>
        </w:rPr>
        <w:t>Australia’s support enabled an additional 46,432 at-risk students to access basic education (53.2 per cent girls)</w:t>
      </w:r>
      <w:r>
        <w:rPr>
          <w:rFonts w:asciiTheme="minorHAnsi" w:eastAsiaTheme="minorHAnsi" w:hAnsiTheme="minorHAnsi" w:cstheme="minorBidi"/>
          <w:sz w:val="22"/>
          <w:szCs w:val="22"/>
          <w:lang w:val="en-GB"/>
        </w:rPr>
        <w:t xml:space="preserve">, with a </w:t>
      </w:r>
      <w:r w:rsidRPr="00641D77">
        <w:rPr>
          <w:rFonts w:asciiTheme="minorHAnsi" w:eastAsiaTheme="minorHAnsi" w:hAnsiTheme="minorHAnsi" w:cstheme="minorBidi"/>
          <w:sz w:val="22"/>
          <w:szCs w:val="22"/>
          <w:lang w:val="en-GB"/>
        </w:rPr>
        <w:t>99 per cent retention of students on stipends over two academic years; 2017-18 and 2018-19</w:t>
      </w:r>
      <w:r>
        <w:rPr>
          <w:rFonts w:asciiTheme="minorHAnsi" w:eastAsiaTheme="minorHAnsi" w:hAnsiTheme="minorHAnsi" w:cstheme="minorBidi"/>
          <w:sz w:val="22"/>
          <w:szCs w:val="22"/>
          <w:lang w:val="en-GB"/>
        </w:rPr>
        <w:t>.</w:t>
      </w:r>
    </w:p>
    <w:p w14:paraId="554CC2C6" w14:textId="2BBE380B" w:rsidR="003F6117" w:rsidRPr="003E12DB" w:rsidRDefault="004457E9" w:rsidP="0015297D">
      <w:pPr>
        <w:pStyle w:val="ListParagraph"/>
        <w:numPr>
          <w:ilvl w:val="0"/>
          <w:numId w:val="38"/>
        </w:numPr>
        <w:rPr>
          <w:rFonts w:asciiTheme="minorHAnsi" w:eastAsiaTheme="minorHAnsi" w:hAnsiTheme="minorHAnsi" w:cstheme="minorBidi"/>
          <w:sz w:val="22"/>
          <w:szCs w:val="22"/>
          <w:lang w:val="en-GB"/>
        </w:rPr>
      </w:pPr>
      <w:r>
        <w:rPr>
          <w:rFonts w:ascii="Calibri Light" w:eastAsia="Calibri Light" w:hAnsi="Calibri Light"/>
          <w:sz w:val="22"/>
        </w:rPr>
        <w:t>Improved</w:t>
      </w:r>
      <w:r w:rsidR="00BD206A">
        <w:rPr>
          <w:rFonts w:ascii="Calibri Light" w:eastAsia="Calibri Light" w:hAnsi="Calibri Light"/>
          <w:sz w:val="22"/>
        </w:rPr>
        <w:t xml:space="preserve"> </w:t>
      </w:r>
      <w:r w:rsidR="003F6117">
        <w:rPr>
          <w:rFonts w:ascii="Calibri Light" w:eastAsia="Calibri Light" w:hAnsi="Calibri Light"/>
          <w:sz w:val="22"/>
          <w:szCs w:val="22"/>
        </w:rPr>
        <w:t xml:space="preserve">education </w:t>
      </w:r>
      <w:r w:rsidR="003F6117" w:rsidRPr="003E6482">
        <w:rPr>
          <w:rFonts w:ascii="Calibri Light" w:eastAsia="Calibri Light" w:hAnsi="Calibri Light"/>
          <w:sz w:val="22"/>
        </w:rPr>
        <w:t>policy</w:t>
      </w:r>
      <w:r w:rsidR="003F6117">
        <w:rPr>
          <w:rFonts w:ascii="Calibri Light" w:eastAsia="Calibri Light" w:hAnsi="Calibri Light"/>
          <w:sz w:val="22"/>
          <w:szCs w:val="22"/>
        </w:rPr>
        <w:t>,</w:t>
      </w:r>
      <w:r w:rsidR="003F6117" w:rsidRPr="003E6482">
        <w:rPr>
          <w:rFonts w:ascii="Calibri Light" w:eastAsia="Calibri Light" w:hAnsi="Calibri Light"/>
          <w:sz w:val="22"/>
        </w:rPr>
        <w:t xml:space="preserve"> planning</w:t>
      </w:r>
      <w:r w:rsidR="00DA47BD">
        <w:rPr>
          <w:rFonts w:ascii="Calibri Light" w:eastAsia="Calibri Light" w:hAnsi="Calibri Light"/>
          <w:sz w:val="22"/>
          <w:szCs w:val="22"/>
        </w:rPr>
        <w:t xml:space="preserve"> and</w:t>
      </w:r>
      <w:r w:rsidR="003F6117">
        <w:rPr>
          <w:rFonts w:ascii="Calibri Light" w:eastAsia="Calibri Light" w:hAnsi="Calibri Light"/>
          <w:sz w:val="22"/>
          <w:szCs w:val="22"/>
        </w:rPr>
        <w:t xml:space="preserve"> management</w:t>
      </w:r>
      <w:r>
        <w:rPr>
          <w:rFonts w:ascii="Calibri Light" w:eastAsia="Calibri Light" w:hAnsi="Calibri Light"/>
          <w:sz w:val="22"/>
          <w:szCs w:val="22"/>
        </w:rPr>
        <w:t>, which</w:t>
      </w:r>
      <w:r w:rsidR="00DA47BD">
        <w:rPr>
          <w:rFonts w:ascii="Calibri Light" w:eastAsia="Calibri Light" w:hAnsi="Calibri Light"/>
          <w:sz w:val="22"/>
          <w:szCs w:val="22"/>
        </w:rPr>
        <w:t xml:space="preserve"> is </w:t>
      </w:r>
      <w:r w:rsidR="003C107F">
        <w:rPr>
          <w:rFonts w:ascii="Calibri Light" w:eastAsia="Calibri Light" w:hAnsi="Calibri Light"/>
          <w:sz w:val="22"/>
          <w:szCs w:val="22"/>
        </w:rPr>
        <w:t xml:space="preserve">helping secure </w:t>
      </w:r>
      <w:r w:rsidR="00DA47BD">
        <w:rPr>
          <w:rFonts w:ascii="Calibri Light" w:eastAsia="Calibri Light" w:hAnsi="Calibri Light"/>
          <w:sz w:val="22"/>
          <w:szCs w:val="22"/>
        </w:rPr>
        <w:t xml:space="preserve">greater budget </w:t>
      </w:r>
      <w:r w:rsidR="003C107F">
        <w:rPr>
          <w:rFonts w:ascii="Calibri Light" w:eastAsia="Calibri Light" w:hAnsi="Calibri Light"/>
          <w:sz w:val="22"/>
          <w:szCs w:val="22"/>
        </w:rPr>
        <w:t>funding</w:t>
      </w:r>
      <w:r w:rsidR="00DA47BD">
        <w:rPr>
          <w:rFonts w:ascii="Calibri Light" w:eastAsia="Calibri Light" w:hAnsi="Calibri Light"/>
          <w:sz w:val="22"/>
          <w:szCs w:val="22"/>
        </w:rPr>
        <w:t xml:space="preserve"> for education, more effective</w:t>
      </w:r>
      <w:r w:rsidR="00CF5C98">
        <w:rPr>
          <w:rFonts w:ascii="Calibri Light" w:eastAsia="Calibri Light" w:hAnsi="Calibri Light"/>
          <w:sz w:val="22"/>
          <w:szCs w:val="22"/>
        </w:rPr>
        <w:t xml:space="preserve"> resource</w:t>
      </w:r>
      <w:r w:rsidR="00DA47BD">
        <w:rPr>
          <w:rFonts w:ascii="Calibri Light" w:eastAsia="Calibri Light" w:hAnsi="Calibri Light"/>
          <w:sz w:val="22"/>
          <w:szCs w:val="22"/>
        </w:rPr>
        <w:t xml:space="preserve"> allocation </w:t>
      </w:r>
      <w:r w:rsidR="00CF5C98">
        <w:rPr>
          <w:rFonts w:ascii="Calibri Light" w:eastAsia="Calibri Light" w:hAnsi="Calibri Light"/>
          <w:sz w:val="22"/>
          <w:szCs w:val="22"/>
        </w:rPr>
        <w:t>and</w:t>
      </w:r>
      <w:r w:rsidR="003F6117">
        <w:rPr>
          <w:rFonts w:ascii="Calibri Light" w:eastAsia="Calibri Light" w:hAnsi="Calibri Light"/>
          <w:sz w:val="22"/>
          <w:szCs w:val="22"/>
        </w:rPr>
        <w:t xml:space="preserve"> </w:t>
      </w:r>
      <w:r w:rsidR="00DA47BD">
        <w:rPr>
          <w:rFonts w:ascii="Calibri Light" w:eastAsia="Calibri Light" w:hAnsi="Calibri Light"/>
          <w:sz w:val="22"/>
          <w:szCs w:val="22"/>
        </w:rPr>
        <w:t xml:space="preserve">improved learning outcomes for children. </w:t>
      </w:r>
    </w:p>
    <w:p w14:paraId="3AE07599" w14:textId="230A7572" w:rsidR="003E12DB" w:rsidRPr="003E12DB" w:rsidRDefault="003E12DB" w:rsidP="003E12DB">
      <w:pPr>
        <w:pStyle w:val="ListParagraph"/>
        <w:numPr>
          <w:ilvl w:val="0"/>
          <w:numId w:val="38"/>
        </w:num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lastRenderedPageBreak/>
        <w:t>M</w:t>
      </w:r>
      <w:r w:rsidRPr="003E12DB">
        <w:rPr>
          <w:rFonts w:asciiTheme="minorHAnsi" w:eastAsiaTheme="minorHAnsi" w:hAnsiTheme="minorHAnsi" w:cstheme="minorBidi"/>
          <w:sz w:val="22"/>
          <w:szCs w:val="22"/>
          <w:lang w:val="en-GB"/>
        </w:rPr>
        <w:t>ainstreaming gender diversity and inclusion across civil service policy and systems; developing a Fair Trial Guide Book for law officers; and the development of parliamentary business plans and sitting calendars.</w:t>
      </w:r>
    </w:p>
    <w:p w14:paraId="7965124A" w14:textId="1FB9126D" w:rsidR="00D85AFB" w:rsidRPr="00D85AFB" w:rsidRDefault="004457E9" w:rsidP="00E43D3A">
      <w:pPr>
        <w:pStyle w:val="ListParagraph"/>
        <w:numPr>
          <w:ilvl w:val="0"/>
          <w:numId w:val="38"/>
        </w:numPr>
        <w:rPr>
          <w:rFonts w:asciiTheme="minorHAnsi" w:eastAsiaTheme="minorHAnsi" w:hAnsiTheme="minorHAnsi" w:cstheme="minorBidi"/>
          <w:sz w:val="22"/>
          <w:szCs w:val="22"/>
          <w:lang w:val="en-GB"/>
        </w:rPr>
      </w:pPr>
      <w:r>
        <w:rPr>
          <w:rFonts w:ascii="Calibri Light" w:eastAsia="Calibri Light" w:hAnsi="Calibri Light"/>
          <w:sz w:val="22"/>
          <w:szCs w:val="22"/>
        </w:rPr>
        <w:t>Reaching</w:t>
      </w:r>
      <w:r w:rsidR="00D85AFB" w:rsidRPr="00D85AFB">
        <w:rPr>
          <w:rFonts w:ascii="Calibri Light" w:eastAsia="Calibri Light" w:hAnsi="Calibri Light"/>
          <w:sz w:val="22"/>
          <w:szCs w:val="22"/>
        </w:rPr>
        <w:t xml:space="preserve"> 263,513 </w:t>
      </w:r>
      <w:r w:rsidR="00D85AFB">
        <w:rPr>
          <w:rFonts w:ascii="Calibri Light" w:eastAsia="Calibri Light" w:hAnsi="Calibri Light"/>
          <w:sz w:val="22"/>
          <w:szCs w:val="22"/>
        </w:rPr>
        <w:t xml:space="preserve">vulnerable </w:t>
      </w:r>
      <w:r w:rsidR="00D85AFB" w:rsidRPr="00D85AFB">
        <w:rPr>
          <w:rFonts w:ascii="Calibri Light" w:eastAsia="Calibri Light" w:hAnsi="Calibri Light"/>
          <w:sz w:val="22"/>
          <w:szCs w:val="22"/>
        </w:rPr>
        <w:t xml:space="preserve">women, men, girls and boys, </w:t>
      </w:r>
      <w:r w:rsidR="00025AB3">
        <w:rPr>
          <w:rFonts w:ascii="Calibri Light" w:eastAsia="Calibri Light" w:hAnsi="Calibri Light"/>
          <w:sz w:val="22"/>
          <w:szCs w:val="22"/>
        </w:rPr>
        <w:t xml:space="preserve">with humanitarian assistance, </w:t>
      </w:r>
      <w:r w:rsidR="00D85AFB" w:rsidRPr="00D85AFB">
        <w:rPr>
          <w:rFonts w:ascii="Calibri Light" w:eastAsia="Calibri Light" w:hAnsi="Calibri Light"/>
          <w:sz w:val="22"/>
          <w:szCs w:val="22"/>
        </w:rPr>
        <w:t xml:space="preserve">exceeding </w:t>
      </w:r>
      <w:r w:rsidR="00D85AFB">
        <w:rPr>
          <w:rFonts w:ascii="Calibri Light" w:eastAsia="Calibri Light" w:hAnsi="Calibri Light"/>
          <w:sz w:val="22"/>
          <w:szCs w:val="22"/>
        </w:rPr>
        <w:t>the</w:t>
      </w:r>
      <w:r w:rsidR="00D85AFB" w:rsidRPr="00D85AFB">
        <w:rPr>
          <w:rFonts w:ascii="Calibri Light" w:eastAsia="Calibri Light" w:hAnsi="Calibri Light"/>
          <w:sz w:val="22"/>
          <w:szCs w:val="22"/>
        </w:rPr>
        <w:t xml:space="preserve"> target by nearly 6 per cent. </w:t>
      </w:r>
    </w:p>
    <w:p w14:paraId="41F1FA4C" w14:textId="67F643C5" w:rsidR="00E43D3A" w:rsidRPr="00E635BB" w:rsidRDefault="00E1697C" w:rsidP="00E635BB">
      <w:pPr>
        <w:pStyle w:val="ListParagraph"/>
        <w:numPr>
          <w:ilvl w:val="0"/>
          <w:numId w:val="38"/>
        </w:numPr>
        <w:rPr>
          <w:rFonts w:asciiTheme="minorHAnsi" w:eastAsiaTheme="minorHAnsi" w:hAnsiTheme="minorHAnsi"/>
          <w:sz w:val="22"/>
          <w:lang w:val="en-GB"/>
        </w:rPr>
      </w:pPr>
      <w:r w:rsidRPr="00E635BB">
        <w:rPr>
          <w:rFonts w:asciiTheme="minorHAnsi" w:eastAsiaTheme="minorHAnsi" w:hAnsiTheme="minorHAnsi" w:cstheme="minorBidi"/>
          <w:sz w:val="22"/>
          <w:szCs w:val="22"/>
          <w:lang w:val="en-GB"/>
        </w:rPr>
        <w:t>Enabling i</w:t>
      </w:r>
      <w:r w:rsidR="00E43D3A" w:rsidRPr="00E635BB">
        <w:rPr>
          <w:rFonts w:asciiTheme="minorHAnsi" w:eastAsiaTheme="minorHAnsi" w:hAnsiTheme="minorHAnsi" w:cstheme="minorBidi"/>
          <w:sz w:val="22"/>
          <w:szCs w:val="22"/>
          <w:lang w:val="en-GB"/>
        </w:rPr>
        <w:t>ncome increases for 22,146 households (</w:t>
      </w:r>
      <w:r w:rsidR="008D4C57" w:rsidRPr="00E635BB">
        <w:rPr>
          <w:rFonts w:asciiTheme="minorHAnsi" w:eastAsiaTheme="minorHAnsi" w:hAnsiTheme="minorHAnsi" w:cstheme="minorBidi"/>
          <w:sz w:val="22"/>
          <w:szCs w:val="22"/>
          <w:lang w:val="en-GB"/>
        </w:rPr>
        <w:t>15 per cent</w:t>
      </w:r>
      <w:r w:rsidR="00E43D3A" w:rsidRPr="00E635BB">
        <w:rPr>
          <w:rFonts w:asciiTheme="minorHAnsi" w:eastAsiaTheme="minorHAnsi" w:hAnsiTheme="minorHAnsi" w:cstheme="minorBidi"/>
          <w:sz w:val="22"/>
          <w:szCs w:val="22"/>
          <w:lang w:val="en-GB"/>
        </w:rPr>
        <w:t xml:space="preserve"> female-headed) and access to finance for over </w:t>
      </w:r>
      <w:r w:rsidR="00E635BB" w:rsidRPr="00E635BB">
        <w:rPr>
          <w:rFonts w:asciiTheme="minorHAnsi" w:eastAsiaTheme="minorHAnsi" w:hAnsiTheme="minorHAnsi" w:cstheme="minorBidi"/>
          <w:sz w:val="22"/>
          <w:szCs w:val="22"/>
          <w:lang w:val="en-GB"/>
        </w:rPr>
        <w:t xml:space="preserve">41,981 </w:t>
      </w:r>
      <w:r w:rsidR="00E43D3A" w:rsidRPr="00E635BB">
        <w:rPr>
          <w:rFonts w:asciiTheme="minorHAnsi" w:eastAsiaTheme="minorHAnsi" w:hAnsiTheme="minorHAnsi" w:cstheme="minorBidi"/>
          <w:sz w:val="22"/>
          <w:szCs w:val="22"/>
          <w:lang w:val="en-GB"/>
        </w:rPr>
        <w:t xml:space="preserve">clients (91 per cent women).  </w:t>
      </w:r>
    </w:p>
    <w:p w14:paraId="7653F9F4" w14:textId="7F6BB8F0" w:rsidR="00E43D3A" w:rsidRDefault="00C90B48" w:rsidP="00E43D3A">
      <w:pPr>
        <w:pStyle w:val="ListParagraph"/>
        <w:numPr>
          <w:ilvl w:val="0"/>
          <w:numId w:val="38"/>
        </w:numPr>
        <w:rPr>
          <w:rFonts w:asciiTheme="minorHAnsi" w:eastAsiaTheme="minorHAnsi" w:hAnsiTheme="minorHAnsi"/>
          <w:sz w:val="22"/>
          <w:lang w:val="en-GB"/>
        </w:rPr>
      </w:pPr>
      <w:r>
        <w:rPr>
          <w:rFonts w:asciiTheme="minorHAnsi" w:eastAsiaTheme="minorHAnsi" w:hAnsiTheme="minorHAnsi" w:cstheme="minorBidi"/>
          <w:sz w:val="22"/>
          <w:szCs w:val="22"/>
          <w:lang w:val="en-GB"/>
        </w:rPr>
        <w:t>A</w:t>
      </w:r>
      <w:r w:rsidR="00CB6C7A" w:rsidRPr="009B573C">
        <w:rPr>
          <w:rFonts w:asciiTheme="minorHAnsi" w:eastAsiaTheme="minorHAnsi" w:hAnsiTheme="minorHAnsi"/>
          <w:sz w:val="22"/>
          <w:lang w:val="en-GB"/>
        </w:rPr>
        <w:t xml:space="preserve"> 70 per cent reduction in the number of products </w:t>
      </w:r>
      <w:r w:rsidRPr="00F85CB4">
        <w:rPr>
          <w:rFonts w:asciiTheme="minorHAnsi" w:eastAsiaTheme="minorHAnsi" w:hAnsiTheme="minorHAnsi" w:cstheme="minorBidi"/>
          <w:sz w:val="22"/>
          <w:szCs w:val="22"/>
          <w:lang w:val="en-GB"/>
        </w:rPr>
        <w:t>requiring export licences</w:t>
      </w:r>
      <w:r w:rsidR="008D4C57">
        <w:rPr>
          <w:rFonts w:asciiTheme="minorHAnsi" w:eastAsiaTheme="minorHAnsi" w:hAnsiTheme="minorHAnsi" w:cstheme="minorBidi"/>
          <w:sz w:val="22"/>
          <w:szCs w:val="22"/>
          <w:lang w:val="en-GB"/>
        </w:rPr>
        <w:t>, and</w:t>
      </w:r>
      <w:r w:rsidRPr="00F85CB4">
        <w:rPr>
          <w:rFonts w:asciiTheme="minorHAnsi" w:eastAsiaTheme="minorHAnsi" w:hAnsiTheme="minorHAnsi" w:cstheme="minorBidi"/>
          <w:sz w:val="22"/>
          <w:szCs w:val="22"/>
          <w:lang w:val="en-GB"/>
        </w:rPr>
        <w:t xml:space="preserve"> </w:t>
      </w:r>
      <w:r>
        <w:rPr>
          <w:rFonts w:asciiTheme="minorHAnsi" w:eastAsiaTheme="minorHAnsi" w:hAnsiTheme="minorHAnsi" w:cstheme="minorBidi"/>
          <w:sz w:val="22"/>
          <w:szCs w:val="22"/>
          <w:lang w:val="en-GB"/>
        </w:rPr>
        <w:t>halving</w:t>
      </w:r>
      <w:r w:rsidR="00CB6C7A" w:rsidRPr="009B573C">
        <w:rPr>
          <w:rFonts w:asciiTheme="minorHAnsi" w:eastAsiaTheme="minorHAnsi" w:hAnsiTheme="minorHAnsi"/>
          <w:sz w:val="22"/>
          <w:lang w:val="en-GB"/>
        </w:rPr>
        <w:t xml:space="preserve"> </w:t>
      </w:r>
      <w:r w:rsidR="00CF5C98">
        <w:rPr>
          <w:rFonts w:asciiTheme="minorHAnsi" w:eastAsiaTheme="minorHAnsi" w:hAnsiTheme="minorHAnsi"/>
          <w:sz w:val="22"/>
          <w:lang w:val="en-GB"/>
        </w:rPr>
        <w:t xml:space="preserve">of </w:t>
      </w:r>
      <w:r w:rsidR="00CB6C7A" w:rsidRPr="009B573C">
        <w:rPr>
          <w:rFonts w:asciiTheme="minorHAnsi" w:eastAsiaTheme="minorHAnsi" w:hAnsiTheme="minorHAnsi"/>
          <w:sz w:val="22"/>
          <w:lang w:val="en-GB"/>
        </w:rPr>
        <w:t>fees for company registration</w:t>
      </w:r>
      <w:r w:rsidRPr="00AC0B09">
        <w:rPr>
          <w:rFonts w:asciiTheme="minorHAnsi" w:eastAsiaTheme="minorHAnsi" w:hAnsiTheme="minorHAnsi"/>
          <w:sz w:val="22"/>
          <w:lang w:val="en-GB"/>
        </w:rPr>
        <w:t>.</w:t>
      </w:r>
    </w:p>
    <w:p w14:paraId="62A2D95A" w14:textId="7D58F63B" w:rsidR="00583604" w:rsidRPr="00583604" w:rsidRDefault="00583604" w:rsidP="00583604">
      <w:pPr>
        <w:pStyle w:val="ListParagraph"/>
        <w:numPr>
          <w:ilvl w:val="0"/>
          <w:numId w:val="38"/>
        </w:numPr>
        <w:rPr>
          <w:rFonts w:asciiTheme="minorHAnsi" w:eastAsiaTheme="minorHAnsi" w:hAnsiTheme="minorHAnsi"/>
          <w:sz w:val="22"/>
          <w:lang w:val="en-GB"/>
        </w:rPr>
      </w:pPr>
      <w:r w:rsidRPr="00583604">
        <w:rPr>
          <w:rFonts w:asciiTheme="minorHAnsi" w:eastAsiaTheme="minorHAnsi" w:hAnsiTheme="minorHAnsi"/>
          <w:sz w:val="22"/>
          <w:lang w:val="en-GB"/>
        </w:rPr>
        <w:t>An increase from 17 per cent to 21 per cent participation of women in Myanmar’s formal peace process, contributing to a stronger women, peace, and security agenda in Myanmar</w:t>
      </w:r>
      <w:r>
        <w:rPr>
          <w:rFonts w:asciiTheme="minorHAnsi" w:eastAsiaTheme="minorHAnsi" w:hAnsiTheme="minorHAnsi"/>
          <w:sz w:val="22"/>
          <w:lang w:val="en-GB"/>
        </w:rPr>
        <w:t>.</w:t>
      </w:r>
    </w:p>
    <w:p w14:paraId="77BEF384" w14:textId="2A17AC09" w:rsidR="00C6626C" w:rsidRPr="00C61187" w:rsidRDefault="00D7713F" w:rsidP="00D7713F">
      <w:pPr>
        <w:pStyle w:val="ListBullet"/>
        <w:tabs>
          <w:tab w:val="clear" w:pos="284"/>
        </w:tabs>
        <w:spacing w:before="360" w:line="300" w:lineRule="exact"/>
        <w:rPr>
          <w:kern w:val="28"/>
        </w:rPr>
      </w:pPr>
      <w:r>
        <w:rPr>
          <w:rFonts w:asciiTheme="majorHAnsi" w:eastAsiaTheme="majorEastAsia" w:hAnsiTheme="majorHAnsi" w:cstheme="majorBidi"/>
          <w:caps/>
          <w:color w:val="495965" w:themeColor="text2"/>
          <w:sz w:val="38"/>
          <w:szCs w:val="26"/>
          <w:lang w:val="en-GB" w:eastAsia="en-US"/>
        </w:rPr>
        <w:t xml:space="preserve">Context </w:t>
      </w:r>
    </w:p>
    <w:p w14:paraId="7390F8F9" w14:textId="6699DF52" w:rsidR="0008607A" w:rsidRDefault="0008607A" w:rsidP="003C0B4A">
      <w:pPr>
        <w:rPr>
          <w:color w:val="auto"/>
        </w:rPr>
      </w:pPr>
      <w:r w:rsidRPr="009B573C">
        <w:rPr>
          <w:color w:val="auto"/>
        </w:rPr>
        <w:t xml:space="preserve">Myanmar’s </w:t>
      </w:r>
      <w:r w:rsidR="005A7545">
        <w:rPr>
          <w:color w:val="auto"/>
        </w:rPr>
        <w:t>multiple</w:t>
      </w:r>
      <w:r w:rsidRPr="00964C03">
        <w:rPr>
          <w:color w:val="auto"/>
        </w:rPr>
        <w:t xml:space="preserve"> </w:t>
      </w:r>
      <w:r w:rsidRPr="009B573C">
        <w:rPr>
          <w:color w:val="auto"/>
        </w:rPr>
        <w:t>transitions are occurring in a complex context</w:t>
      </w:r>
      <w:r w:rsidR="008D4C57">
        <w:rPr>
          <w:color w:val="auto"/>
        </w:rPr>
        <w:t>.</w:t>
      </w:r>
      <w:r w:rsidRPr="009B573C">
        <w:rPr>
          <w:color w:val="auto"/>
        </w:rPr>
        <w:t xml:space="preserve"> </w:t>
      </w:r>
      <w:r w:rsidR="008D4C57">
        <w:rPr>
          <w:color w:val="auto"/>
        </w:rPr>
        <w:t>H</w:t>
      </w:r>
      <w:r w:rsidRPr="009B573C">
        <w:rPr>
          <w:color w:val="auto"/>
        </w:rPr>
        <w:t xml:space="preserve">igh concentrations of poverty in rural areas contrast with accelerating development in urban </w:t>
      </w:r>
      <w:r w:rsidR="00CF5C98" w:rsidRPr="0008607A">
        <w:rPr>
          <w:color w:val="auto"/>
        </w:rPr>
        <w:t>centres</w:t>
      </w:r>
      <w:r w:rsidR="008D4C57">
        <w:rPr>
          <w:color w:val="auto"/>
        </w:rPr>
        <w:t>.</w:t>
      </w:r>
      <w:r w:rsidRPr="009B573C">
        <w:rPr>
          <w:color w:val="auto"/>
        </w:rPr>
        <w:t xml:space="preserve"> </w:t>
      </w:r>
      <w:r w:rsidR="00D46F0F">
        <w:rPr>
          <w:color w:val="auto"/>
        </w:rPr>
        <w:t>Civil</w:t>
      </w:r>
      <w:r w:rsidR="00D46F0F" w:rsidRPr="009B573C">
        <w:rPr>
          <w:color w:val="auto"/>
        </w:rPr>
        <w:t xml:space="preserve"> </w:t>
      </w:r>
      <w:r w:rsidRPr="009B573C">
        <w:rPr>
          <w:color w:val="auto"/>
        </w:rPr>
        <w:t xml:space="preserve">conflict </w:t>
      </w:r>
      <w:r w:rsidR="00CB6C7A">
        <w:rPr>
          <w:color w:val="auto"/>
        </w:rPr>
        <w:t>continues</w:t>
      </w:r>
      <w:r w:rsidR="008D4C57">
        <w:rPr>
          <w:color w:val="auto"/>
        </w:rPr>
        <w:t>.</w:t>
      </w:r>
      <w:r w:rsidRPr="00AC0B09">
        <w:rPr>
          <w:color w:val="auto"/>
        </w:rPr>
        <w:t xml:space="preserve"> </w:t>
      </w:r>
      <w:r w:rsidR="00E8574A">
        <w:rPr>
          <w:color w:val="auto"/>
        </w:rPr>
        <w:t xml:space="preserve">Myanmar is slowly shedding the vestiges of 50 years of military rule, of a command </w:t>
      </w:r>
      <w:r w:rsidR="0064063E">
        <w:rPr>
          <w:color w:val="auto"/>
        </w:rPr>
        <w:t xml:space="preserve">economy and an </w:t>
      </w:r>
      <w:r w:rsidR="0064063E" w:rsidRPr="00A06040">
        <w:rPr>
          <w:color w:val="auto"/>
        </w:rPr>
        <w:t>antipathetic</w:t>
      </w:r>
      <w:r w:rsidR="0064063E">
        <w:rPr>
          <w:color w:val="auto"/>
        </w:rPr>
        <w:t xml:space="preserve"> relationship between citizen and state. </w:t>
      </w:r>
      <w:r w:rsidR="007E72EC">
        <w:rPr>
          <w:color w:val="auto"/>
        </w:rPr>
        <w:t>There is</w:t>
      </w:r>
      <w:r w:rsidRPr="00AC0B09">
        <w:rPr>
          <w:color w:val="auto"/>
        </w:rPr>
        <w:t xml:space="preserve"> a tentative recognition of the benefits of integration into the global trading system</w:t>
      </w:r>
      <w:r w:rsidR="007E72EC">
        <w:rPr>
          <w:color w:val="auto"/>
        </w:rPr>
        <w:t>, but only slow progress to that end has been made</w:t>
      </w:r>
      <w:r w:rsidRPr="00AC0B09">
        <w:rPr>
          <w:color w:val="auto"/>
        </w:rPr>
        <w:t>.</w:t>
      </w:r>
      <w:r>
        <w:rPr>
          <w:color w:val="auto"/>
        </w:rPr>
        <w:t xml:space="preserve"> </w:t>
      </w:r>
      <w:r w:rsidR="00EA181F">
        <w:rPr>
          <w:color w:val="auto"/>
        </w:rPr>
        <w:t xml:space="preserve">Myanmar </w:t>
      </w:r>
      <w:r w:rsidR="003C0B4A">
        <w:rPr>
          <w:color w:val="auto"/>
        </w:rPr>
        <w:t xml:space="preserve">is </w:t>
      </w:r>
      <w:r>
        <w:rPr>
          <w:color w:val="auto"/>
        </w:rPr>
        <w:t xml:space="preserve">one of </w:t>
      </w:r>
      <w:r w:rsidR="003C0B4A">
        <w:rPr>
          <w:color w:val="auto"/>
        </w:rPr>
        <w:t xml:space="preserve">the top 10 </w:t>
      </w:r>
      <w:r w:rsidR="00EA181F">
        <w:rPr>
          <w:color w:val="auto"/>
        </w:rPr>
        <w:t xml:space="preserve">global </w:t>
      </w:r>
      <w:r w:rsidR="003C0B4A">
        <w:rPr>
          <w:color w:val="auto"/>
        </w:rPr>
        <w:t xml:space="preserve">growth performers, </w:t>
      </w:r>
      <w:r w:rsidR="00B70C3A">
        <w:rPr>
          <w:color w:val="auto"/>
        </w:rPr>
        <w:t xml:space="preserve">yet over </w:t>
      </w:r>
      <w:r w:rsidR="008D4C57">
        <w:rPr>
          <w:color w:val="auto"/>
        </w:rPr>
        <w:t>one-</w:t>
      </w:r>
      <w:r w:rsidR="00B70C3A">
        <w:rPr>
          <w:color w:val="auto"/>
        </w:rPr>
        <w:t>third</w:t>
      </w:r>
      <w:r w:rsidR="003C0B4A">
        <w:rPr>
          <w:color w:val="auto"/>
        </w:rPr>
        <w:t xml:space="preserve"> of Myanmar’s population</w:t>
      </w:r>
      <w:r w:rsidR="00B70C3A">
        <w:rPr>
          <w:color w:val="auto"/>
        </w:rPr>
        <w:t>, mainly</w:t>
      </w:r>
      <w:r w:rsidR="003C0B4A">
        <w:rPr>
          <w:color w:val="auto"/>
        </w:rPr>
        <w:t xml:space="preserve"> </w:t>
      </w:r>
      <w:r w:rsidR="001069BF">
        <w:rPr>
          <w:color w:val="auto"/>
        </w:rPr>
        <w:t>in rural locations</w:t>
      </w:r>
      <w:r w:rsidR="00B70C3A">
        <w:rPr>
          <w:color w:val="auto"/>
        </w:rPr>
        <w:t>,</w:t>
      </w:r>
      <w:r w:rsidR="001069BF">
        <w:rPr>
          <w:color w:val="auto"/>
        </w:rPr>
        <w:t xml:space="preserve"> </w:t>
      </w:r>
      <w:r w:rsidR="003C0B4A">
        <w:rPr>
          <w:color w:val="auto"/>
        </w:rPr>
        <w:t>rema</w:t>
      </w:r>
      <w:r w:rsidR="001069BF">
        <w:rPr>
          <w:color w:val="auto"/>
        </w:rPr>
        <w:t>in</w:t>
      </w:r>
      <w:r w:rsidR="00B70C3A">
        <w:rPr>
          <w:color w:val="auto"/>
        </w:rPr>
        <w:t xml:space="preserve"> in </w:t>
      </w:r>
      <w:r w:rsidR="003C0B4A">
        <w:rPr>
          <w:color w:val="auto"/>
        </w:rPr>
        <w:t>poverty</w:t>
      </w:r>
      <w:r w:rsidR="00B70C3A">
        <w:rPr>
          <w:color w:val="auto"/>
        </w:rPr>
        <w:t xml:space="preserve"> </w:t>
      </w:r>
      <w:r w:rsidR="008D4C57">
        <w:rPr>
          <w:color w:val="auto"/>
        </w:rPr>
        <w:t>with</w:t>
      </w:r>
      <w:r w:rsidR="00B70C3A">
        <w:rPr>
          <w:color w:val="auto"/>
        </w:rPr>
        <w:t xml:space="preserve"> 6.2 per cent in extreme poverty</w:t>
      </w:r>
      <w:r w:rsidR="007A44CA">
        <w:rPr>
          <w:color w:val="auto"/>
        </w:rPr>
        <w:t xml:space="preserve"> and the </w:t>
      </w:r>
      <w:r w:rsidR="005B2A01">
        <w:rPr>
          <w:color w:val="auto"/>
        </w:rPr>
        <w:t>mortality rate for children under five</w:t>
      </w:r>
      <w:r w:rsidR="007A44CA">
        <w:rPr>
          <w:color w:val="auto"/>
        </w:rPr>
        <w:t xml:space="preserve"> </w:t>
      </w:r>
      <w:r w:rsidR="00E1697C">
        <w:rPr>
          <w:color w:val="auto"/>
        </w:rPr>
        <w:t>at</w:t>
      </w:r>
      <w:r w:rsidR="007A44CA">
        <w:rPr>
          <w:color w:val="auto"/>
        </w:rPr>
        <w:t xml:space="preserve"> 4</w:t>
      </w:r>
      <w:r w:rsidR="009A710B">
        <w:rPr>
          <w:color w:val="auto"/>
        </w:rPr>
        <w:t>8.6</w:t>
      </w:r>
      <w:r w:rsidR="007A44CA">
        <w:rPr>
          <w:color w:val="auto"/>
        </w:rPr>
        <w:t xml:space="preserve"> per 1,000 live births</w:t>
      </w:r>
      <w:r w:rsidR="00663835">
        <w:rPr>
          <w:color w:val="auto"/>
        </w:rPr>
        <w:t xml:space="preserve"> (</w:t>
      </w:r>
      <w:r w:rsidR="004400E0">
        <w:rPr>
          <w:color w:val="auto"/>
        </w:rPr>
        <w:t xml:space="preserve">World Bank, </w:t>
      </w:r>
      <w:r w:rsidR="00EF25FB">
        <w:rPr>
          <w:color w:val="auto"/>
        </w:rPr>
        <w:t>2018)</w:t>
      </w:r>
      <w:r w:rsidR="00642CAC" w:rsidRPr="00642CAC">
        <w:rPr>
          <w:color w:val="auto"/>
        </w:rPr>
        <w:t xml:space="preserve">. </w:t>
      </w:r>
    </w:p>
    <w:p w14:paraId="405A6B97" w14:textId="17BD982A" w:rsidR="00CF3BE0" w:rsidRPr="00661272" w:rsidRDefault="00CF3BE0" w:rsidP="00411B8D">
      <w:pPr>
        <w:rPr>
          <w:color w:val="auto"/>
        </w:rPr>
      </w:pPr>
      <w:r w:rsidRPr="00661272">
        <w:rPr>
          <w:color w:val="auto"/>
        </w:rPr>
        <w:t xml:space="preserve">Myanmar is an important partner for Australia. </w:t>
      </w:r>
      <w:r w:rsidR="00A50100">
        <w:rPr>
          <w:color w:val="auto"/>
        </w:rPr>
        <w:t>Australia’s engagement with Myanmar</w:t>
      </w:r>
      <w:r w:rsidRPr="00661272">
        <w:rPr>
          <w:color w:val="auto"/>
        </w:rPr>
        <w:t xml:space="preserve"> </w:t>
      </w:r>
      <w:r w:rsidR="00A50100">
        <w:rPr>
          <w:color w:val="auto"/>
        </w:rPr>
        <w:t xml:space="preserve">aligns with </w:t>
      </w:r>
      <w:r w:rsidRPr="00661272">
        <w:rPr>
          <w:color w:val="auto"/>
        </w:rPr>
        <w:t>Australia’s Foreign Policy White Paper</w:t>
      </w:r>
      <w:r w:rsidR="00A50100">
        <w:rPr>
          <w:color w:val="auto"/>
        </w:rPr>
        <w:t xml:space="preserve"> priorities</w:t>
      </w:r>
      <w:r w:rsidRPr="00661272">
        <w:rPr>
          <w:color w:val="auto"/>
        </w:rPr>
        <w:t xml:space="preserve">, </w:t>
      </w:r>
      <w:r w:rsidR="00A50100">
        <w:rPr>
          <w:color w:val="auto"/>
        </w:rPr>
        <w:t xml:space="preserve">including </w:t>
      </w:r>
      <w:r w:rsidR="00CF5C98">
        <w:rPr>
          <w:color w:val="auto"/>
        </w:rPr>
        <w:t>the</w:t>
      </w:r>
      <w:r w:rsidR="00C90B48">
        <w:rPr>
          <w:color w:val="auto"/>
        </w:rPr>
        <w:t xml:space="preserve"> </w:t>
      </w:r>
      <w:r w:rsidRPr="00661272">
        <w:rPr>
          <w:color w:val="auto"/>
        </w:rPr>
        <w:t xml:space="preserve">promotion of </w:t>
      </w:r>
      <w:r w:rsidR="00025AB3">
        <w:rPr>
          <w:color w:val="auto"/>
        </w:rPr>
        <w:t xml:space="preserve">a prosperous and stable Indo-Pacific region, </w:t>
      </w:r>
      <w:r w:rsidRPr="00661272">
        <w:rPr>
          <w:color w:val="auto"/>
        </w:rPr>
        <w:t xml:space="preserve">liberal democratic principles and rules-based norms. </w:t>
      </w:r>
      <w:r w:rsidR="00EF25FB">
        <w:rPr>
          <w:color w:val="auto"/>
        </w:rPr>
        <w:t xml:space="preserve">Our </w:t>
      </w:r>
      <w:r w:rsidRPr="00661272">
        <w:rPr>
          <w:color w:val="auto"/>
        </w:rPr>
        <w:t>Aid Investment Plan 2015-2020 (AIP)</w:t>
      </w:r>
      <w:r w:rsidR="00EF25FB">
        <w:rPr>
          <w:color w:val="auto"/>
        </w:rPr>
        <w:t xml:space="preserve"> shapes </w:t>
      </w:r>
      <w:r w:rsidR="0072348C">
        <w:rPr>
          <w:color w:val="auto"/>
        </w:rPr>
        <w:t xml:space="preserve">our </w:t>
      </w:r>
      <w:r w:rsidR="00025AB3">
        <w:rPr>
          <w:color w:val="auto"/>
        </w:rPr>
        <w:t xml:space="preserve">aid </w:t>
      </w:r>
      <w:r w:rsidR="0072348C">
        <w:rPr>
          <w:color w:val="auto"/>
        </w:rPr>
        <w:t>efforts</w:t>
      </w:r>
      <w:r w:rsidR="00025AB3">
        <w:rPr>
          <w:color w:val="auto"/>
        </w:rPr>
        <w:t xml:space="preserve"> and</w:t>
      </w:r>
      <w:r w:rsidR="00EF25FB">
        <w:rPr>
          <w:color w:val="auto"/>
        </w:rPr>
        <w:t xml:space="preserve"> </w:t>
      </w:r>
      <w:r w:rsidRPr="00661272">
        <w:rPr>
          <w:color w:val="auto"/>
        </w:rPr>
        <w:t>identifies the</w:t>
      </w:r>
      <w:r w:rsidR="00025AB3">
        <w:rPr>
          <w:color w:val="auto"/>
        </w:rPr>
        <w:t>ir</w:t>
      </w:r>
      <w:r w:rsidRPr="00661272">
        <w:rPr>
          <w:color w:val="auto"/>
        </w:rPr>
        <w:t xml:space="preserve"> overarching </w:t>
      </w:r>
      <w:r w:rsidR="0072348C" w:rsidRPr="00661272">
        <w:rPr>
          <w:color w:val="auto"/>
        </w:rPr>
        <w:t>goal</w:t>
      </w:r>
      <w:r w:rsidR="00025AB3">
        <w:rPr>
          <w:color w:val="auto"/>
        </w:rPr>
        <w:t xml:space="preserve"> </w:t>
      </w:r>
      <w:r w:rsidR="00EF25FB">
        <w:rPr>
          <w:color w:val="auto"/>
        </w:rPr>
        <w:t>-</w:t>
      </w:r>
      <w:r w:rsidR="00EF25FB" w:rsidRPr="00661272">
        <w:rPr>
          <w:color w:val="auto"/>
        </w:rPr>
        <w:t xml:space="preserve"> </w:t>
      </w:r>
      <w:r w:rsidRPr="009B573C">
        <w:rPr>
          <w:i/>
          <w:color w:val="auto"/>
        </w:rPr>
        <w:t>supporting Myanmar’s political, social and economic reform</w:t>
      </w:r>
      <w:r w:rsidR="00EF25FB" w:rsidRPr="00AC0B09">
        <w:rPr>
          <w:i/>
          <w:color w:val="auto"/>
        </w:rPr>
        <w:t>s</w:t>
      </w:r>
      <w:r w:rsidRPr="00661272">
        <w:rPr>
          <w:color w:val="auto"/>
        </w:rPr>
        <w:t>.</w:t>
      </w:r>
      <w:r w:rsidR="00EF25FB">
        <w:rPr>
          <w:color w:val="auto"/>
        </w:rPr>
        <w:t xml:space="preserve"> </w:t>
      </w:r>
      <w:r w:rsidR="001B4B55">
        <w:rPr>
          <w:color w:val="auto"/>
        </w:rPr>
        <w:t>DFAT will publish a new AIP for Myanmar in 2020</w:t>
      </w:r>
      <w:r w:rsidR="00EF25FB">
        <w:rPr>
          <w:color w:val="auto"/>
        </w:rPr>
        <w:t xml:space="preserve">. </w:t>
      </w:r>
      <w:r w:rsidR="002A3094">
        <w:rPr>
          <w:color w:val="auto"/>
        </w:rPr>
        <w:t xml:space="preserve">The release </w:t>
      </w:r>
      <w:r w:rsidR="0072348C">
        <w:rPr>
          <w:color w:val="auto"/>
        </w:rPr>
        <w:t xml:space="preserve">in late 2018 </w:t>
      </w:r>
      <w:r w:rsidR="002A3094">
        <w:rPr>
          <w:color w:val="auto"/>
        </w:rPr>
        <w:t>of the Myanmar</w:t>
      </w:r>
      <w:r w:rsidRPr="00661272">
        <w:rPr>
          <w:color w:val="auto"/>
        </w:rPr>
        <w:t xml:space="preserve"> </w:t>
      </w:r>
      <w:r w:rsidR="002A3094">
        <w:rPr>
          <w:color w:val="auto"/>
        </w:rPr>
        <w:t xml:space="preserve">Sustainable Development Plan </w:t>
      </w:r>
      <w:r w:rsidR="008D4C57">
        <w:rPr>
          <w:color w:val="auto"/>
        </w:rPr>
        <w:t xml:space="preserve">(MSDP) </w:t>
      </w:r>
      <w:r w:rsidR="00EF25FB">
        <w:rPr>
          <w:color w:val="auto"/>
        </w:rPr>
        <w:t xml:space="preserve">provides a clear </w:t>
      </w:r>
      <w:r w:rsidR="00C90B48">
        <w:rPr>
          <w:color w:val="auto"/>
        </w:rPr>
        <w:t>statement</w:t>
      </w:r>
      <w:r w:rsidR="005A7545">
        <w:rPr>
          <w:color w:val="auto"/>
        </w:rPr>
        <w:t xml:space="preserve"> of the </w:t>
      </w:r>
      <w:r w:rsidR="00EF25FB">
        <w:rPr>
          <w:color w:val="auto"/>
        </w:rPr>
        <w:t>Myanmar Government</w:t>
      </w:r>
      <w:r w:rsidR="005A7545">
        <w:rPr>
          <w:color w:val="auto"/>
        </w:rPr>
        <w:t>’s priorities</w:t>
      </w:r>
      <w:r w:rsidR="00EF25FB">
        <w:rPr>
          <w:color w:val="auto"/>
        </w:rPr>
        <w:t xml:space="preserve">. The MSDP aligns </w:t>
      </w:r>
      <w:r w:rsidR="002A3094">
        <w:rPr>
          <w:color w:val="auto"/>
        </w:rPr>
        <w:t xml:space="preserve">development priorities with policy </w:t>
      </w:r>
      <w:r w:rsidR="00C90B48">
        <w:rPr>
          <w:color w:val="auto"/>
        </w:rPr>
        <w:t xml:space="preserve">reforms </w:t>
      </w:r>
      <w:r w:rsidR="002A3094">
        <w:rPr>
          <w:color w:val="auto"/>
        </w:rPr>
        <w:t>and international</w:t>
      </w:r>
      <w:r w:rsidR="00C90B48">
        <w:rPr>
          <w:color w:val="auto"/>
        </w:rPr>
        <w:t xml:space="preserve"> commitments</w:t>
      </w:r>
      <w:r w:rsidR="00EF25FB">
        <w:rPr>
          <w:color w:val="auto"/>
        </w:rPr>
        <w:t>, including the Sustainable Development Goals.</w:t>
      </w:r>
      <w:r w:rsidR="002A3094">
        <w:rPr>
          <w:color w:val="auto"/>
        </w:rPr>
        <w:t xml:space="preserve"> </w:t>
      </w:r>
      <w:r w:rsidR="00EF25FB">
        <w:rPr>
          <w:color w:val="auto"/>
        </w:rPr>
        <w:t xml:space="preserve">The future AIP will </w:t>
      </w:r>
      <w:r w:rsidR="007E72EC">
        <w:rPr>
          <w:color w:val="auto"/>
        </w:rPr>
        <w:t>take into account the priorities</w:t>
      </w:r>
      <w:r w:rsidR="00EF25FB">
        <w:rPr>
          <w:color w:val="auto"/>
        </w:rPr>
        <w:t xml:space="preserve"> of the MSDP.</w:t>
      </w:r>
    </w:p>
    <w:p w14:paraId="67DE551F" w14:textId="3D593FCB" w:rsidR="00EF25FB" w:rsidRDefault="0067726E" w:rsidP="002A51CA">
      <w:pPr>
        <w:rPr>
          <w:color w:val="auto"/>
        </w:rPr>
      </w:pPr>
      <w:r>
        <w:rPr>
          <w:color w:val="auto"/>
        </w:rPr>
        <w:t xml:space="preserve">Australia’s aid program </w:t>
      </w:r>
      <w:r w:rsidRPr="0067726E">
        <w:rPr>
          <w:color w:val="auto"/>
        </w:rPr>
        <w:t xml:space="preserve">helps create an environment conducive to inclusive economic growth and increased trade by strengthening government capacity, promoting peace and stability, and supporting the development of an educated and competitive workforce. </w:t>
      </w:r>
      <w:r w:rsidR="004400E0">
        <w:rPr>
          <w:color w:val="auto"/>
        </w:rPr>
        <w:t>Our</w:t>
      </w:r>
      <w:r w:rsidR="004400E0" w:rsidRPr="0067726E">
        <w:rPr>
          <w:color w:val="auto"/>
        </w:rPr>
        <w:t xml:space="preserve"> </w:t>
      </w:r>
      <w:r w:rsidR="004400E0">
        <w:rPr>
          <w:color w:val="auto"/>
        </w:rPr>
        <w:t>efforts</w:t>
      </w:r>
      <w:r w:rsidR="004400E0" w:rsidRPr="0067726E">
        <w:rPr>
          <w:color w:val="auto"/>
        </w:rPr>
        <w:t xml:space="preserve"> </w:t>
      </w:r>
      <w:r w:rsidRPr="0067726E">
        <w:rPr>
          <w:color w:val="auto"/>
        </w:rPr>
        <w:t>complement and reinforce</w:t>
      </w:r>
      <w:r w:rsidR="001B4B55">
        <w:rPr>
          <w:color w:val="auto"/>
        </w:rPr>
        <w:t xml:space="preserve"> the bilateral </w:t>
      </w:r>
      <w:r w:rsidRPr="0067726E">
        <w:rPr>
          <w:color w:val="auto"/>
        </w:rPr>
        <w:t xml:space="preserve">relationship, including our growing trade and investment ties, support for human rights, and people-to-people links. For example, improvements to the business regulatory environment assist Australian and international business engagement in Myanmar, and our Australia Awards scholarships and New Colombo Plan </w:t>
      </w:r>
      <w:r w:rsidR="00025AB3">
        <w:rPr>
          <w:color w:val="auto"/>
        </w:rPr>
        <w:t>prog</w:t>
      </w:r>
      <w:r w:rsidR="00B943F5">
        <w:rPr>
          <w:color w:val="auto"/>
        </w:rPr>
        <w:t>r</w:t>
      </w:r>
      <w:r w:rsidR="00025AB3">
        <w:rPr>
          <w:color w:val="auto"/>
        </w:rPr>
        <w:t>am</w:t>
      </w:r>
      <w:r w:rsidRPr="0067726E">
        <w:rPr>
          <w:color w:val="auto"/>
        </w:rPr>
        <w:t xml:space="preserve"> foster people-to-people links.</w:t>
      </w:r>
    </w:p>
    <w:p w14:paraId="7E5EC074" w14:textId="4A77708A" w:rsidR="007C6029" w:rsidRDefault="00EF25FB" w:rsidP="002A51CA">
      <w:pPr>
        <w:rPr>
          <w:color w:val="auto"/>
        </w:rPr>
      </w:pPr>
      <w:r>
        <w:rPr>
          <w:color w:val="auto"/>
        </w:rPr>
        <w:t>Myanmar is a challenging context in which to deliver an aid program. Almost</w:t>
      </w:r>
      <w:r w:rsidR="007833F2">
        <w:rPr>
          <w:color w:val="auto"/>
        </w:rPr>
        <w:t xml:space="preserve"> one-third of Myanmar </w:t>
      </w:r>
      <w:r>
        <w:rPr>
          <w:color w:val="auto"/>
        </w:rPr>
        <w:t xml:space="preserve">is </w:t>
      </w:r>
      <w:r w:rsidR="007833F2">
        <w:rPr>
          <w:color w:val="auto"/>
        </w:rPr>
        <w:t>conflict-affected (W</w:t>
      </w:r>
      <w:r w:rsidR="00D33CB6">
        <w:rPr>
          <w:color w:val="auto"/>
        </w:rPr>
        <w:t xml:space="preserve">orld </w:t>
      </w:r>
      <w:r w:rsidR="007833F2">
        <w:rPr>
          <w:color w:val="auto"/>
        </w:rPr>
        <w:t>B</w:t>
      </w:r>
      <w:r w:rsidR="00D33CB6">
        <w:rPr>
          <w:color w:val="auto"/>
        </w:rPr>
        <w:t>ank</w:t>
      </w:r>
      <w:r w:rsidR="007833F2">
        <w:rPr>
          <w:color w:val="auto"/>
        </w:rPr>
        <w:t xml:space="preserve"> 2018)</w:t>
      </w:r>
      <w:r>
        <w:rPr>
          <w:color w:val="auto"/>
        </w:rPr>
        <w:t>:</w:t>
      </w:r>
      <w:r w:rsidR="007833F2">
        <w:rPr>
          <w:color w:val="auto"/>
        </w:rPr>
        <w:t xml:space="preserve"> </w:t>
      </w:r>
      <w:r w:rsidR="00001CAC">
        <w:rPr>
          <w:color w:val="auto"/>
        </w:rPr>
        <w:t xml:space="preserve">fighting </w:t>
      </w:r>
      <w:r>
        <w:rPr>
          <w:color w:val="auto"/>
        </w:rPr>
        <w:t xml:space="preserve">has </w:t>
      </w:r>
      <w:r w:rsidR="00B943F5">
        <w:rPr>
          <w:color w:val="auto"/>
        </w:rPr>
        <w:t>re-emerged</w:t>
      </w:r>
      <w:r>
        <w:rPr>
          <w:color w:val="auto"/>
        </w:rPr>
        <w:t xml:space="preserve"> </w:t>
      </w:r>
      <w:r w:rsidR="00001CAC">
        <w:rPr>
          <w:color w:val="auto"/>
        </w:rPr>
        <w:t xml:space="preserve">in </w:t>
      </w:r>
      <w:r w:rsidR="00482B0C">
        <w:rPr>
          <w:color w:val="auto"/>
        </w:rPr>
        <w:t xml:space="preserve">central and </w:t>
      </w:r>
      <w:r w:rsidR="00001CAC">
        <w:rPr>
          <w:color w:val="auto"/>
        </w:rPr>
        <w:t>northern Rakhine,</w:t>
      </w:r>
      <w:r>
        <w:rPr>
          <w:color w:val="auto"/>
        </w:rPr>
        <w:t xml:space="preserve"> </w:t>
      </w:r>
      <w:r w:rsidR="00001CAC">
        <w:rPr>
          <w:color w:val="auto"/>
        </w:rPr>
        <w:t xml:space="preserve">and </w:t>
      </w:r>
      <w:r w:rsidR="007C6029" w:rsidRPr="007C6029">
        <w:rPr>
          <w:color w:val="auto"/>
        </w:rPr>
        <w:t>conflicts in Kachin and Shan States</w:t>
      </w:r>
      <w:r w:rsidR="00B943F5">
        <w:rPr>
          <w:color w:val="auto"/>
        </w:rPr>
        <w:t>,</w:t>
      </w:r>
      <w:r w:rsidR="007C6029" w:rsidRPr="007C6029">
        <w:rPr>
          <w:color w:val="auto"/>
        </w:rPr>
        <w:t xml:space="preserve"> and to a lesser extent in Kayah and Kayin States, </w:t>
      </w:r>
      <w:r w:rsidR="00001CAC">
        <w:rPr>
          <w:color w:val="auto"/>
        </w:rPr>
        <w:t xml:space="preserve">have negatively affected </w:t>
      </w:r>
      <w:r>
        <w:rPr>
          <w:color w:val="auto"/>
        </w:rPr>
        <w:t xml:space="preserve">elements </w:t>
      </w:r>
      <w:r w:rsidR="00E57185">
        <w:rPr>
          <w:color w:val="auto"/>
        </w:rPr>
        <w:t xml:space="preserve">of </w:t>
      </w:r>
      <w:r w:rsidR="00001CAC">
        <w:rPr>
          <w:color w:val="auto"/>
        </w:rPr>
        <w:t xml:space="preserve">Australia’s aid program. </w:t>
      </w:r>
      <w:r w:rsidR="00A76555" w:rsidRPr="00A76555">
        <w:rPr>
          <w:color w:val="auto"/>
        </w:rPr>
        <w:t xml:space="preserve">The attacks in </w:t>
      </w:r>
      <w:r w:rsidR="00B943F5">
        <w:rPr>
          <w:color w:val="auto"/>
        </w:rPr>
        <w:t xml:space="preserve">Rakhine in </w:t>
      </w:r>
      <w:r w:rsidR="00A76555" w:rsidRPr="00A76555">
        <w:rPr>
          <w:color w:val="auto"/>
        </w:rPr>
        <w:t>2017 and brutal security operations that followed underlined the risk of atrocities in Myanmar’s civil conflicts.</w:t>
      </w:r>
      <w:r w:rsidR="00A76555">
        <w:rPr>
          <w:color w:val="auto"/>
        </w:rPr>
        <w:t xml:space="preserve"> </w:t>
      </w:r>
      <w:r w:rsidR="007C6029" w:rsidRPr="007C6029">
        <w:rPr>
          <w:color w:val="auto"/>
        </w:rPr>
        <w:t xml:space="preserve">The UN Fact Finding Mission concluded that war crimes, crimes against humanity and, likely, genocide occurred in Rakhine State.  The situation for the Rohingya population in Rakhine </w:t>
      </w:r>
      <w:r w:rsidR="00DB6BD5" w:rsidRPr="007C6029">
        <w:rPr>
          <w:color w:val="auto"/>
        </w:rPr>
        <w:t>remain</w:t>
      </w:r>
      <w:r w:rsidR="00DB6BD5">
        <w:rPr>
          <w:color w:val="auto"/>
        </w:rPr>
        <w:t>s</w:t>
      </w:r>
      <w:r w:rsidR="00DB6BD5" w:rsidRPr="007C6029">
        <w:rPr>
          <w:color w:val="auto"/>
        </w:rPr>
        <w:t xml:space="preserve"> </w:t>
      </w:r>
      <w:r w:rsidR="007C6029" w:rsidRPr="007C6029">
        <w:rPr>
          <w:color w:val="auto"/>
        </w:rPr>
        <w:t xml:space="preserve">dire.  </w:t>
      </w:r>
      <w:r w:rsidR="00025AB3">
        <w:rPr>
          <w:color w:val="auto"/>
        </w:rPr>
        <w:t>The</w:t>
      </w:r>
      <w:r w:rsidR="007C6029" w:rsidRPr="007C6029">
        <w:rPr>
          <w:color w:val="auto"/>
        </w:rPr>
        <w:t xml:space="preserve"> </w:t>
      </w:r>
      <w:r w:rsidR="00025AB3">
        <w:rPr>
          <w:color w:val="auto"/>
        </w:rPr>
        <w:t>severity of</w:t>
      </w:r>
      <w:r w:rsidR="007C6029" w:rsidRPr="007C6029">
        <w:rPr>
          <w:color w:val="auto"/>
        </w:rPr>
        <w:t xml:space="preserve"> the Rohingya crisis </w:t>
      </w:r>
      <w:r w:rsidR="00025AB3">
        <w:rPr>
          <w:color w:val="auto"/>
        </w:rPr>
        <w:t>necessarily meant</w:t>
      </w:r>
      <w:r w:rsidR="007C6029" w:rsidRPr="007C6029">
        <w:rPr>
          <w:color w:val="auto"/>
        </w:rPr>
        <w:t xml:space="preserve"> the Myanmar Government</w:t>
      </w:r>
      <w:r w:rsidR="00025AB3">
        <w:rPr>
          <w:color w:val="auto"/>
        </w:rPr>
        <w:t xml:space="preserve"> had less time and resources to focus on </w:t>
      </w:r>
      <w:r w:rsidR="007C6029" w:rsidRPr="007C6029">
        <w:rPr>
          <w:color w:val="auto"/>
        </w:rPr>
        <w:t>its political, economic and social reform agenda</w:t>
      </w:r>
      <w:r w:rsidR="00DB6BD5">
        <w:rPr>
          <w:color w:val="auto"/>
        </w:rPr>
        <w:t xml:space="preserve"> during the reporting period</w:t>
      </w:r>
      <w:r w:rsidR="007C6029" w:rsidRPr="007C6029">
        <w:rPr>
          <w:color w:val="auto"/>
        </w:rPr>
        <w:t xml:space="preserve">.   </w:t>
      </w:r>
    </w:p>
    <w:p w14:paraId="4940338D" w14:textId="0A25109B" w:rsidR="0079563D" w:rsidRDefault="00703655" w:rsidP="002A51CA">
      <w:pPr>
        <w:rPr>
          <w:color w:val="auto"/>
        </w:rPr>
      </w:pPr>
      <w:r w:rsidRPr="00703655">
        <w:rPr>
          <w:color w:val="auto"/>
        </w:rPr>
        <w:t xml:space="preserve">Yet we do see </w:t>
      </w:r>
      <w:r w:rsidR="006814DC">
        <w:rPr>
          <w:color w:val="auto"/>
        </w:rPr>
        <w:t xml:space="preserve">important </w:t>
      </w:r>
      <w:r w:rsidRPr="00703655">
        <w:rPr>
          <w:color w:val="auto"/>
        </w:rPr>
        <w:t xml:space="preserve">progress in some areas. </w:t>
      </w:r>
      <w:r w:rsidR="00691DF2" w:rsidRPr="00E81F72">
        <w:rPr>
          <w:color w:val="auto"/>
        </w:rPr>
        <w:t xml:space="preserve">Myanmar's economy is </w:t>
      </w:r>
      <w:r w:rsidR="0079563D">
        <w:rPr>
          <w:color w:val="auto"/>
        </w:rPr>
        <w:t xml:space="preserve">slowly </w:t>
      </w:r>
      <w:r w:rsidR="00691DF2" w:rsidRPr="00E81F72">
        <w:rPr>
          <w:color w:val="auto"/>
        </w:rPr>
        <w:t xml:space="preserve">picking up speed and </w:t>
      </w:r>
      <w:r w:rsidR="00CF5C98">
        <w:rPr>
          <w:color w:val="auto"/>
        </w:rPr>
        <w:t>stabilising</w:t>
      </w:r>
      <w:r w:rsidR="00BD3B9A">
        <w:rPr>
          <w:color w:val="auto"/>
        </w:rPr>
        <w:t>.</w:t>
      </w:r>
      <w:r w:rsidR="00CF5C98">
        <w:rPr>
          <w:color w:val="auto"/>
        </w:rPr>
        <w:t xml:space="preserve"> </w:t>
      </w:r>
      <w:r w:rsidR="00691DF2" w:rsidRPr="00E81F72">
        <w:rPr>
          <w:color w:val="auto"/>
        </w:rPr>
        <w:t xml:space="preserve">Despite a challenging global environment, </w:t>
      </w:r>
      <w:r w:rsidR="003B1A50">
        <w:rPr>
          <w:color w:val="auto"/>
        </w:rPr>
        <w:t xml:space="preserve">the World Bank (June 2019) expects Myanmar’s </w:t>
      </w:r>
      <w:r w:rsidR="00DA7C3C">
        <w:rPr>
          <w:color w:val="auto"/>
        </w:rPr>
        <w:lastRenderedPageBreak/>
        <w:t>e</w:t>
      </w:r>
      <w:r w:rsidR="00691DF2" w:rsidRPr="00E81F72">
        <w:rPr>
          <w:color w:val="auto"/>
        </w:rPr>
        <w:t>conomic growth to rise to 6.5 perc</w:t>
      </w:r>
      <w:r w:rsidR="0079563D">
        <w:rPr>
          <w:color w:val="auto"/>
        </w:rPr>
        <w:t>ent in 2018-</w:t>
      </w:r>
      <w:r w:rsidR="00691DF2" w:rsidRPr="00411B8D">
        <w:rPr>
          <w:color w:val="auto"/>
        </w:rPr>
        <w:t xml:space="preserve">19, </w:t>
      </w:r>
      <w:r w:rsidR="00691DF2" w:rsidRPr="00E81F72">
        <w:rPr>
          <w:color w:val="auto"/>
        </w:rPr>
        <w:t xml:space="preserve">supported by </w:t>
      </w:r>
      <w:r w:rsidR="00E12E30">
        <w:rPr>
          <w:color w:val="auto"/>
        </w:rPr>
        <w:t>improved</w:t>
      </w:r>
      <w:r w:rsidR="00691DF2" w:rsidRPr="00E81F72">
        <w:rPr>
          <w:color w:val="auto"/>
        </w:rPr>
        <w:t xml:space="preserve"> performance in the manufacturing and services sectors. </w:t>
      </w:r>
      <w:r w:rsidR="00F85CB4">
        <w:rPr>
          <w:color w:val="auto"/>
        </w:rPr>
        <w:t>Myanmar</w:t>
      </w:r>
      <w:r w:rsidR="00E12E30">
        <w:rPr>
          <w:color w:val="auto"/>
        </w:rPr>
        <w:t xml:space="preserve">’s poor are particularly </w:t>
      </w:r>
      <w:r w:rsidR="00F85CB4">
        <w:rPr>
          <w:color w:val="auto"/>
        </w:rPr>
        <w:t xml:space="preserve">vulnerable to economic shocks, such as inflation. </w:t>
      </w:r>
      <w:r w:rsidR="00F85CB4" w:rsidRPr="00691069">
        <w:rPr>
          <w:color w:val="auto"/>
        </w:rPr>
        <w:t>Headline inflation fell from a peak</w:t>
      </w:r>
      <w:r w:rsidR="00F85CB4">
        <w:rPr>
          <w:color w:val="auto"/>
        </w:rPr>
        <w:t xml:space="preserve"> of 8.8 per</w:t>
      </w:r>
      <w:r w:rsidR="003B1A50">
        <w:rPr>
          <w:color w:val="auto"/>
        </w:rPr>
        <w:t xml:space="preserve"> </w:t>
      </w:r>
      <w:r w:rsidR="00F85CB4">
        <w:rPr>
          <w:color w:val="auto"/>
        </w:rPr>
        <w:t>cent (year on year</w:t>
      </w:r>
      <w:r w:rsidR="00F85CB4" w:rsidRPr="00BA19BA">
        <w:rPr>
          <w:color w:val="auto"/>
        </w:rPr>
        <w:t>) in October 201</w:t>
      </w:r>
      <w:r w:rsidR="00F85CB4" w:rsidRPr="00691069">
        <w:rPr>
          <w:color w:val="auto"/>
        </w:rPr>
        <w:t>8 to 6.1 per</w:t>
      </w:r>
      <w:r w:rsidR="008D4C57">
        <w:rPr>
          <w:color w:val="auto"/>
        </w:rPr>
        <w:t xml:space="preserve"> </w:t>
      </w:r>
      <w:r w:rsidR="00F85CB4" w:rsidRPr="00691069">
        <w:rPr>
          <w:color w:val="auto"/>
        </w:rPr>
        <w:t>cent</w:t>
      </w:r>
      <w:r w:rsidR="00F85CB4">
        <w:rPr>
          <w:color w:val="auto"/>
        </w:rPr>
        <w:t xml:space="preserve"> </w:t>
      </w:r>
      <w:r w:rsidR="00F85CB4" w:rsidRPr="00BA19BA">
        <w:rPr>
          <w:color w:val="auto"/>
        </w:rPr>
        <w:t>in January 2019 on</w:t>
      </w:r>
      <w:r w:rsidR="00F85CB4" w:rsidRPr="00691069">
        <w:rPr>
          <w:color w:val="auto"/>
        </w:rPr>
        <w:t xml:space="preserve"> declining fuel prices and kyat</w:t>
      </w:r>
      <w:r w:rsidR="00F85CB4">
        <w:rPr>
          <w:color w:val="auto"/>
        </w:rPr>
        <w:t xml:space="preserve"> </w:t>
      </w:r>
      <w:r w:rsidR="00F85CB4" w:rsidRPr="00691069">
        <w:rPr>
          <w:color w:val="auto"/>
        </w:rPr>
        <w:t>appreciation, before rising to 7.9 per</w:t>
      </w:r>
      <w:r w:rsidR="008D4C57">
        <w:rPr>
          <w:color w:val="auto"/>
        </w:rPr>
        <w:t xml:space="preserve"> </w:t>
      </w:r>
      <w:r w:rsidR="00F85CB4" w:rsidRPr="00691069">
        <w:rPr>
          <w:color w:val="auto"/>
        </w:rPr>
        <w:t>cent in March</w:t>
      </w:r>
      <w:r w:rsidR="00F85CB4">
        <w:rPr>
          <w:color w:val="auto"/>
        </w:rPr>
        <w:t xml:space="preserve"> </w:t>
      </w:r>
      <w:r w:rsidR="00F85CB4" w:rsidRPr="00BA19BA">
        <w:rPr>
          <w:color w:val="auto"/>
        </w:rPr>
        <w:t>2019 on the back of hi</w:t>
      </w:r>
      <w:r w:rsidR="00F85CB4" w:rsidRPr="00691069">
        <w:rPr>
          <w:color w:val="auto"/>
        </w:rPr>
        <w:t>gh fuel and food prices</w:t>
      </w:r>
      <w:r w:rsidR="00F85CB4">
        <w:rPr>
          <w:color w:val="auto"/>
        </w:rPr>
        <w:t xml:space="preserve">. </w:t>
      </w:r>
      <w:r w:rsidR="00CF5C98">
        <w:rPr>
          <w:color w:val="auto"/>
        </w:rPr>
        <w:t>However,</w:t>
      </w:r>
      <w:r w:rsidR="00E12E30">
        <w:rPr>
          <w:color w:val="auto"/>
        </w:rPr>
        <w:t xml:space="preserve"> the </w:t>
      </w:r>
      <w:r w:rsidR="00F85CB4">
        <w:rPr>
          <w:color w:val="auto"/>
        </w:rPr>
        <w:t>volatility t</w:t>
      </w:r>
      <w:r w:rsidR="00F85CB4" w:rsidRPr="00E81F72">
        <w:rPr>
          <w:color w:val="auto"/>
        </w:rPr>
        <w:t xml:space="preserve">hat buffeted the economy in 2018 </w:t>
      </w:r>
      <w:r w:rsidR="00E12E30">
        <w:rPr>
          <w:color w:val="auto"/>
        </w:rPr>
        <w:t>is easing</w:t>
      </w:r>
      <w:r w:rsidR="00CF5C98">
        <w:rPr>
          <w:color w:val="auto"/>
        </w:rPr>
        <w:t>: i</w:t>
      </w:r>
      <w:r w:rsidR="00F85CB4" w:rsidRPr="00E81F72">
        <w:rPr>
          <w:color w:val="auto"/>
        </w:rPr>
        <w:t xml:space="preserve">nflation </w:t>
      </w:r>
      <w:r w:rsidR="00F85CB4">
        <w:rPr>
          <w:color w:val="auto"/>
        </w:rPr>
        <w:t xml:space="preserve">has </w:t>
      </w:r>
      <w:r w:rsidR="00F85CB4" w:rsidRPr="00411B8D">
        <w:rPr>
          <w:color w:val="auto"/>
        </w:rPr>
        <w:t xml:space="preserve">moderated and the </w:t>
      </w:r>
      <w:r w:rsidR="00F85CB4">
        <w:rPr>
          <w:color w:val="auto"/>
        </w:rPr>
        <w:t>currency</w:t>
      </w:r>
      <w:r w:rsidR="00F85CB4" w:rsidRPr="00411B8D">
        <w:rPr>
          <w:color w:val="auto"/>
        </w:rPr>
        <w:t xml:space="preserve"> </w:t>
      </w:r>
      <w:r w:rsidR="00F85CB4">
        <w:rPr>
          <w:color w:val="auto"/>
        </w:rPr>
        <w:t xml:space="preserve">has </w:t>
      </w:r>
      <w:r w:rsidR="003B1A50">
        <w:rPr>
          <w:color w:val="auto"/>
        </w:rPr>
        <w:t>stabilis</w:t>
      </w:r>
      <w:r w:rsidR="00F85CB4" w:rsidRPr="00411B8D">
        <w:rPr>
          <w:color w:val="auto"/>
        </w:rPr>
        <w:t xml:space="preserve">ed. </w:t>
      </w:r>
    </w:p>
    <w:p w14:paraId="16F2A136" w14:textId="4997281E" w:rsidR="00691DF2" w:rsidRDefault="00CF5C98" w:rsidP="002A51CA">
      <w:pPr>
        <w:rPr>
          <w:color w:val="auto"/>
        </w:rPr>
      </w:pPr>
      <w:r>
        <w:rPr>
          <w:color w:val="auto"/>
        </w:rPr>
        <w:t xml:space="preserve">Recent easing </w:t>
      </w:r>
      <w:r w:rsidR="00E12E30">
        <w:rPr>
          <w:color w:val="auto"/>
        </w:rPr>
        <w:t>of</w:t>
      </w:r>
      <w:r w:rsidR="00691DF2" w:rsidRPr="00E81F72">
        <w:rPr>
          <w:color w:val="auto"/>
        </w:rPr>
        <w:t xml:space="preserve"> trade restriction</w:t>
      </w:r>
      <w:r w:rsidR="00025AB3">
        <w:rPr>
          <w:color w:val="auto"/>
        </w:rPr>
        <w:t>s,</w:t>
      </w:r>
      <w:r w:rsidR="00691DF2" w:rsidRPr="00E81F72">
        <w:rPr>
          <w:color w:val="auto"/>
        </w:rPr>
        <w:t xml:space="preserve"> </w:t>
      </w:r>
      <w:r w:rsidR="00E12E30">
        <w:rPr>
          <w:color w:val="auto"/>
        </w:rPr>
        <w:t>further opening of the</w:t>
      </w:r>
      <w:r w:rsidR="00691DF2" w:rsidRPr="00E81F72">
        <w:rPr>
          <w:color w:val="auto"/>
        </w:rPr>
        <w:t xml:space="preserve"> financia</w:t>
      </w:r>
      <w:r w:rsidR="00025AB3">
        <w:rPr>
          <w:color w:val="auto"/>
        </w:rPr>
        <w:t>l sector to foreign competition,</w:t>
      </w:r>
      <w:r w:rsidR="00691DF2" w:rsidRPr="00E81F72">
        <w:rPr>
          <w:color w:val="auto"/>
        </w:rPr>
        <w:t xml:space="preserve"> and </w:t>
      </w:r>
      <w:r>
        <w:rPr>
          <w:color w:val="auto"/>
        </w:rPr>
        <w:t xml:space="preserve">some progress </w:t>
      </w:r>
      <w:r w:rsidR="00B9096E">
        <w:rPr>
          <w:color w:val="auto"/>
        </w:rPr>
        <w:t xml:space="preserve">on </w:t>
      </w:r>
      <w:r w:rsidR="00691DF2">
        <w:rPr>
          <w:color w:val="auto"/>
        </w:rPr>
        <w:t>big</w:t>
      </w:r>
      <w:r w:rsidR="00691DF2" w:rsidRPr="00E81F72">
        <w:rPr>
          <w:color w:val="auto"/>
        </w:rPr>
        <w:t xml:space="preserve"> infrastructure projects signal a</w:t>
      </w:r>
      <w:r w:rsidR="00E12E30">
        <w:rPr>
          <w:color w:val="auto"/>
        </w:rPr>
        <w:t xml:space="preserve">n </w:t>
      </w:r>
      <w:r w:rsidR="00691DF2" w:rsidRPr="00E81F72">
        <w:rPr>
          <w:color w:val="auto"/>
        </w:rPr>
        <w:t xml:space="preserve">uptick in reform momentum. </w:t>
      </w:r>
      <w:r w:rsidR="00A14E50">
        <w:rPr>
          <w:color w:val="auto"/>
        </w:rPr>
        <w:t>Other positive measures are t</w:t>
      </w:r>
      <w:r w:rsidR="00411B8D">
        <w:rPr>
          <w:color w:val="auto"/>
        </w:rPr>
        <w:t xml:space="preserve">he opening of retail and wholesale sectors, services sector liberalisation, the loosening of restrictions on foreign bank lending and continued implementation of the </w:t>
      </w:r>
      <w:r w:rsidR="00411B8D" w:rsidRPr="00CE6133">
        <w:rPr>
          <w:i/>
          <w:iCs/>
          <w:color w:val="auto"/>
        </w:rPr>
        <w:t>Companies Act</w:t>
      </w:r>
      <w:r w:rsidR="00A14E50">
        <w:rPr>
          <w:i/>
          <w:iCs/>
          <w:color w:val="auto"/>
        </w:rPr>
        <w:t>.</w:t>
      </w:r>
      <w:r w:rsidR="00411B8D">
        <w:rPr>
          <w:color w:val="auto"/>
        </w:rPr>
        <w:t xml:space="preserve"> </w:t>
      </w:r>
      <w:r w:rsidR="000B30A3">
        <w:rPr>
          <w:color w:val="auto"/>
        </w:rPr>
        <w:t>E</w:t>
      </w:r>
      <w:r w:rsidR="000B30A3" w:rsidRPr="00E81F72">
        <w:rPr>
          <w:color w:val="auto"/>
        </w:rPr>
        <w:t xml:space="preserve">xternal factors </w:t>
      </w:r>
      <w:r w:rsidR="000B30A3">
        <w:rPr>
          <w:color w:val="auto"/>
        </w:rPr>
        <w:t xml:space="preserve">will drive any downside </w:t>
      </w:r>
      <w:r w:rsidR="00691DF2" w:rsidRPr="00E81F72">
        <w:rPr>
          <w:color w:val="auto"/>
        </w:rPr>
        <w:t>risks to th</w:t>
      </w:r>
      <w:r w:rsidR="000B30A3">
        <w:rPr>
          <w:color w:val="auto"/>
        </w:rPr>
        <w:t>e economic outlook</w:t>
      </w:r>
      <w:r w:rsidR="00691DF2" w:rsidRPr="00E81F72">
        <w:rPr>
          <w:color w:val="auto"/>
        </w:rPr>
        <w:t>, including possible revocation of preferential trade access under the European Union Generalized System of Preferences. Slowing global growth</w:t>
      </w:r>
      <w:r w:rsidR="00F85CB4">
        <w:rPr>
          <w:color w:val="auto"/>
        </w:rPr>
        <w:t xml:space="preserve"> </w:t>
      </w:r>
      <w:r w:rsidR="00691DF2" w:rsidRPr="00E81F72">
        <w:rPr>
          <w:color w:val="auto"/>
        </w:rPr>
        <w:t xml:space="preserve">together with renewed escalation of trade </w:t>
      </w:r>
      <w:r w:rsidR="00F85CB4" w:rsidRPr="00E81F72">
        <w:rPr>
          <w:color w:val="auto"/>
        </w:rPr>
        <w:t>tensions</w:t>
      </w:r>
      <w:r w:rsidR="00691DF2" w:rsidRPr="00E81F72">
        <w:rPr>
          <w:color w:val="auto"/>
        </w:rPr>
        <w:t xml:space="preserve"> could slow exports and foreign investment. Insecurity in border areas, the Rakhine crisis, </w:t>
      </w:r>
      <w:r w:rsidR="00554C30">
        <w:rPr>
          <w:color w:val="auto"/>
        </w:rPr>
        <w:t>involving</w:t>
      </w:r>
      <w:r w:rsidR="00691DF2" w:rsidRPr="00E81F72">
        <w:rPr>
          <w:color w:val="auto"/>
        </w:rPr>
        <w:t xml:space="preserve"> violence and forced displacement of refugees, and the recent flare-up in </w:t>
      </w:r>
      <w:r w:rsidR="006958B8">
        <w:rPr>
          <w:color w:val="auto"/>
        </w:rPr>
        <w:t>conflict</w:t>
      </w:r>
      <w:r w:rsidR="00691DF2" w:rsidRPr="00E81F72">
        <w:rPr>
          <w:color w:val="auto"/>
        </w:rPr>
        <w:t xml:space="preserve"> </w:t>
      </w:r>
      <w:r w:rsidR="00554C30">
        <w:rPr>
          <w:color w:val="auto"/>
        </w:rPr>
        <w:t>with</w:t>
      </w:r>
      <w:r w:rsidR="00691DF2" w:rsidRPr="00E81F72">
        <w:rPr>
          <w:color w:val="auto"/>
        </w:rPr>
        <w:t xml:space="preserve"> the Ara</w:t>
      </w:r>
      <w:r w:rsidR="00025AB3">
        <w:rPr>
          <w:color w:val="auto"/>
        </w:rPr>
        <w:t>kan Army, could affect investor</w:t>
      </w:r>
      <w:r w:rsidR="00691DF2" w:rsidRPr="00E81F72">
        <w:rPr>
          <w:color w:val="auto"/>
        </w:rPr>
        <w:t xml:space="preserve"> sentiment. </w:t>
      </w:r>
    </w:p>
    <w:p w14:paraId="7453041F" w14:textId="6697AC87" w:rsidR="00E8574A" w:rsidRDefault="00154263" w:rsidP="002A51CA">
      <w:pPr>
        <w:rPr>
          <w:color w:val="auto"/>
        </w:rPr>
      </w:pPr>
      <w:r w:rsidRPr="00CB168C">
        <w:rPr>
          <w:color w:val="auto"/>
        </w:rPr>
        <w:t>The Myanmar Government</w:t>
      </w:r>
      <w:r w:rsidR="00467FB2">
        <w:rPr>
          <w:color w:val="auto"/>
        </w:rPr>
        <w:t xml:space="preserve">’s engagement </w:t>
      </w:r>
      <w:r w:rsidR="006F4763">
        <w:rPr>
          <w:color w:val="auto"/>
        </w:rPr>
        <w:t>with</w:t>
      </w:r>
      <w:r w:rsidR="00CF5C98">
        <w:rPr>
          <w:color w:val="auto"/>
        </w:rPr>
        <w:t xml:space="preserve"> international</w:t>
      </w:r>
      <w:r w:rsidRPr="00CB168C">
        <w:rPr>
          <w:color w:val="auto"/>
        </w:rPr>
        <w:t xml:space="preserve"> processes relating to women and girls</w:t>
      </w:r>
      <w:r w:rsidR="00467FB2">
        <w:rPr>
          <w:color w:val="auto"/>
        </w:rPr>
        <w:t xml:space="preserve"> is building momentum. In late 2018, Myanmar</w:t>
      </w:r>
      <w:r w:rsidRPr="00CB168C">
        <w:rPr>
          <w:color w:val="auto"/>
        </w:rPr>
        <w:t xml:space="preserve"> signed a Joint Communique with the United Nations on Conflict-Related Sexual Violence</w:t>
      </w:r>
      <w:r w:rsidR="000B39CB" w:rsidRPr="00CB168C">
        <w:rPr>
          <w:color w:val="auto"/>
        </w:rPr>
        <w:t>,</w:t>
      </w:r>
      <w:r w:rsidRPr="00CB168C">
        <w:rPr>
          <w:color w:val="auto"/>
        </w:rPr>
        <w:t xml:space="preserve"> and, through the Beijing +25 Agenda report, set an ambitious agenda </w:t>
      </w:r>
      <w:r w:rsidRPr="00CB168C">
        <w:rPr>
          <w:rFonts w:cstheme="minorHAnsi"/>
          <w:color w:val="auto"/>
        </w:rPr>
        <w:t>to address Myanmar’s gender equality challenges</w:t>
      </w:r>
      <w:r w:rsidR="000B39CB" w:rsidRPr="00CB168C">
        <w:rPr>
          <w:rFonts w:cstheme="minorHAnsi"/>
          <w:color w:val="auto"/>
        </w:rPr>
        <w:t>.</w:t>
      </w:r>
      <w:r w:rsidRPr="00CB168C">
        <w:rPr>
          <w:rFonts w:cstheme="minorHAnsi"/>
          <w:color w:val="auto"/>
        </w:rPr>
        <w:t xml:space="preserve"> </w:t>
      </w:r>
      <w:r w:rsidRPr="00CB168C">
        <w:rPr>
          <w:color w:val="auto"/>
        </w:rPr>
        <w:t>Australia welcomes these important steps</w:t>
      </w:r>
      <w:r w:rsidR="003E6482">
        <w:rPr>
          <w:color w:val="auto"/>
        </w:rPr>
        <w:t>,</w:t>
      </w:r>
      <w:r w:rsidR="000B39CB" w:rsidRPr="00CB168C">
        <w:rPr>
          <w:color w:val="auto"/>
        </w:rPr>
        <w:t xml:space="preserve"> as well as the Myanmar Government’s increased</w:t>
      </w:r>
      <w:r w:rsidR="00724F7E">
        <w:rPr>
          <w:color w:val="auto"/>
        </w:rPr>
        <w:t xml:space="preserve"> focus on its</w:t>
      </w:r>
      <w:r w:rsidR="000B39CB" w:rsidRPr="00CB168C">
        <w:rPr>
          <w:color w:val="auto"/>
        </w:rPr>
        <w:t xml:space="preserve"> National Strategic Plan for Advancement of Women</w:t>
      </w:r>
      <w:r w:rsidR="009372C3" w:rsidRPr="00CB168C">
        <w:rPr>
          <w:color w:val="auto"/>
        </w:rPr>
        <w:t xml:space="preserve"> </w:t>
      </w:r>
      <w:r w:rsidR="00724F7E">
        <w:rPr>
          <w:color w:val="auto"/>
        </w:rPr>
        <w:t>(</w:t>
      </w:r>
      <w:r w:rsidR="009372C3" w:rsidRPr="00CB168C">
        <w:rPr>
          <w:color w:val="auto"/>
        </w:rPr>
        <w:t>2013-22</w:t>
      </w:r>
      <w:r w:rsidR="00724F7E">
        <w:rPr>
          <w:color w:val="auto"/>
        </w:rPr>
        <w:t>)</w:t>
      </w:r>
      <w:r w:rsidRPr="00CB168C">
        <w:rPr>
          <w:color w:val="auto"/>
        </w:rPr>
        <w:t>.</w:t>
      </w:r>
      <w:r w:rsidR="00650B07" w:rsidRPr="00CB168C">
        <w:rPr>
          <w:color w:val="auto"/>
        </w:rPr>
        <w:t xml:space="preserve"> </w:t>
      </w:r>
      <w:r w:rsidR="00025AB3">
        <w:rPr>
          <w:color w:val="auto"/>
        </w:rPr>
        <w:t>T</w:t>
      </w:r>
      <w:r w:rsidR="00650B07" w:rsidRPr="00CB168C">
        <w:rPr>
          <w:color w:val="auto"/>
        </w:rPr>
        <w:t xml:space="preserve">he status of women and girls in Myanmar </w:t>
      </w:r>
      <w:r w:rsidR="009372C3" w:rsidRPr="00CB168C">
        <w:rPr>
          <w:color w:val="auto"/>
        </w:rPr>
        <w:t xml:space="preserve">is </w:t>
      </w:r>
      <w:r w:rsidR="0064063E">
        <w:rPr>
          <w:color w:val="auto"/>
        </w:rPr>
        <w:t>improving</w:t>
      </w:r>
      <w:r w:rsidR="0064063E" w:rsidRPr="00CB168C">
        <w:rPr>
          <w:color w:val="auto"/>
        </w:rPr>
        <w:t xml:space="preserve"> </w:t>
      </w:r>
      <w:r w:rsidR="009372C3" w:rsidRPr="00CB168C">
        <w:rPr>
          <w:color w:val="auto"/>
        </w:rPr>
        <w:t>slowly</w:t>
      </w:r>
      <w:r w:rsidR="00650B07" w:rsidRPr="00CB168C">
        <w:rPr>
          <w:color w:val="auto"/>
        </w:rPr>
        <w:t xml:space="preserve">. </w:t>
      </w:r>
      <w:r w:rsidR="00724F7E" w:rsidRPr="00CB168C">
        <w:rPr>
          <w:color w:val="auto"/>
        </w:rPr>
        <w:t>Myanmar</w:t>
      </w:r>
      <w:r w:rsidR="00724F7E">
        <w:rPr>
          <w:color w:val="auto"/>
        </w:rPr>
        <w:t>’s ranking</w:t>
      </w:r>
      <w:r w:rsidR="00724F7E" w:rsidRPr="000E1D20">
        <w:rPr>
          <w:color w:val="auto"/>
        </w:rPr>
        <w:t xml:space="preserve"> </w:t>
      </w:r>
      <w:r w:rsidR="00724F7E" w:rsidRPr="00CB168C">
        <w:rPr>
          <w:color w:val="auto"/>
        </w:rPr>
        <w:t>on the global gender ind</w:t>
      </w:r>
      <w:r w:rsidR="00724F7E">
        <w:rPr>
          <w:color w:val="auto"/>
        </w:rPr>
        <w:t>ex</w:t>
      </w:r>
      <w:r w:rsidR="00D450A2">
        <w:rPr>
          <w:color w:val="auto"/>
        </w:rPr>
        <w:t xml:space="preserve"> </w:t>
      </w:r>
      <w:r w:rsidR="00724F7E">
        <w:rPr>
          <w:color w:val="auto"/>
        </w:rPr>
        <w:t xml:space="preserve">is </w:t>
      </w:r>
      <w:r w:rsidR="00724F7E" w:rsidRPr="00CB168C">
        <w:rPr>
          <w:color w:val="auto"/>
        </w:rPr>
        <w:t>148 out of 189 countries</w:t>
      </w:r>
      <w:r w:rsidR="00724F7E">
        <w:rPr>
          <w:color w:val="auto"/>
        </w:rPr>
        <w:t xml:space="preserve"> due to</w:t>
      </w:r>
      <w:r w:rsidR="000E1D20" w:rsidRPr="00CB168C">
        <w:rPr>
          <w:color w:val="auto"/>
        </w:rPr>
        <w:t xml:space="preserve"> high </w:t>
      </w:r>
      <w:r w:rsidR="000E1D20" w:rsidRPr="00CB168C">
        <w:rPr>
          <w:rFonts w:cstheme="minorHAnsi"/>
          <w:color w:val="auto"/>
        </w:rPr>
        <w:t xml:space="preserve">maternal mortality rates, </w:t>
      </w:r>
      <w:r w:rsidR="00724F7E">
        <w:rPr>
          <w:rFonts w:cstheme="minorHAnsi"/>
          <w:color w:val="auto"/>
        </w:rPr>
        <w:t xml:space="preserve">and </w:t>
      </w:r>
      <w:r w:rsidR="000E1D20" w:rsidRPr="00CB168C">
        <w:rPr>
          <w:rFonts w:cstheme="minorHAnsi"/>
          <w:color w:val="auto"/>
        </w:rPr>
        <w:t>low workforce participation and political participation rates</w:t>
      </w:r>
      <w:r w:rsidR="00724F7E">
        <w:rPr>
          <w:color w:val="auto"/>
        </w:rPr>
        <w:t>.</w:t>
      </w:r>
      <w:r w:rsidR="00650B07" w:rsidRPr="00CB168C">
        <w:rPr>
          <w:rFonts w:cstheme="minorHAnsi"/>
          <w:color w:val="auto"/>
        </w:rPr>
        <w:t xml:space="preserve"> </w:t>
      </w:r>
      <w:r w:rsidRPr="00CB168C">
        <w:rPr>
          <w:rFonts w:cstheme="minorHAnsi"/>
          <w:color w:val="auto"/>
        </w:rPr>
        <w:t xml:space="preserve">Progress </w:t>
      </w:r>
      <w:r w:rsidR="00650B07" w:rsidRPr="00CB168C">
        <w:rPr>
          <w:rFonts w:cstheme="minorHAnsi"/>
          <w:color w:val="auto"/>
        </w:rPr>
        <w:t>on other</w:t>
      </w:r>
      <w:r w:rsidR="003F6117" w:rsidRPr="00CB168C">
        <w:rPr>
          <w:rFonts w:cstheme="minorHAnsi"/>
          <w:color w:val="auto"/>
        </w:rPr>
        <w:t xml:space="preserve"> important</w:t>
      </w:r>
      <w:r w:rsidR="00650B07" w:rsidRPr="00CB168C">
        <w:rPr>
          <w:rFonts w:cstheme="minorHAnsi"/>
          <w:color w:val="auto"/>
        </w:rPr>
        <w:t xml:space="preserve"> </w:t>
      </w:r>
      <w:r w:rsidRPr="00CB168C">
        <w:rPr>
          <w:rFonts w:cstheme="minorHAnsi"/>
          <w:color w:val="auto"/>
        </w:rPr>
        <w:t xml:space="preserve">gender-related </w:t>
      </w:r>
      <w:r w:rsidR="00650B07" w:rsidRPr="00CB168C">
        <w:rPr>
          <w:rFonts w:cstheme="minorHAnsi"/>
          <w:color w:val="auto"/>
        </w:rPr>
        <w:t xml:space="preserve">reforms </w:t>
      </w:r>
      <w:r w:rsidR="00554C30">
        <w:rPr>
          <w:rFonts w:cstheme="minorHAnsi"/>
          <w:color w:val="auto"/>
        </w:rPr>
        <w:t>ha</w:t>
      </w:r>
      <w:r w:rsidR="005B1CBD">
        <w:rPr>
          <w:rFonts w:cstheme="minorHAnsi"/>
          <w:color w:val="auto"/>
        </w:rPr>
        <w:t>s</w:t>
      </w:r>
      <w:r w:rsidR="00554C30">
        <w:rPr>
          <w:rFonts w:cstheme="minorHAnsi"/>
          <w:color w:val="auto"/>
        </w:rPr>
        <w:t xml:space="preserve"> been</w:t>
      </w:r>
      <w:r w:rsidRPr="00CB168C">
        <w:rPr>
          <w:rFonts w:cstheme="minorHAnsi"/>
          <w:color w:val="auto"/>
        </w:rPr>
        <w:t xml:space="preserve"> slow. Myanmar’s first </w:t>
      </w:r>
      <w:r w:rsidR="00467FB2">
        <w:rPr>
          <w:rFonts w:cstheme="minorHAnsi"/>
          <w:color w:val="auto"/>
        </w:rPr>
        <w:t>law</w:t>
      </w:r>
      <w:r w:rsidRPr="00CB168C">
        <w:rPr>
          <w:rFonts w:cstheme="minorHAnsi"/>
          <w:color w:val="auto"/>
        </w:rPr>
        <w:t xml:space="preserve"> for preventing and responding to violence against women remain</w:t>
      </w:r>
      <w:r w:rsidR="00554C30">
        <w:rPr>
          <w:rFonts w:cstheme="minorHAnsi"/>
          <w:color w:val="auto"/>
        </w:rPr>
        <w:t>s</w:t>
      </w:r>
      <w:r w:rsidRPr="00CB168C">
        <w:rPr>
          <w:rFonts w:cstheme="minorHAnsi"/>
          <w:color w:val="auto"/>
        </w:rPr>
        <w:t xml:space="preserve"> unpassed after many years. </w:t>
      </w:r>
      <w:r w:rsidR="00D32FD1" w:rsidDel="00D32FD1">
        <w:rPr>
          <w:color w:val="auto"/>
        </w:rPr>
        <w:t xml:space="preserve"> </w:t>
      </w:r>
    </w:p>
    <w:p w14:paraId="4DACF022" w14:textId="01F7060A" w:rsidR="00505C60" w:rsidRPr="00CA3400" w:rsidRDefault="004457E9" w:rsidP="002A51CA">
      <w:pPr>
        <w:rPr>
          <w:color w:val="auto"/>
        </w:rPr>
      </w:pPr>
      <w:r w:rsidRPr="004457E9">
        <w:rPr>
          <w:color w:val="auto"/>
        </w:rPr>
        <w:t xml:space="preserve">In 2018-19, Australia provided </w:t>
      </w:r>
      <w:r w:rsidR="00052459">
        <w:rPr>
          <w:color w:val="auto"/>
        </w:rPr>
        <w:t xml:space="preserve">an estimate of </w:t>
      </w:r>
      <w:r w:rsidRPr="004457E9">
        <w:rPr>
          <w:color w:val="auto"/>
        </w:rPr>
        <w:t>$90 million in official development assistance (ODA) to Myanmar, an increase of nearly 7 per cent on 2017-18. Delivery of the ODA component</w:t>
      </w:r>
      <w:r w:rsidR="00632C88">
        <w:rPr>
          <w:color w:val="auto"/>
        </w:rPr>
        <w:t xml:space="preserve"> under the Aid Investment Plan objectives totalling </w:t>
      </w:r>
      <w:r w:rsidRPr="004457E9">
        <w:rPr>
          <w:color w:val="auto"/>
        </w:rPr>
        <w:t>$6</w:t>
      </w:r>
      <w:r w:rsidR="00632C88">
        <w:rPr>
          <w:color w:val="auto"/>
        </w:rPr>
        <w:t xml:space="preserve">3.4 </w:t>
      </w:r>
      <w:r w:rsidRPr="004457E9">
        <w:rPr>
          <w:color w:val="auto"/>
        </w:rPr>
        <w:t>million, listed below in Table 1</w:t>
      </w:r>
      <w:r w:rsidR="00632C88">
        <w:rPr>
          <w:color w:val="auto"/>
        </w:rPr>
        <w:t>,</w:t>
      </w:r>
      <w:r w:rsidRPr="004457E9">
        <w:rPr>
          <w:color w:val="auto"/>
        </w:rPr>
        <w:t xml:space="preserve"> was largely through multi-donor funding mechanisms, all rigorously assessed to ensure they are effective, efficient and compliant with safeguards. The Myanmar Government reports Australia as the fourth largest bilateral donor to Myanmar after Japan, the United K</w:t>
      </w:r>
      <w:r w:rsidR="00025AB3">
        <w:rPr>
          <w:color w:val="auto"/>
        </w:rPr>
        <w:t>ingdom, and the United States (d</w:t>
      </w:r>
      <w:r w:rsidRPr="004457E9">
        <w:rPr>
          <w:color w:val="auto"/>
        </w:rPr>
        <w:t>raft Myanmar Development Partner Profiles 2019). Further, Australia’s technical expertise, enduring engagement with government, and reputation as a constructive and pragmatic partner enabled us to remain closely involved in key policy discussions with government and donors in areas of strategic interest.</w:t>
      </w:r>
    </w:p>
    <w:p w14:paraId="0669225E" w14:textId="77777777" w:rsidR="00C6626C" w:rsidRPr="002A51CA" w:rsidRDefault="00C6626C" w:rsidP="00D7713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0A583636" w14:textId="1AE8FCB8" w:rsidR="00D32FD1" w:rsidRPr="00001CAC" w:rsidRDefault="008955F4" w:rsidP="00D32FD1">
      <w:pPr>
        <w:rPr>
          <w:color w:val="auto"/>
        </w:rPr>
      </w:pPr>
      <w:r>
        <w:rPr>
          <w:color w:val="auto"/>
        </w:rPr>
        <w:t>The</w:t>
      </w:r>
      <w:r w:rsidR="00862434">
        <w:rPr>
          <w:color w:val="auto"/>
        </w:rPr>
        <w:t xml:space="preserve"> estimate</w:t>
      </w:r>
      <w:r w:rsidR="00405B97">
        <w:rPr>
          <w:color w:val="auto"/>
        </w:rPr>
        <w:t>d</w:t>
      </w:r>
      <w:r w:rsidR="00862434">
        <w:rPr>
          <w:color w:val="auto"/>
        </w:rPr>
        <w:t xml:space="preserve"> </w:t>
      </w:r>
      <w:r w:rsidR="00D32FD1" w:rsidRPr="00E6772E">
        <w:rPr>
          <w:color w:val="auto"/>
        </w:rPr>
        <w:t>$</w:t>
      </w:r>
      <w:r w:rsidR="003841E0" w:rsidRPr="00E6772E">
        <w:rPr>
          <w:color w:val="auto"/>
        </w:rPr>
        <w:t>90</w:t>
      </w:r>
      <w:r w:rsidR="00B15DFE" w:rsidRPr="00E6772E">
        <w:rPr>
          <w:color w:val="auto"/>
        </w:rPr>
        <w:t xml:space="preserve"> </w:t>
      </w:r>
      <w:r w:rsidR="00D32FD1" w:rsidRPr="00E6772E">
        <w:rPr>
          <w:color w:val="auto"/>
        </w:rPr>
        <w:t>million</w:t>
      </w:r>
      <w:r w:rsidR="00D32FD1" w:rsidRPr="0041581A">
        <w:rPr>
          <w:color w:val="auto"/>
        </w:rPr>
        <w:t xml:space="preserve"> in development assistance to Myanmar</w:t>
      </w:r>
      <w:r w:rsidR="00D32FD1">
        <w:rPr>
          <w:color w:val="auto"/>
        </w:rPr>
        <w:t xml:space="preserve"> includ</w:t>
      </w:r>
      <w:r>
        <w:rPr>
          <w:color w:val="auto"/>
        </w:rPr>
        <w:t>ed</w:t>
      </w:r>
      <w:r w:rsidR="00D32FD1">
        <w:rPr>
          <w:color w:val="auto"/>
        </w:rPr>
        <w:t xml:space="preserve"> </w:t>
      </w:r>
      <w:r w:rsidR="00D32FD1" w:rsidRPr="00862434">
        <w:rPr>
          <w:color w:val="auto"/>
        </w:rPr>
        <w:t>$2</w:t>
      </w:r>
      <w:r w:rsidR="00025AB3">
        <w:rPr>
          <w:color w:val="auto"/>
        </w:rPr>
        <w:t>1.5</w:t>
      </w:r>
      <w:r w:rsidR="00D32FD1">
        <w:rPr>
          <w:color w:val="auto"/>
        </w:rPr>
        <w:t xml:space="preserve"> million </w:t>
      </w:r>
      <w:r w:rsidR="00891994">
        <w:rPr>
          <w:color w:val="auto"/>
        </w:rPr>
        <w:t xml:space="preserve">from our global </w:t>
      </w:r>
      <w:r w:rsidR="00D32FD1">
        <w:rPr>
          <w:color w:val="auto"/>
        </w:rPr>
        <w:t xml:space="preserve">humanitarian </w:t>
      </w:r>
      <w:r w:rsidR="00891994">
        <w:rPr>
          <w:color w:val="auto"/>
        </w:rPr>
        <w:t>program</w:t>
      </w:r>
      <w:r w:rsidR="00862434">
        <w:rPr>
          <w:color w:val="auto"/>
        </w:rPr>
        <w:t xml:space="preserve">. The </w:t>
      </w:r>
      <w:r w:rsidR="003841E0">
        <w:rPr>
          <w:color w:val="auto"/>
        </w:rPr>
        <w:t>7</w:t>
      </w:r>
      <w:r w:rsidR="004E4720">
        <w:rPr>
          <w:color w:val="auto"/>
        </w:rPr>
        <w:t xml:space="preserve"> </w:t>
      </w:r>
      <w:r w:rsidR="007B30DD">
        <w:rPr>
          <w:color w:val="auto"/>
        </w:rPr>
        <w:t>per cent</w:t>
      </w:r>
      <w:r w:rsidR="00467FB2">
        <w:rPr>
          <w:color w:val="auto"/>
        </w:rPr>
        <w:t xml:space="preserve"> increase </w:t>
      </w:r>
      <w:r w:rsidR="00862434">
        <w:rPr>
          <w:color w:val="auto"/>
        </w:rPr>
        <w:t xml:space="preserve">in total ODA </w:t>
      </w:r>
      <w:r w:rsidR="00011BD9">
        <w:rPr>
          <w:color w:val="auto"/>
        </w:rPr>
        <w:t>for</w:t>
      </w:r>
      <w:r w:rsidR="00D32FD1">
        <w:rPr>
          <w:color w:val="auto"/>
        </w:rPr>
        <w:t xml:space="preserve"> 201</w:t>
      </w:r>
      <w:r w:rsidR="00011BD9">
        <w:rPr>
          <w:color w:val="auto"/>
        </w:rPr>
        <w:t>8</w:t>
      </w:r>
      <w:r w:rsidR="00D32FD1">
        <w:rPr>
          <w:color w:val="auto"/>
        </w:rPr>
        <w:t>-1</w:t>
      </w:r>
      <w:r w:rsidR="00011BD9">
        <w:rPr>
          <w:color w:val="auto"/>
        </w:rPr>
        <w:t>9</w:t>
      </w:r>
      <w:r w:rsidR="00D32FD1">
        <w:rPr>
          <w:color w:val="auto"/>
        </w:rPr>
        <w:t xml:space="preserve"> </w:t>
      </w:r>
      <w:r w:rsidR="00467FB2">
        <w:rPr>
          <w:color w:val="auto"/>
        </w:rPr>
        <w:t xml:space="preserve">is </w:t>
      </w:r>
      <w:r w:rsidR="00B62B33">
        <w:rPr>
          <w:color w:val="auto"/>
        </w:rPr>
        <w:t xml:space="preserve">mostly </w:t>
      </w:r>
      <w:r w:rsidR="00D32FD1">
        <w:rPr>
          <w:color w:val="auto"/>
        </w:rPr>
        <w:t xml:space="preserve">due to </w:t>
      </w:r>
      <w:r w:rsidR="00891994">
        <w:rPr>
          <w:color w:val="auto"/>
        </w:rPr>
        <w:t xml:space="preserve">this </w:t>
      </w:r>
      <w:r w:rsidR="00D32FD1">
        <w:rPr>
          <w:color w:val="auto"/>
        </w:rPr>
        <w:t>increase in humanitarian funding</w:t>
      </w:r>
      <w:r w:rsidR="00891994">
        <w:rPr>
          <w:color w:val="auto"/>
        </w:rPr>
        <w:t xml:space="preserve"> to address the substantial needs across Myanmar</w:t>
      </w:r>
      <w:r w:rsidR="00D32FD1">
        <w:rPr>
          <w:color w:val="auto"/>
        </w:rPr>
        <w:t xml:space="preserve">. </w:t>
      </w:r>
    </w:p>
    <w:p w14:paraId="4D95B626" w14:textId="3A1BC8F9" w:rsidR="00052459" w:rsidRDefault="00BB1080" w:rsidP="002A51CA">
      <w:pPr>
        <w:rPr>
          <w:color w:val="auto"/>
        </w:rPr>
      </w:pPr>
      <w:r>
        <w:rPr>
          <w:color w:val="auto"/>
        </w:rPr>
        <w:t xml:space="preserve">For this report, the </w:t>
      </w:r>
      <w:r w:rsidR="00011BD9">
        <w:rPr>
          <w:color w:val="auto"/>
        </w:rPr>
        <w:t>a</w:t>
      </w:r>
      <w:r w:rsidR="00555D63" w:rsidRPr="00862434">
        <w:rPr>
          <w:color w:val="auto"/>
        </w:rPr>
        <w:t xml:space="preserve">id allocations against AIP objectives </w:t>
      </w:r>
      <w:r>
        <w:rPr>
          <w:color w:val="auto"/>
        </w:rPr>
        <w:t xml:space="preserve">total </w:t>
      </w:r>
      <w:r w:rsidR="00405B97">
        <w:rPr>
          <w:color w:val="auto"/>
        </w:rPr>
        <w:t xml:space="preserve">an estimated </w:t>
      </w:r>
      <w:r w:rsidR="00567A40" w:rsidRPr="00862434">
        <w:rPr>
          <w:color w:val="auto"/>
        </w:rPr>
        <w:t>$</w:t>
      </w:r>
      <w:r w:rsidR="00E6772E">
        <w:rPr>
          <w:color w:val="auto"/>
        </w:rPr>
        <w:t>63.4</w:t>
      </w:r>
      <w:r>
        <w:rPr>
          <w:color w:val="auto"/>
        </w:rPr>
        <w:t xml:space="preserve"> </w:t>
      </w:r>
      <w:r w:rsidR="00567A40" w:rsidRPr="00862434">
        <w:rPr>
          <w:color w:val="auto"/>
        </w:rPr>
        <w:t xml:space="preserve">million </w:t>
      </w:r>
      <w:r w:rsidR="0090397B" w:rsidRPr="00862434">
        <w:rPr>
          <w:color w:val="auto"/>
        </w:rPr>
        <w:t xml:space="preserve">in 2018-19, with </w:t>
      </w:r>
      <w:r w:rsidR="004C5E45" w:rsidRPr="00862434">
        <w:rPr>
          <w:color w:val="auto"/>
        </w:rPr>
        <w:t xml:space="preserve">the majority of </w:t>
      </w:r>
      <w:r w:rsidR="0090397B" w:rsidRPr="00862434">
        <w:rPr>
          <w:color w:val="auto"/>
        </w:rPr>
        <w:t>h</w:t>
      </w:r>
      <w:r w:rsidR="00555D63" w:rsidRPr="00862434">
        <w:rPr>
          <w:color w:val="auto"/>
        </w:rPr>
        <w:t xml:space="preserve">umanitarian </w:t>
      </w:r>
      <w:r w:rsidR="00011BD9">
        <w:rPr>
          <w:color w:val="auto"/>
        </w:rPr>
        <w:t xml:space="preserve">global </w:t>
      </w:r>
      <w:r w:rsidR="00555D63" w:rsidRPr="00862434">
        <w:rPr>
          <w:color w:val="auto"/>
        </w:rPr>
        <w:t xml:space="preserve">funding </w:t>
      </w:r>
      <w:r w:rsidR="00011BD9">
        <w:rPr>
          <w:color w:val="auto"/>
        </w:rPr>
        <w:t xml:space="preserve">for Myanmar </w:t>
      </w:r>
      <w:r w:rsidR="00862434">
        <w:rPr>
          <w:color w:val="auto"/>
        </w:rPr>
        <w:t>allocated under objective (ii</w:t>
      </w:r>
      <w:r w:rsidR="00EE472F">
        <w:rPr>
          <w:color w:val="auto"/>
        </w:rPr>
        <w:t>)</w:t>
      </w:r>
      <w:r w:rsidR="00052459">
        <w:rPr>
          <w:color w:val="auto"/>
        </w:rPr>
        <w:t xml:space="preserve">, </w:t>
      </w:r>
      <w:r w:rsidR="00405B97">
        <w:rPr>
          <w:color w:val="auto"/>
        </w:rPr>
        <w:t>see</w:t>
      </w:r>
      <w:r w:rsidR="00052459">
        <w:rPr>
          <w:color w:val="auto"/>
        </w:rPr>
        <w:t xml:space="preserve"> Table 1</w:t>
      </w:r>
      <w:r w:rsidR="00405B97">
        <w:rPr>
          <w:color w:val="auto"/>
        </w:rPr>
        <w:t xml:space="preserve"> below</w:t>
      </w:r>
      <w:r w:rsidR="00052459">
        <w:rPr>
          <w:color w:val="auto"/>
        </w:rPr>
        <w:t xml:space="preserve">. </w:t>
      </w:r>
    </w:p>
    <w:p w14:paraId="752462B9" w14:textId="3AF66A44" w:rsidR="00C6626C" w:rsidRDefault="00B9096E" w:rsidP="002A51CA">
      <w:pPr>
        <w:rPr>
          <w:color w:val="auto"/>
        </w:rPr>
      </w:pPr>
      <w:r>
        <w:rPr>
          <w:color w:val="auto"/>
        </w:rPr>
        <w:t>T</w:t>
      </w:r>
      <w:r w:rsidR="00555D63" w:rsidRPr="00555D63">
        <w:rPr>
          <w:color w:val="auto"/>
        </w:rPr>
        <w:t xml:space="preserve">he </w:t>
      </w:r>
      <w:r w:rsidR="00862434">
        <w:rPr>
          <w:color w:val="auto"/>
        </w:rPr>
        <w:t xml:space="preserve">estimated </w:t>
      </w:r>
      <w:r w:rsidR="00555D63" w:rsidRPr="00555D63">
        <w:rPr>
          <w:color w:val="auto"/>
        </w:rPr>
        <w:t>allocation to other g</w:t>
      </w:r>
      <w:r w:rsidR="0090397B">
        <w:rPr>
          <w:color w:val="auto"/>
        </w:rPr>
        <w:t xml:space="preserve">overnment departments remained relatively </w:t>
      </w:r>
      <w:r w:rsidR="00025AB3">
        <w:rPr>
          <w:color w:val="auto"/>
        </w:rPr>
        <w:t>constant</w:t>
      </w:r>
      <w:r>
        <w:rPr>
          <w:color w:val="auto"/>
        </w:rPr>
        <w:t>. T</w:t>
      </w:r>
      <w:r w:rsidR="00555D63" w:rsidRPr="00555D63">
        <w:rPr>
          <w:color w:val="auto"/>
        </w:rPr>
        <w:t>he Australian Centre for International Agricultural Research (ACIAR) receiv</w:t>
      </w:r>
      <w:r>
        <w:rPr>
          <w:color w:val="auto"/>
        </w:rPr>
        <w:t>ed</w:t>
      </w:r>
      <w:r w:rsidR="00555D63" w:rsidRPr="00555D63">
        <w:rPr>
          <w:color w:val="auto"/>
        </w:rPr>
        <w:t xml:space="preserve"> its own budget appropriation</w:t>
      </w:r>
      <w:r w:rsidR="000C7D1C">
        <w:rPr>
          <w:color w:val="auto"/>
        </w:rPr>
        <w:t>,</w:t>
      </w:r>
      <w:r w:rsidR="000C7D1C" w:rsidRPr="000C7D1C">
        <w:rPr>
          <w:color w:val="auto"/>
        </w:rPr>
        <w:t xml:space="preserve"> </w:t>
      </w:r>
      <w:r w:rsidR="000C7D1C">
        <w:rPr>
          <w:color w:val="auto"/>
        </w:rPr>
        <w:t xml:space="preserve">an estimated </w:t>
      </w:r>
      <w:r w:rsidR="000C7D1C" w:rsidRPr="00E6772E">
        <w:rPr>
          <w:color w:val="auto"/>
        </w:rPr>
        <w:t>$4.</w:t>
      </w:r>
      <w:r w:rsidR="00E6772E" w:rsidRPr="00E6772E">
        <w:rPr>
          <w:color w:val="auto"/>
        </w:rPr>
        <w:t>7</w:t>
      </w:r>
      <w:r w:rsidR="000C7D1C" w:rsidRPr="00E6772E">
        <w:rPr>
          <w:color w:val="auto"/>
        </w:rPr>
        <w:t xml:space="preserve"> million for 2018-19,</w:t>
      </w:r>
      <w:r w:rsidR="00555D63" w:rsidRPr="00E6772E">
        <w:rPr>
          <w:color w:val="auto"/>
        </w:rPr>
        <w:t xml:space="preserve"> for </w:t>
      </w:r>
      <w:r w:rsidR="003B3470" w:rsidRPr="00E6772E">
        <w:rPr>
          <w:color w:val="auto"/>
        </w:rPr>
        <w:t xml:space="preserve">its </w:t>
      </w:r>
      <w:r w:rsidR="00555D63" w:rsidRPr="00E6772E">
        <w:rPr>
          <w:color w:val="auto"/>
        </w:rPr>
        <w:t>research activities</w:t>
      </w:r>
      <w:r w:rsidR="003B3470" w:rsidRPr="00E6772E">
        <w:rPr>
          <w:color w:val="auto"/>
        </w:rPr>
        <w:t xml:space="preserve"> in Myanmar</w:t>
      </w:r>
      <w:r w:rsidR="00555D63" w:rsidRPr="00E6772E">
        <w:rPr>
          <w:color w:val="auto"/>
        </w:rPr>
        <w:t>.</w:t>
      </w:r>
      <w:r w:rsidR="00555D63" w:rsidRPr="00555D63">
        <w:rPr>
          <w:color w:val="auto"/>
        </w:rPr>
        <w:t xml:space="preserve"> </w:t>
      </w:r>
    </w:p>
    <w:p w14:paraId="08CDBCCD" w14:textId="77777777" w:rsidR="0045622F" w:rsidRDefault="0045622F">
      <w:pPr>
        <w:suppressAutoHyphens w:val="0"/>
        <w:spacing w:before="0" w:after="120" w:line="440" w:lineRule="atLeast"/>
        <w:rPr>
          <w:b/>
          <w:sz w:val="24"/>
        </w:rPr>
      </w:pPr>
      <w:r>
        <w:rPr>
          <w:b/>
          <w:sz w:val="24"/>
        </w:rPr>
        <w:br w:type="page"/>
      </w:r>
    </w:p>
    <w:p w14:paraId="387247B5" w14:textId="2C7EA43B" w:rsidR="00D40AEB" w:rsidRDefault="002A51CA" w:rsidP="00254FD9">
      <w:pPr>
        <w:spacing w:before="240"/>
        <w:rPr>
          <w:b/>
          <w:sz w:val="24"/>
        </w:rPr>
      </w:pPr>
      <w:r w:rsidRPr="008C2F58">
        <w:rPr>
          <w:b/>
          <w:sz w:val="24"/>
        </w:rPr>
        <w:lastRenderedPageBreak/>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35E8E">
        <w:rPr>
          <w:b/>
          <w:noProof/>
          <w:sz w:val="24"/>
        </w:rPr>
        <w:t>1</w:t>
      </w:r>
      <w:r w:rsidRPr="008C2F58">
        <w:rPr>
          <w:b/>
          <w:noProof/>
          <w:sz w:val="24"/>
        </w:rPr>
        <w:fldChar w:fldCharType="end"/>
      </w:r>
      <w:r w:rsidRPr="008C2F58">
        <w:rPr>
          <w:b/>
          <w:sz w:val="24"/>
        </w:rPr>
        <w:t xml:space="preserve"> Total </w:t>
      </w:r>
      <w:r w:rsidR="00AC5768">
        <w:rPr>
          <w:b/>
          <w:sz w:val="24"/>
        </w:rPr>
        <w:t xml:space="preserve">estimated </w:t>
      </w:r>
      <w:r w:rsidRPr="008C2F58">
        <w:rPr>
          <w:b/>
          <w:sz w:val="24"/>
        </w:rPr>
        <w:t xml:space="preserve">ODA Expenditure </w:t>
      </w:r>
      <w:r w:rsidR="00CA366D">
        <w:rPr>
          <w:b/>
          <w:sz w:val="24"/>
        </w:rPr>
        <w:t>under AIP Objectives</w:t>
      </w:r>
      <w:r w:rsidR="00CA366D" w:rsidRPr="008C2F58">
        <w:rPr>
          <w:b/>
          <w:sz w:val="24"/>
        </w:rPr>
        <w:t xml:space="preserve"> </w:t>
      </w:r>
      <w:r w:rsidRPr="008C2F58">
        <w:rPr>
          <w:b/>
          <w:sz w:val="24"/>
        </w:rPr>
        <w:t>FY 201</w:t>
      </w:r>
      <w:r w:rsidR="00F46D79">
        <w:rPr>
          <w:b/>
          <w:sz w:val="24"/>
        </w:rPr>
        <w:t>8-19</w:t>
      </w:r>
    </w:p>
    <w:tbl>
      <w:tblPr>
        <w:tblStyle w:val="TableGrid"/>
        <w:tblW w:w="9639" w:type="dxa"/>
        <w:tblLook w:val="04A0" w:firstRow="1" w:lastRow="0" w:firstColumn="1" w:lastColumn="0" w:noHBand="0" w:noVBand="1"/>
        <w:tblCaption w:val="Table 1 Total estimated ODA Expenditure under AIP Objectives FY 2018-19"/>
        <w:tblDescription w:val="Objective 1: Enhancing human development $21.6 million&#10;Objective 2: Promoting peace and stability $31.4 (includes $21.5 million of global humanitarian funding)&#10;Objective 3: Promoting inclusive growth and government management $10.4 million&#10;Sub-Total esyimated funding for AIIP objectives $63.4 million&#10;Regional and Global (minus global humanitarian) $21.9 million&#10;Other Australian Government Departments $4.7 million&#10;Total estimated Australian ODA expenditure to Myanmar $90.0 million"/>
      </w:tblPr>
      <w:tblGrid>
        <w:gridCol w:w="6374"/>
        <w:gridCol w:w="1423"/>
        <w:gridCol w:w="1842"/>
      </w:tblGrid>
      <w:tr w:rsidR="00184818" w:rsidRPr="00EF2AAE" w14:paraId="728D0CD1" w14:textId="77777777" w:rsidTr="003E2BE7">
        <w:tc>
          <w:tcPr>
            <w:tcW w:w="6374" w:type="dxa"/>
          </w:tcPr>
          <w:p w14:paraId="1335AAD2" w14:textId="6A5EAFBF" w:rsidR="00184818" w:rsidRPr="00EF2AAE" w:rsidRDefault="00184818" w:rsidP="00355959">
            <w:pPr>
              <w:spacing w:before="60"/>
              <w:rPr>
                <w:b/>
                <w:sz w:val="24"/>
              </w:rPr>
            </w:pPr>
            <w:r w:rsidRPr="00EF2AAE">
              <w:rPr>
                <w:b/>
                <w:sz w:val="20"/>
              </w:rPr>
              <w:t>Objective</w:t>
            </w:r>
          </w:p>
        </w:tc>
        <w:tc>
          <w:tcPr>
            <w:tcW w:w="1423" w:type="dxa"/>
          </w:tcPr>
          <w:p w14:paraId="0CE6F962" w14:textId="77777777" w:rsidR="00184818" w:rsidRPr="00EF2AAE" w:rsidRDefault="00184818" w:rsidP="00355959">
            <w:pPr>
              <w:spacing w:before="60"/>
              <w:jc w:val="center"/>
              <w:rPr>
                <w:b/>
                <w:sz w:val="24"/>
              </w:rPr>
            </w:pPr>
            <w:r w:rsidRPr="00EF2AAE">
              <w:rPr>
                <w:b/>
                <w:sz w:val="20"/>
              </w:rPr>
              <w:t>A$ million</w:t>
            </w:r>
          </w:p>
        </w:tc>
        <w:tc>
          <w:tcPr>
            <w:tcW w:w="1842" w:type="dxa"/>
          </w:tcPr>
          <w:p w14:paraId="13F9D5D5" w14:textId="2D318C53" w:rsidR="00184818" w:rsidRPr="00EF2AAE" w:rsidRDefault="00184818" w:rsidP="0052158D">
            <w:pPr>
              <w:spacing w:before="60"/>
              <w:ind w:right="-98"/>
              <w:jc w:val="center"/>
              <w:rPr>
                <w:b/>
                <w:sz w:val="24"/>
              </w:rPr>
            </w:pPr>
            <w:r w:rsidRPr="00EF2AAE">
              <w:rPr>
                <w:b/>
                <w:sz w:val="20"/>
              </w:rPr>
              <w:t>% of total</w:t>
            </w:r>
          </w:p>
        </w:tc>
      </w:tr>
      <w:tr w:rsidR="00184818" w14:paraId="3A3A4238" w14:textId="77777777" w:rsidTr="003E2BE7">
        <w:tc>
          <w:tcPr>
            <w:tcW w:w="6374" w:type="dxa"/>
          </w:tcPr>
          <w:p w14:paraId="28318FDC" w14:textId="3A5FEFD5" w:rsidR="00184818" w:rsidRDefault="00EF2AAE" w:rsidP="00355959">
            <w:pPr>
              <w:spacing w:before="60"/>
              <w:rPr>
                <w:b/>
                <w:sz w:val="24"/>
              </w:rPr>
            </w:pPr>
            <w:r>
              <w:rPr>
                <w:sz w:val="20"/>
              </w:rPr>
              <w:t>1: Enhancing human development</w:t>
            </w:r>
          </w:p>
        </w:tc>
        <w:tc>
          <w:tcPr>
            <w:tcW w:w="1423" w:type="dxa"/>
          </w:tcPr>
          <w:p w14:paraId="1068ADFC" w14:textId="07870609" w:rsidR="00184818" w:rsidRPr="00D139D8" w:rsidRDefault="004B3FF4" w:rsidP="009E7201">
            <w:pPr>
              <w:spacing w:before="60"/>
              <w:ind w:right="324"/>
              <w:jc w:val="right"/>
              <w:rPr>
                <w:b/>
                <w:sz w:val="24"/>
              </w:rPr>
            </w:pPr>
            <w:r>
              <w:rPr>
                <w:sz w:val="20"/>
              </w:rPr>
              <w:t>21.</w:t>
            </w:r>
            <w:r w:rsidR="009E7201">
              <w:rPr>
                <w:sz w:val="20"/>
              </w:rPr>
              <w:t>6</w:t>
            </w:r>
          </w:p>
        </w:tc>
        <w:tc>
          <w:tcPr>
            <w:tcW w:w="1842" w:type="dxa"/>
          </w:tcPr>
          <w:p w14:paraId="1AE765D4" w14:textId="708B7099" w:rsidR="00184818" w:rsidRPr="00D139D8" w:rsidRDefault="00D139D8" w:rsidP="00CA366D">
            <w:pPr>
              <w:spacing w:before="60"/>
              <w:ind w:right="603"/>
              <w:jc w:val="right"/>
              <w:rPr>
                <w:sz w:val="20"/>
              </w:rPr>
            </w:pPr>
            <w:r w:rsidRPr="00D139D8">
              <w:rPr>
                <w:sz w:val="20"/>
              </w:rPr>
              <w:t>2</w:t>
            </w:r>
            <w:r w:rsidR="00CA366D">
              <w:rPr>
                <w:sz w:val="20"/>
              </w:rPr>
              <w:t>3.9</w:t>
            </w:r>
          </w:p>
        </w:tc>
      </w:tr>
      <w:tr w:rsidR="00184818" w14:paraId="5A978055" w14:textId="77777777" w:rsidTr="003E2BE7">
        <w:tc>
          <w:tcPr>
            <w:tcW w:w="6374" w:type="dxa"/>
          </w:tcPr>
          <w:p w14:paraId="680B2DC4" w14:textId="359A5170" w:rsidR="00184818" w:rsidRDefault="00184818" w:rsidP="00A3378F">
            <w:pPr>
              <w:spacing w:before="60"/>
              <w:rPr>
                <w:b/>
                <w:sz w:val="24"/>
              </w:rPr>
            </w:pPr>
            <w:r w:rsidRPr="00BE6C6D">
              <w:rPr>
                <w:sz w:val="20"/>
              </w:rPr>
              <w:t>2</w:t>
            </w:r>
            <w:r w:rsidR="00EF2AAE">
              <w:rPr>
                <w:sz w:val="20"/>
              </w:rPr>
              <w:t>:</w:t>
            </w:r>
            <w:r w:rsidR="00EF2AAE">
              <w:t xml:space="preserve"> </w:t>
            </w:r>
            <w:r w:rsidR="00EF2AAE" w:rsidRPr="00EF2AAE">
              <w:rPr>
                <w:sz w:val="20"/>
              </w:rPr>
              <w:t>Promoting peace and stability</w:t>
            </w:r>
            <w:r w:rsidR="00AF2C52">
              <w:rPr>
                <w:sz w:val="20"/>
              </w:rPr>
              <w:t xml:space="preserve"> </w:t>
            </w:r>
          </w:p>
        </w:tc>
        <w:tc>
          <w:tcPr>
            <w:tcW w:w="1423" w:type="dxa"/>
          </w:tcPr>
          <w:p w14:paraId="0FE7A6BA" w14:textId="61FF4CBA" w:rsidR="00184818" w:rsidRPr="00D139D8" w:rsidRDefault="004B3FF4" w:rsidP="009E7201">
            <w:pPr>
              <w:spacing w:before="60"/>
              <w:ind w:right="231"/>
              <w:jc w:val="right"/>
              <w:rPr>
                <w:sz w:val="20"/>
              </w:rPr>
            </w:pPr>
            <w:r>
              <w:rPr>
                <w:sz w:val="20"/>
              </w:rPr>
              <w:t>3</w:t>
            </w:r>
            <w:r w:rsidR="001C4BD6">
              <w:rPr>
                <w:sz w:val="20"/>
              </w:rPr>
              <w:t>1</w:t>
            </w:r>
            <w:r>
              <w:rPr>
                <w:sz w:val="20"/>
              </w:rPr>
              <w:t>.</w:t>
            </w:r>
            <w:r w:rsidR="009E7201">
              <w:rPr>
                <w:sz w:val="20"/>
              </w:rPr>
              <w:t>4</w:t>
            </w:r>
            <w:r w:rsidR="0050342B">
              <w:rPr>
                <w:sz w:val="20"/>
              </w:rPr>
              <w:t>*</w:t>
            </w:r>
          </w:p>
        </w:tc>
        <w:tc>
          <w:tcPr>
            <w:tcW w:w="1842" w:type="dxa"/>
          </w:tcPr>
          <w:p w14:paraId="44F3DDF9" w14:textId="306B81D6" w:rsidR="00184818" w:rsidRPr="00D139D8" w:rsidRDefault="00862493" w:rsidP="00CA366D">
            <w:pPr>
              <w:spacing w:before="60"/>
              <w:ind w:right="603"/>
              <w:jc w:val="right"/>
              <w:rPr>
                <w:sz w:val="20"/>
              </w:rPr>
            </w:pPr>
            <w:r>
              <w:rPr>
                <w:sz w:val="20"/>
              </w:rPr>
              <w:t>3</w:t>
            </w:r>
            <w:r w:rsidR="00AD28A4">
              <w:rPr>
                <w:sz w:val="20"/>
              </w:rPr>
              <w:t>4.</w:t>
            </w:r>
            <w:r w:rsidR="00CA366D">
              <w:rPr>
                <w:sz w:val="20"/>
              </w:rPr>
              <w:t>9</w:t>
            </w:r>
          </w:p>
        </w:tc>
      </w:tr>
      <w:tr w:rsidR="00184818" w14:paraId="362F716A" w14:textId="77777777" w:rsidTr="003E2BE7">
        <w:tc>
          <w:tcPr>
            <w:tcW w:w="6374" w:type="dxa"/>
          </w:tcPr>
          <w:p w14:paraId="012325C8" w14:textId="160C742B" w:rsidR="00184818" w:rsidRDefault="00184818" w:rsidP="00355959">
            <w:pPr>
              <w:spacing w:before="60"/>
              <w:rPr>
                <w:b/>
                <w:sz w:val="24"/>
              </w:rPr>
            </w:pPr>
            <w:r w:rsidRPr="00BE6C6D">
              <w:rPr>
                <w:sz w:val="20"/>
              </w:rPr>
              <w:t>3</w:t>
            </w:r>
            <w:r w:rsidR="00EF2AAE">
              <w:rPr>
                <w:sz w:val="20"/>
              </w:rPr>
              <w:t xml:space="preserve">: </w:t>
            </w:r>
            <w:r w:rsidR="00EF2AAE" w:rsidRPr="00EF2AAE">
              <w:rPr>
                <w:sz w:val="20"/>
              </w:rPr>
              <w:t>Promoting inclusive economic growth and government management</w:t>
            </w:r>
          </w:p>
        </w:tc>
        <w:tc>
          <w:tcPr>
            <w:tcW w:w="1423" w:type="dxa"/>
          </w:tcPr>
          <w:p w14:paraId="3C6D2886" w14:textId="1A2F6406" w:rsidR="00184818" w:rsidRPr="00D139D8" w:rsidRDefault="004B3FF4" w:rsidP="00BD7E03">
            <w:pPr>
              <w:spacing w:before="60"/>
              <w:ind w:right="324"/>
              <w:jc w:val="right"/>
              <w:rPr>
                <w:sz w:val="20"/>
              </w:rPr>
            </w:pPr>
            <w:r>
              <w:rPr>
                <w:sz w:val="20"/>
              </w:rPr>
              <w:t>10.</w:t>
            </w:r>
            <w:r w:rsidR="00BD7E03">
              <w:rPr>
                <w:sz w:val="20"/>
              </w:rPr>
              <w:t>4</w:t>
            </w:r>
          </w:p>
        </w:tc>
        <w:tc>
          <w:tcPr>
            <w:tcW w:w="1842" w:type="dxa"/>
          </w:tcPr>
          <w:p w14:paraId="42B85F5E" w14:textId="2760CA15" w:rsidR="00184818" w:rsidRPr="00D139D8" w:rsidRDefault="00862493" w:rsidP="00CA366D">
            <w:pPr>
              <w:spacing w:before="60"/>
              <w:ind w:right="603"/>
              <w:jc w:val="right"/>
              <w:rPr>
                <w:sz w:val="20"/>
              </w:rPr>
            </w:pPr>
            <w:r>
              <w:rPr>
                <w:sz w:val="20"/>
              </w:rPr>
              <w:t>1</w:t>
            </w:r>
            <w:r w:rsidR="00AD28A4">
              <w:rPr>
                <w:sz w:val="20"/>
              </w:rPr>
              <w:t>1.</w:t>
            </w:r>
            <w:r w:rsidR="00CA366D">
              <w:rPr>
                <w:sz w:val="20"/>
              </w:rPr>
              <w:t>6</w:t>
            </w:r>
          </w:p>
        </w:tc>
      </w:tr>
      <w:tr w:rsidR="00184818" w:rsidRPr="00EF2AAE" w14:paraId="7F434F7F" w14:textId="77777777" w:rsidTr="003E2BE7">
        <w:tc>
          <w:tcPr>
            <w:tcW w:w="6374" w:type="dxa"/>
          </w:tcPr>
          <w:p w14:paraId="551EC84C" w14:textId="7460C561" w:rsidR="00184818" w:rsidRPr="00EF2AAE" w:rsidRDefault="00184818" w:rsidP="00AF2C52">
            <w:pPr>
              <w:spacing w:before="60"/>
              <w:rPr>
                <w:b/>
                <w:sz w:val="24"/>
              </w:rPr>
            </w:pPr>
            <w:r w:rsidRPr="00EF2AAE">
              <w:rPr>
                <w:b/>
                <w:sz w:val="20"/>
              </w:rPr>
              <w:t xml:space="preserve">Sub-Total </w:t>
            </w:r>
            <w:r w:rsidR="00D450A2" w:rsidRPr="00EF2AAE">
              <w:rPr>
                <w:b/>
                <w:sz w:val="20"/>
              </w:rPr>
              <w:t xml:space="preserve">estimated </w:t>
            </w:r>
            <w:r w:rsidR="00AF2C52">
              <w:rPr>
                <w:b/>
                <w:sz w:val="20"/>
              </w:rPr>
              <w:t>funding for AIP objectives</w:t>
            </w:r>
          </w:p>
        </w:tc>
        <w:tc>
          <w:tcPr>
            <w:tcW w:w="1423" w:type="dxa"/>
          </w:tcPr>
          <w:p w14:paraId="18F6EED1" w14:textId="5A18801D" w:rsidR="00184818" w:rsidRPr="00EF2AAE" w:rsidRDefault="00E6772E" w:rsidP="00716452">
            <w:pPr>
              <w:spacing w:before="60"/>
              <w:ind w:right="329"/>
              <w:jc w:val="right"/>
              <w:rPr>
                <w:b/>
                <w:sz w:val="20"/>
              </w:rPr>
            </w:pPr>
            <w:r>
              <w:rPr>
                <w:b/>
                <w:sz w:val="20"/>
              </w:rPr>
              <w:t>63.4</w:t>
            </w:r>
          </w:p>
        </w:tc>
        <w:tc>
          <w:tcPr>
            <w:tcW w:w="1842" w:type="dxa"/>
          </w:tcPr>
          <w:p w14:paraId="54348E48" w14:textId="488AD291" w:rsidR="00184818" w:rsidRPr="00EF2AAE" w:rsidRDefault="00CA366D" w:rsidP="00F00E95">
            <w:pPr>
              <w:spacing w:before="60"/>
              <w:ind w:right="603"/>
              <w:jc w:val="right"/>
              <w:rPr>
                <w:b/>
                <w:sz w:val="20"/>
              </w:rPr>
            </w:pPr>
            <w:r>
              <w:rPr>
                <w:b/>
                <w:sz w:val="20"/>
              </w:rPr>
              <w:t>70.4</w:t>
            </w:r>
          </w:p>
        </w:tc>
      </w:tr>
      <w:tr w:rsidR="00184818" w14:paraId="16841DAD" w14:textId="77777777" w:rsidTr="003E2BE7">
        <w:tc>
          <w:tcPr>
            <w:tcW w:w="6374" w:type="dxa"/>
          </w:tcPr>
          <w:p w14:paraId="544DB831" w14:textId="2B518EB6" w:rsidR="00184818" w:rsidRDefault="00184818" w:rsidP="00A3378F">
            <w:pPr>
              <w:spacing w:before="60"/>
              <w:rPr>
                <w:b/>
                <w:sz w:val="24"/>
              </w:rPr>
            </w:pPr>
            <w:r w:rsidRPr="00BE6C6D">
              <w:rPr>
                <w:sz w:val="20"/>
              </w:rPr>
              <w:t>Regional and Global</w:t>
            </w:r>
            <w:r w:rsidR="00AF2C52">
              <w:rPr>
                <w:sz w:val="20"/>
              </w:rPr>
              <w:t xml:space="preserve"> </w:t>
            </w:r>
          </w:p>
        </w:tc>
        <w:tc>
          <w:tcPr>
            <w:tcW w:w="1423" w:type="dxa"/>
          </w:tcPr>
          <w:p w14:paraId="44A00FC9" w14:textId="57C4C238" w:rsidR="00184818" w:rsidRPr="00D139D8" w:rsidRDefault="00BD7E03" w:rsidP="00AF2C52">
            <w:pPr>
              <w:spacing w:before="60"/>
              <w:ind w:right="245"/>
              <w:jc w:val="right"/>
              <w:rPr>
                <w:sz w:val="20"/>
              </w:rPr>
            </w:pPr>
            <w:r>
              <w:rPr>
                <w:sz w:val="20"/>
              </w:rPr>
              <w:t>21.9</w:t>
            </w:r>
            <w:r w:rsidR="00AF2C52" w:rsidRPr="00A3378F">
              <w:rPr>
                <w:sz w:val="20"/>
                <w:vertAlign w:val="superscript"/>
              </w:rPr>
              <w:t>#</w:t>
            </w:r>
          </w:p>
        </w:tc>
        <w:tc>
          <w:tcPr>
            <w:tcW w:w="1842" w:type="dxa"/>
          </w:tcPr>
          <w:p w14:paraId="4B8A5FA5" w14:textId="5793B8F8" w:rsidR="00184818" w:rsidRPr="00D139D8" w:rsidRDefault="00716452" w:rsidP="00716452">
            <w:pPr>
              <w:spacing w:before="60"/>
              <w:ind w:right="603"/>
              <w:jc w:val="right"/>
              <w:rPr>
                <w:sz w:val="20"/>
              </w:rPr>
            </w:pPr>
            <w:r>
              <w:rPr>
                <w:sz w:val="20"/>
              </w:rPr>
              <w:t>24</w:t>
            </w:r>
            <w:r w:rsidR="00F00E95">
              <w:rPr>
                <w:sz w:val="20"/>
              </w:rPr>
              <w:t>.</w:t>
            </w:r>
            <w:r>
              <w:rPr>
                <w:sz w:val="20"/>
              </w:rPr>
              <w:t>3</w:t>
            </w:r>
          </w:p>
        </w:tc>
      </w:tr>
      <w:tr w:rsidR="00184818" w14:paraId="0622C5EE" w14:textId="77777777" w:rsidTr="003E2BE7">
        <w:tc>
          <w:tcPr>
            <w:tcW w:w="6374" w:type="dxa"/>
          </w:tcPr>
          <w:p w14:paraId="65733C6E" w14:textId="0D8CD58D" w:rsidR="00184818" w:rsidRDefault="00184818" w:rsidP="00355959">
            <w:pPr>
              <w:spacing w:before="60"/>
              <w:rPr>
                <w:b/>
                <w:sz w:val="24"/>
              </w:rPr>
            </w:pPr>
            <w:r w:rsidRPr="00BE6C6D">
              <w:rPr>
                <w:sz w:val="20"/>
              </w:rPr>
              <w:t xml:space="preserve">Other </w:t>
            </w:r>
            <w:r w:rsidR="00E31AFC">
              <w:rPr>
                <w:sz w:val="20"/>
              </w:rPr>
              <w:t xml:space="preserve">Australian </w:t>
            </w:r>
            <w:r w:rsidRPr="00BE6C6D">
              <w:rPr>
                <w:sz w:val="20"/>
              </w:rPr>
              <w:t>Government Departments</w:t>
            </w:r>
          </w:p>
        </w:tc>
        <w:tc>
          <w:tcPr>
            <w:tcW w:w="1423" w:type="dxa"/>
          </w:tcPr>
          <w:p w14:paraId="10E225D9" w14:textId="028A2EE8" w:rsidR="00184818" w:rsidRPr="00D139D8" w:rsidRDefault="0052158D" w:rsidP="0050342B">
            <w:pPr>
              <w:spacing w:before="60"/>
              <w:ind w:right="324"/>
              <w:jc w:val="right"/>
              <w:rPr>
                <w:sz w:val="20"/>
              </w:rPr>
            </w:pPr>
            <w:r w:rsidRPr="00D139D8">
              <w:rPr>
                <w:sz w:val="20"/>
              </w:rPr>
              <w:t>4.</w:t>
            </w:r>
            <w:r w:rsidR="0050342B">
              <w:rPr>
                <w:sz w:val="20"/>
              </w:rPr>
              <w:t>7</w:t>
            </w:r>
          </w:p>
        </w:tc>
        <w:tc>
          <w:tcPr>
            <w:tcW w:w="1842" w:type="dxa"/>
          </w:tcPr>
          <w:p w14:paraId="4ED2C029" w14:textId="04CE7900" w:rsidR="00184818" w:rsidRPr="00D139D8" w:rsidRDefault="00716452" w:rsidP="00AD28A4">
            <w:pPr>
              <w:spacing w:before="60"/>
              <w:ind w:right="603"/>
              <w:jc w:val="right"/>
              <w:rPr>
                <w:sz w:val="20"/>
              </w:rPr>
            </w:pPr>
            <w:r>
              <w:rPr>
                <w:sz w:val="20"/>
              </w:rPr>
              <w:t>5.2</w:t>
            </w:r>
          </w:p>
        </w:tc>
      </w:tr>
      <w:tr w:rsidR="00184818" w:rsidRPr="00EF2AAE" w14:paraId="6F434D79" w14:textId="77777777" w:rsidTr="003E2BE7">
        <w:tc>
          <w:tcPr>
            <w:tcW w:w="6374" w:type="dxa"/>
          </w:tcPr>
          <w:p w14:paraId="7F0FF78D" w14:textId="5876EAA4" w:rsidR="00184818" w:rsidRPr="00EF2AAE" w:rsidRDefault="00184818" w:rsidP="00355959">
            <w:pPr>
              <w:spacing w:before="60"/>
              <w:rPr>
                <w:b/>
                <w:sz w:val="24"/>
              </w:rPr>
            </w:pPr>
            <w:r w:rsidRPr="00EF2AAE">
              <w:rPr>
                <w:b/>
                <w:sz w:val="20"/>
              </w:rPr>
              <w:t xml:space="preserve">Total </w:t>
            </w:r>
            <w:r w:rsidR="00D450A2" w:rsidRPr="00EF2AAE">
              <w:rPr>
                <w:b/>
                <w:sz w:val="20"/>
              </w:rPr>
              <w:t xml:space="preserve">estimated </w:t>
            </w:r>
            <w:r w:rsidR="00E31AFC" w:rsidRPr="00EF2AAE">
              <w:rPr>
                <w:b/>
                <w:sz w:val="20"/>
              </w:rPr>
              <w:t xml:space="preserve">Australian </w:t>
            </w:r>
            <w:r w:rsidRPr="00EF2AAE">
              <w:rPr>
                <w:b/>
                <w:sz w:val="20"/>
              </w:rPr>
              <w:t>ODA Expenditure</w:t>
            </w:r>
          </w:p>
        </w:tc>
        <w:tc>
          <w:tcPr>
            <w:tcW w:w="1423" w:type="dxa"/>
          </w:tcPr>
          <w:p w14:paraId="2298CFFD" w14:textId="30DBB17A" w:rsidR="00184818" w:rsidRPr="00EF2AAE" w:rsidRDefault="00E757EA" w:rsidP="00862493">
            <w:pPr>
              <w:spacing w:before="60"/>
              <w:ind w:right="324"/>
              <w:jc w:val="right"/>
              <w:rPr>
                <w:b/>
                <w:sz w:val="20"/>
              </w:rPr>
            </w:pPr>
            <w:r>
              <w:rPr>
                <w:b/>
                <w:sz w:val="20"/>
              </w:rPr>
              <w:t>90.</w:t>
            </w:r>
            <w:r w:rsidR="00862493">
              <w:rPr>
                <w:b/>
                <w:sz w:val="20"/>
              </w:rPr>
              <w:t>0</w:t>
            </w:r>
          </w:p>
        </w:tc>
        <w:tc>
          <w:tcPr>
            <w:tcW w:w="1842" w:type="dxa"/>
          </w:tcPr>
          <w:p w14:paraId="5B6FE8D0" w14:textId="4790DF39" w:rsidR="00184818" w:rsidRPr="00EF2AAE" w:rsidRDefault="00D139D8" w:rsidP="00AD28A4">
            <w:pPr>
              <w:spacing w:before="60"/>
              <w:ind w:right="603"/>
              <w:jc w:val="right"/>
              <w:rPr>
                <w:b/>
                <w:sz w:val="20"/>
              </w:rPr>
            </w:pPr>
            <w:r w:rsidRPr="00EF2AAE">
              <w:rPr>
                <w:b/>
                <w:sz w:val="20"/>
              </w:rPr>
              <w:t>100</w:t>
            </w:r>
            <w:r w:rsidR="00AD28A4">
              <w:rPr>
                <w:b/>
                <w:sz w:val="20"/>
              </w:rPr>
              <w:t>.0</w:t>
            </w:r>
          </w:p>
        </w:tc>
      </w:tr>
    </w:tbl>
    <w:p w14:paraId="05A928BC" w14:textId="523DB624" w:rsidR="00AF2C52" w:rsidRPr="008E1774" w:rsidRDefault="00AF2C52" w:rsidP="00A3378F">
      <w:pPr>
        <w:pStyle w:val="ListBullet"/>
        <w:tabs>
          <w:tab w:val="clear" w:pos="284"/>
        </w:tabs>
        <w:spacing w:before="20" w:after="0" w:line="240" w:lineRule="auto"/>
        <w:rPr>
          <w:sz w:val="14"/>
          <w:szCs w:val="14"/>
        </w:rPr>
      </w:pPr>
      <w:r w:rsidRPr="008E1774">
        <w:rPr>
          <w:sz w:val="14"/>
          <w:szCs w:val="14"/>
        </w:rPr>
        <w:t>*</w:t>
      </w:r>
      <w:r w:rsidR="00A3378F" w:rsidRPr="008E1774">
        <w:rPr>
          <w:sz w:val="14"/>
          <w:szCs w:val="14"/>
        </w:rPr>
        <w:t>The e</w:t>
      </w:r>
      <w:r w:rsidRPr="008E1774">
        <w:rPr>
          <w:sz w:val="14"/>
          <w:szCs w:val="14"/>
        </w:rPr>
        <w:t>stimated figure under objective 2 includes $21.5 million global humanitarian funding</w:t>
      </w:r>
      <w:r w:rsidR="00052459">
        <w:rPr>
          <w:sz w:val="14"/>
          <w:szCs w:val="14"/>
        </w:rPr>
        <w:t>.</w:t>
      </w:r>
    </w:p>
    <w:p w14:paraId="6028B19C" w14:textId="2D2FE863" w:rsidR="00AF2C52" w:rsidRPr="008E1774" w:rsidRDefault="00AF2C52" w:rsidP="00A3378F">
      <w:pPr>
        <w:pStyle w:val="ListBullet"/>
        <w:tabs>
          <w:tab w:val="clear" w:pos="284"/>
        </w:tabs>
        <w:spacing w:before="20" w:after="0" w:line="240" w:lineRule="auto"/>
        <w:rPr>
          <w:rFonts w:asciiTheme="majorHAnsi" w:eastAsiaTheme="majorEastAsia" w:hAnsiTheme="majorHAnsi" w:cstheme="majorBidi"/>
          <w:caps/>
          <w:color w:val="495965" w:themeColor="text2"/>
          <w:sz w:val="14"/>
          <w:szCs w:val="14"/>
          <w:lang w:val="en-GB" w:eastAsia="en-US"/>
        </w:rPr>
      </w:pPr>
      <w:r w:rsidRPr="008E1774">
        <w:rPr>
          <w:sz w:val="14"/>
          <w:szCs w:val="14"/>
          <w:vertAlign w:val="superscript"/>
        </w:rPr>
        <w:t xml:space="preserve"># </w:t>
      </w:r>
      <w:r w:rsidR="00A3378F" w:rsidRPr="008E1774">
        <w:rPr>
          <w:sz w:val="14"/>
          <w:szCs w:val="14"/>
        </w:rPr>
        <w:t>The c</w:t>
      </w:r>
      <w:r w:rsidRPr="008E1774">
        <w:rPr>
          <w:sz w:val="14"/>
          <w:szCs w:val="14"/>
        </w:rPr>
        <w:t>ombined Regional and Global estimate figure (for this table)</w:t>
      </w:r>
      <w:r w:rsidR="0045622F">
        <w:rPr>
          <w:sz w:val="14"/>
          <w:szCs w:val="14"/>
        </w:rPr>
        <w:t xml:space="preserve"> has been adjusted to deduct this</w:t>
      </w:r>
      <w:r w:rsidRPr="008E1774">
        <w:rPr>
          <w:sz w:val="14"/>
          <w:szCs w:val="14"/>
        </w:rPr>
        <w:t xml:space="preserve"> $21.5 million humanitarian funding</w:t>
      </w:r>
      <w:r w:rsidR="0045622F">
        <w:rPr>
          <w:sz w:val="14"/>
          <w:szCs w:val="14"/>
        </w:rPr>
        <w:t>.</w:t>
      </w:r>
      <w:r w:rsidRPr="008E1774">
        <w:rPr>
          <w:sz w:val="14"/>
          <w:szCs w:val="14"/>
        </w:rPr>
        <w:t>.</w:t>
      </w:r>
    </w:p>
    <w:p w14:paraId="7B3ECAE5" w14:textId="2F5DD662" w:rsidR="00CA366D" w:rsidRPr="008E1774" w:rsidRDefault="00CA366D" w:rsidP="00CA366D">
      <w:pPr>
        <w:pStyle w:val="ListBullet"/>
        <w:tabs>
          <w:tab w:val="clear" w:pos="284"/>
        </w:tabs>
        <w:spacing w:before="20" w:after="0" w:line="240" w:lineRule="auto"/>
        <w:rPr>
          <w:rFonts w:asciiTheme="majorHAnsi" w:eastAsiaTheme="majorEastAsia" w:hAnsiTheme="majorHAnsi" w:cstheme="majorBidi"/>
          <w:caps/>
          <w:color w:val="495965" w:themeColor="text2"/>
          <w:sz w:val="14"/>
          <w:szCs w:val="14"/>
          <w:lang w:val="en-GB" w:eastAsia="en-US"/>
        </w:rPr>
      </w:pPr>
    </w:p>
    <w:p w14:paraId="12F0C7B7" w14:textId="241C7651" w:rsidR="002A51CA" w:rsidRPr="002A51CA" w:rsidRDefault="002A51CA"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14:paraId="3A2A66B0" w14:textId="3BB2E647" w:rsidR="007D44FD" w:rsidRDefault="007D44FD" w:rsidP="007D44FD">
      <w:r>
        <w:t xml:space="preserve">The </w:t>
      </w:r>
      <w:r w:rsidR="00DB3CF4">
        <w:t>measurement</w:t>
      </w:r>
      <w:r w:rsidR="00C32579">
        <w:t xml:space="preserve"> </w:t>
      </w:r>
      <w:r w:rsidR="009911F6">
        <w:t>of</w:t>
      </w:r>
      <w:r w:rsidR="00DB3CF4">
        <w:t xml:space="preserve"> the </w:t>
      </w:r>
      <w:r>
        <w:t xml:space="preserve">performance of Australia’s aid program </w:t>
      </w:r>
      <w:r w:rsidR="00E72623">
        <w:t xml:space="preserve">for this reporting period </w:t>
      </w:r>
      <w:r>
        <w:t xml:space="preserve">is against </w:t>
      </w:r>
      <w:r w:rsidR="004F49BB">
        <w:t xml:space="preserve">the </w:t>
      </w:r>
      <w:r w:rsidR="00B82043">
        <w:t xml:space="preserve">performance </w:t>
      </w:r>
      <w:r>
        <w:t>benc</w:t>
      </w:r>
      <w:r w:rsidR="004F49BB">
        <w:t xml:space="preserve">hmarks and assessment framework, </w:t>
      </w:r>
      <w:r w:rsidR="00E72623">
        <w:t>in the 2017-18 APPR update</w:t>
      </w:r>
      <w:r>
        <w:t xml:space="preserve">. Australia’s education investments under objective </w:t>
      </w:r>
      <w:r w:rsidR="00D32FD1">
        <w:t xml:space="preserve">(i) </w:t>
      </w:r>
      <w:r>
        <w:t>continue</w:t>
      </w:r>
      <w:r w:rsidR="00FF31AA">
        <w:t>d</w:t>
      </w:r>
      <w:r>
        <w:t xml:space="preserve"> to meet expectations</w:t>
      </w:r>
      <w:r w:rsidR="00DB3CF4">
        <w:t xml:space="preserve"> and remain at green</w:t>
      </w:r>
      <w:r w:rsidR="00BA79C1">
        <w:t>. T</w:t>
      </w:r>
      <w:r w:rsidR="00E1087B">
        <w:t xml:space="preserve">he </w:t>
      </w:r>
      <w:r w:rsidR="00BA79C1">
        <w:t xml:space="preserve">challenging operating environment across Myanmar’s conflict zones and a stalemate in the peace process, </w:t>
      </w:r>
      <w:r w:rsidR="00B9096E">
        <w:t>which</w:t>
      </w:r>
      <w:r w:rsidR="00BA79C1">
        <w:t xml:space="preserve"> lasted much of the last reporting period, overshadowed the small achievements made in the democratic governance space under objective (ii)</w:t>
      </w:r>
      <w:r w:rsidR="00236F76">
        <w:t>. T</w:t>
      </w:r>
      <w:r w:rsidR="004F49BB">
        <w:t>his objective remain</w:t>
      </w:r>
      <w:r w:rsidR="00236F76">
        <w:t>s</w:t>
      </w:r>
      <w:r w:rsidR="00DB3CF4">
        <w:t xml:space="preserve"> at an</w:t>
      </w:r>
      <w:r w:rsidR="00DA5AC7">
        <w:t xml:space="preserve"> amber rating </w:t>
      </w:r>
      <w:r w:rsidR="00DB3CF4">
        <w:t>for</w:t>
      </w:r>
      <w:r>
        <w:t xml:space="preserve"> 2018-19</w:t>
      </w:r>
      <w:r w:rsidRPr="007D44FD">
        <w:t xml:space="preserve">. </w:t>
      </w:r>
      <w:r w:rsidR="00BA79C1">
        <w:t>I</w:t>
      </w:r>
      <w:r w:rsidR="00786B30">
        <w:t xml:space="preserve">mproved </w:t>
      </w:r>
      <w:r w:rsidR="00BA79C1">
        <w:t xml:space="preserve">progress </w:t>
      </w:r>
      <w:r w:rsidR="009911F6">
        <w:t>across most</w:t>
      </w:r>
      <w:r w:rsidR="00786B30">
        <w:t xml:space="preserve"> </w:t>
      </w:r>
      <w:r>
        <w:t>investments</w:t>
      </w:r>
      <w:r w:rsidR="00DB3CF4">
        <w:t xml:space="preserve"> and </w:t>
      </w:r>
      <w:r w:rsidR="00BA79C1">
        <w:t>associated</w:t>
      </w:r>
      <w:r w:rsidR="00786B30">
        <w:t xml:space="preserve"> </w:t>
      </w:r>
      <w:r w:rsidR="00DB3CF4">
        <w:t>PAF targets</w:t>
      </w:r>
      <w:r w:rsidR="00BA79C1">
        <w:t xml:space="preserve"> under objective (iii)</w:t>
      </w:r>
      <w:r w:rsidR="00236F76">
        <w:t xml:space="preserve"> </w:t>
      </w:r>
      <w:r w:rsidR="00710CD9">
        <w:t>sees the</w:t>
      </w:r>
      <w:r>
        <w:t xml:space="preserve"> rating </w:t>
      </w:r>
      <w:r w:rsidR="00DB3CF4">
        <w:t xml:space="preserve">increase </w:t>
      </w:r>
      <w:r w:rsidR="00DA5AC7">
        <w:t xml:space="preserve">from amber </w:t>
      </w:r>
      <w:r>
        <w:t>to green for 2018-19</w:t>
      </w:r>
      <w:r w:rsidR="00B82043">
        <w:t>.</w:t>
      </w:r>
    </w:p>
    <w:p w14:paraId="07B2320D" w14:textId="79C30518"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35E8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2 Rating of the Program's Progress towards Australia's Aid Objectives"/>
        <w:tblDescription w:val="Objective 1 Green in 2017-18 and Green in 2018-19&#10;Objective 2 Amber in 2017-18 and Amber in 2018-19&#10;Objective 3 Amber in 2017-18 and Green in 2018-19"/>
      </w:tblPr>
      <w:tblGrid>
        <w:gridCol w:w="6454"/>
        <w:gridCol w:w="1516"/>
        <w:gridCol w:w="1519"/>
      </w:tblGrid>
      <w:tr w:rsidR="00355959" w:rsidRPr="00812509" w14:paraId="25EE0028" w14:textId="77777777" w:rsidTr="00A8239B">
        <w:trPr>
          <w:cnfStyle w:val="000000010000" w:firstRow="0" w:lastRow="0" w:firstColumn="0" w:lastColumn="0" w:oddVBand="0" w:evenVBand="0" w:oddHBand="0" w:evenHBand="1" w:firstRowFirstColumn="0" w:firstRowLastColumn="0" w:lastRowFirstColumn="0" w:lastRowLastColumn="0"/>
          <w:trHeight w:val="651"/>
        </w:trPr>
        <w:tc>
          <w:tcPr>
            <w:tcW w:w="64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36D478" w14:textId="77777777"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17E51751" wp14:editId="4ABC4263">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4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81DED5" w14:textId="77777777" w:rsidR="00355959" w:rsidRPr="00812509" w:rsidRDefault="00355959" w:rsidP="00D05246">
            <w:pPr>
              <w:pStyle w:val="TableTextColumnHeading"/>
            </w:pPr>
            <w:r w:rsidRPr="00812509">
              <w:t>Previous Rating</w:t>
            </w:r>
          </w:p>
        </w:tc>
        <w:tc>
          <w:tcPr>
            <w:tcW w:w="14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4E3FB0" w14:textId="77777777" w:rsidR="00355959" w:rsidRPr="00812509" w:rsidRDefault="00355959" w:rsidP="00D05246">
            <w:pPr>
              <w:pStyle w:val="TableTextColumnHeading"/>
            </w:pPr>
            <w:r w:rsidRPr="00812509">
              <w:t>Current Rating</w:t>
            </w:r>
          </w:p>
        </w:tc>
      </w:tr>
      <w:tr w:rsidR="00C03A2E" w:rsidRPr="00812509" w14:paraId="25AC7F35" w14:textId="77777777" w:rsidTr="00A8239B">
        <w:trPr>
          <w:cnfStyle w:val="000000010000" w:firstRow="0" w:lastRow="0" w:firstColumn="0" w:lastColumn="0" w:oddVBand="0" w:evenVBand="0" w:oddHBand="0" w:evenHBand="1" w:firstRowFirstColumn="0" w:firstRowLastColumn="0" w:lastRowFirstColumn="0" w:lastRowLastColumn="0"/>
        </w:trPr>
        <w:tc>
          <w:tcPr>
            <w:tcW w:w="64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88C15E" w14:textId="77777777" w:rsidR="00C03A2E" w:rsidRPr="00812509" w:rsidRDefault="00C03A2E" w:rsidP="00C03A2E">
            <w:pPr>
              <w:pStyle w:val="TableTextEntries"/>
              <w:rPr>
                <w:rFonts w:asciiTheme="minorHAnsi" w:hAnsiTheme="minorHAnsi"/>
              </w:rPr>
            </w:pPr>
            <w:r w:rsidRPr="00812509">
              <w:rPr>
                <w:rFonts w:asciiTheme="minorHAnsi" w:hAnsiTheme="minorHAnsi"/>
              </w:rPr>
              <w:t>Objective 1</w:t>
            </w:r>
            <w:r w:rsidR="00A8239B">
              <w:rPr>
                <w:rFonts w:asciiTheme="minorHAnsi" w:hAnsiTheme="minorHAnsi"/>
              </w:rPr>
              <w:t>: Enhancing human development</w:t>
            </w:r>
          </w:p>
        </w:tc>
        <w:tc>
          <w:tcPr>
            <w:tcW w:w="14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376F0DE3" w14:textId="77777777" w:rsidR="00C03A2E" w:rsidRPr="00812509" w:rsidRDefault="00C03A2E" w:rsidP="00C03A2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4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3A749608" w14:textId="77777777" w:rsidR="00C03A2E" w:rsidRPr="00812509" w:rsidRDefault="00C03A2E" w:rsidP="00C03A2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A8239B" w:rsidRPr="00812509" w14:paraId="70A2DECE" w14:textId="77777777" w:rsidTr="00A8239B">
        <w:trPr>
          <w:cnfStyle w:val="000000010000" w:firstRow="0" w:lastRow="0" w:firstColumn="0" w:lastColumn="0" w:oddVBand="0" w:evenVBand="0" w:oddHBand="0" w:evenHBand="1" w:firstRowFirstColumn="0" w:firstRowLastColumn="0" w:lastRowFirstColumn="0" w:lastRowLastColumn="0"/>
        </w:trPr>
        <w:tc>
          <w:tcPr>
            <w:tcW w:w="64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98E6F9" w14:textId="77777777" w:rsidR="00A8239B" w:rsidRPr="00812509" w:rsidRDefault="00A8239B" w:rsidP="00A8239B">
            <w:pPr>
              <w:pStyle w:val="TableTextEntries"/>
              <w:rPr>
                <w:rFonts w:asciiTheme="minorHAnsi" w:hAnsiTheme="minorHAnsi"/>
              </w:rPr>
            </w:pPr>
            <w:r w:rsidRPr="00812509">
              <w:rPr>
                <w:rFonts w:asciiTheme="minorHAnsi" w:hAnsiTheme="minorHAnsi"/>
              </w:rPr>
              <w:t>Objective 2</w:t>
            </w:r>
            <w:r>
              <w:rPr>
                <w:rFonts w:asciiTheme="minorHAnsi" w:hAnsiTheme="minorHAnsi"/>
              </w:rPr>
              <w:t>: Promoting peace and stability</w:t>
            </w:r>
          </w:p>
        </w:tc>
        <w:tc>
          <w:tcPr>
            <w:tcW w:w="14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14:paraId="35E1CCAD" w14:textId="77777777" w:rsidR="00A8239B" w:rsidRPr="00812509" w:rsidRDefault="00A8239B" w:rsidP="00A8239B">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4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14:paraId="3275EA1B" w14:textId="77777777" w:rsidR="00A8239B" w:rsidRPr="00812509" w:rsidRDefault="00A8239B" w:rsidP="00A8239B">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A8239B" w:rsidRPr="00812509" w14:paraId="6A23F1AD" w14:textId="77777777" w:rsidTr="00A8239B">
        <w:trPr>
          <w:cnfStyle w:val="000000010000" w:firstRow="0" w:lastRow="0" w:firstColumn="0" w:lastColumn="0" w:oddVBand="0" w:evenVBand="0" w:oddHBand="0" w:evenHBand="1" w:firstRowFirstColumn="0" w:firstRowLastColumn="0" w:lastRowFirstColumn="0" w:lastRowLastColumn="0"/>
        </w:trPr>
        <w:tc>
          <w:tcPr>
            <w:tcW w:w="64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4A6C3D" w14:textId="77777777" w:rsidR="00A8239B" w:rsidRPr="00812509" w:rsidRDefault="00A8239B" w:rsidP="00A8239B">
            <w:pPr>
              <w:pStyle w:val="TableTextEntries"/>
              <w:rPr>
                <w:rFonts w:asciiTheme="minorHAnsi" w:hAnsiTheme="minorHAnsi"/>
              </w:rPr>
            </w:pPr>
            <w:r w:rsidRPr="00812509">
              <w:rPr>
                <w:rFonts w:asciiTheme="minorHAnsi" w:hAnsiTheme="minorHAnsi"/>
              </w:rPr>
              <w:t>Objective 3</w:t>
            </w:r>
            <w:r>
              <w:rPr>
                <w:rFonts w:asciiTheme="minorHAnsi" w:hAnsiTheme="minorHAnsi"/>
              </w:rPr>
              <w:t>: Promoting inclusive economic growth and government management</w:t>
            </w:r>
          </w:p>
        </w:tc>
        <w:tc>
          <w:tcPr>
            <w:tcW w:w="14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14:paraId="49272D1C" w14:textId="77777777" w:rsidR="00A8239B" w:rsidRPr="00812509" w:rsidRDefault="00A8239B" w:rsidP="00A8239B">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4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7EFA79EA" w14:textId="77777777" w:rsidR="00A8239B" w:rsidRPr="00812509" w:rsidRDefault="00A8239B" w:rsidP="00A8239B">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bl>
    <w:p w14:paraId="7FFB7ACC" w14:textId="77777777"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14:paraId="6DA2D519" w14:textId="77777777"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AD61CFD" w14:textId="77777777"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2322E7F5" w14:textId="77777777"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0D2977E0" w14:textId="39656473"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E74C93">
        <w:rPr>
          <w:rFonts w:asciiTheme="majorHAnsi" w:eastAsiaTheme="majorEastAsia" w:hAnsiTheme="majorHAnsi" w:cstheme="majorBidi"/>
          <w:caps/>
          <w:sz w:val="32"/>
          <w:szCs w:val="32"/>
        </w:rPr>
        <w:t>:</w:t>
      </w:r>
      <w:r>
        <w:rPr>
          <w:rFonts w:asciiTheme="majorHAnsi" w:eastAsiaTheme="majorEastAsia" w:hAnsiTheme="majorHAnsi" w:cstheme="majorBidi"/>
          <w:caps/>
          <w:sz w:val="32"/>
          <w:szCs w:val="32"/>
        </w:rPr>
        <w:t xml:space="preserve"> </w:t>
      </w:r>
      <w:r w:rsidR="00A8239B" w:rsidRPr="000A6257">
        <w:rPr>
          <w:rFonts w:asciiTheme="majorHAnsi" w:eastAsiaTheme="majorEastAsia" w:hAnsiTheme="majorHAnsi" w:cstheme="majorBidi"/>
          <w:caps/>
          <w:sz w:val="32"/>
          <w:szCs w:val="32"/>
        </w:rPr>
        <w:t>ENHANCING HUMAN DEVELOPMENT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ve 1 Sustainable Development Goals"/>
        <w:tblDescription w:val="SDG 4&#10;SDG 5&#10;SDG 10&#10;SDG 17"/>
      </w:tblPr>
      <w:tblGrid>
        <w:gridCol w:w="2016"/>
        <w:gridCol w:w="1904"/>
        <w:gridCol w:w="1906"/>
        <w:gridCol w:w="1906"/>
        <w:gridCol w:w="1906"/>
      </w:tblGrid>
      <w:tr w:rsidR="0072170F" w:rsidRPr="00695730" w14:paraId="256BD828" w14:textId="77777777" w:rsidTr="00D05246">
        <w:tc>
          <w:tcPr>
            <w:tcW w:w="2016" w:type="dxa"/>
          </w:tcPr>
          <w:p w14:paraId="0AE88600" w14:textId="77777777"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34BA024" wp14:editId="774B4630">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5695544" w14:textId="77777777" w:rsidR="0072170F" w:rsidRPr="00695730" w:rsidRDefault="00DA3839"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DD099B9" wp14:editId="66A61277">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4F8CC14" w14:textId="77777777" w:rsidR="0072170F" w:rsidRPr="00695730" w:rsidRDefault="00DA3839"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C1F4B48" wp14:editId="2797B9C9">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57B9BB7C" w14:textId="77777777" w:rsidR="0072170F" w:rsidRPr="00695730" w:rsidRDefault="00DA3839"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2BF2971" wp14:editId="7AA58A38">
                  <wp:extent cx="612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B5A61F0" w14:textId="77777777" w:rsidR="0072170F" w:rsidRPr="00695730" w:rsidRDefault="002E6A6C"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BB49310" wp14:editId="197A9C04">
                  <wp:extent cx="612000"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5503133" w14:textId="324EF85A" w:rsidR="00A21FEC" w:rsidRPr="003E6482" w:rsidRDefault="00D1020B" w:rsidP="000A6257">
      <w:pPr>
        <w:spacing w:after="120"/>
        <w:rPr>
          <w:color w:val="auto"/>
          <w:lang w:val="en-AU"/>
        </w:rPr>
      </w:pPr>
      <w:r>
        <w:rPr>
          <w:color w:val="auto"/>
        </w:rPr>
        <w:t>E</w:t>
      </w:r>
      <w:r w:rsidRPr="00F55612">
        <w:rPr>
          <w:color w:val="auto"/>
        </w:rPr>
        <w:t xml:space="preserve">nhancing human development through </w:t>
      </w:r>
      <w:r w:rsidR="00DA71C7" w:rsidRPr="009B573C">
        <w:rPr>
          <w:b/>
          <w:color w:val="auto"/>
        </w:rPr>
        <w:t>education</w:t>
      </w:r>
      <w:r w:rsidR="00DA71C7" w:rsidRPr="000A6257">
        <w:rPr>
          <w:color w:val="auto"/>
        </w:rPr>
        <w:t xml:space="preserve"> </w:t>
      </w:r>
      <w:r>
        <w:rPr>
          <w:color w:val="auto"/>
        </w:rPr>
        <w:t xml:space="preserve">is </w:t>
      </w:r>
      <w:r w:rsidR="00A6155B">
        <w:rPr>
          <w:color w:val="auto"/>
        </w:rPr>
        <w:t>a major</w:t>
      </w:r>
      <w:r>
        <w:rPr>
          <w:color w:val="auto"/>
        </w:rPr>
        <w:t xml:space="preserve"> component</w:t>
      </w:r>
      <w:r w:rsidRPr="000A6257">
        <w:rPr>
          <w:color w:val="auto"/>
        </w:rPr>
        <w:t xml:space="preserve"> </w:t>
      </w:r>
      <w:r w:rsidR="00DA71C7" w:rsidRPr="000A6257">
        <w:rPr>
          <w:color w:val="auto"/>
        </w:rPr>
        <w:t>of Australia</w:t>
      </w:r>
      <w:r w:rsidR="00DA71C7">
        <w:rPr>
          <w:color w:val="auto"/>
        </w:rPr>
        <w:t>’s</w:t>
      </w:r>
      <w:r w:rsidR="00DA71C7" w:rsidRPr="000A6257">
        <w:rPr>
          <w:color w:val="auto"/>
        </w:rPr>
        <w:t xml:space="preserve"> </w:t>
      </w:r>
      <w:r w:rsidR="00DA71C7">
        <w:rPr>
          <w:color w:val="auto"/>
        </w:rPr>
        <w:t>aid program in</w:t>
      </w:r>
      <w:r w:rsidR="00DA71C7" w:rsidRPr="000A6257">
        <w:rPr>
          <w:color w:val="auto"/>
        </w:rPr>
        <w:t xml:space="preserve"> Myanmar</w:t>
      </w:r>
      <w:r w:rsidR="00A6155B">
        <w:rPr>
          <w:color w:val="auto"/>
        </w:rPr>
        <w:t xml:space="preserve">, accounting for </w:t>
      </w:r>
      <w:r w:rsidR="005A1BD4">
        <w:rPr>
          <w:color w:val="auto"/>
        </w:rPr>
        <w:t xml:space="preserve">nearly 24 </w:t>
      </w:r>
      <w:r w:rsidR="00A6155B">
        <w:rPr>
          <w:color w:val="auto"/>
        </w:rPr>
        <w:t xml:space="preserve">per cent of the </w:t>
      </w:r>
      <w:r w:rsidR="005A1BD4">
        <w:rPr>
          <w:color w:val="auto"/>
        </w:rPr>
        <w:t xml:space="preserve">estimated total ODA </w:t>
      </w:r>
      <w:r w:rsidR="00A6155B">
        <w:rPr>
          <w:color w:val="auto"/>
        </w:rPr>
        <w:t>spend</w:t>
      </w:r>
      <w:r w:rsidR="00DA71C7">
        <w:rPr>
          <w:color w:val="auto"/>
        </w:rPr>
        <w:t>. Progress against</w:t>
      </w:r>
      <w:r w:rsidR="000A6257">
        <w:rPr>
          <w:color w:val="auto"/>
        </w:rPr>
        <w:t xml:space="preserve"> objective </w:t>
      </w:r>
      <w:r w:rsidR="00DA71C7">
        <w:rPr>
          <w:color w:val="auto"/>
        </w:rPr>
        <w:t xml:space="preserve">(i) </w:t>
      </w:r>
      <w:r w:rsidR="004457E9">
        <w:rPr>
          <w:color w:val="auto"/>
        </w:rPr>
        <w:t xml:space="preserve">retained </w:t>
      </w:r>
      <w:r w:rsidR="008D7EA7">
        <w:rPr>
          <w:color w:val="auto"/>
        </w:rPr>
        <w:t>a</w:t>
      </w:r>
      <w:r w:rsidR="000A6257">
        <w:rPr>
          <w:color w:val="auto"/>
        </w:rPr>
        <w:t xml:space="preserve"> </w:t>
      </w:r>
      <w:r w:rsidR="009F0271">
        <w:rPr>
          <w:color w:val="auto"/>
        </w:rPr>
        <w:t xml:space="preserve">green </w:t>
      </w:r>
      <w:r w:rsidR="00D97C7A">
        <w:rPr>
          <w:color w:val="auto"/>
        </w:rPr>
        <w:t xml:space="preserve">rating, </w:t>
      </w:r>
      <w:r w:rsidR="00ED59DB">
        <w:rPr>
          <w:color w:val="auto"/>
        </w:rPr>
        <w:t>with</w:t>
      </w:r>
      <w:r w:rsidR="00D97C7A">
        <w:rPr>
          <w:color w:val="auto"/>
        </w:rPr>
        <w:t xml:space="preserve"> </w:t>
      </w:r>
      <w:r w:rsidR="008D7EA7">
        <w:rPr>
          <w:color w:val="auto"/>
        </w:rPr>
        <w:t>full or partial achievement</w:t>
      </w:r>
      <w:r w:rsidR="00D97C7A">
        <w:rPr>
          <w:color w:val="auto"/>
        </w:rPr>
        <w:t>s</w:t>
      </w:r>
      <w:r w:rsidR="008D7EA7">
        <w:rPr>
          <w:color w:val="auto"/>
        </w:rPr>
        <w:t xml:space="preserve"> against </w:t>
      </w:r>
      <w:r w:rsidR="001B2648">
        <w:rPr>
          <w:color w:val="auto"/>
        </w:rPr>
        <w:t xml:space="preserve">relevant </w:t>
      </w:r>
      <w:r w:rsidR="001B2648" w:rsidRPr="00A75AC6">
        <w:rPr>
          <w:color w:val="auto"/>
        </w:rPr>
        <w:t xml:space="preserve">PAF </w:t>
      </w:r>
      <w:r w:rsidR="001B2648">
        <w:rPr>
          <w:color w:val="auto"/>
        </w:rPr>
        <w:t xml:space="preserve">indicators. </w:t>
      </w:r>
      <w:r w:rsidR="00DA71C7" w:rsidRPr="00DA71C7">
        <w:rPr>
          <w:color w:val="auto"/>
        </w:rPr>
        <w:t xml:space="preserve">Australia </w:t>
      </w:r>
      <w:r w:rsidR="00DA71C7">
        <w:rPr>
          <w:color w:val="auto"/>
        </w:rPr>
        <w:t xml:space="preserve">continued </w:t>
      </w:r>
      <w:r w:rsidR="00DA71C7">
        <w:rPr>
          <w:color w:val="auto"/>
        </w:rPr>
        <w:lastRenderedPageBreak/>
        <w:t>to work</w:t>
      </w:r>
      <w:r w:rsidR="00DA71C7" w:rsidRPr="00DA71C7">
        <w:rPr>
          <w:color w:val="auto"/>
        </w:rPr>
        <w:t xml:space="preserve"> with government to build capacity</w:t>
      </w:r>
      <w:r w:rsidR="00DA71C7">
        <w:rPr>
          <w:color w:val="auto"/>
        </w:rPr>
        <w:t>, improve s</w:t>
      </w:r>
      <w:r w:rsidR="00DA71C7" w:rsidRPr="00DA71C7">
        <w:rPr>
          <w:color w:val="auto"/>
        </w:rPr>
        <w:t>ystems and deliver measurable, durable improvements in Myanmar’s education outcomes.</w:t>
      </w:r>
      <w:r w:rsidR="008D7EA7">
        <w:rPr>
          <w:color w:val="auto"/>
          <w:lang w:val="en-AU"/>
        </w:rPr>
        <w:t xml:space="preserve"> </w:t>
      </w:r>
      <w:r w:rsidR="00710CD9">
        <w:rPr>
          <w:color w:val="auto"/>
        </w:rPr>
        <w:t>This was a</w:t>
      </w:r>
      <w:r w:rsidR="00ED59DB">
        <w:rPr>
          <w:color w:val="auto"/>
        </w:rPr>
        <w:t>chieved b</w:t>
      </w:r>
      <w:r w:rsidR="00ED59DB" w:rsidRPr="00DA71C7">
        <w:rPr>
          <w:color w:val="auto"/>
        </w:rPr>
        <w:t>y focusing o</w:t>
      </w:r>
      <w:r w:rsidR="00710CD9">
        <w:rPr>
          <w:color w:val="auto"/>
        </w:rPr>
        <w:t>n reducing dropouts from school,</w:t>
      </w:r>
      <w:r w:rsidR="00ED59DB" w:rsidRPr="00DA71C7">
        <w:rPr>
          <w:color w:val="auto"/>
        </w:rPr>
        <w:t xml:space="preserve"> improving teaching and learning</w:t>
      </w:r>
      <w:r w:rsidR="00710CD9">
        <w:rPr>
          <w:color w:val="auto"/>
        </w:rPr>
        <w:t>,</w:t>
      </w:r>
      <w:r w:rsidR="00ED59DB" w:rsidRPr="00DA71C7">
        <w:rPr>
          <w:color w:val="auto"/>
        </w:rPr>
        <w:t xml:space="preserve"> and strengthening systems to assess and improve the quality of educa</w:t>
      </w:r>
      <w:r w:rsidR="00ED59DB">
        <w:rPr>
          <w:color w:val="auto"/>
        </w:rPr>
        <w:t>tion services.</w:t>
      </w:r>
      <w:r w:rsidR="00ED59DB" w:rsidRPr="00DA71C7">
        <w:rPr>
          <w:color w:val="auto"/>
        </w:rPr>
        <w:t xml:space="preserve"> </w:t>
      </w:r>
      <w:r w:rsidR="00ED59DB">
        <w:rPr>
          <w:color w:val="auto"/>
          <w:lang w:val="en-AU"/>
        </w:rPr>
        <w:t>I</w:t>
      </w:r>
      <w:r w:rsidR="00ED59DB" w:rsidRPr="00DA71C7">
        <w:rPr>
          <w:color w:val="auto"/>
          <w:lang w:val="en-AU"/>
        </w:rPr>
        <w:t>n recognition of the complexities of the operating environment</w:t>
      </w:r>
      <w:r w:rsidR="00ED59DB">
        <w:rPr>
          <w:color w:val="auto"/>
          <w:lang w:val="en-AU"/>
        </w:rPr>
        <w:t>, d</w:t>
      </w:r>
      <w:r w:rsidR="008D7EA7">
        <w:rPr>
          <w:color w:val="auto"/>
          <w:lang w:val="en-AU"/>
        </w:rPr>
        <w:t>elivery of o</w:t>
      </w:r>
      <w:r w:rsidR="00DA71C7" w:rsidRPr="00DA71C7">
        <w:rPr>
          <w:color w:val="auto"/>
          <w:lang w:val="en-AU"/>
        </w:rPr>
        <w:t xml:space="preserve">ur </w:t>
      </w:r>
      <w:r w:rsidR="008D7EA7">
        <w:rPr>
          <w:color w:val="auto"/>
          <w:lang w:val="en-AU"/>
        </w:rPr>
        <w:t xml:space="preserve">education </w:t>
      </w:r>
      <w:r w:rsidR="00DA71C7" w:rsidRPr="00DA71C7">
        <w:rPr>
          <w:color w:val="auto"/>
          <w:lang w:val="en-AU"/>
        </w:rPr>
        <w:t>investment</w:t>
      </w:r>
      <w:r w:rsidR="008D7EA7">
        <w:rPr>
          <w:color w:val="auto"/>
          <w:lang w:val="en-AU"/>
        </w:rPr>
        <w:t xml:space="preserve">s </w:t>
      </w:r>
      <w:r w:rsidR="00710CD9">
        <w:rPr>
          <w:color w:val="auto"/>
          <w:lang w:val="en-AU"/>
        </w:rPr>
        <w:t>was</w:t>
      </w:r>
      <w:r w:rsidR="00DA71C7" w:rsidRPr="00DA71C7">
        <w:rPr>
          <w:color w:val="auto"/>
          <w:lang w:val="en-AU"/>
        </w:rPr>
        <w:t xml:space="preserve"> in partnership </w:t>
      </w:r>
      <w:r w:rsidR="00786B30" w:rsidRPr="00DA71C7">
        <w:rPr>
          <w:color w:val="auto"/>
          <w:lang w:val="en-AU"/>
        </w:rPr>
        <w:t>with government</w:t>
      </w:r>
      <w:r w:rsidR="00DA71C7" w:rsidRPr="00DA71C7">
        <w:rPr>
          <w:color w:val="auto"/>
          <w:lang w:val="en-AU"/>
        </w:rPr>
        <w:t xml:space="preserve"> and non-government service providers</w:t>
      </w:r>
      <w:r w:rsidR="00DA71C7">
        <w:rPr>
          <w:color w:val="auto"/>
          <w:lang w:val="en-AU"/>
        </w:rPr>
        <w:t xml:space="preserve">. </w:t>
      </w:r>
      <w:r>
        <w:rPr>
          <w:color w:val="auto"/>
          <w:lang w:val="en-AU"/>
        </w:rPr>
        <w:t>This work was</w:t>
      </w:r>
      <w:r w:rsidR="00DA71C7">
        <w:rPr>
          <w:color w:val="auto"/>
          <w:lang w:val="en-AU"/>
        </w:rPr>
        <w:t xml:space="preserve"> </w:t>
      </w:r>
      <w:r w:rsidR="00DA71C7" w:rsidRPr="00DA71C7">
        <w:rPr>
          <w:color w:val="auto"/>
          <w:lang w:val="en-AU"/>
        </w:rPr>
        <w:t>sensitive to the significant deterioration of security in Rakhine, Kachin and northern Shan States.</w:t>
      </w:r>
      <w:r w:rsidR="000A6257" w:rsidRPr="003E6482">
        <w:rPr>
          <w:color w:val="auto"/>
          <w:lang w:val="en-AU"/>
        </w:rPr>
        <w:t xml:space="preserve"> </w:t>
      </w:r>
      <w:r w:rsidR="00A3466E">
        <w:rPr>
          <w:color w:val="auto"/>
        </w:rPr>
        <w:t xml:space="preserve">Gender had a strong </w:t>
      </w:r>
      <w:r w:rsidR="00564042">
        <w:rPr>
          <w:color w:val="auto"/>
        </w:rPr>
        <w:t xml:space="preserve">and </w:t>
      </w:r>
      <w:r w:rsidR="00A3466E">
        <w:rPr>
          <w:color w:val="auto"/>
        </w:rPr>
        <w:t xml:space="preserve">positive </w:t>
      </w:r>
      <w:r w:rsidR="00851557">
        <w:rPr>
          <w:color w:val="auto"/>
        </w:rPr>
        <w:t xml:space="preserve">focus, </w:t>
      </w:r>
      <w:r w:rsidR="001B2648">
        <w:rPr>
          <w:color w:val="auto"/>
        </w:rPr>
        <w:t xml:space="preserve">for example ensuring </w:t>
      </w:r>
      <w:r w:rsidR="00D97C7A">
        <w:rPr>
          <w:color w:val="auto"/>
        </w:rPr>
        <w:t xml:space="preserve">programs met </w:t>
      </w:r>
      <w:r w:rsidR="001B2648">
        <w:rPr>
          <w:color w:val="auto"/>
        </w:rPr>
        <w:t>the learning needs of boys and girls</w:t>
      </w:r>
      <w:r w:rsidR="00D97C7A">
        <w:rPr>
          <w:color w:val="auto"/>
        </w:rPr>
        <w:t xml:space="preserve">, </w:t>
      </w:r>
      <w:r w:rsidR="001B2648">
        <w:rPr>
          <w:color w:val="auto"/>
        </w:rPr>
        <w:t>and providing appropriate support to both male and female teachers</w:t>
      </w:r>
      <w:r w:rsidR="00D32FD1">
        <w:rPr>
          <w:color w:val="auto"/>
        </w:rPr>
        <w:t xml:space="preserve">. The </w:t>
      </w:r>
      <w:r w:rsidR="001B2648">
        <w:rPr>
          <w:color w:val="auto"/>
        </w:rPr>
        <w:t xml:space="preserve">overall </w:t>
      </w:r>
      <w:r w:rsidR="00851557">
        <w:rPr>
          <w:color w:val="auto"/>
        </w:rPr>
        <w:t xml:space="preserve">gender rating </w:t>
      </w:r>
      <w:r w:rsidR="001B2648">
        <w:rPr>
          <w:color w:val="auto"/>
        </w:rPr>
        <w:t xml:space="preserve">for objective (i) </w:t>
      </w:r>
      <w:r w:rsidR="00D32FD1">
        <w:rPr>
          <w:color w:val="auto"/>
        </w:rPr>
        <w:t xml:space="preserve">moved </w:t>
      </w:r>
      <w:r w:rsidR="00805304">
        <w:rPr>
          <w:color w:val="auto"/>
        </w:rPr>
        <w:t>up</w:t>
      </w:r>
      <w:r w:rsidR="00A3466E">
        <w:rPr>
          <w:color w:val="auto"/>
        </w:rPr>
        <w:t xml:space="preserve"> to 75 per cent </w:t>
      </w:r>
      <w:r w:rsidR="001B2648">
        <w:rPr>
          <w:color w:val="auto"/>
        </w:rPr>
        <w:t xml:space="preserve">over </w:t>
      </w:r>
      <w:r w:rsidR="00ED59DB">
        <w:rPr>
          <w:color w:val="auto"/>
        </w:rPr>
        <w:t>this</w:t>
      </w:r>
      <w:r w:rsidR="00236F76">
        <w:rPr>
          <w:color w:val="auto"/>
        </w:rPr>
        <w:t xml:space="preserve"> </w:t>
      </w:r>
      <w:r w:rsidR="001B2648">
        <w:rPr>
          <w:color w:val="auto"/>
        </w:rPr>
        <w:t>reporting</w:t>
      </w:r>
      <w:r w:rsidR="00236F76">
        <w:rPr>
          <w:color w:val="auto"/>
        </w:rPr>
        <w:t xml:space="preserve"> perio</w:t>
      </w:r>
      <w:r w:rsidR="00AD5DC0">
        <w:rPr>
          <w:color w:val="auto"/>
        </w:rPr>
        <w:t>d</w:t>
      </w:r>
      <w:r w:rsidR="00236F76">
        <w:rPr>
          <w:color w:val="auto"/>
        </w:rPr>
        <w:t>.</w:t>
      </w:r>
      <w:r w:rsidR="001B2648">
        <w:rPr>
          <w:color w:val="auto"/>
        </w:rPr>
        <w:t xml:space="preserve"> </w:t>
      </w:r>
    </w:p>
    <w:p w14:paraId="66C032E0" w14:textId="139201EA" w:rsidR="00E74979" w:rsidRDefault="00710CD9" w:rsidP="00F419B9">
      <w:pPr>
        <w:spacing w:after="120"/>
        <w:rPr>
          <w:color w:val="auto"/>
          <w:lang w:val="en-AU"/>
        </w:rPr>
      </w:pPr>
      <w:r>
        <w:rPr>
          <w:color w:val="auto"/>
          <w:lang w:val="en-AU"/>
        </w:rPr>
        <w:t>E</w:t>
      </w:r>
      <w:r w:rsidR="000669DD" w:rsidRPr="000669DD">
        <w:rPr>
          <w:color w:val="auto"/>
          <w:lang w:val="en-AU"/>
        </w:rPr>
        <w:t xml:space="preserve">ffective education systems can contribute directly to poverty reduction, economic growth, and stability. The acquisition of knowledge and skills through education improves individuals’ earning potential and their ability to invest wisely in their future.  Educating women and girls is particularly transformative; every additional year of schooling makes a difference to marriage age, fertility rates, and health outcomes for women and their children. The Myanmar Government recognises that education is a driver of future growth, peace and stability. Our </w:t>
      </w:r>
      <w:r>
        <w:rPr>
          <w:color w:val="auto"/>
          <w:lang w:val="en-AU"/>
        </w:rPr>
        <w:t>assistance</w:t>
      </w:r>
      <w:r w:rsidR="000669DD" w:rsidRPr="000669DD">
        <w:rPr>
          <w:color w:val="auto"/>
          <w:lang w:val="en-AU"/>
        </w:rPr>
        <w:t xml:space="preserve"> in the education sector </w:t>
      </w:r>
      <w:r>
        <w:rPr>
          <w:color w:val="auto"/>
          <w:lang w:val="en-AU"/>
        </w:rPr>
        <w:t>is</w:t>
      </w:r>
      <w:r w:rsidR="000669DD" w:rsidRPr="000669DD">
        <w:rPr>
          <w:color w:val="auto"/>
          <w:lang w:val="en-AU"/>
        </w:rPr>
        <w:t xml:space="preserve"> providing transformational support to the children and youth of Myanmar. It provides the foundations for better employment and improved understanding across communities. It is helping youth and children to realise their capabilities, and fostering their ability to contribute to national peace and prosperity.</w:t>
      </w:r>
    </w:p>
    <w:p w14:paraId="2DB3DF57" w14:textId="4AB65170" w:rsidR="00AA786B" w:rsidRDefault="00BB4957" w:rsidP="003F6117">
      <w:pPr>
        <w:spacing w:after="120"/>
        <w:rPr>
          <w:color w:val="auto"/>
          <w:lang w:val="en-AU"/>
        </w:rPr>
      </w:pPr>
      <w:r w:rsidRPr="00BB4957">
        <w:rPr>
          <w:color w:val="auto"/>
          <w:lang w:val="en-AU"/>
        </w:rPr>
        <w:t>The National Education Strategic Plan (</w:t>
      </w:r>
      <w:r w:rsidR="009823DE">
        <w:rPr>
          <w:color w:val="auto"/>
          <w:lang w:val="en-AU"/>
        </w:rPr>
        <w:t>NESP) 2016-2021</w:t>
      </w:r>
      <w:r w:rsidRPr="00BB4957">
        <w:rPr>
          <w:color w:val="auto"/>
          <w:lang w:val="en-AU"/>
        </w:rPr>
        <w:t xml:space="preserve"> – Myanmar’s first sector plan in over 40 years—articulates a </w:t>
      </w:r>
      <w:r w:rsidR="00B9096E">
        <w:rPr>
          <w:color w:val="auto"/>
          <w:lang w:val="en-AU"/>
        </w:rPr>
        <w:t>five</w:t>
      </w:r>
      <w:r w:rsidR="00AA786B" w:rsidRPr="00BB4957">
        <w:rPr>
          <w:color w:val="auto"/>
          <w:lang w:val="en-AU"/>
        </w:rPr>
        <w:t>-year</w:t>
      </w:r>
      <w:r w:rsidRPr="00BB4957">
        <w:rPr>
          <w:color w:val="auto"/>
          <w:lang w:val="en-AU"/>
        </w:rPr>
        <w:t xml:space="preserve"> reform agenda </w:t>
      </w:r>
      <w:r w:rsidR="00786B30" w:rsidRPr="00BB4957">
        <w:rPr>
          <w:color w:val="auto"/>
          <w:lang w:val="en-AU"/>
        </w:rPr>
        <w:t xml:space="preserve">and </w:t>
      </w:r>
      <w:r w:rsidR="00786B30">
        <w:rPr>
          <w:color w:val="auto"/>
          <w:lang w:val="en-AU"/>
        </w:rPr>
        <w:t xml:space="preserve">a </w:t>
      </w:r>
      <w:r w:rsidR="00786B30" w:rsidRPr="00BB4957">
        <w:rPr>
          <w:color w:val="auto"/>
          <w:lang w:val="en-AU"/>
        </w:rPr>
        <w:t>framework</w:t>
      </w:r>
      <w:r w:rsidRPr="00BB4957">
        <w:rPr>
          <w:color w:val="auto"/>
          <w:lang w:val="en-AU"/>
        </w:rPr>
        <w:t xml:space="preserve"> around which to </w:t>
      </w:r>
      <w:r w:rsidR="002405C2" w:rsidRPr="00BB4957">
        <w:rPr>
          <w:color w:val="auto"/>
          <w:lang w:val="en-AU"/>
        </w:rPr>
        <w:t xml:space="preserve">coordinate </w:t>
      </w:r>
      <w:r w:rsidR="00AA786B">
        <w:rPr>
          <w:color w:val="auto"/>
          <w:lang w:val="en-AU"/>
        </w:rPr>
        <w:t>donors</w:t>
      </w:r>
      <w:r w:rsidR="002405C2">
        <w:rPr>
          <w:color w:val="auto"/>
          <w:lang w:val="en-AU"/>
        </w:rPr>
        <w:t>’</w:t>
      </w:r>
      <w:r w:rsidRPr="00BB4957">
        <w:rPr>
          <w:color w:val="auto"/>
          <w:lang w:val="en-AU"/>
        </w:rPr>
        <w:t xml:space="preserve"> </w:t>
      </w:r>
      <w:r w:rsidR="00786B30" w:rsidRPr="00BB4957">
        <w:rPr>
          <w:color w:val="auto"/>
          <w:lang w:val="en-AU"/>
        </w:rPr>
        <w:t>assistance</w:t>
      </w:r>
      <w:r w:rsidRPr="00BB4957">
        <w:rPr>
          <w:color w:val="auto"/>
          <w:lang w:val="en-AU"/>
        </w:rPr>
        <w:t xml:space="preserve"> and shape policy discussion.</w:t>
      </w:r>
      <w:r>
        <w:rPr>
          <w:color w:val="auto"/>
          <w:lang w:val="en-AU"/>
        </w:rPr>
        <w:t xml:space="preserve"> </w:t>
      </w:r>
      <w:r w:rsidR="00E102D6" w:rsidRPr="00E102D6">
        <w:rPr>
          <w:color w:val="auto"/>
        </w:rPr>
        <w:t xml:space="preserve">Australia </w:t>
      </w:r>
      <w:r w:rsidR="006119D5">
        <w:rPr>
          <w:color w:val="auto"/>
        </w:rPr>
        <w:t>value</w:t>
      </w:r>
      <w:r w:rsidR="00AD5DC0">
        <w:rPr>
          <w:color w:val="auto"/>
        </w:rPr>
        <w:t>s</w:t>
      </w:r>
      <w:r w:rsidR="006119D5">
        <w:rPr>
          <w:color w:val="auto"/>
        </w:rPr>
        <w:t xml:space="preserve"> its</w:t>
      </w:r>
      <w:r w:rsidR="00E102D6" w:rsidRPr="00E102D6">
        <w:rPr>
          <w:color w:val="auto"/>
        </w:rPr>
        <w:t xml:space="preserve"> strong</w:t>
      </w:r>
      <w:r w:rsidR="007D7ECE">
        <w:rPr>
          <w:color w:val="auto"/>
        </w:rPr>
        <w:t xml:space="preserve">, </w:t>
      </w:r>
      <w:r w:rsidR="00E102D6" w:rsidRPr="00E102D6">
        <w:rPr>
          <w:color w:val="auto"/>
        </w:rPr>
        <w:t xml:space="preserve">collaborative </w:t>
      </w:r>
      <w:r w:rsidR="007D7ECE">
        <w:rPr>
          <w:color w:val="auto"/>
        </w:rPr>
        <w:t xml:space="preserve">and long-standing </w:t>
      </w:r>
      <w:r w:rsidR="00E102D6" w:rsidRPr="00E102D6">
        <w:rPr>
          <w:color w:val="auto"/>
        </w:rPr>
        <w:t>partnership with Myanmar</w:t>
      </w:r>
      <w:r w:rsidR="00236F76">
        <w:rPr>
          <w:color w:val="auto"/>
        </w:rPr>
        <w:t>’s</w:t>
      </w:r>
      <w:r w:rsidR="00E102D6" w:rsidRPr="00E102D6">
        <w:rPr>
          <w:color w:val="auto"/>
        </w:rPr>
        <w:t xml:space="preserve"> Ministry of Education</w:t>
      </w:r>
      <w:r w:rsidR="00CE7F08">
        <w:rPr>
          <w:color w:val="auto"/>
        </w:rPr>
        <w:t xml:space="preserve"> (MoE)</w:t>
      </w:r>
      <w:r w:rsidR="00E102D6" w:rsidRPr="00E102D6">
        <w:rPr>
          <w:color w:val="auto"/>
        </w:rPr>
        <w:t xml:space="preserve">. </w:t>
      </w:r>
      <w:r w:rsidR="001E65A6" w:rsidRPr="001E65A6">
        <w:rPr>
          <w:color w:val="auto"/>
          <w:lang w:val="en-AU"/>
        </w:rPr>
        <w:t>We continued to work</w:t>
      </w:r>
      <w:r w:rsidR="001E65A6">
        <w:rPr>
          <w:color w:val="auto"/>
          <w:lang w:val="en-AU"/>
        </w:rPr>
        <w:t xml:space="preserve"> </w:t>
      </w:r>
      <w:r w:rsidR="002D0241">
        <w:rPr>
          <w:color w:val="auto"/>
          <w:lang w:val="en-AU"/>
        </w:rPr>
        <w:t xml:space="preserve">closely </w:t>
      </w:r>
      <w:r w:rsidR="001E65A6">
        <w:rPr>
          <w:color w:val="auto"/>
          <w:lang w:val="en-AU"/>
        </w:rPr>
        <w:t>with</w:t>
      </w:r>
      <w:r w:rsidR="001E65A6" w:rsidRPr="001E65A6">
        <w:rPr>
          <w:color w:val="auto"/>
          <w:lang w:val="en-AU"/>
        </w:rPr>
        <w:t xml:space="preserve"> the MoE and our partners in 2018-19</w:t>
      </w:r>
      <w:r w:rsidR="002D0241">
        <w:rPr>
          <w:color w:val="auto"/>
          <w:lang w:val="en-AU"/>
        </w:rPr>
        <w:t>,</w:t>
      </w:r>
      <w:r w:rsidR="001E65A6" w:rsidRPr="001E65A6">
        <w:rPr>
          <w:color w:val="auto"/>
          <w:lang w:val="en-AU"/>
        </w:rPr>
        <w:t xml:space="preserve"> enabling a deep engagement on policy reform and the continued promotion of good practice across the education sector. Australia </w:t>
      </w:r>
      <w:r w:rsidR="00AA786B">
        <w:rPr>
          <w:color w:val="auto"/>
          <w:lang w:val="en-AU"/>
        </w:rPr>
        <w:t>is the</w:t>
      </w:r>
      <w:r w:rsidR="001E65A6" w:rsidRPr="001E65A6">
        <w:rPr>
          <w:color w:val="auto"/>
          <w:lang w:val="en-AU"/>
        </w:rPr>
        <w:t xml:space="preserve"> co-facilitator of the Education Technical and Vocation Training</w:t>
      </w:r>
      <w:r w:rsidR="00786B30">
        <w:rPr>
          <w:color w:val="auto"/>
          <w:lang w:val="en-AU"/>
        </w:rPr>
        <w:t xml:space="preserve"> Sector Coordination Group (ETV</w:t>
      </w:r>
      <w:r w:rsidR="001E65A6" w:rsidRPr="001E65A6">
        <w:rPr>
          <w:color w:val="auto"/>
          <w:lang w:val="en-AU"/>
        </w:rPr>
        <w:t xml:space="preserve">SCG), chaired by </w:t>
      </w:r>
      <w:r w:rsidR="006F43CC">
        <w:rPr>
          <w:color w:val="auto"/>
          <w:lang w:val="en-AU"/>
        </w:rPr>
        <w:t>Myanmar’s</w:t>
      </w:r>
      <w:r w:rsidR="001E65A6" w:rsidRPr="001E65A6">
        <w:rPr>
          <w:color w:val="auto"/>
          <w:lang w:val="en-AU"/>
        </w:rPr>
        <w:t xml:space="preserve"> Minister for Education. </w:t>
      </w:r>
    </w:p>
    <w:p w14:paraId="3E2D5995" w14:textId="77777777" w:rsidR="00AC65B6" w:rsidRDefault="00AC65B6" w:rsidP="004457E9">
      <w:pPr>
        <w:spacing w:after="120"/>
        <w:rPr>
          <w:rFonts w:ascii="Calibri Light" w:eastAsia="Calibri Light" w:hAnsi="Calibri Light"/>
          <w:color w:val="auto"/>
        </w:rPr>
      </w:pPr>
      <w:r w:rsidRPr="00AC65B6">
        <w:rPr>
          <w:rFonts w:ascii="Calibri Light" w:eastAsia="Calibri Light" w:hAnsi="Calibri Light"/>
          <w:color w:val="auto"/>
        </w:rPr>
        <w:t xml:space="preserve">As co-facilitator of the ETVSCG, Australia helped coordinate support for Myanmar‘s successful US$73 million Global Partnership for Education grant application. The grant will help improve the quality of learning and address the education needs of marginalised children. This funding will channel more resources to the most vulnerable schools and expand non-formal education for out-of-school children, areas already being prioritised by Australia.  </w:t>
      </w:r>
    </w:p>
    <w:p w14:paraId="55650D5F" w14:textId="07B1E0D6" w:rsidR="004457E9" w:rsidRPr="004457E9" w:rsidRDefault="004457E9" w:rsidP="004457E9">
      <w:pPr>
        <w:spacing w:after="120"/>
        <w:rPr>
          <w:rFonts w:ascii="Calibri Light" w:eastAsia="Calibri Light" w:hAnsi="Calibri Light" w:cs="Times New Roman"/>
          <w:color w:val="auto"/>
          <w:lang w:val="en-AU" w:eastAsia="en-AU" w:bidi="my-MM"/>
        </w:rPr>
      </w:pPr>
      <w:r w:rsidRPr="004457E9">
        <w:rPr>
          <w:rFonts w:ascii="Calibri Light" w:eastAsia="Calibri Light" w:hAnsi="Calibri Light" w:cs="Times New Roman"/>
          <w:color w:val="auto"/>
          <w:lang w:val="en-AU" w:eastAsia="en-AU" w:bidi="my-MM"/>
        </w:rPr>
        <w:t xml:space="preserve">Australia’s investment ($10 million in 2018-19) in the Decentralizing Funding to Schools Project (DFSP) is the largest within our education portfolio and the first Australian funded program that uses government systems for implementation. This connection enables Australia to engage on critical policy reforms, and gives us influence and credibility with the government. DFSP has been the primary mechanism by which to engage with MoE on the provision of services in Rakhine State and other conflict-affected areas. The Government of Myanmar recognises the value of DFSP. </w:t>
      </w:r>
      <w:r w:rsidR="00AC65B6">
        <w:rPr>
          <w:rFonts w:ascii="Calibri Light" w:eastAsia="Calibri Light" w:hAnsi="Calibri Light" w:cs="Times New Roman"/>
          <w:color w:val="auto"/>
          <w:lang w:val="en-AU" w:eastAsia="en-AU" w:bidi="my-MM"/>
        </w:rPr>
        <w:t>It has</w:t>
      </w:r>
      <w:r w:rsidRPr="004457E9">
        <w:rPr>
          <w:rFonts w:ascii="Calibri Light" w:eastAsia="Calibri Light" w:hAnsi="Calibri Light" w:cs="Times New Roman"/>
          <w:color w:val="auto"/>
          <w:lang w:val="en-AU" w:eastAsia="en-AU" w:bidi="my-MM"/>
        </w:rPr>
        <w:t xml:space="preserve"> used </w:t>
      </w:r>
      <w:r w:rsidR="00AC65B6">
        <w:rPr>
          <w:rFonts w:ascii="Calibri Light" w:eastAsia="Calibri Light" w:hAnsi="Calibri Light" w:cs="Times New Roman"/>
          <w:color w:val="auto"/>
          <w:lang w:val="en-AU" w:eastAsia="en-AU" w:bidi="my-MM"/>
        </w:rPr>
        <w:t>its</w:t>
      </w:r>
      <w:r w:rsidRPr="004457E9">
        <w:rPr>
          <w:rFonts w:ascii="Calibri Light" w:eastAsia="Calibri Light" w:hAnsi="Calibri Light" w:cs="Times New Roman"/>
          <w:color w:val="auto"/>
          <w:lang w:val="en-AU" w:eastAsia="en-AU" w:bidi="my-MM"/>
        </w:rPr>
        <w:t xml:space="preserve"> own budget to expand the investment - clear evidence of sustainability. </w:t>
      </w:r>
    </w:p>
    <w:p w14:paraId="338477F5" w14:textId="32CC8CD8" w:rsidR="004457E9" w:rsidRDefault="004457E9" w:rsidP="003E6482">
      <w:pPr>
        <w:spacing w:after="120"/>
        <w:rPr>
          <w:rFonts w:ascii="Calibri Light" w:eastAsia="Calibri Light" w:hAnsi="Calibri Light" w:cs="Times New Roman"/>
          <w:color w:val="auto"/>
          <w:lang w:val="en-AU" w:eastAsia="en-AU" w:bidi="my-MM"/>
        </w:rPr>
      </w:pPr>
      <w:r w:rsidRPr="004457E9">
        <w:rPr>
          <w:rFonts w:ascii="Calibri Light" w:eastAsia="Calibri Light" w:hAnsi="Calibri Light" w:cs="Times New Roman"/>
          <w:color w:val="auto"/>
          <w:lang w:val="en-AU" w:eastAsia="en-AU" w:bidi="my-MM"/>
        </w:rPr>
        <w:t>In 2018-19, under the DFSP, Australian funding contributed to the Myanmar Government budget allocation for school grants and student stipends. School operating grants – a key mechanism to empower schools to support and sustain basic education reform – were provided to 48,575 monastic and government schools in all states and regions across the country, benefitting nearly 10 million students. Australia’s support enabled an additional 46,432 at-risk students to access basic education (53.2 per cent girls)</w:t>
      </w:r>
      <w:r w:rsidR="00AC65B6">
        <w:rPr>
          <w:rFonts w:ascii="Calibri Light" w:eastAsia="Calibri Light" w:hAnsi="Calibri Light" w:cs="Times New Roman"/>
          <w:color w:val="auto"/>
          <w:lang w:val="en-AU" w:eastAsia="en-AU" w:bidi="my-MM"/>
        </w:rPr>
        <w:t>, on par with last year’s reporting but a small shortfall of 3 per cent from the 2018-19 PAF target</w:t>
      </w:r>
      <w:r w:rsidRPr="004457E9">
        <w:rPr>
          <w:rFonts w:ascii="Calibri Light" w:eastAsia="Calibri Light" w:hAnsi="Calibri Light" w:cs="Times New Roman"/>
          <w:color w:val="auto"/>
          <w:lang w:val="en-AU" w:eastAsia="en-AU" w:bidi="my-MM"/>
        </w:rPr>
        <w:t xml:space="preserve">. The combined impact of grants and stipends reduced the financial burden on families and improved enrolment and retention rates. </w:t>
      </w:r>
      <w:r w:rsidR="00B44B1F">
        <w:rPr>
          <w:rFonts w:ascii="Calibri Light" w:eastAsia="Calibri Light" w:hAnsi="Calibri Light" w:cs="Times New Roman"/>
          <w:color w:val="auto"/>
          <w:lang w:val="en-AU" w:eastAsia="en-AU" w:bidi="my-MM"/>
        </w:rPr>
        <w:t>There was</w:t>
      </w:r>
      <w:r w:rsidRPr="004457E9">
        <w:rPr>
          <w:rFonts w:ascii="Calibri Light" w:eastAsia="Calibri Light" w:hAnsi="Calibri Light" w:cs="Times New Roman"/>
          <w:color w:val="auto"/>
          <w:lang w:val="en-AU" w:eastAsia="en-AU" w:bidi="my-MM"/>
        </w:rPr>
        <w:t xml:space="preserve"> a 99 per cent retention of students on stipends over two academic years. Coupled with efforts to increase access, the mobilisation of teacher mentors under the DFSP provided targeted support to inexperienced teachers already in the classroom. In 2018-19, the MoE supported 316 active mentors in 80 townships </w:t>
      </w:r>
      <w:r w:rsidRPr="004457E9">
        <w:rPr>
          <w:rFonts w:ascii="Calibri Light" w:eastAsia="Calibri Light" w:hAnsi="Calibri Light" w:cs="Times New Roman"/>
          <w:color w:val="auto"/>
          <w:lang w:val="en-AU" w:eastAsia="en-AU" w:bidi="my-MM"/>
        </w:rPr>
        <w:lastRenderedPageBreak/>
        <w:t xml:space="preserve">(reaching approximately 20,000 mentees) and recruited a third cohort of 286 mentors (76 mentors </w:t>
      </w:r>
      <w:r w:rsidR="00B44B1F">
        <w:rPr>
          <w:rFonts w:ascii="Calibri Light" w:eastAsia="Calibri Light" w:hAnsi="Calibri Light" w:cs="Times New Roman"/>
          <w:color w:val="auto"/>
          <w:lang w:val="en-AU" w:eastAsia="en-AU" w:bidi="my-MM"/>
        </w:rPr>
        <w:t>were</w:t>
      </w:r>
      <w:r w:rsidRPr="004457E9">
        <w:rPr>
          <w:rFonts w:ascii="Calibri Light" w:eastAsia="Calibri Light" w:hAnsi="Calibri Light" w:cs="Times New Roman"/>
          <w:color w:val="auto"/>
          <w:lang w:val="en-AU" w:eastAsia="en-AU" w:bidi="my-MM"/>
        </w:rPr>
        <w:t xml:space="preserve"> </w:t>
      </w:r>
      <w:r w:rsidR="00B44B1F">
        <w:rPr>
          <w:rFonts w:ascii="Calibri Light" w:eastAsia="Calibri Light" w:hAnsi="Calibri Light" w:cs="Times New Roman"/>
          <w:color w:val="auto"/>
          <w:lang w:val="en-AU" w:eastAsia="en-AU" w:bidi="my-MM"/>
        </w:rPr>
        <w:t>supported by Australia</w:t>
      </w:r>
      <w:r w:rsidRPr="004457E9">
        <w:rPr>
          <w:rFonts w:ascii="Calibri Light" w:eastAsia="Calibri Light" w:hAnsi="Calibri Light" w:cs="Times New Roman"/>
          <w:color w:val="auto"/>
          <w:lang w:val="en-AU" w:eastAsia="en-AU" w:bidi="my-MM"/>
        </w:rPr>
        <w:t xml:space="preserve">). </w:t>
      </w:r>
    </w:p>
    <w:p w14:paraId="4D2167F3" w14:textId="4E1CD188" w:rsidR="00BB4957" w:rsidRPr="00BB4957" w:rsidRDefault="00B74C7A" w:rsidP="003E6482">
      <w:pPr>
        <w:spacing w:after="120"/>
        <w:rPr>
          <w:color w:val="auto"/>
          <w:lang w:val="en-US"/>
        </w:rPr>
      </w:pPr>
      <w:r>
        <w:rPr>
          <w:color w:val="auto"/>
          <w:lang w:val="en-US"/>
        </w:rPr>
        <w:t xml:space="preserve">Complementing </w:t>
      </w:r>
      <w:r w:rsidR="00BB4957" w:rsidRPr="00BB4957">
        <w:rPr>
          <w:color w:val="auto"/>
          <w:lang w:val="en-US"/>
        </w:rPr>
        <w:t xml:space="preserve">Australia’s investment in DFSP </w:t>
      </w:r>
      <w:r w:rsidR="00BB4957">
        <w:rPr>
          <w:color w:val="auto"/>
          <w:lang w:val="en-US"/>
        </w:rPr>
        <w:t>was</w:t>
      </w:r>
      <w:r w:rsidR="00BB4957" w:rsidRPr="00BB4957">
        <w:rPr>
          <w:color w:val="auto"/>
          <w:lang w:val="en-US"/>
        </w:rPr>
        <w:t xml:space="preserve"> </w:t>
      </w:r>
      <w:r w:rsidR="00DF0ECD">
        <w:rPr>
          <w:color w:val="auto"/>
          <w:lang w:val="en-US"/>
        </w:rPr>
        <w:t xml:space="preserve">our </w:t>
      </w:r>
      <w:r w:rsidR="00BB4957" w:rsidRPr="00BB4957">
        <w:rPr>
          <w:color w:val="auto"/>
          <w:lang w:val="en-US"/>
        </w:rPr>
        <w:t xml:space="preserve">support to the </w:t>
      </w:r>
      <w:r w:rsidR="00B9096E">
        <w:rPr>
          <w:color w:val="auto"/>
          <w:lang w:val="en-US"/>
        </w:rPr>
        <w:t xml:space="preserve">UNESCO-managed </w:t>
      </w:r>
      <w:r w:rsidR="00BB4957" w:rsidRPr="00BB4957">
        <w:rPr>
          <w:color w:val="auto"/>
          <w:lang w:val="en-US"/>
        </w:rPr>
        <w:t>Strengthening Pre-Service Teacher Education in Myanmar (STEM) pr</w:t>
      </w:r>
      <w:r w:rsidR="00BB4957">
        <w:rPr>
          <w:color w:val="auto"/>
          <w:lang w:val="en-US"/>
        </w:rPr>
        <w:t>ogram</w:t>
      </w:r>
      <w:r w:rsidR="00B9096E">
        <w:rPr>
          <w:color w:val="auto"/>
          <w:lang w:val="en-US"/>
        </w:rPr>
        <w:t>.</w:t>
      </w:r>
      <w:r w:rsidR="00BB4957" w:rsidRPr="00BB4957">
        <w:rPr>
          <w:color w:val="auto"/>
          <w:lang w:val="en-US"/>
        </w:rPr>
        <w:t xml:space="preserve"> </w:t>
      </w:r>
      <w:r w:rsidR="00786B30">
        <w:rPr>
          <w:color w:val="auto"/>
          <w:lang w:val="en-US"/>
        </w:rPr>
        <w:t xml:space="preserve">With </w:t>
      </w:r>
      <w:r w:rsidR="00DF0ECD">
        <w:rPr>
          <w:color w:val="auto"/>
          <w:lang w:val="en-US"/>
        </w:rPr>
        <w:t>Australian funding,</w:t>
      </w:r>
      <w:r w:rsidR="00786B30">
        <w:rPr>
          <w:color w:val="auto"/>
          <w:lang w:val="en-US"/>
        </w:rPr>
        <w:t xml:space="preserve"> UNESCO </w:t>
      </w:r>
      <w:r w:rsidR="001E0FB0">
        <w:rPr>
          <w:color w:val="auto"/>
          <w:lang w:val="en-US"/>
        </w:rPr>
        <w:t>provide</w:t>
      </w:r>
      <w:r w:rsidR="00D25923">
        <w:rPr>
          <w:color w:val="auto"/>
          <w:lang w:val="en-US"/>
        </w:rPr>
        <w:t>d</w:t>
      </w:r>
      <w:r w:rsidR="001E0FB0">
        <w:rPr>
          <w:color w:val="auto"/>
          <w:lang w:val="en-US"/>
        </w:rPr>
        <w:t xml:space="preserve"> support to the MoE </w:t>
      </w:r>
      <w:r w:rsidR="00786B30">
        <w:rPr>
          <w:color w:val="auto"/>
          <w:lang w:val="en-US"/>
        </w:rPr>
        <w:t>to</w:t>
      </w:r>
      <w:r w:rsidR="00BB4957" w:rsidRPr="00BB4957">
        <w:rPr>
          <w:color w:val="auto"/>
          <w:lang w:val="en-US"/>
        </w:rPr>
        <w:t xml:space="preserve"> improv</w:t>
      </w:r>
      <w:r w:rsidR="00DF0ECD">
        <w:rPr>
          <w:color w:val="auto"/>
          <w:lang w:val="en-US"/>
        </w:rPr>
        <w:t>e</w:t>
      </w:r>
      <w:r w:rsidR="00BB4957" w:rsidRPr="00BB4957">
        <w:rPr>
          <w:color w:val="auto"/>
          <w:lang w:val="en-US"/>
        </w:rPr>
        <w:t xml:space="preserve"> the quality of pre-service teacher education through the upgrade of Myanmar’s Education Colleges</w:t>
      </w:r>
      <w:r w:rsidR="00B9096E">
        <w:rPr>
          <w:color w:val="auto"/>
          <w:lang w:val="en-US"/>
        </w:rPr>
        <w:t>, and</w:t>
      </w:r>
      <w:r w:rsidR="00BB4957" w:rsidRPr="00BB4957">
        <w:rPr>
          <w:color w:val="auto"/>
          <w:lang w:val="en-US"/>
        </w:rPr>
        <w:t xml:space="preserve"> contribut</w:t>
      </w:r>
      <w:r w:rsidR="00D25923">
        <w:rPr>
          <w:color w:val="auto"/>
          <w:lang w:val="en-US"/>
        </w:rPr>
        <w:t>ed</w:t>
      </w:r>
      <w:r w:rsidR="00B9096E">
        <w:rPr>
          <w:color w:val="auto"/>
          <w:lang w:val="en-US"/>
        </w:rPr>
        <w:t xml:space="preserve"> </w:t>
      </w:r>
      <w:r w:rsidR="00BB4957" w:rsidRPr="00BB4957">
        <w:rPr>
          <w:color w:val="auto"/>
          <w:lang w:val="en-US"/>
        </w:rPr>
        <w:t>to significant and influential policy development. Key achievements include the development</w:t>
      </w:r>
      <w:r w:rsidR="005703A1">
        <w:rPr>
          <w:color w:val="auto"/>
          <w:lang w:val="en-US"/>
        </w:rPr>
        <w:t xml:space="preserve"> of</w:t>
      </w:r>
      <w:r w:rsidR="00BB4957" w:rsidRPr="00BB4957">
        <w:rPr>
          <w:color w:val="auto"/>
          <w:lang w:val="en-US"/>
        </w:rPr>
        <w:t xml:space="preserve"> Myanmar’s first Teacher Competency Standards Framework</w:t>
      </w:r>
      <w:r w:rsidR="00BB4957">
        <w:rPr>
          <w:color w:val="auto"/>
          <w:lang w:val="en-US"/>
        </w:rPr>
        <w:t xml:space="preserve">, </w:t>
      </w:r>
      <w:r w:rsidR="005703A1">
        <w:rPr>
          <w:color w:val="auto"/>
          <w:lang w:val="en-US"/>
        </w:rPr>
        <w:t>and its submission for approval of</w:t>
      </w:r>
      <w:r w:rsidR="00BB4957" w:rsidRPr="00BB4957">
        <w:rPr>
          <w:color w:val="auto"/>
          <w:lang w:val="en-US"/>
        </w:rPr>
        <w:t xml:space="preserve"> </w:t>
      </w:r>
      <w:r w:rsidR="00BB4957">
        <w:rPr>
          <w:color w:val="auto"/>
          <w:lang w:val="en-US"/>
        </w:rPr>
        <w:t>the fir</w:t>
      </w:r>
      <w:r w:rsidR="005703A1">
        <w:rPr>
          <w:color w:val="auto"/>
          <w:lang w:val="en-US"/>
        </w:rPr>
        <w:t>st level ‘beginner teacher’</w:t>
      </w:r>
      <w:r w:rsidR="00BB4957">
        <w:rPr>
          <w:color w:val="auto"/>
        </w:rPr>
        <w:t xml:space="preserve"> – </w:t>
      </w:r>
      <w:r w:rsidR="00BB4957" w:rsidRPr="00E34F47">
        <w:rPr>
          <w:color w:val="auto"/>
        </w:rPr>
        <w:t>meeting the PAF target</w:t>
      </w:r>
      <w:r w:rsidR="00BB4957">
        <w:rPr>
          <w:color w:val="auto"/>
        </w:rPr>
        <w:t xml:space="preserve"> for 2018-19</w:t>
      </w:r>
      <w:r w:rsidR="00BB4957" w:rsidRPr="00E34F47">
        <w:rPr>
          <w:color w:val="auto"/>
        </w:rPr>
        <w:t>.</w:t>
      </w:r>
      <w:r w:rsidR="00DF0ECD">
        <w:rPr>
          <w:color w:val="auto"/>
        </w:rPr>
        <w:t xml:space="preserve"> These changes bui</w:t>
      </w:r>
      <w:r w:rsidR="005703A1">
        <w:rPr>
          <w:color w:val="auto"/>
        </w:rPr>
        <w:t>ld</w:t>
      </w:r>
      <w:r w:rsidR="00DF0ECD">
        <w:rPr>
          <w:color w:val="auto"/>
        </w:rPr>
        <w:t xml:space="preserve"> blocks for long-term, systemic improvement in the quality of Myanmar’s teachers.</w:t>
      </w:r>
    </w:p>
    <w:p w14:paraId="159DB124" w14:textId="49DD69C2" w:rsidR="006044F5" w:rsidRDefault="00BB4957" w:rsidP="003E6482">
      <w:pPr>
        <w:spacing w:after="120"/>
        <w:rPr>
          <w:color w:val="auto"/>
          <w:lang w:val="en-US"/>
        </w:rPr>
      </w:pPr>
      <w:r w:rsidRPr="00BB4957">
        <w:rPr>
          <w:color w:val="auto"/>
          <w:lang w:val="en-AU"/>
        </w:rPr>
        <w:t xml:space="preserve">STEM and DFSP closely </w:t>
      </w:r>
      <w:r w:rsidR="00786B30" w:rsidRPr="00BB4957">
        <w:rPr>
          <w:color w:val="auto"/>
          <w:lang w:val="en-AU"/>
        </w:rPr>
        <w:t>align</w:t>
      </w:r>
      <w:r w:rsidRPr="00BB4957">
        <w:rPr>
          <w:color w:val="auto"/>
          <w:lang w:val="en-AU"/>
        </w:rPr>
        <w:t xml:space="preserve"> with the reform objectives articulated under the</w:t>
      </w:r>
      <w:r>
        <w:rPr>
          <w:color w:val="auto"/>
          <w:lang w:val="en-AU"/>
        </w:rPr>
        <w:t xml:space="preserve"> Government’s</w:t>
      </w:r>
      <w:r w:rsidRPr="00BB4957">
        <w:rPr>
          <w:color w:val="auto"/>
          <w:lang w:val="en-AU"/>
        </w:rPr>
        <w:t xml:space="preserve"> NESP. </w:t>
      </w:r>
      <w:r w:rsidRPr="00BB4957">
        <w:rPr>
          <w:color w:val="auto"/>
          <w:lang w:val="en-US"/>
        </w:rPr>
        <w:t xml:space="preserve">To </w:t>
      </w:r>
      <w:r w:rsidR="00DF0ECD">
        <w:rPr>
          <w:color w:val="auto"/>
          <w:lang w:val="en-US"/>
        </w:rPr>
        <w:t>bolster</w:t>
      </w:r>
      <w:r w:rsidR="00786B30">
        <w:rPr>
          <w:color w:val="auto"/>
          <w:lang w:val="en-US"/>
        </w:rPr>
        <w:t xml:space="preserve"> </w:t>
      </w:r>
      <w:r w:rsidR="006044F5">
        <w:rPr>
          <w:color w:val="auto"/>
          <w:lang w:val="en-US"/>
        </w:rPr>
        <w:t>MoE</w:t>
      </w:r>
      <w:r w:rsidR="00DF0ECD">
        <w:rPr>
          <w:color w:val="auto"/>
          <w:lang w:val="en-US"/>
        </w:rPr>
        <w:t>’s ability</w:t>
      </w:r>
      <w:r w:rsidR="00786B30">
        <w:rPr>
          <w:color w:val="auto"/>
          <w:lang w:val="en-US"/>
        </w:rPr>
        <w:t xml:space="preserve"> </w:t>
      </w:r>
      <w:r w:rsidRPr="00BB4957">
        <w:rPr>
          <w:color w:val="auto"/>
          <w:lang w:val="en-US"/>
        </w:rPr>
        <w:t xml:space="preserve">to monitor the effectiveness of these </w:t>
      </w:r>
      <w:r w:rsidR="00DF0ECD">
        <w:rPr>
          <w:color w:val="auto"/>
          <w:lang w:val="en-US"/>
        </w:rPr>
        <w:t xml:space="preserve">and other NESP </w:t>
      </w:r>
      <w:r w:rsidRPr="00BB4957">
        <w:rPr>
          <w:color w:val="auto"/>
          <w:lang w:val="en-US"/>
        </w:rPr>
        <w:t>reforms</w:t>
      </w:r>
      <w:r w:rsidR="005A1E92">
        <w:rPr>
          <w:color w:val="auto"/>
          <w:lang w:val="en-US"/>
        </w:rPr>
        <w:t>,</w:t>
      </w:r>
      <w:r w:rsidRPr="00BB4957">
        <w:rPr>
          <w:color w:val="auto"/>
          <w:lang w:val="en-US"/>
        </w:rPr>
        <w:t xml:space="preserve"> Australia </w:t>
      </w:r>
      <w:r>
        <w:rPr>
          <w:color w:val="auto"/>
          <w:lang w:val="en-US"/>
        </w:rPr>
        <w:t xml:space="preserve">continued to </w:t>
      </w:r>
      <w:r w:rsidRPr="00BB4957">
        <w:rPr>
          <w:color w:val="auto"/>
          <w:lang w:val="en-US"/>
        </w:rPr>
        <w:t>provid</w:t>
      </w:r>
      <w:r>
        <w:rPr>
          <w:color w:val="auto"/>
          <w:lang w:val="en-US"/>
        </w:rPr>
        <w:t>e</w:t>
      </w:r>
      <w:r w:rsidR="00786B30">
        <w:rPr>
          <w:color w:val="auto"/>
          <w:lang w:val="en-US"/>
        </w:rPr>
        <w:t xml:space="preserve"> </w:t>
      </w:r>
      <w:r w:rsidRPr="00BB4957">
        <w:rPr>
          <w:color w:val="auto"/>
          <w:lang w:val="en-US"/>
        </w:rPr>
        <w:t>assistance through the Myanmar Education Quality Improvement Program (My-EQIP) ($</w:t>
      </w:r>
      <w:r>
        <w:rPr>
          <w:color w:val="auto"/>
          <w:lang w:val="en-US"/>
        </w:rPr>
        <w:t>4.5</w:t>
      </w:r>
      <w:r w:rsidR="006044F5">
        <w:rPr>
          <w:color w:val="auto"/>
          <w:lang w:val="en-US"/>
        </w:rPr>
        <w:t xml:space="preserve"> million in</w:t>
      </w:r>
      <w:r w:rsidRPr="00BB4957">
        <w:rPr>
          <w:color w:val="auto"/>
          <w:lang w:val="en-US"/>
        </w:rPr>
        <w:t xml:space="preserve"> 201</w:t>
      </w:r>
      <w:r>
        <w:rPr>
          <w:color w:val="auto"/>
          <w:lang w:val="en-US"/>
        </w:rPr>
        <w:t>8-2019</w:t>
      </w:r>
      <w:r w:rsidRPr="00BB4957">
        <w:rPr>
          <w:color w:val="auto"/>
          <w:lang w:val="en-US"/>
        </w:rPr>
        <w:t>)</w:t>
      </w:r>
      <w:r w:rsidR="006044F5">
        <w:rPr>
          <w:color w:val="auto"/>
          <w:lang w:val="en-US"/>
        </w:rPr>
        <w:t xml:space="preserve">. </w:t>
      </w:r>
      <w:r w:rsidR="007D268B" w:rsidRPr="007D268B">
        <w:rPr>
          <w:color w:val="auto"/>
          <w:lang w:val="en-US"/>
        </w:rPr>
        <w:t xml:space="preserve"> </w:t>
      </w:r>
      <w:r w:rsidR="00786B30">
        <w:rPr>
          <w:color w:val="auto"/>
          <w:lang w:val="en-US"/>
        </w:rPr>
        <w:t xml:space="preserve">My-EQIP </w:t>
      </w:r>
      <w:r w:rsidR="001E0FB0">
        <w:rPr>
          <w:color w:val="auto"/>
          <w:lang w:val="en-US"/>
        </w:rPr>
        <w:t>help</w:t>
      </w:r>
      <w:r w:rsidR="00DF0ECD">
        <w:rPr>
          <w:color w:val="auto"/>
          <w:lang w:val="en-US"/>
        </w:rPr>
        <w:t>s</w:t>
      </w:r>
      <w:r w:rsidR="007D268B" w:rsidRPr="007D268B">
        <w:rPr>
          <w:color w:val="auto"/>
          <w:lang w:val="en-US"/>
        </w:rPr>
        <w:t xml:space="preserve"> </w:t>
      </w:r>
      <w:r w:rsidR="003E296B">
        <w:rPr>
          <w:color w:val="auto"/>
          <w:lang w:val="en-US"/>
        </w:rPr>
        <w:t>the</w:t>
      </w:r>
      <w:r w:rsidR="007D268B" w:rsidRPr="007D268B">
        <w:rPr>
          <w:color w:val="auto"/>
          <w:lang w:val="en-US"/>
        </w:rPr>
        <w:t xml:space="preserve"> </w:t>
      </w:r>
      <w:r w:rsidR="00DF0ECD">
        <w:rPr>
          <w:color w:val="auto"/>
          <w:lang w:val="en-US"/>
        </w:rPr>
        <w:t xml:space="preserve">government </w:t>
      </w:r>
      <w:r w:rsidR="003E296B">
        <w:rPr>
          <w:color w:val="auto"/>
          <w:lang w:val="en-US"/>
        </w:rPr>
        <w:t xml:space="preserve">to </w:t>
      </w:r>
      <w:r w:rsidR="00DF0ECD">
        <w:rPr>
          <w:color w:val="auto"/>
          <w:lang w:val="en-US"/>
        </w:rPr>
        <w:t>build</w:t>
      </w:r>
      <w:r w:rsidR="00DF0ECD" w:rsidRPr="007D268B">
        <w:rPr>
          <w:color w:val="auto"/>
          <w:lang w:val="en-US"/>
        </w:rPr>
        <w:t xml:space="preserve"> </w:t>
      </w:r>
      <w:r w:rsidR="00786B30">
        <w:rPr>
          <w:color w:val="auto"/>
          <w:lang w:val="en-US"/>
        </w:rPr>
        <w:t xml:space="preserve">the </w:t>
      </w:r>
      <w:r w:rsidR="007D268B" w:rsidRPr="007D268B">
        <w:rPr>
          <w:color w:val="auto"/>
          <w:lang w:val="en-US"/>
        </w:rPr>
        <w:t xml:space="preserve">systems </w:t>
      </w:r>
      <w:r w:rsidR="003E296B">
        <w:rPr>
          <w:color w:val="auto"/>
          <w:lang w:val="en-US"/>
        </w:rPr>
        <w:t>that</w:t>
      </w:r>
      <w:r w:rsidR="00DF0ECD">
        <w:rPr>
          <w:color w:val="auto"/>
          <w:lang w:val="en-US"/>
        </w:rPr>
        <w:t xml:space="preserve"> provide </w:t>
      </w:r>
      <w:r w:rsidR="009F3DB6">
        <w:rPr>
          <w:color w:val="auto"/>
          <w:lang w:val="en-US"/>
        </w:rPr>
        <w:t>it</w:t>
      </w:r>
      <w:r w:rsidR="00DF0ECD">
        <w:rPr>
          <w:color w:val="auto"/>
          <w:lang w:val="en-US"/>
        </w:rPr>
        <w:t xml:space="preserve"> </w:t>
      </w:r>
      <w:r w:rsidR="00B9096E">
        <w:rPr>
          <w:color w:val="auto"/>
          <w:lang w:val="en-US"/>
        </w:rPr>
        <w:t xml:space="preserve">with </w:t>
      </w:r>
      <w:r w:rsidR="00DF0ECD">
        <w:rPr>
          <w:color w:val="auto"/>
          <w:lang w:val="en-US"/>
        </w:rPr>
        <w:t>essential</w:t>
      </w:r>
      <w:r w:rsidR="007D268B" w:rsidRPr="007D268B">
        <w:rPr>
          <w:color w:val="auto"/>
          <w:lang w:val="en-US"/>
        </w:rPr>
        <w:t xml:space="preserve"> information </w:t>
      </w:r>
      <w:r w:rsidR="003E296B">
        <w:rPr>
          <w:color w:val="auto"/>
          <w:lang w:val="en-US"/>
        </w:rPr>
        <w:t>needed to</w:t>
      </w:r>
      <w:r w:rsidR="007D268B" w:rsidRPr="007D268B">
        <w:rPr>
          <w:color w:val="auto"/>
          <w:lang w:val="en-US"/>
        </w:rPr>
        <w:t xml:space="preserve"> make evidence</w:t>
      </w:r>
      <w:r w:rsidR="00B9096E">
        <w:rPr>
          <w:color w:val="auto"/>
          <w:lang w:val="en-US"/>
        </w:rPr>
        <w:t>-</w:t>
      </w:r>
      <w:r w:rsidR="007D268B" w:rsidRPr="007D268B">
        <w:rPr>
          <w:color w:val="auto"/>
          <w:lang w:val="en-US"/>
        </w:rPr>
        <w:t>based decisions and allow for more accurate planning and budgeting.</w:t>
      </w:r>
      <w:r w:rsidR="007D268B">
        <w:rPr>
          <w:color w:val="auto"/>
          <w:lang w:val="en-US"/>
        </w:rPr>
        <w:t xml:space="preserve"> </w:t>
      </w:r>
      <w:r w:rsidR="007D268B">
        <w:rPr>
          <w:rFonts w:ascii="Calibri Light" w:eastAsia="Calibri Light" w:hAnsi="Calibri Light" w:cs="Times New Roman"/>
          <w:color w:val="auto"/>
          <w:lang w:val="en-AU" w:eastAsia="en-AU" w:bidi="my-MM"/>
        </w:rPr>
        <w:t xml:space="preserve">This </w:t>
      </w:r>
      <w:r w:rsidR="006044F5" w:rsidRPr="00BB4957">
        <w:rPr>
          <w:rFonts w:ascii="Calibri Light" w:eastAsia="Calibri Light" w:hAnsi="Calibri Light" w:cs="Times New Roman"/>
          <w:color w:val="auto"/>
          <w:lang w:val="en-AU" w:eastAsia="en-AU" w:bidi="my-MM"/>
        </w:rPr>
        <w:t>improv</w:t>
      </w:r>
      <w:r w:rsidR="006044F5">
        <w:rPr>
          <w:rFonts w:ascii="Calibri Light" w:eastAsia="Calibri Light" w:hAnsi="Calibri Light" w:cs="Times New Roman"/>
          <w:color w:val="auto"/>
          <w:lang w:val="en-AU" w:eastAsia="en-AU" w:bidi="my-MM"/>
        </w:rPr>
        <w:t>e</w:t>
      </w:r>
      <w:r w:rsidR="003E296B">
        <w:rPr>
          <w:rFonts w:ascii="Calibri Light" w:eastAsia="Calibri Light" w:hAnsi="Calibri Light" w:cs="Times New Roman"/>
          <w:color w:val="auto"/>
          <w:lang w:val="en-AU" w:eastAsia="en-AU" w:bidi="my-MM"/>
        </w:rPr>
        <w:t>s</w:t>
      </w:r>
      <w:r w:rsidR="006044F5" w:rsidRPr="00BB4957">
        <w:rPr>
          <w:rFonts w:ascii="Calibri Light" w:eastAsia="Calibri Light" w:hAnsi="Calibri Light" w:cs="Times New Roman"/>
          <w:color w:val="auto"/>
          <w:lang w:val="en-AU" w:eastAsia="en-AU" w:bidi="my-MM"/>
        </w:rPr>
        <w:t xml:space="preserve"> the Ministry’s ability to call for greater budget allocation</w:t>
      </w:r>
      <w:r w:rsidR="00786B30">
        <w:rPr>
          <w:rFonts w:ascii="Calibri Light" w:eastAsia="Calibri Light" w:hAnsi="Calibri Light" w:cs="Times New Roman"/>
          <w:color w:val="auto"/>
          <w:lang w:val="en-AU" w:eastAsia="en-AU" w:bidi="my-MM"/>
        </w:rPr>
        <w:t xml:space="preserve"> and improve access to </w:t>
      </w:r>
      <w:r w:rsidR="007D268B">
        <w:rPr>
          <w:rFonts w:ascii="Calibri Light" w:eastAsia="Calibri Light" w:hAnsi="Calibri Light" w:cs="Times New Roman"/>
          <w:color w:val="auto"/>
          <w:lang w:val="en-AU" w:eastAsia="en-AU" w:bidi="my-MM"/>
        </w:rPr>
        <w:t>quality education</w:t>
      </w:r>
      <w:r w:rsidR="006044F5" w:rsidRPr="00BB4957">
        <w:rPr>
          <w:rFonts w:ascii="Calibri Light" w:eastAsia="Calibri Light" w:hAnsi="Calibri Light" w:cs="Times New Roman"/>
          <w:color w:val="auto"/>
          <w:lang w:val="en-AU" w:eastAsia="en-AU" w:bidi="my-MM"/>
        </w:rPr>
        <w:t>.</w:t>
      </w:r>
      <w:r w:rsidR="003E296B">
        <w:rPr>
          <w:rFonts w:ascii="Calibri Light" w:eastAsia="Calibri Light" w:hAnsi="Calibri Light" w:cs="Times New Roman"/>
          <w:color w:val="auto"/>
          <w:lang w:val="en-AU" w:eastAsia="en-AU" w:bidi="my-MM"/>
        </w:rPr>
        <w:t xml:space="preserve"> </w:t>
      </w:r>
      <w:r w:rsidR="009F3DB6">
        <w:rPr>
          <w:rFonts w:ascii="Calibri Light" w:eastAsia="Calibri Light" w:hAnsi="Calibri Light" w:cs="Times New Roman"/>
          <w:color w:val="auto"/>
          <w:lang w:val="en-AU" w:eastAsia="en-AU" w:bidi="my-MM"/>
        </w:rPr>
        <w:t>I</w:t>
      </w:r>
      <w:r w:rsidR="006F6020">
        <w:rPr>
          <w:rFonts w:ascii="Calibri Light" w:eastAsia="Calibri Light" w:hAnsi="Calibri Light" w:cs="Times New Roman"/>
          <w:color w:val="auto"/>
          <w:lang w:val="en-AU" w:eastAsia="en-AU" w:bidi="my-MM"/>
        </w:rPr>
        <w:t xml:space="preserve">t is encouraging </w:t>
      </w:r>
      <w:r w:rsidR="002A0F35">
        <w:rPr>
          <w:rFonts w:ascii="Calibri Light" w:eastAsia="Calibri Light" w:hAnsi="Calibri Light" w:cs="Times New Roman"/>
          <w:color w:val="auto"/>
          <w:lang w:val="en-AU" w:eastAsia="en-AU" w:bidi="my-MM"/>
        </w:rPr>
        <w:t>that the MOE had a 19 per cent</w:t>
      </w:r>
      <w:r w:rsidR="003E296B">
        <w:rPr>
          <w:rFonts w:ascii="Calibri Light" w:eastAsia="Calibri Light" w:hAnsi="Calibri Light" w:cs="Times New Roman"/>
          <w:color w:val="auto"/>
          <w:lang w:val="en-AU" w:eastAsia="en-AU" w:bidi="my-MM"/>
        </w:rPr>
        <w:t xml:space="preserve"> increase in its budget allocation for 2019-20</w:t>
      </w:r>
      <w:r w:rsidR="006F6020">
        <w:rPr>
          <w:rFonts w:ascii="Calibri Light" w:eastAsia="Calibri Light" w:hAnsi="Calibri Light" w:cs="Times New Roman"/>
          <w:color w:val="auto"/>
          <w:lang w:val="en-AU" w:eastAsia="en-AU" w:bidi="my-MM"/>
        </w:rPr>
        <w:t>.</w:t>
      </w:r>
      <w:r w:rsidR="003E296B">
        <w:rPr>
          <w:rFonts w:ascii="Calibri Light" w:eastAsia="Calibri Light" w:hAnsi="Calibri Light" w:cs="Times New Roman"/>
          <w:color w:val="auto"/>
          <w:lang w:val="en-AU" w:eastAsia="en-AU" w:bidi="my-MM"/>
        </w:rPr>
        <w:t xml:space="preserve"> </w:t>
      </w:r>
    </w:p>
    <w:p w14:paraId="5DA18014" w14:textId="4B6543B1" w:rsidR="00BB4957" w:rsidRPr="003E6482" w:rsidRDefault="005A1E92" w:rsidP="003E6482">
      <w:pPr>
        <w:spacing w:after="120"/>
        <w:rPr>
          <w:color w:val="auto"/>
          <w:lang w:val="en-US"/>
        </w:rPr>
      </w:pPr>
      <w:r>
        <w:rPr>
          <w:color w:val="auto"/>
          <w:lang w:val="en-US"/>
        </w:rPr>
        <w:t xml:space="preserve">In </w:t>
      </w:r>
      <w:r w:rsidR="00786B30">
        <w:rPr>
          <w:color w:val="auto"/>
          <w:lang w:val="en-US"/>
        </w:rPr>
        <w:t>2018-19,</w:t>
      </w:r>
      <w:r w:rsidR="003E296B">
        <w:rPr>
          <w:color w:val="auto"/>
          <w:lang w:val="en-US"/>
        </w:rPr>
        <w:t xml:space="preserve"> </w:t>
      </w:r>
      <w:r>
        <w:rPr>
          <w:rFonts w:ascii="Calibri Light" w:eastAsia="Calibri Light" w:hAnsi="Calibri Light" w:cs="Times New Roman"/>
          <w:color w:val="auto"/>
          <w:lang w:val="en-AU" w:eastAsia="en-AU" w:bidi="my-MM"/>
        </w:rPr>
        <w:t>the</w:t>
      </w:r>
      <w:r w:rsidR="002053FE">
        <w:rPr>
          <w:rFonts w:ascii="Calibri Light" w:eastAsia="Calibri Light" w:hAnsi="Calibri Light" w:cs="Times New Roman"/>
          <w:color w:val="auto"/>
          <w:lang w:val="en-AU" w:eastAsia="en-AU" w:bidi="my-MM"/>
        </w:rPr>
        <w:t xml:space="preserve"> </w:t>
      </w:r>
      <w:r w:rsidR="006044F5" w:rsidRPr="00BB4957">
        <w:rPr>
          <w:rFonts w:ascii="Calibri Light" w:eastAsia="Calibri Light" w:hAnsi="Calibri Light" w:cs="Times New Roman"/>
          <w:color w:val="auto"/>
          <w:lang w:val="en-AU" w:eastAsia="en-AU" w:bidi="my-MM"/>
        </w:rPr>
        <w:t xml:space="preserve">My-EQIP program office </w:t>
      </w:r>
      <w:r>
        <w:rPr>
          <w:rFonts w:ascii="Calibri Light" w:eastAsia="Calibri Light" w:hAnsi="Calibri Light" w:cs="Times New Roman"/>
          <w:color w:val="auto"/>
          <w:lang w:val="en-AU" w:eastAsia="en-AU" w:bidi="my-MM"/>
        </w:rPr>
        <w:t xml:space="preserve">opened </w:t>
      </w:r>
      <w:r w:rsidR="006044F5" w:rsidRPr="00BB4957">
        <w:rPr>
          <w:rFonts w:ascii="Calibri Light" w:eastAsia="Calibri Light" w:hAnsi="Calibri Light" w:cs="Times New Roman"/>
          <w:color w:val="auto"/>
          <w:lang w:val="en-AU" w:eastAsia="en-AU" w:bidi="my-MM"/>
        </w:rPr>
        <w:t>within the MoE</w:t>
      </w:r>
      <w:r w:rsidR="006044F5">
        <w:rPr>
          <w:rFonts w:ascii="Calibri Light" w:eastAsia="Calibri Light" w:hAnsi="Calibri Light" w:cs="Times New Roman"/>
          <w:color w:val="auto"/>
          <w:lang w:val="en-AU" w:eastAsia="en-AU" w:bidi="my-MM"/>
        </w:rPr>
        <w:t xml:space="preserve">. </w:t>
      </w:r>
      <w:r w:rsidR="002A0F35">
        <w:rPr>
          <w:rFonts w:ascii="Calibri Light" w:eastAsia="Calibri Light" w:hAnsi="Calibri Light" w:cs="Times New Roman"/>
          <w:color w:val="auto"/>
          <w:lang w:val="en-AU" w:eastAsia="en-AU" w:bidi="my-MM"/>
        </w:rPr>
        <w:t>Embedding with</w:t>
      </w:r>
      <w:r w:rsidR="00D25923">
        <w:rPr>
          <w:rFonts w:ascii="Calibri Light" w:eastAsia="Calibri Light" w:hAnsi="Calibri Light" w:cs="Times New Roman"/>
          <w:color w:val="auto"/>
          <w:lang w:val="en-AU" w:eastAsia="en-AU" w:bidi="my-MM"/>
        </w:rPr>
        <w:t>in</w:t>
      </w:r>
      <w:r>
        <w:rPr>
          <w:rFonts w:ascii="Calibri Light" w:eastAsia="Calibri Light" w:hAnsi="Calibri Light" w:cs="Times New Roman"/>
          <w:color w:val="auto"/>
          <w:lang w:val="en-AU" w:eastAsia="en-AU" w:bidi="my-MM"/>
        </w:rPr>
        <w:t xml:space="preserve"> the MoE improves transfer of skills and builds</w:t>
      </w:r>
      <w:r w:rsidR="00786B30">
        <w:rPr>
          <w:rFonts w:ascii="Calibri Light" w:eastAsia="Calibri Light" w:hAnsi="Calibri Light" w:cs="Times New Roman"/>
          <w:color w:val="auto"/>
          <w:lang w:val="en-AU" w:eastAsia="en-AU" w:bidi="my-MM"/>
        </w:rPr>
        <w:t xml:space="preserve"> </w:t>
      </w:r>
      <w:r>
        <w:rPr>
          <w:rFonts w:ascii="Calibri Light" w:eastAsia="Calibri Light" w:hAnsi="Calibri Light" w:cs="Times New Roman"/>
          <w:color w:val="auto"/>
          <w:lang w:val="en-AU" w:eastAsia="en-AU" w:bidi="my-MM"/>
        </w:rPr>
        <w:t>close</w:t>
      </w:r>
      <w:r w:rsidRPr="00BB4957">
        <w:rPr>
          <w:rFonts w:ascii="Calibri Light" w:eastAsia="Calibri Light" w:hAnsi="Calibri Light" w:cs="Times New Roman"/>
          <w:color w:val="auto"/>
          <w:lang w:val="en-AU" w:eastAsia="en-AU" w:bidi="my-MM"/>
        </w:rPr>
        <w:t xml:space="preserve"> </w:t>
      </w:r>
      <w:r w:rsidR="006044F5" w:rsidRPr="00BB4957">
        <w:rPr>
          <w:rFonts w:ascii="Calibri Light" w:eastAsia="Calibri Light" w:hAnsi="Calibri Light" w:cs="Times New Roman"/>
          <w:color w:val="auto"/>
          <w:lang w:val="en-AU" w:eastAsia="en-AU" w:bidi="my-MM"/>
        </w:rPr>
        <w:t>link</w:t>
      </w:r>
      <w:r w:rsidR="006044F5">
        <w:rPr>
          <w:rFonts w:ascii="Calibri Light" w:eastAsia="Calibri Light" w:hAnsi="Calibri Light" w:cs="Times New Roman"/>
          <w:color w:val="auto"/>
          <w:lang w:val="en-AU" w:eastAsia="en-AU" w:bidi="my-MM"/>
        </w:rPr>
        <w:t>s</w:t>
      </w:r>
      <w:r w:rsidR="006044F5" w:rsidRPr="00BB4957">
        <w:rPr>
          <w:rFonts w:ascii="Calibri Light" w:eastAsia="Calibri Light" w:hAnsi="Calibri Light" w:cs="Times New Roman"/>
          <w:color w:val="auto"/>
          <w:lang w:val="en-AU" w:eastAsia="en-AU" w:bidi="my-MM"/>
        </w:rPr>
        <w:t xml:space="preserve"> </w:t>
      </w:r>
      <w:r>
        <w:rPr>
          <w:rFonts w:ascii="Calibri Light" w:eastAsia="Calibri Light" w:hAnsi="Calibri Light" w:cs="Times New Roman"/>
          <w:color w:val="auto"/>
          <w:lang w:val="en-AU" w:eastAsia="en-AU" w:bidi="my-MM"/>
        </w:rPr>
        <w:t>with</w:t>
      </w:r>
      <w:r w:rsidR="006044F5" w:rsidRPr="00BB4957">
        <w:rPr>
          <w:rFonts w:ascii="Calibri Light" w:eastAsia="Calibri Light" w:hAnsi="Calibri Light" w:cs="Times New Roman"/>
          <w:color w:val="auto"/>
          <w:lang w:val="en-AU" w:eastAsia="en-AU" w:bidi="my-MM"/>
        </w:rPr>
        <w:t xml:space="preserve"> MoE staff. </w:t>
      </w:r>
      <w:r>
        <w:rPr>
          <w:rFonts w:ascii="Calibri Light" w:eastAsia="Calibri Light" w:hAnsi="Calibri Light" w:cs="Times New Roman"/>
          <w:color w:val="auto"/>
          <w:lang w:val="en-AU" w:eastAsia="en-AU" w:bidi="my-MM"/>
        </w:rPr>
        <w:t xml:space="preserve">My-EQIP’s </w:t>
      </w:r>
      <w:r w:rsidR="006044F5">
        <w:rPr>
          <w:rFonts w:ascii="Calibri Light" w:eastAsia="Calibri Light" w:hAnsi="Calibri Light" w:cs="Times New Roman"/>
          <w:color w:val="auto"/>
          <w:lang w:val="en-AU" w:eastAsia="en-AU" w:bidi="my-MM"/>
        </w:rPr>
        <w:t>‘</w:t>
      </w:r>
      <w:r w:rsidR="00CF51E5">
        <w:rPr>
          <w:rFonts w:ascii="Calibri Light" w:eastAsia="Calibri Light" w:hAnsi="Calibri Light" w:cs="Times New Roman"/>
          <w:color w:val="auto"/>
          <w:lang w:val="en-AU" w:eastAsia="en-AU" w:bidi="my-MM"/>
        </w:rPr>
        <w:t>g</w:t>
      </w:r>
      <w:r w:rsidR="006044F5">
        <w:rPr>
          <w:rFonts w:ascii="Calibri Light" w:eastAsia="Calibri Light" w:hAnsi="Calibri Light" w:cs="Times New Roman"/>
          <w:color w:val="auto"/>
          <w:lang w:val="en-AU" w:eastAsia="en-AU" w:bidi="my-MM"/>
        </w:rPr>
        <w:t xml:space="preserve">overnment owned and led’ </w:t>
      </w:r>
      <w:r w:rsidR="006044F5" w:rsidRPr="00BB4957">
        <w:rPr>
          <w:rFonts w:ascii="Calibri Light" w:eastAsia="Calibri Light" w:hAnsi="Calibri Light" w:cs="Times New Roman"/>
          <w:color w:val="auto"/>
          <w:lang w:val="en-AU" w:eastAsia="en-AU" w:bidi="my-MM"/>
        </w:rPr>
        <w:t>approach p</w:t>
      </w:r>
      <w:r w:rsidR="006044F5">
        <w:rPr>
          <w:rFonts w:ascii="Calibri Light" w:eastAsia="Calibri Light" w:hAnsi="Calibri Light" w:cs="Times New Roman"/>
          <w:color w:val="auto"/>
          <w:lang w:val="en-AU" w:eastAsia="en-AU" w:bidi="my-MM"/>
        </w:rPr>
        <w:t>ositioned</w:t>
      </w:r>
      <w:r w:rsidR="006044F5" w:rsidRPr="00BB4957">
        <w:rPr>
          <w:rFonts w:ascii="Calibri Light" w:eastAsia="Calibri Light" w:hAnsi="Calibri Light" w:cs="Times New Roman"/>
          <w:color w:val="auto"/>
          <w:lang w:val="en-AU" w:eastAsia="en-AU" w:bidi="my-MM"/>
        </w:rPr>
        <w:t xml:space="preserve"> </w:t>
      </w:r>
      <w:r w:rsidR="00786B30">
        <w:rPr>
          <w:rFonts w:ascii="Calibri Light" w:eastAsia="Calibri Light" w:hAnsi="Calibri Light" w:cs="Times New Roman"/>
          <w:color w:val="auto"/>
          <w:lang w:val="en-AU" w:eastAsia="en-AU" w:bidi="my-MM"/>
        </w:rPr>
        <w:t>i</w:t>
      </w:r>
      <w:r>
        <w:rPr>
          <w:rFonts w:ascii="Calibri Light" w:eastAsia="Calibri Light" w:hAnsi="Calibri Light" w:cs="Times New Roman"/>
          <w:color w:val="auto"/>
          <w:lang w:val="en-AU" w:eastAsia="en-AU" w:bidi="my-MM"/>
        </w:rPr>
        <w:t>t</w:t>
      </w:r>
      <w:r w:rsidR="006044F5" w:rsidRPr="00BB4957">
        <w:rPr>
          <w:rFonts w:ascii="Calibri Light" w:eastAsia="Calibri Light" w:hAnsi="Calibri Light" w:cs="Times New Roman"/>
          <w:color w:val="auto"/>
          <w:lang w:val="en-AU" w:eastAsia="en-AU" w:bidi="my-MM"/>
        </w:rPr>
        <w:t xml:space="preserve"> as a partner of choice in supporting the Ministry’s research and policy needs.</w:t>
      </w:r>
      <w:r w:rsidR="006865F7">
        <w:rPr>
          <w:rFonts w:ascii="Calibri Light" w:eastAsia="Calibri Light" w:hAnsi="Calibri Light" w:cs="Times New Roman"/>
          <w:color w:val="auto"/>
          <w:lang w:val="en-AU" w:eastAsia="en-AU" w:bidi="my-MM"/>
        </w:rPr>
        <w:t xml:space="preserve"> </w:t>
      </w:r>
      <w:r w:rsidR="006044F5">
        <w:rPr>
          <w:rFonts w:ascii="Calibri Light" w:eastAsia="Calibri Light" w:hAnsi="Calibri Light" w:cs="Times New Roman"/>
          <w:color w:val="auto"/>
          <w:lang w:val="en-AU" w:eastAsia="en-AU" w:bidi="my-MM"/>
        </w:rPr>
        <w:t>In 2018-19, with My-EQIP’s support</w:t>
      </w:r>
      <w:r>
        <w:rPr>
          <w:rFonts w:ascii="Calibri Light" w:eastAsia="Calibri Light" w:hAnsi="Calibri Light" w:cs="Times New Roman"/>
          <w:color w:val="auto"/>
          <w:lang w:val="en-AU" w:eastAsia="en-AU" w:bidi="my-MM"/>
        </w:rPr>
        <w:t>,</w:t>
      </w:r>
      <w:r w:rsidR="006044F5">
        <w:rPr>
          <w:rFonts w:ascii="Calibri Light" w:eastAsia="Calibri Light" w:hAnsi="Calibri Light" w:cs="Times New Roman"/>
          <w:color w:val="auto"/>
          <w:lang w:val="en-AU" w:eastAsia="en-AU" w:bidi="my-MM"/>
        </w:rPr>
        <w:t xml:space="preserve"> the</w:t>
      </w:r>
      <w:r w:rsidR="00BB4957" w:rsidRPr="00BB4957">
        <w:rPr>
          <w:rFonts w:ascii="Calibri Light" w:eastAsia="Calibri Light" w:hAnsi="Calibri Light" w:cs="Times New Roman"/>
          <w:color w:val="auto"/>
          <w:lang w:val="en-AU" w:eastAsia="en-AU" w:bidi="my-MM"/>
        </w:rPr>
        <w:t xml:space="preserve"> Ministry </w:t>
      </w:r>
      <w:r w:rsidR="006044F5">
        <w:rPr>
          <w:rFonts w:ascii="Calibri Light" w:eastAsia="Calibri Light" w:hAnsi="Calibri Light" w:cs="Times New Roman"/>
          <w:color w:val="auto"/>
          <w:lang w:val="en-AU" w:eastAsia="en-AU" w:bidi="my-MM"/>
        </w:rPr>
        <w:t>drafted and commenced a</w:t>
      </w:r>
      <w:r w:rsidR="00BB4957" w:rsidRPr="00BB4957">
        <w:rPr>
          <w:rFonts w:ascii="Calibri Light" w:eastAsia="Calibri Light" w:hAnsi="Calibri Light" w:cs="Times New Roman"/>
          <w:color w:val="auto"/>
          <w:lang w:val="en-AU" w:eastAsia="en-AU" w:bidi="my-MM"/>
        </w:rPr>
        <w:t xml:space="preserve"> pilot</w:t>
      </w:r>
      <w:r w:rsidR="006044F5">
        <w:rPr>
          <w:rFonts w:ascii="Calibri Light" w:eastAsia="Calibri Light" w:hAnsi="Calibri Light" w:cs="Times New Roman"/>
          <w:color w:val="auto"/>
          <w:lang w:val="en-AU" w:eastAsia="en-AU" w:bidi="my-MM"/>
        </w:rPr>
        <w:t xml:space="preserve"> of</w:t>
      </w:r>
      <w:r w:rsidR="00BB4957" w:rsidRPr="00BB4957">
        <w:rPr>
          <w:rFonts w:ascii="Calibri Light" w:eastAsia="Calibri Light" w:hAnsi="Calibri Light" w:cs="Times New Roman"/>
          <w:color w:val="auto"/>
          <w:lang w:val="en-AU" w:eastAsia="en-AU" w:bidi="my-MM"/>
        </w:rPr>
        <w:t xml:space="preserve"> an </w:t>
      </w:r>
      <w:r w:rsidR="006044F5" w:rsidRPr="00BB4957">
        <w:rPr>
          <w:rFonts w:ascii="Calibri Light" w:eastAsia="Calibri Light" w:hAnsi="Calibri Light" w:cs="Times New Roman"/>
          <w:color w:val="auto"/>
          <w:lang w:val="en-AU" w:eastAsia="en-AU" w:bidi="my-MM"/>
        </w:rPr>
        <w:t>inaugural</w:t>
      </w:r>
      <w:r w:rsidR="00BB4957" w:rsidRPr="00BB4957">
        <w:rPr>
          <w:rFonts w:ascii="Calibri Light" w:eastAsia="Calibri Light" w:hAnsi="Calibri Light" w:cs="Times New Roman"/>
          <w:color w:val="auto"/>
          <w:lang w:val="en-AU" w:eastAsia="en-AU" w:bidi="my-MM"/>
        </w:rPr>
        <w:t xml:space="preserve"> School Quality Assurance </w:t>
      </w:r>
      <w:r w:rsidR="006044F5">
        <w:rPr>
          <w:rFonts w:ascii="Calibri Light" w:eastAsia="Calibri Light" w:hAnsi="Calibri Light" w:cs="Times New Roman"/>
          <w:color w:val="auto"/>
          <w:lang w:val="en-AU" w:eastAsia="en-AU" w:bidi="my-MM"/>
        </w:rPr>
        <w:t xml:space="preserve">Standards </w:t>
      </w:r>
      <w:r w:rsidR="00BB4957" w:rsidRPr="00BB4957">
        <w:rPr>
          <w:rFonts w:ascii="Calibri Light" w:eastAsia="Calibri Light" w:hAnsi="Calibri Light" w:cs="Times New Roman"/>
          <w:color w:val="auto"/>
          <w:lang w:val="en-AU" w:eastAsia="en-AU" w:bidi="my-MM"/>
        </w:rPr>
        <w:t>Framework (SQASF)</w:t>
      </w:r>
      <w:r>
        <w:rPr>
          <w:rFonts w:ascii="Calibri Light" w:eastAsia="Calibri Light" w:hAnsi="Calibri Light" w:cs="Times New Roman"/>
          <w:color w:val="auto"/>
          <w:lang w:val="en-AU" w:eastAsia="en-AU" w:bidi="my-MM"/>
        </w:rPr>
        <w:t>. The SQASF is an important system that</w:t>
      </w:r>
      <w:r w:rsidR="006044F5">
        <w:rPr>
          <w:rFonts w:ascii="Calibri Light" w:eastAsia="Calibri Light" w:hAnsi="Calibri Light" w:cs="Times New Roman"/>
          <w:color w:val="auto"/>
          <w:lang w:val="en-AU" w:eastAsia="en-AU" w:bidi="my-MM"/>
        </w:rPr>
        <w:t xml:space="preserve"> will </w:t>
      </w:r>
      <w:r>
        <w:rPr>
          <w:rFonts w:ascii="Calibri Light" w:eastAsia="Calibri Light" w:hAnsi="Calibri Light" w:cs="Times New Roman"/>
          <w:color w:val="auto"/>
          <w:lang w:val="en-AU" w:eastAsia="en-AU" w:bidi="my-MM"/>
        </w:rPr>
        <w:t>build the quality of schools over the long term. It will enable</w:t>
      </w:r>
      <w:r w:rsidR="00786B30">
        <w:rPr>
          <w:rFonts w:ascii="Calibri Light" w:eastAsia="Calibri Light" w:hAnsi="Calibri Light" w:cs="Times New Roman"/>
          <w:color w:val="auto"/>
          <w:lang w:val="en-AU" w:eastAsia="en-AU" w:bidi="my-MM"/>
        </w:rPr>
        <w:t xml:space="preserve"> </w:t>
      </w:r>
      <w:r w:rsidR="006044F5">
        <w:rPr>
          <w:rFonts w:ascii="Calibri Light" w:eastAsia="Calibri Light" w:hAnsi="Calibri Light" w:cs="Times New Roman"/>
          <w:color w:val="auto"/>
          <w:lang w:val="en-AU" w:eastAsia="en-AU" w:bidi="my-MM"/>
        </w:rPr>
        <w:t xml:space="preserve">schools to define </w:t>
      </w:r>
      <w:r>
        <w:rPr>
          <w:rFonts w:ascii="Calibri Light" w:eastAsia="Calibri Light" w:hAnsi="Calibri Light" w:cs="Times New Roman"/>
          <w:color w:val="auto"/>
          <w:lang w:val="en-AU" w:eastAsia="en-AU" w:bidi="my-MM"/>
        </w:rPr>
        <w:t xml:space="preserve">their </w:t>
      </w:r>
      <w:r w:rsidR="006044F5">
        <w:rPr>
          <w:rFonts w:ascii="Calibri Light" w:eastAsia="Calibri Light" w:hAnsi="Calibri Light" w:cs="Times New Roman"/>
          <w:color w:val="auto"/>
          <w:lang w:val="en-AU" w:eastAsia="en-AU" w:bidi="my-MM"/>
        </w:rPr>
        <w:t xml:space="preserve">needs and develop </w:t>
      </w:r>
      <w:r>
        <w:rPr>
          <w:rFonts w:ascii="Calibri Light" w:eastAsia="Calibri Light" w:hAnsi="Calibri Light" w:cs="Times New Roman"/>
          <w:color w:val="auto"/>
          <w:lang w:val="en-AU" w:eastAsia="en-AU" w:bidi="my-MM"/>
        </w:rPr>
        <w:t>their own</w:t>
      </w:r>
      <w:r w:rsidR="006044F5">
        <w:rPr>
          <w:rFonts w:ascii="Calibri Light" w:eastAsia="Calibri Light" w:hAnsi="Calibri Light" w:cs="Times New Roman"/>
          <w:color w:val="auto"/>
          <w:lang w:val="en-AU" w:eastAsia="en-AU" w:bidi="my-MM"/>
        </w:rPr>
        <w:t xml:space="preserve"> school improvement plans. </w:t>
      </w:r>
      <w:r>
        <w:rPr>
          <w:rFonts w:ascii="Calibri Light" w:eastAsia="Calibri Light" w:hAnsi="Calibri Light" w:cs="Times New Roman"/>
          <w:color w:val="auto"/>
          <w:lang w:val="en-AU" w:eastAsia="en-AU" w:bidi="my-MM"/>
        </w:rPr>
        <w:t xml:space="preserve">My-EQIP </w:t>
      </w:r>
      <w:r w:rsidR="007D268B">
        <w:rPr>
          <w:rFonts w:ascii="Calibri Light" w:eastAsia="Calibri Light" w:hAnsi="Calibri Light" w:cs="Times New Roman"/>
          <w:color w:val="auto"/>
          <w:lang w:val="en-AU" w:eastAsia="en-AU" w:bidi="my-MM"/>
        </w:rPr>
        <w:t xml:space="preserve">has also assisted the MoE to mainstream </w:t>
      </w:r>
      <w:r w:rsidR="00BB4957" w:rsidRPr="00BB4957">
        <w:rPr>
          <w:rFonts w:ascii="Calibri Light" w:eastAsia="Calibri Light" w:hAnsi="Calibri Light" w:cs="Times New Roman"/>
          <w:color w:val="auto"/>
          <w:lang w:val="en-AU" w:eastAsia="en-AU" w:bidi="my-MM"/>
        </w:rPr>
        <w:t>gender</w:t>
      </w:r>
      <w:r w:rsidR="007D268B">
        <w:rPr>
          <w:rFonts w:ascii="Calibri Light" w:eastAsia="Calibri Light" w:hAnsi="Calibri Light" w:cs="Times New Roman"/>
          <w:color w:val="auto"/>
          <w:lang w:val="en-AU" w:eastAsia="en-AU" w:bidi="my-MM"/>
        </w:rPr>
        <w:t xml:space="preserve">, </w:t>
      </w:r>
      <w:r w:rsidR="00BB4957" w:rsidRPr="00BB4957">
        <w:rPr>
          <w:rFonts w:ascii="Calibri Light" w:eastAsia="Calibri Light" w:hAnsi="Calibri Light" w:cs="Times New Roman"/>
          <w:color w:val="auto"/>
          <w:lang w:val="en-AU" w:eastAsia="en-AU" w:bidi="my-MM"/>
        </w:rPr>
        <w:t>disability and ethnicity across program activities</w:t>
      </w:r>
      <w:r w:rsidR="007D268B">
        <w:rPr>
          <w:rFonts w:ascii="Calibri Light" w:eastAsia="Calibri Light" w:hAnsi="Calibri Light" w:cs="Times New Roman"/>
          <w:color w:val="auto"/>
          <w:lang w:val="en-AU" w:eastAsia="en-AU" w:bidi="my-MM"/>
        </w:rPr>
        <w:t xml:space="preserve">, contributing to the Government’s ability to respond to the </w:t>
      </w:r>
      <w:r w:rsidR="00BB4957" w:rsidRPr="00BB4957">
        <w:rPr>
          <w:rFonts w:ascii="Calibri Light" w:eastAsia="Calibri Light" w:hAnsi="Calibri Light" w:cs="Times New Roman"/>
          <w:color w:val="auto"/>
          <w:lang w:val="en-AU" w:eastAsia="en-AU" w:bidi="my-MM"/>
        </w:rPr>
        <w:t>recommendations from the CEDAW Committee</w:t>
      </w:r>
      <w:r w:rsidR="007D268B">
        <w:rPr>
          <w:rFonts w:ascii="Calibri Light" w:eastAsia="Calibri Light" w:hAnsi="Calibri Light" w:cs="Times New Roman"/>
          <w:color w:val="auto"/>
          <w:lang w:val="en-AU" w:eastAsia="en-AU" w:bidi="my-MM"/>
        </w:rPr>
        <w:t xml:space="preserve"> on educational achievements and international reporting obligations. </w:t>
      </w:r>
    </w:p>
    <w:p w14:paraId="09D78CAA" w14:textId="7BDBDE5A" w:rsidR="00132579" w:rsidRPr="00E81F72" w:rsidRDefault="00253756" w:rsidP="005374DB">
      <w:pPr>
        <w:spacing w:after="120"/>
        <w:rPr>
          <w:color w:val="auto"/>
        </w:rPr>
      </w:pPr>
      <w:r>
        <w:rPr>
          <w:color w:val="auto"/>
        </w:rPr>
        <w:t>C</w:t>
      </w:r>
      <w:r w:rsidR="00D018E9">
        <w:rPr>
          <w:color w:val="auto"/>
        </w:rPr>
        <w:t>omplement</w:t>
      </w:r>
      <w:r>
        <w:rPr>
          <w:color w:val="auto"/>
        </w:rPr>
        <w:t xml:space="preserve">ing </w:t>
      </w:r>
      <w:r w:rsidR="00CF51E5">
        <w:rPr>
          <w:color w:val="auto"/>
        </w:rPr>
        <w:t>the</w:t>
      </w:r>
      <w:r w:rsidR="00D018E9">
        <w:rPr>
          <w:color w:val="auto"/>
        </w:rPr>
        <w:t xml:space="preserve"> </w:t>
      </w:r>
      <w:r>
        <w:rPr>
          <w:color w:val="auto"/>
        </w:rPr>
        <w:t>programs</w:t>
      </w:r>
      <w:r w:rsidR="00D018E9" w:rsidRPr="007D268B">
        <w:rPr>
          <w:color w:val="auto"/>
        </w:rPr>
        <w:t xml:space="preserve"> we provide to </w:t>
      </w:r>
      <w:r w:rsidR="00896DA5">
        <w:rPr>
          <w:color w:val="auto"/>
        </w:rPr>
        <w:t xml:space="preserve">and through </w:t>
      </w:r>
      <w:r w:rsidR="00D018E9" w:rsidRPr="007D268B">
        <w:rPr>
          <w:color w:val="auto"/>
        </w:rPr>
        <w:t>Government</w:t>
      </w:r>
      <w:r w:rsidR="00D018E9">
        <w:rPr>
          <w:color w:val="auto"/>
        </w:rPr>
        <w:t xml:space="preserve">, </w:t>
      </w:r>
      <w:r w:rsidR="007D268B" w:rsidRPr="007D268B">
        <w:rPr>
          <w:color w:val="auto"/>
        </w:rPr>
        <w:t xml:space="preserve">Australia </w:t>
      </w:r>
      <w:r w:rsidR="00896DA5">
        <w:rPr>
          <w:color w:val="auto"/>
        </w:rPr>
        <w:t xml:space="preserve">also </w:t>
      </w:r>
      <w:r w:rsidR="007D268B" w:rsidRPr="007D268B">
        <w:rPr>
          <w:color w:val="auto"/>
        </w:rPr>
        <w:t>support</w:t>
      </w:r>
      <w:r w:rsidR="00D25923">
        <w:rPr>
          <w:color w:val="auto"/>
        </w:rPr>
        <w:t>ed</w:t>
      </w:r>
      <w:r w:rsidR="00786B30">
        <w:rPr>
          <w:color w:val="auto"/>
        </w:rPr>
        <w:t xml:space="preserve"> </w:t>
      </w:r>
      <w:r w:rsidR="00D018E9">
        <w:rPr>
          <w:color w:val="auto"/>
        </w:rPr>
        <w:t>non-government partners</w:t>
      </w:r>
      <w:r w:rsidR="00786B30">
        <w:rPr>
          <w:color w:val="auto"/>
        </w:rPr>
        <w:t xml:space="preserve"> </w:t>
      </w:r>
      <w:r w:rsidR="00896DA5">
        <w:rPr>
          <w:color w:val="auto"/>
        </w:rPr>
        <w:t>to deliver</w:t>
      </w:r>
      <w:r w:rsidR="007D268B" w:rsidRPr="007D268B">
        <w:rPr>
          <w:color w:val="auto"/>
        </w:rPr>
        <w:t xml:space="preserve"> education services in hard-to-reach and conflict-affected areas. The education system in Myanmar is not homogenous and there are many different education service providers</w:t>
      </w:r>
      <w:r w:rsidR="00786B30">
        <w:rPr>
          <w:color w:val="auto"/>
        </w:rPr>
        <w:t xml:space="preserve">. </w:t>
      </w:r>
      <w:r w:rsidR="00896DA5">
        <w:rPr>
          <w:color w:val="auto"/>
        </w:rPr>
        <w:t>These groups are often</w:t>
      </w:r>
      <w:r w:rsidR="007D268B" w:rsidRPr="007D268B">
        <w:rPr>
          <w:color w:val="auto"/>
        </w:rPr>
        <w:t xml:space="preserve"> </w:t>
      </w:r>
      <w:r w:rsidR="00FA05C7">
        <w:rPr>
          <w:color w:val="auto"/>
        </w:rPr>
        <w:t>in</w:t>
      </w:r>
      <w:r w:rsidR="007D268B" w:rsidRPr="007D268B">
        <w:rPr>
          <w:color w:val="auto"/>
        </w:rPr>
        <w:t xml:space="preserve"> areas </w:t>
      </w:r>
      <w:r w:rsidR="009823DE" w:rsidRPr="007D268B">
        <w:rPr>
          <w:color w:val="auto"/>
        </w:rPr>
        <w:t xml:space="preserve">outside </w:t>
      </w:r>
      <w:r w:rsidR="007D268B" w:rsidRPr="007D268B">
        <w:rPr>
          <w:color w:val="auto"/>
        </w:rPr>
        <w:t>of central government control</w:t>
      </w:r>
      <w:r w:rsidR="00896DA5">
        <w:rPr>
          <w:color w:val="auto"/>
        </w:rPr>
        <w:t xml:space="preserve"> and service delivery</w:t>
      </w:r>
      <w:r w:rsidR="007D268B" w:rsidRPr="007D268B">
        <w:rPr>
          <w:color w:val="auto"/>
        </w:rPr>
        <w:t xml:space="preserve">. </w:t>
      </w:r>
      <w:r w:rsidR="00FA05C7" w:rsidRPr="007D268B">
        <w:rPr>
          <w:color w:val="auto"/>
        </w:rPr>
        <w:t xml:space="preserve">These complementary systems provide </w:t>
      </w:r>
      <w:r w:rsidR="00A51F8B">
        <w:rPr>
          <w:color w:val="auto"/>
        </w:rPr>
        <w:t xml:space="preserve">vital </w:t>
      </w:r>
      <w:r w:rsidR="00FA05C7" w:rsidRPr="007D268B">
        <w:rPr>
          <w:color w:val="auto"/>
        </w:rPr>
        <w:t>education to around 600,000 students.</w:t>
      </w:r>
      <w:r w:rsidR="00FA05C7">
        <w:rPr>
          <w:color w:val="auto"/>
        </w:rPr>
        <w:t xml:space="preserve"> Australia support</w:t>
      </w:r>
      <w:r w:rsidR="00D25923">
        <w:rPr>
          <w:color w:val="auto"/>
        </w:rPr>
        <w:t>ed</w:t>
      </w:r>
      <w:r w:rsidR="00CB5903">
        <w:rPr>
          <w:color w:val="auto"/>
        </w:rPr>
        <w:t xml:space="preserve"> </w:t>
      </w:r>
      <w:r w:rsidR="007D268B" w:rsidRPr="007D268B">
        <w:rPr>
          <w:color w:val="auto"/>
        </w:rPr>
        <w:t>long-established ethnic and monastic education systems though the Myanmar Education Consortium</w:t>
      </w:r>
      <w:r w:rsidR="008B2F71">
        <w:rPr>
          <w:color w:val="auto"/>
        </w:rPr>
        <w:t xml:space="preserve"> (MEC)</w:t>
      </w:r>
      <w:r w:rsidR="007D268B" w:rsidRPr="007D268B">
        <w:rPr>
          <w:color w:val="auto"/>
        </w:rPr>
        <w:t xml:space="preserve"> ($</w:t>
      </w:r>
      <w:r w:rsidR="007D268B">
        <w:rPr>
          <w:color w:val="auto"/>
        </w:rPr>
        <w:t>2</w:t>
      </w:r>
      <w:r w:rsidR="007D268B" w:rsidRPr="007D268B">
        <w:rPr>
          <w:color w:val="auto"/>
        </w:rPr>
        <w:t xml:space="preserve"> million</w:t>
      </w:r>
      <w:r w:rsidR="007D268B">
        <w:rPr>
          <w:color w:val="auto"/>
        </w:rPr>
        <w:t xml:space="preserve"> in</w:t>
      </w:r>
      <w:r w:rsidR="007D268B" w:rsidRPr="007D268B">
        <w:rPr>
          <w:color w:val="auto"/>
        </w:rPr>
        <w:t xml:space="preserve"> 201</w:t>
      </w:r>
      <w:r w:rsidR="007D268B">
        <w:rPr>
          <w:color w:val="auto"/>
        </w:rPr>
        <w:t>8-19</w:t>
      </w:r>
      <w:r w:rsidR="007D268B" w:rsidRPr="007D268B">
        <w:rPr>
          <w:color w:val="auto"/>
        </w:rPr>
        <w:t xml:space="preserve">). </w:t>
      </w:r>
      <w:r w:rsidR="00132579">
        <w:rPr>
          <w:color w:val="auto"/>
        </w:rPr>
        <w:t>Australia’s</w:t>
      </w:r>
      <w:r w:rsidR="00132579" w:rsidRPr="00132579">
        <w:rPr>
          <w:color w:val="auto"/>
        </w:rPr>
        <w:t xml:space="preserve"> investment in MEC </w:t>
      </w:r>
      <w:r w:rsidR="00132579" w:rsidRPr="00644B50">
        <w:rPr>
          <w:color w:val="auto"/>
        </w:rPr>
        <w:t>s</w:t>
      </w:r>
      <w:r w:rsidR="00644B50" w:rsidRPr="00644B50">
        <w:rPr>
          <w:color w:val="auto"/>
        </w:rPr>
        <w:t>eeks</w:t>
      </w:r>
      <w:r w:rsidR="00132579" w:rsidRPr="00644B50">
        <w:rPr>
          <w:color w:val="auto"/>
        </w:rPr>
        <w:t xml:space="preserve"> to address local inequality, strengthen existing complementary education systems and encourage steps towards an inclusive national </w:t>
      </w:r>
      <w:r w:rsidR="00E03C9D">
        <w:rPr>
          <w:color w:val="auto"/>
        </w:rPr>
        <w:t xml:space="preserve">education </w:t>
      </w:r>
      <w:r w:rsidR="00132579" w:rsidRPr="00644B50">
        <w:rPr>
          <w:color w:val="auto"/>
        </w:rPr>
        <w:t xml:space="preserve">system. </w:t>
      </w:r>
      <w:r w:rsidR="006660E6" w:rsidRPr="006660E6">
        <w:rPr>
          <w:color w:val="auto"/>
        </w:rPr>
        <w:t>MEC responds to the complexities of Myanmar's education sector</w:t>
      </w:r>
      <w:r w:rsidR="00C54C01">
        <w:rPr>
          <w:color w:val="auto"/>
        </w:rPr>
        <w:t xml:space="preserve"> recognising</w:t>
      </w:r>
      <w:r w:rsidR="006660E6" w:rsidRPr="006660E6">
        <w:rPr>
          <w:color w:val="auto"/>
        </w:rPr>
        <w:t xml:space="preserve"> that service delivery is politicised, is the responsibility of diverse actors, and that progress links to enduring peace. </w:t>
      </w:r>
      <w:r w:rsidR="0088317B">
        <w:rPr>
          <w:color w:val="auto"/>
        </w:rPr>
        <w:t>It</w:t>
      </w:r>
      <w:r w:rsidR="006660E6" w:rsidRPr="006660E6">
        <w:rPr>
          <w:color w:val="auto"/>
        </w:rPr>
        <w:t xml:space="preserve"> is a consequential and innovative investment that balances our focus on government education systems</w:t>
      </w:r>
      <w:r w:rsidR="0088317B">
        <w:rPr>
          <w:color w:val="auto"/>
        </w:rPr>
        <w:t>, but</w:t>
      </w:r>
      <w:r w:rsidR="006660E6" w:rsidRPr="006660E6">
        <w:rPr>
          <w:color w:val="auto"/>
        </w:rPr>
        <w:t xml:space="preserve"> progress is proving difficult. While remedial actions are underway</w:t>
      </w:r>
      <w:r w:rsidR="00FD2A9D">
        <w:rPr>
          <w:color w:val="auto"/>
        </w:rPr>
        <w:t xml:space="preserve"> to </w:t>
      </w:r>
      <w:r w:rsidR="00FD2A9D" w:rsidRPr="008B7CEB">
        <w:rPr>
          <w:color w:val="auto"/>
        </w:rPr>
        <w:t xml:space="preserve">address </w:t>
      </w:r>
      <w:r w:rsidR="00FD2A9D">
        <w:rPr>
          <w:color w:val="auto"/>
        </w:rPr>
        <w:t>operational</w:t>
      </w:r>
      <w:r w:rsidR="00FD2A9D" w:rsidRPr="008B7CEB">
        <w:rPr>
          <w:color w:val="auto"/>
        </w:rPr>
        <w:t xml:space="preserve"> issues</w:t>
      </w:r>
      <w:r w:rsidR="00FD2A9D">
        <w:rPr>
          <w:color w:val="auto"/>
        </w:rPr>
        <w:t>,</w:t>
      </w:r>
      <w:r w:rsidR="00FD2A9D" w:rsidRPr="008B7CEB">
        <w:rPr>
          <w:color w:val="auto"/>
        </w:rPr>
        <w:t xml:space="preserve"> performance, and </w:t>
      </w:r>
      <w:r w:rsidR="00FD2A9D">
        <w:rPr>
          <w:color w:val="auto"/>
        </w:rPr>
        <w:t>strengthen</w:t>
      </w:r>
      <w:r w:rsidR="00FD2A9D" w:rsidRPr="008B7CEB">
        <w:rPr>
          <w:color w:val="auto"/>
        </w:rPr>
        <w:t xml:space="preserve"> risk management</w:t>
      </w:r>
      <w:r w:rsidR="006660E6" w:rsidRPr="006660E6">
        <w:rPr>
          <w:color w:val="auto"/>
        </w:rPr>
        <w:t>, we are looking to the long-term practicality of the MEC implementation model to determine the best way of continuing this important work.</w:t>
      </w:r>
    </w:p>
    <w:p w14:paraId="3DF8A4AD" w14:textId="4CB11BB4" w:rsidR="000E7EA6" w:rsidRPr="00756019" w:rsidRDefault="005A66D5" w:rsidP="005374DB">
      <w:pPr>
        <w:spacing w:after="120"/>
        <w:rPr>
          <w:color w:val="auto"/>
        </w:rPr>
      </w:pPr>
      <w:r>
        <w:rPr>
          <w:color w:val="auto"/>
        </w:rPr>
        <w:t>To compleme</w:t>
      </w:r>
      <w:r w:rsidR="00336690">
        <w:rPr>
          <w:color w:val="auto"/>
        </w:rPr>
        <w:t>nt our long-term investment in</w:t>
      </w:r>
      <w:r>
        <w:rPr>
          <w:color w:val="auto"/>
        </w:rPr>
        <w:t xml:space="preserve"> strengthening education systems (government, monastic, ethnic), Australia </w:t>
      </w:r>
      <w:r w:rsidR="000E7EA6">
        <w:rPr>
          <w:color w:val="auto"/>
        </w:rPr>
        <w:t xml:space="preserve">also </w:t>
      </w:r>
      <w:r w:rsidR="00336690">
        <w:rPr>
          <w:color w:val="auto"/>
        </w:rPr>
        <w:t>provided</w:t>
      </w:r>
      <w:r>
        <w:rPr>
          <w:color w:val="auto"/>
        </w:rPr>
        <w:t xml:space="preserve"> funding to h</w:t>
      </w:r>
      <w:r w:rsidR="00914514">
        <w:rPr>
          <w:color w:val="auto"/>
        </w:rPr>
        <w:t>umanitarian partners to deliver</w:t>
      </w:r>
      <w:r>
        <w:rPr>
          <w:color w:val="auto"/>
        </w:rPr>
        <w:t xml:space="preserve"> education in emergency settings, including to displaced populations.</w:t>
      </w:r>
      <w:r w:rsidR="000E7EA6" w:rsidRPr="00A254CB">
        <w:rPr>
          <w:color w:val="auto"/>
        </w:rPr>
        <w:t xml:space="preserve"> </w:t>
      </w:r>
      <w:r w:rsidR="000E7EA6" w:rsidRPr="00237668">
        <w:rPr>
          <w:color w:val="auto"/>
        </w:rPr>
        <w:t xml:space="preserve">Through </w:t>
      </w:r>
      <w:r w:rsidR="000E7EA6">
        <w:rPr>
          <w:color w:val="auto"/>
        </w:rPr>
        <w:t>agreements with</w:t>
      </w:r>
      <w:r w:rsidR="000E7EA6" w:rsidRPr="00237668">
        <w:rPr>
          <w:color w:val="auto"/>
        </w:rPr>
        <w:t xml:space="preserve"> Save the Children, Australia supported education </w:t>
      </w:r>
      <w:r w:rsidR="000E7EA6" w:rsidRPr="00756019">
        <w:rPr>
          <w:color w:val="auto"/>
        </w:rPr>
        <w:t>improvement</w:t>
      </w:r>
      <w:r w:rsidR="000E7EA6" w:rsidRPr="00237668">
        <w:rPr>
          <w:color w:val="auto"/>
        </w:rPr>
        <w:t xml:space="preserve"> on both the eastern and western sides of Myanmar. On the </w:t>
      </w:r>
      <w:r w:rsidR="00301DE0">
        <w:rPr>
          <w:color w:val="auto"/>
        </w:rPr>
        <w:t xml:space="preserve">Myanmar-Thailand </w:t>
      </w:r>
      <w:r w:rsidR="000E7EA6" w:rsidRPr="00237668">
        <w:rPr>
          <w:color w:val="auto"/>
        </w:rPr>
        <w:t xml:space="preserve">border, our funding provided education support to 18,997 children and </w:t>
      </w:r>
      <w:r w:rsidR="00C110E6">
        <w:rPr>
          <w:color w:val="auto"/>
        </w:rPr>
        <w:t xml:space="preserve">trained </w:t>
      </w:r>
      <w:r w:rsidR="000E7EA6" w:rsidRPr="00237668">
        <w:rPr>
          <w:color w:val="auto"/>
        </w:rPr>
        <w:t>over 700 teachers</w:t>
      </w:r>
      <w:r w:rsidR="000E7EA6" w:rsidRPr="00A254CB">
        <w:rPr>
          <w:color w:val="auto"/>
        </w:rPr>
        <w:t>.</w:t>
      </w:r>
      <w:r w:rsidR="000E7EA6" w:rsidRPr="00237668">
        <w:rPr>
          <w:color w:val="auto"/>
        </w:rPr>
        <w:t xml:space="preserve"> In IDP camps in Rakhine, we supported </w:t>
      </w:r>
      <w:r w:rsidR="000E7EA6" w:rsidRPr="00A254CB">
        <w:rPr>
          <w:color w:val="auto"/>
        </w:rPr>
        <w:t>3</w:t>
      </w:r>
      <w:r w:rsidR="00C110E6">
        <w:rPr>
          <w:color w:val="auto"/>
        </w:rPr>
        <w:t>,</w:t>
      </w:r>
      <w:r w:rsidR="000E7EA6" w:rsidRPr="00A254CB">
        <w:rPr>
          <w:color w:val="auto"/>
        </w:rPr>
        <w:t>757</w:t>
      </w:r>
      <w:r w:rsidR="000E7EA6" w:rsidRPr="00237668">
        <w:rPr>
          <w:color w:val="auto"/>
        </w:rPr>
        <w:t xml:space="preserve"> students to enrol in 21 camp</w:t>
      </w:r>
      <w:r w:rsidR="00CF51E5">
        <w:rPr>
          <w:color w:val="auto"/>
        </w:rPr>
        <w:t>-</w:t>
      </w:r>
      <w:r w:rsidR="000E7EA6" w:rsidRPr="00237668">
        <w:rPr>
          <w:color w:val="auto"/>
        </w:rPr>
        <w:t>ba</w:t>
      </w:r>
      <w:r w:rsidR="000E7EA6" w:rsidRPr="00756019">
        <w:rPr>
          <w:color w:val="auto"/>
        </w:rPr>
        <w:t>sed Temporary Learning Centres</w:t>
      </w:r>
      <w:r w:rsidR="000E7EA6" w:rsidRPr="00237668">
        <w:rPr>
          <w:color w:val="auto"/>
        </w:rPr>
        <w:t xml:space="preserve">. </w:t>
      </w:r>
    </w:p>
    <w:p w14:paraId="4447C658" w14:textId="3D05187D" w:rsidR="0026790B" w:rsidRDefault="000C620F" w:rsidP="005374DB">
      <w:pPr>
        <w:spacing w:after="120"/>
        <w:rPr>
          <w:color w:val="auto"/>
        </w:rPr>
      </w:pPr>
      <w:r>
        <w:rPr>
          <w:color w:val="auto"/>
        </w:rPr>
        <w:t xml:space="preserve">As a whole, </w:t>
      </w:r>
      <w:r w:rsidR="005551C7">
        <w:rPr>
          <w:color w:val="auto"/>
        </w:rPr>
        <w:t>Australia’s</w:t>
      </w:r>
      <w:r w:rsidR="005374DB" w:rsidRPr="005374DB">
        <w:rPr>
          <w:color w:val="auto"/>
        </w:rPr>
        <w:t xml:space="preserve"> education portfolio </w:t>
      </w:r>
      <w:r w:rsidR="005551C7">
        <w:rPr>
          <w:color w:val="auto"/>
        </w:rPr>
        <w:t xml:space="preserve">in Myanmar offers </w:t>
      </w:r>
      <w:r w:rsidR="005374DB" w:rsidRPr="005374DB">
        <w:rPr>
          <w:color w:val="auto"/>
        </w:rPr>
        <w:t>practical example</w:t>
      </w:r>
      <w:r w:rsidR="009F3DB6">
        <w:rPr>
          <w:color w:val="auto"/>
        </w:rPr>
        <w:t>s of</w:t>
      </w:r>
      <w:r w:rsidR="005374DB" w:rsidRPr="005374DB">
        <w:rPr>
          <w:color w:val="auto"/>
        </w:rPr>
        <w:t xml:space="preserve"> </w:t>
      </w:r>
      <w:r>
        <w:rPr>
          <w:color w:val="auto"/>
        </w:rPr>
        <w:t>the importance of</w:t>
      </w:r>
      <w:r w:rsidR="005374DB" w:rsidRPr="005374DB">
        <w:rPr>
          <w:color w:val="auto"/>
        </w:rPr>
        <w:t xml:space="preserve"> </w:t>
      </w:r>
      <w:r>
        <w:rPr>
          <w:color w:val="auto"/>
        </w:rPr>
        <w:t>aligning and</w:t>
      </w:r>
      <w:r w:rsidR="001725C3">
        <w:rPr>
          <w:color w:val="auto"/>
        </w:rPr>
        <w:t>,</w:t>
      </w:r>
      <w:r>
        <w:rPr>
          <w:color w:val="auto"/>
        </w:rPr>
        <w:t xml:space="preserve"> where possible</w:t>
      </w:r>
      <w:r w:rsidR="001725C3">
        <w:rPr>
          <w:color w:val="auto"/>
        </w:rPr>
        <w:t>,</w:t>
      </w:r>
      <w:r>
        <w:rPr>
          <w:color w:val="auto"/>
        </w:rPr>
        <w:t xml:space="preserve"> </w:t>
      </w:r>
      <w:r w:rsidR="005374DB" w:rsidRPr="005374DB">
        <w:rPr>
          <w:color w:val="auto"/>
        </w:rPr>
        <w:t>integrating humanitari</w:t>
      </w:r>
      <w:r w:rsidR="005551C7">
        <w:rPr>
          <w:color w:val="auto"/>
        </w:rPr>
        <w:t>an and development assistance</w:t>
      </w:r>
      <w:r>
        <w:rPr>
          <w:color w:val="auto"/>
        </w:rPr>
        <w:t xml:space="preserve">. The protracted nature of crises in Myanmar demands this approach to ensure that our investment addresses urgent humanitarian </w:t>
      </w:r>
      <w:r>
        <w:rPr>
          <w:color w:val="auto"/>
        </w:rPr>
        <w:lastRenderedPageBreak/>
        <w:t xml:space="preserve">need, as well as responds to chronic underdevelopment and the limited capacity within education systems to deliver quality education. </w:t>
      </w:r>
      <w:r w:rsidR="00521C66" w:rsidRPr="001D6FD4">
        <w:rPr>
          <w:color w:val="auto"/>
        </w:rPr>
        <w:t xml:space="preserve">Our advocacy and funding has contributed to the Myanmar Education Ministry’s increased </w:t>
      </w:r>
      <w:r w:rsidR="001D6FD4" w:rsidRPr="001D6FD4">
        <w:rPr>
          <w:color w:val="auto"/>
        </w:rPr>
        <w:t>provision of services in camps (volunteer teacher payments, textbook distribution, student stipends)</w:t>
      </w:r>
      <w:r w:rsidR="00521C66" w:rsidRPr="001D6FD4">
        <w:rPr>
          <w:color w:val="auto"/>
        </w:rPr>
        <w:t>.</w:t>
      </w:r>
      <w:r w:rsidR="00521C66">
        <w:rPr>
          <w:rFonts w:ascii="Calibri" w:hAnsi="Calibri" w:cs="Calibri"/>
          <w:color w:val="auto"/>
          <w:lang w:val="en-AU"/>
        </w:rPr>
        <w:t xml:space="preserve">  </w:t>
      </w:r>
    </w:p>
    <w:p w14:paraId="7A8CD040" w14:textId="12A448DE" w:rsidR="002738C4" w:rsidRDefault="00A51F8B" w:rsidP="00F55ED5">
      <w:pPr>
        <w:spacing w:after="120"/>
        <w:rPr>
          <w:color w:val="auto"/>
        </w:rPr>
      </w:pPr>
      <w:r>
        <w:rPr>
          <w:color w:val="auto"/>
        </w:rPr>
        <w:t>Complementing o</w:t>
      </w:r>
      <w:r w:rsidR="001725C3">
        <w:rPr>
          <w:color w:val="auto"/>
        </w:rPr>
        <w:t xml:space="preserve">ur investments in </w:t>
      </w:r>
      <w:r w:rsidR="00E946BC">
        <w:rPr>
          <w:color w:val="auto"/>
        </w:rPr>
        <w:t xml:space="preserve">basic </w:t>
      </w:r>
      <w:r w:rsidR="001725C3">
        <w:rPr>
          <w:color w:val="auto"/>
        </w:rPr>
        <w:t xml:space="preserve">education are </w:t>
      </w:r>
      <w:r>
        <w:rPr>
          <w:color w:val="auto"/>
        </w:rPr>
        <w:t xml:space="preserve">the </w:t>
      </w:r>
      <w:r w:rsidR="001725C3">
        <w:rPr>
          <w:color w:val="auto"/>
        </w:rPr>
        <w:t>highly regarded Australia Award Scholarships.</w:t>
      </w:r>
      <w:r w:rsidR="000E7EA6">
        <w:rPr>
          <w:color w:val="auto"/>
        </w:rPr>
        <w:t xml:space="preserve"> </w:t>
      </w:r>
      <w:r w:rsidR="001725C3" w:rsidRPr="001725C3">
        <w:rPr>
          <w:color w:val="auto"/>
        </w:rPr>
        <w:t>Myanmar’s reform</w:t>
      </w:r>
      <w:r w:rsidR="000E7EA6">
        <w:rPr>
          <w:color w:val="auto"/>
        </w:rPr>
        <w:t>s</w:t>
      </w:r>
      <w:r w:rsidR="001725C3" w:rsidRPr="001725C3">
        <w:rPr>
          <w:color w:val="auto"/>
        </w:rPr>
        <w:t xml:space="preserve"> need well-educated leaders, officials, entrepreneurs and civil society members.</w:t>
      </w:r>
      <w:r w:rsidR="006F4763">
        <w:rPr>
          <w:color w:val="auto"/>
        </w:rPr>
        <w:t xml:space="preserve"> </w:t>
      </w:r>
      <w:r w:rsidR="001725C3" w:rsidRPr="001725C3">
        <w:rPr>
          <w:color w:val="auto"/>
        </w:rPr>
        <w:t xml:space="preserve">The Australia Awards build on this long history of enabling individuals to access high quality </w:t>
      </w:r>
      <w:r w:rsidR="0071481E">
        <w:rPr>
          <w:color w:val="auto"/>
        </w:rPr>
        <w:t xml:space="preserve">tertiary </w:t>
      </w:r>
      <w:r w:rsidR="001725C3" w:rsidRPr="001725C3">
        <w:rPr>
          <w:color w:val="auto"/>
        </w:rPr>
        <w:t xml:space="preserve">education opportunities. </w:t>
      </w:r>
      <w:r w:rsidR="006660E6" w:rsidRPr="006660E6">
        <w:rPr>
          <w:color w:val="auto"/>
        </w:rPr>
        <w:t>In 2018, Australia awarded 51 scholarships to Myanmar students (48 per cent women), with a further 40 awarded in the 2019 intake (65 per cent women). The selection process prioritised inclusion and made adjustments to ensure access for people with disabilities and lower English language capability. Australia Awards continued to help strengthen the Myanmar Government’s capacity; awarding approximately 50 per cent of scholarships to Government officials in 2018-19.</w:t>
      </w:r>
      <w:r w:rsidR="00BB260A">
        <w:rPr>
          <w:color w:val="auto"/>
        </w:rPr>
        <w:t xml:space="preserve"> </w:t>
      </w:r>
    </w:p>
    <w:p w14:paraId="071E1D44" w14:textId="65059894" w:rsidR="00F55ED5" w:rsidRDefault="00BB260A" w:rsidP="00F55ED5">
      <w:pPr>
        <w:spacing w:after="120"/>
        <w:rPr>
          <w:color w:val="auto"/>
        </w:rPr>
      </w:pPr>
      <w:r>
        <w:rPr>
          <w:color w:val="auto"/>
        </w:rPr>
        <w:t xml:space="preserve">Australia Awards </w:t>
      </w:r>
      <w:r w:rsidR="00C110E6">
        <w:rPr>
          <w:color w:val="auto"/>
        </w:rPr>
        <w:t>scholars are building a strong</w:t>
      </w:r>
      <w:r>
        <w:rPr>
          <w:color w:val="auto"/>
        </w:rPr>
        <w:t xml:space="preserve"> cohort of alumni in Myanmar, </w:t>
      </w:r>
      <w:r w:rsidR="00446F48">
        <w:rPr>
          <w:color w:val="auto"/>
        </w:rPr>
        <w:t xml:space="preserve">with two semi-autonomous groups established in Yangon and a chapter in Nay Pyi Taw. </w:t>
      </w:r>
      <w:r w:rsidR="00C110E6">
        <w:rPr>
          <w:color w:val="auto"/>
        </w:rPr>
        <w:t>A</w:t>
      </w:r>
      <w:r w:rsidR="00446F48">
        <w:rPr>
          <w:color w:val="auto"/>
        </w:rPr>
        <w:t xml:space="preserve">lumni are proactive </w:t>
      </w:r>
      <w:r w:rsidR="002738C4">
        <w:rPr>
          <w:color w:val="auto"/>
        </w:rPr>
        <w:t xml:space="preserve">and regularly </w:t>
      </w:r>
      <w:r w:rsidR="00446F48">
        <w:rPr>
          <w:color w:val="auto"/>
        </w:rPr>
        <w:t xml:space="preserve">run events </w:t>
      </w:r>
      <w:r w:rsidR="002738C4">
        <w:rPr>
          <w:color w:val="auto"/>
        </w:rPr>
        <w:t>in their local communities</w:t>
      </w:r>
      <w:r w:rsidR="00C110E6">
        <w:rPr>
          <w:color w:val="auto"/>
        </w:rPr>
        <w:t xml:space="preserve"> and are importan</w:t>
      </w:r>
      <w:r w:rsidR="008C0AE2">
        <w:rPr>
          <w:color w:val="auto"/>
        </w:rPr>
        <w:t>t representatives for Australia</w:t>
      </w:r>
      <w:r w:rsidR="00C110E6">
        <w:rPr>
          <w:color w:val="auto"/>
        </w:rPr>
        <w:t xml:space="preserve"> to the Myanmar community</w:t>
      </w:r>
      <w:r w:rsidR="00446F48">
        <w:rPr>
          <w:color w:val="auto"/>
        </w:rPr>
        <w:t xml:space="preserve">. Alumni returning to their workplaces </w:t>
      </w:r>
      <w:r w:rsidR="002738C4">
        <w:rPr>
          <w:color w:val="auto"/>
        </w:rPr>
        <w:t xml:space="preserve">after completion of their studies </w:t>
      </w:r>
      <w:r w:rsidR="00C110E6">
        <w:rPr>
          <w:color w:val="auto"/>
        </w:rPr>
        <w:t xml:space="preserve">are </w:t>
      </w:r>
      <w:r w:rsidR="00446F48">
        <w:rPr>
          <w:color w:val="auto"/>
        </w:rPr>
        <w:t xml:space="preserve">contributing substantially to </w:t>
      </w:r>
      <w:r w:rsidR="00C110E6">
        <w:rPr>
          <w:color w:val="auto"/>
        </w:rPr>
        <w:t>government</w:t>
      </w:r>
      <w:r w:rsidR="00446F48">
        <w:rPr>
          <w:color w:val="auto"/>
        </w:rPr>
        <w:t xml:space="preserve"> reforms; for example, one alumnus is </w:t>
      </w:r>
      <w:r w:rsidR="002738C4">
        <w:rPr>
          <w:color w:val="auto"/>
        </w:rPr>
        <w:t>now working within the office of the Attorney General on</w:t>
      </w:r>
      <w:r w:rsidR="00446F48">
        <w:rPr>
          <w:color w:val="auto"/>
        </w:rPr>
        <w:t xml:space="preserve"> </w:t>
      </w:r>
      <w:r w:rsidR="002738C4">
        <w:rPr>
          <w:color w:val="auto"/>
        </w:rPr>
        <w:t>addressing</w:t>
      </w:r>
      <w:r w:rsidR="00446F48">
        <w:rPr>
          <w:color w:val="auto"/>
        </w:rPr>
        <w:t xml:space="preserve"> gender-specific barriers </w:t>
      </w:r>
      <w:r w:rsidR="002738C4">
        <w:rPr>
          <w:color w:val="auto"/>
        </w:rPr>
        <w:t>within the public service</w:t>
      </w:r>
      <w:r w:rsidR="008C0AE2">
        <w:rPr>
          <w:color w:val="auto"/>
        </w:rPr>
        <w:t>,</w:t>
      </w:r>
      <w:r w:rsidR="002738C4">
        <w:rPr>
          <w:color w:val="auto"/>
        </w:rPr>
        <w:t xml:space="preserve"> </w:t>
      </w:r>
      <w:r w:rsidR="00C110E6">
        <w:rPr>
          <w:color w:val="auto"/>
        </w:rPr>
        <w:t xml:space="preserve">while </w:t>
      </w:r>
      <w:r w:rsidR="00446F48">
        <w:rPr>
          <w:color w:val="auto"/>
        </w:rPr>
        <w:t xml:space="preserve">another </w:t>
      </w:r>
      <w:r w:rsidR="002738C4">
        <w:rPr>
          <w:color w:val="auto"/>
        </w:rPr>
        <w:t>alumnus</w:t>
      </w:r>
      <w:r w:rsidR="00446F48">
        <w:rPr>
          <w:color w:val="auto"/>
        </w:rPr>
        <w:t xml:space="preserve"> has joined the My-EQIP team </w:t>
      </w:r>
      <w:r w:rsidR="002738C4">
        <w:rPr>
          <w:color w:val="auto"/>
        </w:rPr>
        <w:t xml:space="preserve">to contribute </w:t>
      </w:r>
      <w:r w:rsidR="00C110E6">
        <w:rPr>
          <w:color w:val="auto"/>
        </w:rPr>
        <w:t>her</w:t>
      </w:r>
      <w:r w:rsidR="002738C4">
        <w:rPr>
          <w:color w:val="auto"/>
        </w:rPr>
        <w:t xml:space="preserve"> specialist skills to Myanmar’s</w:t>
      </w:r>
      <w:r w:rsidR="00446F48">
        <w:rPr>
          <w:color w:val="auto"/>
        </w:rPr>
        <w:t xml:space="preserve"> education reform.</w:t>
      </w:r>
    </w:p>
    <w:p w14:paraId="2955707A" w14:textId="004335D8" w:rsidR="0072170F" w:rsidRPr="00672E7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E74C93">
        <w:rPr>
          <w:rFonts w:asciiTheme="majorHAnsi" w:eastAsiaTheme="majorEastAsia" w:hAnsiTheme="majorHAnsi" w:cstheme="majorBidi"/>
          <w:caps/>
          <w:sz w:val="32"/>
          <w:szCs w:val="32"/>
        </w:rPr>
        <w:t xml:space="preserve">: </w:t>
      </w:r>
      <w:r w:rsidR="000509FD" w:rsidRPr="00672E77">
        <w:rPr>
          <w:rFonts w:asciiTheme="majorHAnsi" w:eastAsiaTheme="majorEastAsia" w:hAnsiTheme="majorHAnsi" w:cstheme="majorBidi"/>
          <w:caps/>
          <w:sz w:val="32"/>
          <w:szCs w:val="32"/>
        </w:rPr>
        <w:t>PROMOTING PEACE AND STABILITY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ve 2 Sustainable Development Goals"/>
        <w:tblDescription w:val="SDG 5&#10;SDG 10&#10;SDG 16"/>
      </w:tblPr>
      <w:tblGrid>
        <w:gridCol w:w="2016"/>
        <w:gridCol w:w="1904"/>
        <w:gridCol w:w="1906"/>
        <w:gridCol w:w="1906"/>
        <w:gridCol w:w="1906"/>
      </w:tblGrid>
      <w:tr w:rsidR="0072170F" w:rsidRPr="00695730" w14:paraId="265718B0" w14:textId="77777777" w:rsidTr="00D05246">
        <w:tc>
          <w:tcPr>
            <w:tcW w:w="2016" w:type="dxa"/>
          </w:tcPr>
          <w:p w14:paraId="4DC8C9B1" w14:textId="77777777"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FBFF8B5" wp14:editId="52B4F485">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2AEE6F2F" w14:textId="77777777" w:rsidR="0072170F" w:rsidRPr="00695730" w:rsidRDefault="000509FD"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3157813" wp14:editId="69AC17A3">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82C166C" w14:textId="77777777" w:rsidR="0072170F" w:rsidRPr="00695730" w:rsidRDefault="000509FD"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A13C4E7" wp14:editId="33757FA0">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E64F77C" w14:textId="77777777" w:rsidR="0072170F" w:rsidRPr="00695730" w:rsidRDefault="000509FD"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DADEF52" wp14:editId="54C30098">
                  <wp:extent cx="608400" cy="612000"/>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06" w:type="dxa"/>
          </w:tcPr>
          <w:p w14:paraId="3277507A" w14:textId="77777777"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r>
    </w:tbl>
    <w:p w14:paraId="765ACC89" w14:textId="1FFC34BF" w:rsidR="001F6B6B" w:rsidRDefault="00A6155B" w:rsidP="0048244D">
      <w:pPr>
        <w:pStyle w:val="ListBullet"/>
        <w:tabs>
          <w:tab w:val="clear" w:pos="284"/>
        </w:tabs>
        <w:spacing w:before="120" w:after="60" w:line="230" w:lineRule="atLeast"/>
        <w:rPr>
          <w:rFonts w:asciiTheme="minorHAnsi" w:eastAsiaTheme="minorHAnsi" w:hAnsiTheme="minorHAnsi" w:cstheme="minorBidi"/>
          <w:sz w:val="22"/>
          <w:szCs w:val="22"/>
          <w:lang w:val="en-GB" w:eastAsia="en-US"/>
        </w:rPr>
      </w:pPr>
      <w:r w:rsidRPr="00022EC4">
        <w:rPr>
          <w:rFonts w:asciiTheme="minorHAnsi" w:eastAsiaTheme="minorHAnsi" w:hAnsiTheme="minorHAnsi" w:cstheme="minorBidi"/>
          <w:sz w:val="22"/>
          <w:szCs w:val="22"/>
          <w:lang w:val="en-GB" w:eastAsia="en-US"/>
        </w:rPr>
        <w:t xml:space="preserve">Promoting peace and stability through </w:t>
      </w:r>
      <w:r w:rsidR="00022EC4">
        <w:rPr>
          <w:rFonts w:asciiTheme="minorHAnsi" w:eastAsiaTheme="minorHAnsi" w:hAnsiTheme="minorHAnsi" w:cstheme="minorBidi"/>
          <w:sz w:val="22"/>
          <w:szCs w:val="22"/>
          <w:lang w:val="en-GB" w:eastAsia="en-US"/>
        </w:rPr>
        <w:t xml:space="preserve">a strong portfolio of </w:t>
      </w:r>
      <w:r w:rsidRPr="00022EC4">
        <w:rPr>
          <w:rFonts w:asciiTheme="minorHAnsi" w:eastAsiaTheme="minorHAnsi" w:hAnsiTheme="minorHAnsi" w:cstheme="minorBidi"/>
          <w:sz w:val="22"/>
          <w:szCs w:val="22"/>
          <w:lang w:val="en-GB" w:eastAsia="en-US"/>
        </w:rPr>
        <w:t xml:space="preserve">humanitarian, peace building and democratic governance </w:t>
      </w:r>
      <w:r w:rsidR="0072567C">
        <w:rPr>
          <w:rFonts w:asciiTheme="minorHAnsi" w:eastAsiaTheme="minorHAnsi" w:hAnsiTheme="minorHAnsi" w:cstheme="minorBidi"/>
          <w:sz w:val="22"/>
          <w:szCs w:val="22"/>
          <w:lang w:val="en-GB" w:eastAsia="en-US"/>
        </w:rPr>
        <w:t xml:space="preserve">investment </w:t>
      </w:r>
      <w:r w:rsidRPr="00022EC4">
        <w:rPr>
          <w:rFonts w:asciiTheme="minorHAnsi" w:eastAsiaTheme="minorHAnsi" w:hAnsiTheme="minorHAnsi" w:cstheme="minorBidi"/>
          <w:sz w:val="22"/>
          <w:szCs w:val="22"/>
          <w:lang w:val="en-GB" w:eastAsia="en-US"/>
        </w:rPr>
        <w:t>was the largest component of Australia’s aid program in Myanmar in 2018-19, accounting for nearly 50 per cent of the bilateral spend</w:t>
      </w:r>
      <w:r w:rsidR="00C54C01">
        <w:rPr>
          <w:rFonts w:asciiTheme="minorHAnsi" w:eastAsiaTheme="minorHAnsi" w:hAnsiTheme="minorHAnsi" w:cstheme="minorBidi"/>
          <w:sz w:val="22"/>
          <w:szCs w:val="22"/>
          <w:lang w:val="en-GB" w:eastAsia="en-US"/>
        </w:rPr>
        <w:t>s</w:t>
      </w:r>
      <w:r w:rsidRPr="00022EC4">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00022EC4">
        <w:rPr>
          <w:rFonts w:asciiTheme="minorHAnsi" w:eastAsiaTheme="minorHAnsi" w:hAnsiTheme="minorHAnsi" w:cstheme="minorBidi"/>
          <w:sz w:val="22"/>
          <w:szCs w:val="22"/>
          <w:lang w:val="en-GB" w:eastAsia="en-US"/>
        </w:rPr>
        <w:t xml:space="preserve">The portfolio improved substantially across effectiveness and gender ratings. </w:t>
      </w:r>
      <w:r>
        <w:rPr>
          <w:rFonts w:asciiTheme="minorHAnsi" w:eastAsiaTheme="minorHAnsi" w:hAnsiTheme="minorHAnsi" w:cstheme="minorBidi"/>
          <w:sz w:val="22"/>
          <w:szCs w:val="22"/>
          <w:lang w:val="en-GB" w:eastAsia="en-US"/>
        </w:rPr>
        <w:t>However, t</w:t>
      </w:r>
      <w:r w:rsidR="00EE57CC">
        <w:rPr>
          <w:rFonts w:asciiTheme="minorHAnsi" w:eastAsiaTheme="minorHAnsi" w:hAnsiTheme="minorHAnsi" w:cstheme="minorBidi"/>
          <w:sz w:val="22"/>
          <w:szCs w:val="22"/>
          <w:lang w:val="en-GB" w:eastAsia="en-US"/>
        </w:rPr>
        <w:t xml:space="preserve">he challenging context for </w:t>
      </w:r>
      <w:r w:rsidR="008D139F">
        <w:rPr>
          <w:rFonts w:asciiTheme="minorHAnsi" w:eastAsiaTheme="minorHAnsi" w:hAnsiTheme="minorHAnsi" w:cstheme="minorBidi"/>
          <w:sz w:val="22"/>
          <w:szCs w:val="22"/>
          <w:lang w:val="en-GB" w:eastAsia="en-US"/>
        </w:rPr>
        <w:t xml:space="preserve">promoting </w:t>
      </w:r>
      <w:r w:rsidR="00EE57CC">
        <w:rPr>
          <w:rFonts w:asciiTheme="minorHAnsi" w:eastAsiaTheme="minorHAnsi" w:hAnsiTheme="minorHAnsi" w:cstheme="minorBidi"/>
          <w:sz w:val="22"/>
          <w:szCs w:val="22"/>
          <w:lang w:val="en-GB" w:eastAsia="en-US"/>
        </w:rPr>
        <w:t xml:space="preserve">peace in </w:t>
      </w:r>
      <w:r w:rsidR="00521438">
        <w:rPr>
          <w:rFonts w:asciiTheme="minorHAnsi" w:eastAsiaTheme="minorHAnsi" w:hAnsiTheme="minorHAnsi" w:cstheme="minorBidi"/>
          <w:sz w:val="22"/>
          <w:szCs w:val="22"/>
          <w:lang w:val="en-GB" w:eastAsia="en-US"/>
        </w:rPr>
        <w:t xml:space="preserve">Myanmar </w:t>
      </w:r>
      <w:r w:rsidR="00336690">
        <w:rPr>
          <w:rFonts w:asciiTheme="minorHAnsi" w:eastAsiaTheme="minorHAnsi" w:hAnsiTheme="minorHAnsi" w:cstheme="minorBidi"/>
          <w:sz w:val="22"/>
          <w:szCs w:val="22"/>
          <w:lang w:val="en-GB" w:eastAsia="en-US"/>
        </w:rPr>
        <w:t>mad</w:t>
      </w:r>
      <w:r w:rsidR="00CF51E5">
        <w:rPr>
          <w:rFonts w:asciiTheme="minorHAnsi" w:eastAsiaTheme="minorHAnsi" w:hAnsiTheme="minorHAnsi" w:cstheme="minorBidi"/>
          <w:sz w:val="22"/>
          <w:szCs w:val="22"/>
          <w:lang w:val="en-GB" w:eastAsia="en-US"/>
        </w:rPr>
        <w:t>e</w:t>
      </w:r>
      <w:r w:rsidR="00EE57CC">
        <w:rPr>
          <w:rFonts w:asciiTheme="minorHAnsi" w:eastAsiaTheme="minorHAnsi" w:hAnsiTheme="minorHAnsi" w:cstheme="minorBidi"/>
          <w:sz w:val="22"/>
          <w:szCs w:val="22"/>
          <w:lang w:val="en-GB" w:eastAsia="en-US"/>
        </w:rPr>
        <w:t xml:space="preserve"> progress </w:t>
      </w:r>
      <w:r w:rsidR="00327072">
        <w:rPr>
          <w:rFonts w:asciiTheme="minorHAnsi" w:eastAsiaTheme="minorHAnsi" w:hAnsiTheme="minorHAnsi" w:cstheme="minorBidi"/>
          <w:sz w:val="22"/>
          <w:szCs w:val="22"/>
          <w:lang w:val="en-GB" w:eastAsia="en-US"/>
        </w:rPr>
        <w:t xml:space="preserve">against </w:t>
      </w:r>
      <w:r w:rsidR="00EE57CC">
        <w:rPr>
          <w:rFonts w:asciiTheme="minorHAnsi" w:eastAsiaTheme="minorHAnsi" w:hAnsiTheme="minorHAnsi" w:cstheme="minorBidi"/>
          <w:sz w:val="22"/>
          <w:szCs w:val="22"/>
          <w:lang w:val="en-GB" w:eastAsia="en-US"/>
        </w:rPr>
        <w:t>this objective</w:t>
      </w:r>
      <w:r w:rsidR="00CF51E5">
        <w:rPr>
          <w:rFonts w:asciiTheme="minorHAnsi" w:eastAsiaTheme="minorHAnsi" w:hAnsiTheme="minorHAnsi" w:cstheme="minorBidi"/>
          <w:sz w:val="22"/>
          <w:szCs w:val="22"/>
          <w:lang w:val="en-GB" w:eastAsia="en-US"/>
        </w:rPr>
        <w:t xml:space="preserve"> </w:t>
      </w:r>
      <w:r w:rsidR="00E946BC">
        <w:rPr>
          <w:rFonts w:asciiTheme="minorHAnsi" w:eastAsiaTheme="minorHAnsi" w:hAnsiTheme="minorHAnsi" w:cstheme="minorBidi"/>
          <w:sz w:val="22"/>
          <w:szCs w:val="22"/>
          <w:lang w:val="en-GB" w:eastAsia="en-US"/>
        </w:rPr>
        <w:t>very</w:t>
      </w:r>
      <w:r w:rsidR="008D139F">
        <w:rPr>
          <w:rFonts w:asciiTheme="minorHAnsi" w:eastAsiaTheme="minorHAnsi" w:hAnsiTheme="minorHAnsi" w:cstheme="minorBidi"/>
          <w:sz w:val="22"/>
          <w:szCs w:val="22"/>
          <w:lang w:val="en-GB" w:eastAsia="en-US"/>
        </w:rPr>
        <w:t xml:space="preserve"> challenging</w:t>
      </w:r>
      <w:r w:rsidR="00EE57CC">
        <w:rPr>
          <w:rFonts w:asciiTheme="minorHAnsi" w:eastAsiaTheme="minorHAnsi" w:hAnsiTheme="minorHAnsi" w:cstheme="minorBidi"/>
          <w:sz w:val="22"/>
          <w:szCs w:val="22"/>
          <w:lang w:val="en-GB" w:eastAsia="en-US"/>
        </w:rPr>
        <w:t>.  The amber rating rema</w:t>
      </w:r>
      <w:r w:rsidR="00022EC4">
        <w:rPr>
          <w:rFonts w:asciiTheme="minorHAnsi" w:eastAsiaTheme="minorHAnsi" w:hAnsiTheme="minorHAnsi" w:cstheme="minorBidi"/>
          <w:sz w:val="22"/>
          <w:szCs w:val="22"/>
          <w:lang w:val="en-GB" w:eastAsia="en-US"/>
        </w:rPr>
        <w:t>ins the same as last year</w:t>
      </w:r>
      <w:r w:rsidR="00EE57CC">
        <w:rPr>
          <w:rFonts w:asciiTheme="minorHAnsi" w:eastAsiaTheme="minorHAnsi" w:hAnsiTheme="minorHAnsi" w:cstheme="minorBidi"/>
          <w:sz w:val="22"/>
          <w:szCs w:val="22"/>
          <w:lang w:val="en-GB" w:eastAsia="en-US"/>
        </w:rPr>
        <w:t xml:space="preserve">, despite </w:t>
      </w:r>
      <w:r w:rsidR="00022EC4">
        <w:rPr>
          <w:rFonts w:asciiTheme="minorHAnsi" w:eastAsiaTheme="minorHAnsi" w:hAnsiTheme="minorHAnsi" w:cstheme="minorBidi"/>
          <w:sz w:val="22"/>
          <w:szCs w:val="22"/>
          <w:lang w:val="en-GB" w:eastAsia="en-US"/>
        </w:rPr>
        <w:t xml:space="preserve">the portfolio </w:t>
      </w:r>
      <w:r w:rsidR="00EE57CC">
        <w:rPr>
          <w:rFonts w:asciiTheme="minorHAnsi" w:eastAsiaTheme="minorHAnsi" w:hAnsiTheme="minorHAnsi" w:cstheme="minorBidi"/>
          <w:sz w:val="22"/>
          <w:szCs w:val="22"/>
          <w:lang w:val="en-GB" w:eastAsia="en-US"/>
        </w:rPr>
        <w:t>improvements</w:t>
      </w:r>
      <w:r w:rsidR="00022EC4">
        <w:rPr>
          <w:rFonts w:asciiTheme="minorHAnsi" w:eastAsiaTheme="minorHAnsi" w:hAnsiTheme="minorHAnsi" w:cstheme="minorBidi"/>
          <w:sz w:val="22"/>
          <w:szCs w:val="22"/>
          <w:lang w:val="en-GB" w:eastAsia="en-US"/>
        </w:rPr>
        <w:t xml:space="preserve">. </w:t>
      </w:r>
    </w:p>
    <w:p w14:paraId="66B79795" w14:textId="1FBF5092" w:rsidR="00D63E3A" w:rsidRPr="002D0737" w:rsidRDefault="00626AEF" w:rsidP="00D63E3A">
      <w:pPr>
        <w:pStyle w:val="ListBullet"/>
        <w:tabs>
          <w:tab w:val="clear" w:pos="284"/>
        </w:tabs>
        <w:spacing w:before="120" w:after="60" w:line="230" w:lineRule="atLeast"/>
        <w:rPr>
          <w:rFonts w:asciiTheme="minorHAnsi" w:eastAsiaTheme="minorHAnsi" w:hAnsiTheme="minorHAnsi" w:cstheme="minorBidi"/>
          <w:sz w:val="22"/>
          <w:szCs w:val="22"/>
          <w:lang w:val="en-GB" w:eastAsia="en-US"/>
        </w:rPr>
      </w:pPr>
      <w:r w:rsidRPr="00F630CF" w:rsidDel="00FB7187">
        <w:rPr>
          <w:rFonts w:asciiTheme="minorHAnsi" w:eastAsiaTheme="minorHAnsi" w:hAnsiTheme="minorHAnsi" w:cstheme="minorBidi"/>
          <w:sz w:val="22"/>
          <w:szCs w:val="22"/>
          <w:lang w:val="en-GB" w:eastAsia="en-US"/>
        </w:rPr>
        <w:t xml:space="preserve">The ongoing </w:t>
      </w:r>
      <w:r w:rsidRPr="00F630CF" w:rsidDel="00FB7187">
        <w:rPr>
          <w:rFonts w:asciiTheme="minorHAnsi" w:eastAsiaTheme="minorHAnsi" w:hAnsiTheme="minorHAnsi"/>
          <w:sz w:val="22"/>
          <w:lang w:val="en-GB"/>
        </w:rPr>
        <w:t xml:space="preserve">crisis in Rakhine </w:t>
      </w:r>
      <w:r w:rsidRPr="00F630CF" w:rsidDel="00FB7187">
        <w:rPr>
          <w:rFonts w:asciiTheme="minorHAnsi" w:eastAsiaTheme="minorHAnsi" w:hAnsiTheme="minorHAnsi" w:cstheme="minorBidi"/>
          <w:sz w:val="22"/>
          <w:szCs w:val="22"/>
          <w:lang w:val="en-GB" w:eastAsia="en-US"/>
        </w:rPr>
        <w:t>made achieving the objectives of</w:t>
      </w:r>
      <w:r w:rsidRPr="00F630CF" w:rsidDel="00FB7187">
        <w:rPr>
          <w:rFonts w:asciiTheme="minorHAnsi" w:eastAsiaTheme="minorHAnsi" w:hAnsiTheme="minorHAnsi"/>
          <w:sz w:val="22"/>
          <w:lang w:val="en-GB"/>
        </w:rPr>
        <w:t xml:space="preserve"> </w:t>
      </w:r>
      <w:r w:rsidR="00E04E01" w:rsidRPr="00F630CF" w:rsidDel="00FB7187">
        <w:rPr>
          <w:rFonts w:asciiTheme="minorHAnsi" w:eastAsiaTheme="minorHAnsi" w:hAnsiTheme="minorHAnsi"/>
          <w:sz w:val="22"/>
          <w:lang w:val="en-GB"/>
        </w:rPr>
        <w:t xml:space="preserve">the </w:t>
      </w:r>
      <w:r w:rsidR="008F6B91" w:rsidRPr="00F630CF" w:rsidDel="00FB7187">
        <w:rPr>
          <w:rFonts w:asciiTheme="minorHAnsi" w:eastAsiaTheme="minorHAnsi" w:hAnsiTheme="minorHAnsi"/>
          <w:sz w:val="22"/>
          <w:lang w:val="en-GB"/>
        </w:rPr>
        <w:t xml:space="preserve">Supporting Partnerships and </w:t>
      </w:r>
      <w:r w:rsidR="001F6B6B" w:rsidRPr="00F630CF" w:rsidDel="00FB7187">
        <w:rPr>
          <w:rFonts w:asciiTheme="minorHAnsi" w:eastAsiaTheme="minorHAnsi" w:hAnsiTheme="minorHAnsi"/>
          <w:sz w:val="22"/>
          <w:lang w:val="en-GB"/>
        </w:rPr>
        <w:t>Resilience</w:t>
      </w:r>
      <w:r w:rsidR="008F6B91" w:rsidRPr="00F630CF" w:rsidDel="00FB7187">
        <w:rPr>
          <w:rFonts w:asciiTheme="minorHAnsi" w:eastAsiaTheme="minorHAnsi" w:hAnsiTheme="minorHAnsi"/>
          <w:sz w:val="22"/>
          <w:lang w:val="en-GB"/>
        </w:rPr>
        <w:t xml:space="preserve"> of Communities (SPARC)</w:t>
      </w:r>
      <w:r w:rsidRPr="00F630CF" w:rsidDel="00FB7187">
        <w:rPr>
          <w:rFonts w:asciiTheme="minorHAnsi" w:eastAsiaTheme="minorHAnsi" w:hAnsiTheme="minorHAnsi" w:cstheme="minorBidi"/>
          <w:sz w:val="22"/>
          <w:szCs w:val="22"/>
          <w:lang w:val="en-GB" w:eastAsia="en-US"/>
        </w:rPr>
        <w:t xml:space="preserve"> </w:t>
      </w:r>
      <w:r w:rsidR="00EB16C8" w:rsidRPr="00F630CF" w:rsidDel="00FB7187">
        <w:rPr>
          <w:rFonts w:asciiTheme="minorHAnsi" w:eastAsiaTheme="minorHAnsi" w:hAnsiTheme="minorHAnsi"/>
          <w:sz w:val="22"/>
          <w:lang w:val="en-GB"/>
        </w:rPr>
        <w:t>program</w:t>
      </w:r>
      <w:r w:rsidR="008919B9" w:rsidRPr="00F630CF" w:rsidDel="00FB7187">
        <w:rPr>
          <w:rFonts w:asciiTheme="minorHAnsi" w:eastAsiaTheme="minorHAnsi" w:hAnsiTheme="minorHAnsi"/>
          <w:sz w:val="22"/>
          <w:lang w:val="en-GB"/>
        </w:rPr>
        <w:t>,</w:t>
      </w:r>
      <w:r w:rsidR="00EB16C8" w:rsidRPr="00F630CF" w:rsidDel="00FB7187">
        <w:rPr>
          <w:rFonts w:asciiTheme="minorHAnsi" w:eastAsiaTheme="minorHAnsi" w:hAnsiTheme="minorHAnsi"/>
          <w:sz w:val="22"/>
          <w:lang w:val="en-GB"/>
        </w:rPr>
        <w:t xml:space="preserve"> </w:t>
      </w:r>
      <w:r w:rsidR="00E04E01" w:rsidRPr="00F630CF" w:rsidDel="00FB7187">
        <w:rPr>
          <w:rFonts w:asciiTheme="minorHAnsi" w:eastAsiaTheme="minorHAnsi" w:hAnsiTheme="minorHAnsi"/>
          <w:sz w:val="22"/>
          <w:lang w:val="en-GB"/>
        </w:rPr>
        <w:t xml:space="preserve">operated by </w:t>
      </w:r>
      <w:r w:rsidR="008919B9" w:rsidRPr="00F630CF" w:rsidDel="00FB7187">
        <w:rPr>
          <w:rFonts w:asciiTheme="minorHAnsi" w:eastAsiaTheme="minorHAnsi" w:hAnsiTheme="minorHAnsi"/>
          <w:sz w:val="22"/>
          <w:lang w:val="en-GB"/>
        </w:rPr>
        <w:t xml:space="preserve">CARE </w:t>
      </w:r>
      <w:r w:rsidR="00E04E01" w:rsidRPr="00F630CF" w:rsidDel="00FB7187">
        <w:rPr>
          <w:rFonts w:asciiTheme="minorHAnsi" w:eastAsiaTheme="minorHAnsi" w:hAnsiTheme="minorHAnsi"/>
          <w:sz w:val="22"/>
          <w:lang w:val="en-GB"/>
        </w:rPr>
        <w:t>Australia</w:t>
      </w:r>
      <w:r w:rsidRPr="00F630CF" w:rsidDel="00FB7187">
        <w:rPr>
          <w:rFonts w:asciiTheme="minorHAnsi" w:eastAsiaTheme="minorHAnsi" w:hAnsiTheme="minorHAnsi" w:cstheme="minorBidi"/>
          <w:sz w:val="22"/>
          <w:szCs w:val="22"/>
          <w:lang w:val="en-GB" w:eastAsia="en-US"/>
        </w:rPr>
        <w:t>, next to impossible</w:t>
      </w:r>
      <w:r w:rsidR="008919B9" w:rsidRPr="00F630CF" w:rsidDel="00FB7187">
        <w:rPr>
          <w:rFonts w:asciiTheme="minorHAnsi" w:eastAsiaTheme="minorHAnsi" w:hAnsiTheme="minorHAnsi" w:cstheme="minorBidi"/>
          <w:sz w:val="22"/>
          <w:szCs w:val="22"/>
          <w:lang w:val="en-GB" w:eastAsia="en-US"/>
        </w:rPr>
        <w:t>.</w:t>
      </w:r>
      <w:r w:rsidR="00022EC4" w:rsidDel="00FB7187">
        <w:rPr>
          <w:rFonts w:asciiTheme="minorHAnsi" w:eastAsiaTheme="minorHAnsi" w:hAnsiTheme="minorHAnsi" w:cstheme="minorBidi"/>
          <w:sz w:val="22"/>
          <w:szCs w:val="22"/>
          <w:lang w:val="en-GB" w:eastAsia="en-US"/>
        </w:rPr>
        <w:t xml:space="preserve"> </w:t>
      </w:r>
      <w:r w:rsidR="00D963D4" w:rsidRPr="00F630CF" w:rsidDel="00FB7187">
        <w:rPr>
          <w:rFonts w:asciiTheme="minorHAnsi" w:eastAsiaTheme="minorHAnsi" w:hAnsiTheme="minorHAnsi" w:cstheme="minorBidi"/>
          <w:sz w:val="22"/>
          <w:szCs w:val="22"/>
          <w:lang w:val="en-GB" w:eastAsia="en-US"/>
        </w:rPr>
        <w:t>Designed to support</w:t>
      </w:r>
      <w:r w:rsidR="001F6B6B" w:rsidRPr="00F630CF" w:rsidDel="00FB7187">
        <w:rPr>
          <w:rFonts w:asciiTheme="minorHAnsi" w:eastAsiaTheme="minorHAnsi" w:hAnsiTheme="minorHAnsi"/>
          <w:sz w:val="22"/>
          <w:lang w:val="en-GB"/>
        </w:rPr>
        <w:t xml:space="preserve"> communities in northern Rakhine State</w:t>
      </w:r>
      <w:r w:rsidR="008919B9" w:rsidRPr="00F630CF" w:rsidDel="00FB7187">
        <w:rPr>
          <w:rFonts w:asciiTheme="minorHAnsi" w:eastAsiaTheme="minorHAnsi" w:hAnsiTheme="minorHAnsi"/>
          <w:sz w:val="22"/>
          <w:lang w:val="en-GB"/>
        </w:rPr>
        <w:t xml:space="preserve"> </w:t>
      </w:r>
      <w:r w:rsidR="00D963D4" w:rsidRPr="00F630CF" w:rsidDel="00FB7187">
        <w:rPr>
          <w:rFonts w:asciiTheme="minorHAnsi" w:eastAsiaTheme="minorHAnsi" w:hAnsiTheme="minorHAnsi" w:cstheme="minorBidi"/>
          <w:sz w:val="22"/>
          <w:szCs w:val="22"/>
          <w:lang w:val="en-GB" w:eastAsia="en-US"/>
        </w:rPr>
        <w:t>with</w:t>
      </w:r>
      <w:r w:rsidR="00D963D4" w:rsidRPr="00F630CF" w:rsidDel="00FB7187">
        <w:rPr>
          <w:rFonts w:asciiTheme="minorHAnsi" w:eastAsiaTheme="minorHAnsi" w:hAnsiTheme="minorHAnsi"/>
          <w:sz w:val="22"/>
          <w:lang w:val="en-GB"/>
        </w:rPr>
        <w:t xml:space="preserve"> </w:t>
      </w:r>
      <w:r w:rsidR="001F6B6B" w:rsidRPr="00F630CF" w:rsidDel="00FB7187">
        <w:rPr>
          <w:rFonts w:asciiTheme="minorHAnsi" w:eastAsiaTheme="minorHAnsi" w:hAnsiTheme="minorHAnsi"/>
          <w:sz w:val="22"/>
          <w:lang w:val="en-GB"/>
        </w:rPr>
        <w:t>livelihood activities including forestry, agriculture, disaster risk reduction and access to finance</w:t>
      </w:r>
      <w:r w:rsidR="00D963D4" w:rsidRPr="00F630CF" w:rsidDel="00FB7187">
        <w:rPr>
          <w:rFonts w:asciiTheme="minorHAnsi" w:eastAsiaTheme="minorHAnsi" w:hAnsiTheme="minorHAnsi" w:cstheme="minorBidi"/>
          <w:sz w:val="22"/>
          <w:szCs w:val="22"/>
          <w:lang w:val="en-GB" w:eastAsia="en-US"/>
        </w:rPr>
        <w:t>, it</w:t>
      </w:r>
      <w:r w:rsidR="00D963D4" w:rsidRPr="00F630CF" w:rsidDel="00FB7187">
        <w:rPr>
          <w:rFonts w:asciiTheme="minorHAnsi" w:eastAsiaTheme="minorHAnsi" w:hAnsiTheme="minorHAnsi"/>
          <w:sz w:val="22"/>
          <w:lang w:val="en-GB"/>
        </w:rPr>
        <w:t xml:space="preserve"> was </w:t>
      </w:r>
      <w:r w:rsidR="001F6B6B" w:rsidRPr="00F630CF" w:rsidDel="00FB7187">
        <w:rPr>
          <w:rFonts w:asciiTheme="minorHAnsi" w:eastAsiaTheme="minorHAnsi" w:hAnsiTheme="minorHAnsi"/>
          <w:sz w:val="22"/>
          <w:lang w:val="en-GB"/>
        </w:rPr>
        <w:t xml:space="preserve">an effective and efficiently operated program until </w:t>
      </w:r>
      <w:r w:rsidR="0072567C" w:rsidRPr="0072567C">
        <w:rPr>
          <w:rFonts w:asciiTheme="minorHAnsi" w:eastAsiaTheme="minorHAnsi" w:hAnsiTheme="minorHAnsi"/>
          <w:sz w:val="22"/>
          <w:lang w:val="en-GB"/>
        </w:rPr>
        <w:t>access restrictions and security con</w:t>
      </w:r>
      <w:r w:rsidR="0072567C">
        <w:rPr>
          <w:rFonts w:asciiTheme="minorHAnsi" w:eastAsiaTheme="minorHAnsi" w:hAnsiTheme="minorHAnsi"/>
          <w:sz w:val="22"/>
          <w:lang w:val="en-GB"/>
        </w:rPr>
        <w:t>cerns made its activities in northern Rakhine State</w:t>
      </w:r>
      <w:r w:rsidR="0072567C" w:rsidRPr="0072567C">
        <w:rPr>
          <w:rFonts w:asciiTheme="minorHAnsi" w:eastAsiaTheme="minorHAnsi" w:hAnsiTheme="minorHAnsi"/>
          <w:sz w:val="22"/>
          <w:lang w:val="en-GB"/>
        </w:rPr>
        <w:t xml:space="preserve"> untenable</w:t>
      </w:r>
      <w:r w:rsidR="001F6B6B" w:rsidRPr="00F630CF" w:rsidDel="00FB7187">
        <w:rPr>
          <w:rFonts w:asciiTheme="minorHAnsi" w:eastAsiaTheme="minorHAnsi" w:hAnsiTheme="minorHAnsi"/>
          <w:sz w:val="22"/>
          <w:lang w:val="en-GB"/>
        </w:rPr>
        <w:t xml:space="preserve">. After </w:t>
      </w:r>
      <w:r w:rsidR="008919B9" w:rsidRPr="00F630CF" w:rsidDel="00FB7187">
        <w:rPr>
          <w:rFonts w:asciiTheme="minorHAnsi" w:eastAsiaTheme="minorHAnsi" w:hAnsiTheme="minorHAnsi"/>
          <w:sz w:val="22"/>
          <w:lang w:val="en-GB"/>
        </w:rPr>
        <w:t xml:space="preserve">several </w:t>
      </w:r>
      <w:r w:rsidR="001F6B6B" w:rsidRPr="00F630CF" w:rsidDel="00FB7187">
        <w:rPr>
          <w:rFonts w:asciiTheme="minorHAnsi" w:eastAsiaTheme="minorHAnsi" w:hAnsiTheme="minorHAnsi"/>
          <w:sz w:val="22"/>
          <w:lang w:val="en-GB"/>
        </w:rPr>
        <w:t>amendments to this investment</w:t>
      </w:r>
      <w:r w:rsidR="00435B77">
        <w:rPr>
          <w:rFonts w:asciiTheme="minorHAnsi" w:eastAsiaTheme="minorHAnsi" w:hAnsiTheme="minorHAnsi"/>
          <w:sz w:val="22"/>
          <w:lang w:val="en-GB"/>
        </w:rPr>
        <w:t xml:space="preserve">, </w:t>
      </w:r>
      <w:r w:rsidR="008919B9" w:rsidRPr="00F630CF" w:rsidDel="00FB7187">
        <w:rPr>
          <w:rFonts w:asciiTheme="minorHAnsi" w:eastAsiaTheme="minorHAnsi" w:hAnsiTheme="minorHAnsi"/>
          <w:sz w:val="22"/>
          <w:lang w:val="en-GB"/>
        </w:rPr>
        <w:t>CARE and DFAT</w:t>
      </w:r>
      <w:r w:rsidR="00EB16C8" w:rsidRPr="00F630CF" w:rsidDel="00FB7187">
        <w:rPr>
          <w:rFonts w:asciiTheme="minorHAnsi" w:eastAsiaTheme="minorHAnsi" w:hAnsiTheme="minorHAnsi"/>
          <w:sz w:val="22"/>
          <w:lang w:val="en-GB"/>
        </w:rPr>
        <w:t xml:space="preserve"> divert</w:t>
      </w:r>
      <w:r w:rsidR="008919B9" w:rsidRPr="00F630CF" w:rsidDel="00FB7187">
        <w:rPr>
          <w:rFonts w:asciiTheme="minorHAnsi" w:eastAsiaTheme="minorHAnsi" w:hAnsiTheme="minorHAnsi"/>
          <w:sz w:val="22"/>
          <w:lang w:val="en-GB"/>
        </w:rPr>
        <w:t xml:space="preserve">ed </w:t>
      </w:r>
      <w:r w:rsidR="00E04E01" w:rsidRPr="00F630CF" w:rsidDel="00FB7187">
        <w:rPr>
          <w:rFonts w:asciiTheme="minorHAnsi" w:eastAsiaTheme="minorHAnsi" w:hAnsiTheme="minorHAnsi"/>
          <w:sz w:val="22"/>
          <w:lang w:val="en-GB"/>
        </w:rPr>
        <w:t xml:space="preserve">remaining funds </w:t>
      </w:r>
      <w:r w:rsidR="001F6B6B" w:rsidRPr="00F630CF" w:rsidDel="00FB7187">
        <w:rPr>
          <w:rFonts w:asciiTheme="minorHAnsi" w:eastAsiaTheme="minorHAnsi" w:hAnsiTheme="minorHAnsi"/>
          <w:sz w:val="22"/>
          <w:lang w:val="en-GB"/>
        </w:rPr>
        <w:t xml:space="preserve">to similar programs </w:t>
      </w:r>
      <w:r w:rsidR="00B00F78" w:rsidRPr="00F630CF" w:rsidDel="00FB7187">
        <w:rPr>
          <w:rFonts w:asciiTheme="minorHAnsi" w:eastAsiaTheme="minorHAnsi" w:hAnsiTheme="minorHAnsi"/>
          <w:sz w:val="22"/>
          <w:lang w:val="en-GB"/>
        </w:rPr>
        <w:t>elsewhere in Myanmar</w:t>
      </w:r>
      <w:r w:rsidR="00E04E01" w:rsidRPr="00F630CF" w:rsidDel="00FB7187">
        <w:rPr>
          <w:rFonts w:asciiTheme="minorHAnsi" w:eastAsiaTheme="minorHAnsi" w:hAnsiTheme="minorHAnsi"/>
          <w:sz w:val="22"/>
          <w:lang w:val="en-GB"/>
        </w:rPr>
        <w:t xml:space="preserve">. </w:t>
      </w:r>
      <w:r w:rsidR="008919B9" w:rsidRPr="00F630CF" w:rsidDel="00FB7187">
        <w:rPr>
          <w:rFonts w:asciiTheme="minorHAnsi" w:eastAsiaTheme="minorHAnsi" w:hAnsiTheme="minorHAnsi"/>
          <w:sz w:val="22"/>
          <w:lang w:val="en-GB"/>
        </w:rPr>
        <w:t xml:space="preserve">SPARC will conclude </w:t>
      </w:r>
      <w:r w:rsidR="001F6B6B" w:rsidRPr="00F630CF" w:rsidDel="00FB7187">
        <w:rPr>
          <w:rFonts w:asciiTheme="minorHAnsi" w:eastAsiaTheme="minorHAnsi" w:hAnsiTheme="minorHAnsi"/>
          <w:sz w:val="22"/>
          <w:lang w:val="en-GB"/>
        </w:rPr>
        <w:t>in December 2019</w:t>
      </w:r>
      <w:r w:rsidR="001F6B6B" w:rsidRPr="00F630CF" w:rsidDel="00FB7187">
        <w:rPr>
          <w:rFonts w:asciiTheme="minorHAnsi" w:eastAsiaTheme="minorHAnsi" w:hAnsiTheme="minorHAnsi" w:cstheme="minorBidi"/>
          <w:sz w:val="22"/>
          <w:szCs w:val="22"/>
          <w:lang w:val="en-GB" w:eastAsia="en-US"/>
        </w:rPr>
        <w:t>.</w:t>
      </w:r>
    </w:p>
    <w:p w14:paraId="0A2259F1" w14:textId="77777777" w:rsidR="00E74C93" w:rsidRPr="00ED1EBE" w:rsidRDefault="000855B2" w:rsidP="00CF62AE">
      <w:pPr>
        <w:spacing w:after="120"/>
        <w:rPr>
          <w:b/>
          <w:color w:val="auto"/>
        </w:rPr>
      </w:pPr>
      <w:r w:rsidRPr="00ED1EBE">
        <w:rPr>
          <w:b/>
          <w:color w:val="auto"/>
        </w:rPr>
        <w:t>Humanitarian</w:t>
      </w:r>
    </w:p>
    <w:p w14:paraId="62E11F48" w14:textId="3014068E" w:rsidR="0060357A" w:rsidRDefault="00E946BC" w:rsidP="00CF62AE">
      <w:pPr>
        <w:spacing w:after="120"/>
        <w:rPr>
          <w:color w:val="auto"/>
        </w:rPr>
      </w:pPr>
      <w:r w:rsidRPr="00E946BC">
        <w:rPr>
          <w:color w:val="auto"/>
        </w:rPr>
        <w:t xml:space="preserve">Myanmar is the source of </w:t>
      </w:r>
      <w:r w:rsidR="00DD7E38" w:rsidRPr="00E946BC">
        <w:rPr>
          <w:color w:val="auto"/>
        </w:rPr>
        <w:t xml:space="preserve">both </w:t>
      </w:r>
      <w:r w:rsidRPr="00E946BC">
        <w:rPr>
          <w:color w:val="auto"/>
        </w:rPr>
        <w:t xml:space="preserve">the largest humanitarian crisis in our region </w:t>
      </w:r>
      <w:r w:rsidRPr="00435B77">
        <w:rPr>
          <w:color w:val="auto"/>
        </w:rPr>
        <w:t xml:space="preserve">and </w:t>
      </w:r>
      <w:r w:rsidR="0072567C" w:rsidRPr="00435B77">
        <w:rPr>
          <w:color w:val="auto"/>
        </w:rPr>
        <w:t xml:space="preserve">the location of some of </w:t>
      </w:r>
      <w:r w:rsidRPr="00435B77">
        <w:rPr>
          <w:color w:val="auto"/>
        </w:rPr>
        <w:t>the</w:t>
      </w:r>
      <w:r w:rsidRPr="00E946BC">
        <w:rPr>
          <w:color w:val="auto"/>
        </w:rPr>
        <w:t xml:space="preserve"> longest-running civil conflict</w:t>
      </w:r>
      <w:r w:rsidR="0078495A">
        <w:rPr>
          <w:color w:val="auto"/>
        </w:rPr>
        <w:t>s</w:t>
      </w:r>
      <w:r w:rsidRPr="00E946BC">
        <w:rPr>
          <w:color w:val="auto"/>
        </w:rPr>
        <w:t xml:space="preserve"> in the world</w:t>
      </w:r>
      <w:r>
        <w:rPr>
          <w:color w:val="auto"/>
        </w:rPr>
        <w:t xml:space="preserve">. </w:t>
      </w:r>
      <w:r w:rsidR="0060357A">
        <w:rPr>
          <w:color w:val="auto"/>
        </w:rPr>
        <w:t xml:space="preserve">The UN estimates over 700,000 Rohingya fled northern Rakhine State into Bangladesh in 2017, with around 600,000 remaining </w:t>
      </w:r>
      <w:r w:rsidR="002D0737">
        <w:rPr>
          <w:color w:val="auto"/>
        </w:rPr>
        <w:t>with</w:t>
      </w:r>
      <w:r w:rsidR="0060357A">
        <w:rPr>
          <w:color w:val="auto"/>
        </w:rPr>
        <w:t xml:space="preserve">in Rakhine. Adding to </w:t>
      </w:r>
      <w:r w:rsidR="00C95627">
        <w:rPr>
          <w:color w:val="auto"/>
        </w:rPr>
        <w:t>this</w:t>
      </w:r>
      <w:r w:rsidR="0060357A">
        <w:rPr>
          <w:color w:val="auto"/>
        </w:rPr>
        <w:t xml:space="preserve"> is further </w:t>
      </w:r>
      <w:r w:rsidR="0060357A" w:rsidRPr="00C95627">
        <w:rPr>
          <w:color w:val="auto"/>
        </w:rPr>
        <w:t xml:space="preserve">displacement of </w:t>
      </w:r>
      <w:r w:rsidR="00C95627" w:rsidRPr="00C95627">
        <w:rPr>
          <w:color w:val="auto"/>
        </w:rPr>
        <w:t>almost</w:t>
      </w:r>
      <w:r w:rsidR="00C95627">
        <w:rPr>
          <w:color w:val="auto"/>
        </w:rPr>
        <w:t xml:space="preserve"> 30,000 people</w:t>
      </w:r>
      <w:r w:rsidR="0060357A">
        <w:rPr>
          <w:color w:val="auto"/>
        </w:rPr>
        <w:t xml:space="preserve"> </w:t>
      </w:r>
      <w:r w:rsidR="007C1256">
        <w:rPr>
          <w:color w:val="auto"/>
        </w:rPr>
        <w:t xml:space="preserve">due to </w:t>
      </w:r>
      <w:r w:rsidR="0060357A">
        <w:rPr>
          <w:color w:val="auto"/>
        </w:rPr>
        <w:t>renew</w:t>
      </w:r>
      <w:r w:rsidR="002D0737">
        <w:rPr>
          <w:color w:val="auto"/>
        </w:rPr>
        <w:t xml:space="preserve">ed violence in </w:t>
      </w:r>
      <w:r w:rsidR="00C95627">
        <w:rPr>
          <w:color w:val="auto"/>
        </w:rPr>
        <w:t xml:space="preserve">central and </w:t>
      </w:r>
      <w:r w:rsidR="002D0737">
        <w:rPr>
          <w:color w:val="auto"/>
        </w:rPr>
        <w:t xml:space="preserve">northern Rakhine since late 2018. </w:t>
      </w:r>
      <w:r w:rsidR="007C1256">
        <w:rPr>
          <w:color w:val="auto"/>
        </w:rPr>
        <w:t>E</w:t>
      </w:r>
      <w:r w:rsidR="0060357A">
        <w:rPr>
          <w:color w:val="auto"/>
        </w:rPr>
        <w:t>lsewhere in Myanmar, notably Kachin and norther</w:t>
      </w:r>
      <w:r w:rsidR="002D0737">
        <w:rPr>
          <w:color w:val="auto"/>
        </w:rPr>
        <w:t>n</w:t>
      </w:r>
      <w:r w:rsidR="0060357A">
        <w:rPr>
          <w:color w:val="auto"/>
        </w:rPr>
        <w:t xml:space="preserve"> Shan </w:t>
      </w:r>
      <w:r w:rsidR="007C1256">
        <w:rPr>
          <w:color w:val="auto"/>
        </w:rPr>
        <w:t>S</w:t>
      </w:r>
      <w:r w:rsidR="0060357A">
        <w:rPr>
          <w:color w:val="auto"/>
        </w:rPr>
        <w:t>tates</w:t>
      </w:r>
      <w:r w:rsidR="002D0737">
        <w:rPr>
          <w:color w:val="auto"/>
        </w:rPr>
        <w:t xml:space="preserve">, </w:t>
      </w:r>
      <w:r w:rsidR="007C1256">
        <w:rPr>
          <w:color w:val="auto"/>
        </w:rPr>
        <w:t xml:space="preserve">more than </w:t>
      </w:r>
      <w:r w:rsidR="0060357A">
        <w:rPr>
          <w:color w:val="auto"/>
        </w:rPr>
        <w:t xml:space="preserve">100,000 </w:t>
      </w:r>
      <w:r w:rsidR="007C1256">
        <w:rPr>
          <w:color w:val="auto"/>
        </w:rPr>
        <w:t xml:space="preserve">people </w:t>
      </w:r>
      <w:r w:rsidR="00AB420E">
        <w:rPr>
          <w:color w:val="auto"/>
        </w:rPr>
        <w:t xml:space="preserve">remain </w:t>
      </w:r>
      <w:r w:rsidR="002D0737">
        <w:rPr>
          <w:color w:val="auto"/>
        </w:rPr>
        <w:t>displaced due to ongoing violence</w:t>
      </w:r>
      <w:r w:rsidR="0060357A">
        <w:rPr>
          <w:color w:val="auto"/>
        </w:rPr>
        <w:t xml:space="preserve"> and conflict</w:t>
      </w:r>
      <w:r w:rsidR="007479E6">
        <w:rPr>
          <w:color w:val="auto"/>
        </w:rPr>
        <w:t xml:space="preserve">, and around </w:t>
      </w:r>
      <w:r w:rsidR="007479E6" w:rsidRPr="001465D3">
        <w:rPr>
          <w:color w:val="auto"/>
        </w:rPr>
        <w:t>9</w:t>
      </w:r>
      <w:r w:rsidR="001465D3" w:rsidRPr="001465D3">
        <w:rPr>
          <w:color w:val="auto"/>
        </w:rPr>
        <w:t>3</w:t>
      </w:r>
      <w:r w:rsidR="005B1CBD">
        <w:rPr>
          <w:color w:val="auto"/>
        </w:rPr>
        <w:t>,</w:t>
      </w:r>
      <w:r w:rsidR="002D0737" w:rsidRPr="001465D3">
        <w:rPr>
          <w:color w:val="auto"/>
        </w:rPr>
        <w:t>000</w:t>
      </w:r>
      <w:r w:rsidR="002D0737">
        <w:rPr>
          <w:color w:val="auto"/>
        </w:rPr>
        <w:t xml:space="preserve"> refugees continue to live in Thailand-based camps along </w:t>
      </w:r>
      <w:r w:rsidR="007C1256">
        <w:rPr>
          <w:color w:val="auto"/>
        </w:rPr>
        <w:t xml:space="preserve">Myanmar’s </w:t>
      </w:r>
      <w:r w:rsidR="002D0737">
        <w:rPr>
          <w:color w:val="auto"/>
        </w:rPr>
        <w:t>south</w:t>
      </w:r>
      <w:r w:rsidR="005B1CBD">
        <w:rPr>
          <w:color w:val="auto"/>
        </w:rPr>
        <w:t>-</w:t>
      </w:r>
      <w:r w:rsidR="002D0737">
        <w:rPr>
          <w:color w:val="auto"/>
        </w:rPr>
        <w:t>east border</w:t>
      </w:r>
      <w:r w:rsidR="0060357A">
        <w:rPr>
          <w:color w:val="auto"/>
        </w:rPr>
        <w:t>.</w:t>
      </w:r>
      <w:r w:rsidR="002D0737">
        <w:rPr>
          <w:color w:val="auto"/>
        </w:rPr>
        <w:t xml:space="preserve"> </w:t>
      </w:r>
      <w:r w:rsidR="00CC320E">
        <w:rPr>
          <w:color w:val="auto"/>
        </w:rPr>
        <w:t>There remained slow progress in formal refuge</w:t>
      </w:r>
      <w:r w:rsidR="007C4DAD">
        <w:rPr>
          <w:color w:val="auto"/>
        </w:rPr>
        <w:t>e</w:t>
      </w:r>
      <w:r w:rsidR="00CC320E">
        <w:rPr>
          <w:color w:val="auto"/>
        </w:rPr>
        <w:t xml:space="preserve"> returns, </w:t>
      </w:r>
      <w:r w:rsidR="00CC320E">
        <w:rPr>
          <w:color w:val="auto"/>
        </w:rPr>
        <w:lastRenderedPageBreak/>
        <w:t>with t</w:t>
      </w:r>
      <w:r w:rsidR="00CC320E" w:rsidRPr="00CC320E">
        <w:rPr>
          <w:color w:val="auto"/>
        </w:rPr>
        <w:t>he UN</w:t>
      </w:r>
      <w:r w:rsidR="00CC320E">
        <w:rPr>
          <w:color w:val="auto"/>
        </w:rPr>
        <w:t xml:space="preserve"> </w:t>
      </w:r>
      <w:r w:rsidR="00CC320E" w:rsidRPr="00CC320E">
        <w:rPr>
          <w:color w:val="auto"/>
        </w:rPr>
        <w:t>High Commissioner for Refugees</w:t>
      </w:r>
      <w:r w:rsidR="00CC320E">
        <w:rPr>
          <w:color w:val="auto"/>
        </w:rPr>
        <w:t xml:space="preserve"> (UN</w:t>
      </w:r>
      <w:r w:rsidR="00CC320E" w:rsidRPr="00CC320E">
        <w:rPr>
          <w:color w:val="auto"/>
        </w:rPr>
        <w:t>HCR</w:t>
      </w:r>
      <w:r w:rsidR="00CC320E">
        <w:rPr>
          <w:color w:val="auto"/>
        </w:rPr>
        <w:t>) estimating</w:t>
      </w:r>
      <w:r w:rsidR="00CC320E" w:rsidRPr="00CC320E">
        <w:rPr>
          <w:color w:val="auto"/>
        </w:rPr>
        <w:t xml:space="preserve"> only around 600 refugees returned to Myanmar between 2016 and February 2019</w:t>
      </w:r>
      <w:r w:rsidR="002D0737">
        <w:rPr>
          <w:color w:val="auto"/>
        </w:rPr>
        <w:t>.</w:t>
      </w:r>
    </w:p>
    <w:p w14:paraId="04F79ACA" w14:textId="1022DE72" w:rsidR="00C37E63" w:rsidRDefault="00C37E63" w:rsidP="00CF62AE">
      <w:pPr>
        <w:spacing w:after="120"/>
        <w:rPr>
          <w:color w:val="auto"/>
        </w:rPr>
      </w:pPr>
      <w:r>
        <w:rPr>
          <w:color w:val="auto"/>
        </w:rPr>
        <w:t xml:space="preserve">Australia’s humanitarian funding is reaching </w:t>
      </w:r>
      <w:r w:rsidR="00AB3294">
        <w:rPr>
          <w:color w:val="auto"/>
        </w:rPr>
        <w:t>t</w:t>
      </w:r>
      <w:r w:rsidR="007C4DAD">
        <w:rPr>
          <w:color w:val="auto"/>
        </w:rPr>
        <w:t>he</w:t>
      </w:r>
      <w:r>
        <w:rPr>
          <w:color w:val="auto"/>
        </w:rPr>
        <w:t xml:space="preserve"> most in need across Myanmar (</w:t>
      </w:r>
      <w:r w:rsidR="00DB4E69">
        <w:rPr>
          <w:color w:val="auto"/>
        </w:rPr>
        <w:t xml:space="preserve">over 940,000 people; </w:t>
      </w:r>
      <w:r w:rsidR="00DD7E38">
        <w:rPr>
          <w:color w:val="auto"/>
        </w:rPr>
        <w:br/>
      </w:r>
      <w:r w:rsidR="00DB4E69">
        <w:rPr>
          <w:color w:val="auto"/>
        </w:rPr>
        <w:t>51.25 per cent women and girls; 44.5 per cent children; 6.25 per cent elderly</w:t>
      </w:r>
      <w:r>
        <w:rPr>
          <w:color w:val="auto"/>
        </w:rPr>
        <w:t>)</w:t>
      </w:r>
      <w:r w:rsidR="00DB4E69">
        <w:rPr>
          <w:color w:val="auto"/>
        </w:rPr>
        <w:t>.</w:t>
      </w:r>
      <w:r>
        <w:rPr>
          <w:color w:val="auto"/>
        </w:rPr>
        <w:t xml:space="preserve"> Our assistance is responsive and adaptive to the changing environments. </w:t>
      </w:r>
    </w:p>
    <w:p w14:paraId="49F415CB" w14:textId="1533D519" w:rsidR="004E4A05" w:rsidRDefault="0060357A" w:rsidP="00CF62AE">
      <w:pPr>
        <w:spacing w:after="120"/>
        <w:rPr>
          <w:color w:val="auto"/>
        </w:rPr>
      </w:pPr>
      <w:r>
        <w:rPr>
          <w:color w:val="auto"/>
        </w:rPr>
        <w:t xml:space="preserve">In 2018-19, </w:t>
      </w:r>
      <w:r w:rsidR="004E4A05">
        <w:rPr>
          <w:color w:val="auto"/>
        </w:rPr>
        <w:t xml:space="preserve">total </w:t>
      </w:r>
      <w:r w:rsidR="00ED1EBE">
        <w:rPr>
          <w:color w:val="auto"/>
        </w:rPr>
        <w:t xml:space="preserve">humanitarian funding to Myanmar </w:t>
      </w:r>
      <w:r w:rsidR="006769BB">
        <w:rPr>
          <w:color w:val="auto"/>
        </w:rPr>
        <w:t>increased</w:t>
      </w:r>
      <w:r w:rsidR="007C675F">
        <w:rPr>
          <w:color w:val="auto"/>
        </w:rPr>
        <w:t xml:space="preserve"> by approximately 20 per cent</w:t>
      </w:r>
      <w:r w:rsidR="006769BB">
        <w:rPr>
          <w:color w:val="auto"/>
        </w:rPr>
        <w:t xml:space="preserve"> </w:t>
      </w:r>
      <w:r w:rsidR="008462AF">
        <w:rPr>
          <w:color w:val="auto"/>
        </w:rPr>
        <w:t>(</w:t>
      </w:r>
      <w:r w:rsidR="004E4A05">
        <w:rPr>
          <w:color w:val="auto"/>
        </w:rPr>
        <w:t xml:space="preserve">total </w:t>
      </w:r>
      <w:r w:rsidR="008462AF">
        <w:rPr>
          <w:color w:val="auto"/>
        </w:rPr>
        <w:t>$23.79</w:t>
      </w:r>
      <w:r w:rsidR="00ED1EBE" w:rsidRPr="00F47A6F">
        <w:rPr>
          <w:color w:val="auto"/>
        </w:rPr>
        <w:t xml:space="preserve"> million</w:t>
      </w:r>
      <w:r w:rsidR="00C54C01">
        <w:rPr>
          <w:color w:val="auto"/>
        </w:rPr>
        <w:t>:</w:t>
      </w:r>
      <w:r w:rsidR="00ED1EBE">
        <w:rPr>
          <w:color w:val="auto"/>
        </w:rPr>
        <w:t xml:space="preserve"> </w:t>
      </w:r>
      <w:r w:rsidR="008462AF">
        <w:rPr>
          <w:color w:val="auto"/>
        </w:rPr>
        <w:t xml:space="preserve">$16.79m addressing all humanitarian efforts across Myanmar, plus an additional </w:t>
      </w:r>
      <w:r w:rsidR="00ED1EBE">
        <w:rPr>
          <w:color w:val="auto"/>
        </w:rPr>
        <w:t xml:space="preserve">$3.5m targeting Rakhine State, </w:t>
      </w:r>
      <w:r w:rsidR="008462AF">
        <w:rPr>
          <w:color w:val="auto"/>
        </w:rPr>
        <w:t xml:space="preserve">and </w:t>
      </w:r>
      <w:r w:rsidR="00ED1EBE">
        <w:rPr>
          <w:color w:val="auto"/>
        </w:rPr>
        <w:t>$3.5m targetin</w:t>
      </w:r>
      <w:r w:rsidR="00E946BC">
        <w:rPr>
          <w:color w:val="auto"/>
        </w:rPr>
        <w:t>g Myanmar-Thailand border</w:t>
      </w:r>
      <w:r w:rsidR="004A5CBE">
        <w:rPr>
          <w:color w:val="auto"/>
        </w:rPr>
        <w:t>.</w:t>
      </w:r>
      <w:r w:rsidR="008462AF">
        <w:rPr>
          <w:color w:val="auto"/>
        </w:rPr>
        <w:t xml:space="preserve"> </w:t>
      </w:r>
      <w:r w:rsidR="00FE4F11">
        <w:rPr>
          <w:color w:val="auto"/>
        </w:rPr>
        <w:t>This enabled</w:t>
      </w:r>
      <w:r w:rsidR="002862F1" w:rsidRPr="002862F1">
        <w:rPr>
          <w:color w:val="auto"/>
        </w:rPr>
        <w:t xml:space="preserve"> the investment to effectively meet </w:t>
      </w:r>
      <w:r w:rsidR="00DB4E69">
        <w:rPr>
          <w:color w:val="auto"/>
        </w:rPr>
        <w:t xml:space="preserve">the different and emerging humanitarian </w:t>
      </w:r>
      <w:r w:rsidR="002862F1" w:rsidRPr="002862F1">
        <w:rPr>
          <w:color w:val="auto"/>
        </w:rPr>
        <w:t>needs across Rakhine</w:t>
      </w:r>
      <w:r w:rsidR="00DB4E69">
        <w:rPr>
          <w:color w:val="auto"/>
        </w:rPr>
        <w:t xml:space="preserve"> State</w:t>
      </w:r>
      <w:r w:rsidR="002862F1" w:rsidRPr="002862F1">
        <w:rPr>
          <w:color w:val="auto"/>
        </w:rPr>
        <w:t>, Kachin</w:t>
      </w:r>
      <w:r w:rsidR="00DB4E69">
        <w:rPr>
          <w:color w:val="auto"/>
        </w:rPr>
        <w:t xml:space="preserve"> State</w:t>
      </w:r>
      <w:r w:rsidR="002862F1" w:rsidRPr="002862F1">
        <w:rPr>
          <w:color w:val="auto"/>
        </w:rPr>
        <w:t xml:space="preserve">, Shan </w:t>
      </w:r>
      <w:r w:rsidR="00DB4E69">
        <w:rPr>
          <w:color w:val="auto"/>
        </w:rPr>
        <w:t xml:space="preserve">State </w:t>
      </w:r>
      <w:r w:rsidR="002862F1" w:rsidRPr="002862F1">
        <w:rPr>
          <w:color w:val="auto"/>
        </w:rPr>
        <w:t xml:space="preserve">and the </w:t>
      </w:r>
      <w:r w:rsidR="00DB4E69">
        <w:rPr>
          <w:color w:val="auto"/>
        </w:rPr>
        <w:t>Myanmar-</w:t>
      </w:r>
      <w:r w:rsidR="002862F1" w:rsidRPr="002862F1">
        <w:rPr>
          <w:color w:val="auto"/>
        </w:rPr>
        <w:t>Thai border.</w:t>
      </w:r>
    </w:p>
    <w:p w14:paraId="7179F7DA" w14:textId="73A26E0B" w:rsidR="002D6D81" w:rsidRDefault="00E638FC" w:rsidP="00CF62AE">
      <w:pPr>
        <w:spacing w:after="120"/>
        <w:rPr>
          <w:color w:val="auto"/>
        </w:rPr>
      </w:pPr>
      <w:r w:rsidRPr="00E638FC">
        <w:rPr>
          <w:color w:val="auto"/>
        </w:rPr>
        <w:t>Australia provided humanitarian assistance</w:t>
      </w:r>
      <w:r w:rsidR="002D6D81">
        <w:rPr>
          <w:color w:val="auto"/>
        </w:rPr>
        <w:t xml:space="preserve"> in 2018</w:t>
      </w:r>
      <w:r w:rsidRPr="00E638FC">
        <w:rPr>
          <w:color w:val="auto"/>
        </w:rPr>
        <w:t xml:space="preserve"> to </w:t>
      </w:r>
      <w:r w:rsidR="00475296">
        <w:rPr>
          <w:color w:val="auto"/>
        </w:rPr>
        <w:t>26</w:t>
      </w:r>
      <w:r w:rsidR="00A94311">
        <w:rPr>
          <w:color w:val="auto"/>
        </w:rPr>
        <w:t>3,513</w:t>
      </w:r>
      <w:r w:rsidRPr="00E638FC">
        <w:rPr>
          <w:color w:val="auto"/>
        </w:rPr>
        <w:t xml:space="preserve"> women, men, girls and boys</w:t>
      </w:r>
      <w:r w:rsidR="00A91D0B">
        <w:rPr>
          <w:color w:val="auto"/>
        </w:rPr>
        <w:t>, exceeding</w:t>
      </w:r>
      <w:r w:rsidR="002D7F2A">
        <w:rPr>
          <w:color w:val="auto"/>
        </w:rPr>
        <w:t xml:space="preserve"> </w:t>
      </w:r>
      <w:r w:rsidR="00A91D0B">
        <w:rPr>
          <w:color w:val="auto"/>
        </w:rPr>
        <w:t xml:space="preserve">the PAF target </w:t>
      </w:r>
      <w:r w:rsidR="002D7F2A">
        <w:rPr>
          <w:color w:val="auto"/>
        </w:rPr>
        <w:t xml:space="preserve">by nearly 6 per cent. </w:t>
      </w:r>
      <w:r w:rsidR="004A5CBE">
        <w:rPr>
          <w:color w:val="auto"/>
        </w:rPr>
        <w:t>The data</w:t>
      </w:r>
      <w:r w:rsidR="00AB420E">
        <w:rPr>
          <w:color w:val="auto"/>
        </w:rPr>
        <w:t xml:space="preserve"> includes</w:t>
      </w:r>
      <w:r w:rsidR="004A5CBE">
        <w:rPr>
          <w:color w:val="auto"/>
        </w:rPr>
        <w:t xml:space="preserve"> 119,914 females and</w:t>
      </w:r>
      <w:r w:rsidR="000D0A73">
        <w:rPr>
          <w:color w:val="auto"/>
        </w:rPr>
        <w:t xml:space="preserve"> 62,61</w:t>
      </w:r>
      <w:r w:rsidR="004A5CBE">
        <w:rPr>
          <w:color w:val="auto"/>
        </w:rPr>
        <w:t>3 males</w:t>
      </w:r>
      <w:r w:rsidR="000D0A73">
        <w:rPr>
          <w:color w:val="auto"/>
        </w:rPr>
        <w:t xml:space="preserve"> </w:t>
      </w:r>
      <w:r w:rsidR="004A5CBE">
        <w:rPr>
          <w:color w:val="auto"/>
        </w:rPr>
        <w:t xml:space="preserve">(of which </w:t>
      </w:r>
      <w:r w:rsidR="000D0A73">
        <w:rPr>
          <w:color w:val="auto"/>
        </w:rPr>
        <w:t>4,719</w:t>
      </w:r>
      <w:r w:rsidR="00F47A6F">
        <w:rPr>
          <w:color w:val="auto"/>
        </w:rPr>
        <w:t xml:space="preserve"> </w:t>
      </w:r>
      <w:r w:rsidR="004A5CBE">
        <w:rPr>
          <w:color w:val="auto"/>
        </w:rPr>
        <w:t xml:space="preserve">were </w:t>
      </w:r>
      <w:r w:rsidR="007C1256">
        <w:rPr>
          <w:color w:val="auto"/>
        </w:rPr>
        <w:t xml:space="preserve">people </w:t>
      </w:r>
      <w:r w:rsidR="00F47A6F">
        <w:rPr>
          <w:color w:val="auto"/>
        </w:rPr>
        <w:t>with disabilities</w:t>
      </w:r>
      <w:r w:rsidR="006B78A8">
        <w:rPr>
          <w:color w:val="auto"/>
        </w:rPr>
        <w:t>, an increase of nearly 16 per cent from 2017-18 figures</w:t>
      </w:r>
      <w:r w:rsidR="004A5CBE">
        <w:rPr>
          <w:color w:val="auto"/>
        </w:rPr>
        <w:t>)</w:t>
      </w:r>
      <w:r w:rsidR="00F47A6F">
        <w:rPr>
          <w:color w:val="auto"/>
        </w:rPr>
        <w:t xml:space="preserve">, </w:t>
      </w:r>
      <w:r w:rsidR="004A5CBE">
        <w:rPr>
          <w:color w:val="auto"/>
        </w:rPr>
        <w:t>while</w:t>
      </w:r>
      <w:r w:rsidR="00F47A6F">
        <w:rPr>
          <w:color w:val="auto"/>
        </w:rPr>
        <w:t xml:space="preserve"> the remaining </w:t>
      </w:r>
      <w:r w:rsidR="00DD7E38">
        <w:rPr>
          <w:color w:val="auto"/>
        </w:rPr>
        <w:br/>
      </w:r>
      <w:r w:rsidR="00F47A6F">
        <w:rPr>
          <w:color w:val="auto"/>
        </w:rPr>
        <w:t xml:space="preserve">80,986 people </w:t>
      </w:r>
      <w:r w:rsidR="004A5CBE">
        <w:rPr>
          <w:color w:val="auto"/>
        </w:rPr>
        <w:t xml:space="preserve">were </w:t>
      </w:r>
      <w:r w:rsidR="00F47A6F">
        <w:rPr>
          <w:color w:val="auto"/>
        </w:rPr>
        <w:t xml:space="preserve">not </w:t>
      </w:r>
      <w:r w:rsidR="004A5CBE">
        <w:rPr>
          <w:color w:val="auto"/>
        </w:rPr>
        <w:t xml:space="preserve">a part of the sex </w:t>
      </w:r>
      <w:r w:rsidR="00F47A6F">
        <w:rPr>
          <w:color w:val="auto"/>
        </w:rPr>
        <w:t>disaggregated</w:t>
      </w:r>
      <w:r w:rsidR="004A5CBE">
        <w:rPr>
          <w:color w:val="auto"/>
        </w:rPr>
        <w:t xml:space="preserve"> data collection</w:t>
      </w:r>
      <w:r w:rsidR="00F47A6F">
        <w:rPr>
          <w:color w:val="auto"/>
        </w:rPr>
        <w:t>.</w:t>
      </w:r>
      <w:r w:rsidR="002862F1">
        <w:rPr>
          <w:color w:val="auto"/>
        </w:rPr>
        <w:t xml:space="preserve"> </w:t>
      </w:r>
      <w:r w:rsidR="00DD7E38">
        <w:rPr>
          <w:color w:val="auto"/>
        </w:rPr>
        <w:t>Our humanitarian investments</w:t>
      </w:r>
      <w:r w:rsidR="002862F1" w:rsidRPr="002862F1">
        <w:rPr>
          <w:color w:val="auto"/>
        </w:rPr>
        <w:t xml:space="preserve"> </w:t>
      </w:r>
      <w:r w:rsidR="00DD7E38">
        <w:rPr>
          <w:color w:val="auto"/>
        </w:rPr>
        <w:br/>
      </w:r>
      <w:r w:rsidR="00FE4F11" w:rsidRPr="002862F1">
        <w:rPr>
          <w:color w:val="auto"/>
        </w:rPr>
        <w:t>deliver</w:t>
      </w:r>
      <w:r w:rsidR="00FE4F11">
        <w:rPr>
          <w:color w:val="auto"/>
        </w:rPr>
        <w:t>ed</w:t>
      </w:r>
      <w:r w:rsidR="00DD7E38">
        <w:rPr>
          <w:color w:val="auto"/>
        </w:rPr>
        <w:t xml:space="preserve"> </w:t>
      </w:r>
      <w:r w:rsidR="002862F1" w:rsidRPr="002862F1">
        <w:rPr>
          <w:color w:val="auto"/>
        </w:rPr>
        <w:t>protection, shelter and l</w:t>
      </w:r>
      <w:r w:rsidR="00FE4F11">
        <w:rPr>
          <w:color w:val="auto"/>
        </w:rPr>
        <w:t>ivelihoods assistance; improved</w:t>
      </w:r>
      <w:r w:rsidR="002862F1" w:rsidRPr="002862F1">
        <w:rPr>
          <w:color w:val="auto"/>
        </w:rPr>
        <w:t xml:space="preserve"> the quality of education insi</w:t>
      </w:r>
      <w:r w:rsidR="00FE4F11">
        <w:rPr>
          <w:color w:val="auto"/>
        </w:rPr>
        <w:t>de IDP/refugee camps; increased</w:t>
      </w:r>
      <w:r w:rsidR="002862F1" w:rsidRPr="002862F1">
        <w:rPr>
          <w:color w:val="auto"/>
        </w:rPr>
        <w:t xml:space="preserve"> access of women and girls to </w:t>
      </w:r>
      <w:r w:rsidR="00FE4F11">
        <w:rPr>
          <w:color w:val="auto"/>
        </w:rPr>
        <w:t>gender-based violence services and improved</w:t>
      </w:r>
      <w:r w:rsidR="002862F1" w:rsidRPr="002862F1">
        <w:rPr>
          <w:color w:val="auto"/>
        </w:rPr>
        <w:t xml:space="preserve"> local humanitarian capacity.</w:t>
      </w:r>
      <w:r w:rsidR="002862F1">
        <w:rPr>
          <w:color w:val="auto"/>
        </w:rPr>
        <w:t xml:space="preserve"> </w:t>
      </w:r>
    </w:p>
    <w:p w14:paraId="6F265935" w14:textId="46CA7CE7" w:rsidR="00E47538" w:rsidRDefault="00E47538" w:rsidP="00CF62AE">
      <w:pPr>
        <w:spacing w:after="120"/>
        <w:rPr>
          <w:color w:val="auto"/>
        </w:rPr>
      </w:pPr>
      <w:r>
        <w:rPr>
          <w:color w:val="auto"/>
        </w:rPr>
        <w:t>During 2018-19, partners continued to face challenges</w:t>
      </w:r>
      <w:r w:rsidR="007C1256">
        <w:rPr>
          <w:color w:val="auto"/>
        </w:rPr>
        <w:t xml:space="preserve"> that</w:t>
      </w:r>
      <w:r>
        <w:rPr>
          <w:color w:val="auto"/>
        </w:rPr>
        <w:t xml:space="preserve"> affected their ability to implement activi</w:t>
      </w:r>
      <w:r w:rsidR="00965851">
        <w:rPr>
          <w:color w:val="auto"/>
        </w:rPr>
        <w:t>ties in some locations. R</w:t>
      </w:r>
      <w:r>
        <w:rPr>
          <w:color w:val="auto"/>
        </w:rPr>
        <w:t xml:space="preserve">estrictions </w:t>
      </w:r>
      <w:r w:rsidR="00965851">
        <w:rPr>
          <w:color w:val="auto"/>
        </w:rPr>
        <w:t>on</w:t>
      </w:r>
      <w:r>
        <w:rPr>
          <w:color w:val="auto"/>
        </w:rPr>
        <w:t xml:space="preserve"> humanitarian access to </w:t>
      </w:r>
      <w:r w:rsidR="00806FAE">
        <w:rPr>
          <w:color w:val="auto"/>
        </w:rPr>
        <w:t>most conflict</w:t>
      </w:r>
      <w:r w:rsidR="007C1256">
        <w:rPr>
          <w:color w:val="auto"/>
        </w:rPr>
        <w:t>-</w:t>
      </w:r>
      <w:r w:rsidR="00806FAE">
        <w:rPr>
          <w:color w:val="auto"/>
        </w:rPr>
        <w:t>affected</w:t>
      </w:r>
      <w:r>
        <w:rPr>
          <w:color w:val="auto"/>
        </w:rPr>
        <w:t xml:space="preserve"> parts of Myanmar</w:t>
      </w:r>
      <w:r w:rsidR="00806FAE">
        <w:rPr>
          <w:color w:val="auto"/>
        </w:rPr>
        <w:t xml:space="preserve"> made reaching those in need with life-sustaining a</w:t>
      </w:r>
      <w:r w:rsidR="006769BB">
        <w:rPr>
          <w:color w:val="auto"/>
        </w:rPr>
        <w:t xml:space="preserve">ssistance </w:t>
      </w:r>
      <w:r w:rsidR="007C675F">
        <w:rPr>
          <w:color w:val="auto"/>
        </w:rPr>
        <w:t>a challenge</w:t>
      </w:r>
      <w:r w:rsidR="006769BB">
        <w:rPr>
          <w:color w:val="auto"/>
        </w:rPr>
        <w:t xml:space="preserve">. </w:t>
      </w:r>
    </w:p>
    <w:p w14:paraId="3D1407E6" w14:textId="5AED6792" w:rsidR="00FB7187" w:rsidRDefault="00877654" w:rsidP="00CF62AE">
      <w:pPr>
        <w:spacing w:after="120"/>
        <w:rPr>
          <w:color w:val="auto"/>
        </w:rPr>
      </w:pPr>
      <w:r>
        <w:rPr>
          <w:color w:val="auto"/>
        </w:rPr>
        <w:t>Delivery of our assistance wa</w:t>
      </w:r>
      <w:r w:rsidR="00806FAE">
        <w:rPr>
          <w:color w:val="auto"/>
        </w:rPr>
        <w:t>s</w:t>
      </w:r>
      <w:r w:rsidR="00E638FC" w:rsidRPr="00E638FC">
        <w:rPr>
          <w:color w:val="auto"/>
        </w:rPr>
        <w:t xml:space="preserve"> through international humanitarian partners and local organisat</w:t>
      </w:r>
      <w:r w:rsidR="00806FAE">
        <w:rPr>
          <w:color w:val="auto"/>
        </w:rPr>
        <w:t xml:space="preserve">ions. The </w:t>
      </w:r>
      <w:r w:rsidR="00CF041F">
        <w:rPr>
          <w:color w:val="auto"/>
        </w:rPr>
        <w:t>Red Cross</w:t>
      </w:r>
      <w:r w:rsidR="00806FAE">
        <w:rPr>
          <w:color w:val="auto"/>
        </w:rPr>
        <w:t xml:space="preserve"> </w:t>
      </w:r>
      <w:r w:rsidR="00724703">
        <w:rPr>
          <w:color w:val="auto"/>
        </w:rPr>
        <w:t xml:space="preserve">Movement </w:t>
      </w:r>
      <w:r w:rsidR="00806FAE" w:rsidRPr="00A9506C">
        <w:rPr>
          <w:color w:val="auto"/>
        </w:rPr>
        <w:t>($7</w:t>
      </w:r>
      <w:r w:rsidR="00E638FC" w:rsidRPr="00A9506C">
        <w:rPr>
          <w:color w:val="auto"/>
        </w:rPr>
        <w:t xml:space="preserve"> million in 201</w:t>
      </w:r>
      <w:r w:rsidR="00806FAE" w:rsidRPr="00A9506C">
        <w:rPr>
          <w:color w:val="auto"/>
        </w:rPr>
        <w:t>8-19</w:t>
      </w:r>
      <w:r w:rsidR="00E638FC" w:rsidRPr="00A9506C">
        <w:rPr>
          <w:color w:val="auto"/>
        </w:rPr>
        <w:t xml:space="preserve">) provided protection, food, water, </w:t>
      </w:r>
      <w:r w:rsidR="00B32D14" w:rsidRPr="00A9506C">
        <w:rPr>
          <w:color w:val="auto"/>
        </w:rPr>
        <w:t xml:space="preserve">health care and cash to </w:t>
      </w:r>
      <w:r w:rsidR="00CF041F">
        <w:rPr>
          <w:color w:val="auto"/>
        </w:rPr>
        <w:t>over</w:t>
      </w:r>
      <w:r w:rsidR="00CF041F" w:rsidRPr="00A9506C">
        <w:rPr>
          <w:color w:val="auto"/>
        </w:rPr>
        <w:t xml:space="preserve"> </w:t>
      </w:r>
      <w:r w:rsidR="00E638FC" w:rsidRPr="00A9506C">
        <w:rPr>
          <w:color w:val="auto"/>
        </w:rPr>
        <w:t>50,000 people</w:t>
      </w:r>
      <w:r w:rsidR="00FF31AA">
        <w:rPr>
          <w:color w:val="auto"/>
        </w:rPr>
        <w:t xml:space="preserve"> in 2018 </w:t>
      </w:r>
      <w:r w:rsidR="00CF041F">
        <w:rPr>
          <w:color w:val="auto"/>
        </w:rPr>
        <w:t>with Australian funding</w:t>
      </w:r>
      <w:r w:rsidR="00E638FC" w:rsidRPr="00E638FC">
        <w:rPr>
          <w:color w:val="auto"/>
        </w:rPr>
        <w:t>. The Myanmar Humanitarian Fund (MHF, $</w:t>
      </w:r>
      <w:r w:rsidR="00B32D14">
        <w:rPr>
          <w:color w:val="auto"/>
        </w:rPr>
        <w:t>5</w:t>
      </w:r>
      <w:r w:rsidR="00E638FC" w:rsidRPr="00E638FC">
        <w:rPr>
          <w:color w:val="auto"/>
        </w:rPr>
        <w:t xml:space="preserve"> </w:t>
      </w:r>
      <w:r w:rsidR="00B32D14">
        <w:rPr>
          <w:color w:val="auto"/>
        </w:rPr>
        <w:t>million in 2018-19</w:t>
      </w:r>
      <w:r w:rsidR="00E638FC" w:rsidRPr="00E638FC">
        <w:rPr>
          <w:color w:val="auto"/>
        </w:rPr>
        <w:t>) increasingly delivered assistance through local non-government organisations</w:t>
      </w:r>
      <w:r w:rsidR="007D5FED">
        <w:rPr>
          <w:color w:val="auto"/>
        </w:rPr>
        <w:t>, with 46</w:t>
      </w:r>
      <w:r w:rsidR="00E638FC" w:rsidRPr="00E638FC">
        <w:rPr>
          <w:color w:val="auto"/>
        </w:rPr>
        <w:t xml:space="preserve"> per cent of the </w:t>
      </w:r>
      <w:r w:rsidR="00F11FCF">
        <w:rPr>
          <w:color w:val="auto"/>
        </w:rPr>
        <w:t>US</w:t>
      </w:r>
      <w:r w:rsidR="00E638FC" w:rsidRPr="00E638FC">
        <w:rPr>
          <w:color w:val="auto"/>
        </w:rPr>
        <w:t>$</w:t>
      </w:r>
      <w:r w:rsidR="00A9506C">
        <w:rPr>
          <w:color w:val="auto"/>
        </w:rPr>
        <w:t>12.8</w:t>
      </w:r>
      <w:r w:rsidR="00E638FC" w:rsidRPr="00E638FC">
        <w:rPr>
          <w:color w:val="auto"/>
        </w:rPr>
        <w:t xml:space="preserve"> million MHF fund delivered </w:t>
      </w:r>
      <w:r w:rsidR="00770280">
        <w:rPr>
          <w:color w:val="auto"/>
        </w:rPr>
        <w:t xml:space="preserve">directly and </w:t>
      </w:r>
      <w:r w:rsidR="007D5FED">
        <w:rPr>
          <w:color w:val="auto"/>
        </w:rPr>
        <w:t>indirectly to</w:t>
      </w:r>
      <w:r w:rsidR="00E638FC" w:rsidRPr="00E638FC">
        <w:rPr>
          <w:color w:val="auto"/>
        </w:rPr>
        <w:t xml:space="preserve"> local partners</w:t>
      </w:r>
      <w:r w:rsidR="00FF31AA">
        <w:rPr>
          <w:color w:val="auto"/>
        </w:rPr>
        <w:t xml:space="preserve"> in 2018</w:t>
      </w:r>
      <w:r w:rsidR="00A9506C">
        <w:rPr>
          <w:color w:val="auto"/>
        </w:rPr>
        <w:t xml:space="preserve">. </w:t>
      </w:r>
      <w:r w:rsidR="0072567C">
        <w:rPr>
          <w:color w:val="auto"/>
        </w:rPr>
        <w:t>Thirty</w:t>
      </w:r>
      <w:r w:rsidR="004A5CBE">
        <w:rPr>
          <w:color w:val="auto"/>
        </w:rPr>
        <w:t xml:space="preserve"> per cent </w:t>
      </w:r>
      <w:r w:rsidR="0072567C">
        <w:rPr>
          <w:color w:val="auto"/>
        </w:rPr>
        <w:t xml:space="preserve">of MHF funding went directly to local partners, </w:t>
      </w:r>
      <w:r w:rsidR="004A5CBE" w:rsidRPr="00E638FC">
        <w:rPr>
          <w:color w:val="auto"/>
        </w:rPr>
        <w:t>well ahead of the global (and PAF) target of 25 per cent.</w:t>
      </w:r>
    </w:p>
    <w:p w14:paraId="236A11D6" w14:textId="67E8B96A" w:rsidR="00724703" w:rsidRPr="00724703" w:rsidRDefault="00724703" w:rsidP="00724703">
      <w:pPr>
        <w:spacing w:after="120"/>
        <w:rPr>
          <w:color w:val="auto"/>
        </w:rPr>
      </w:pPr>
      <w:r>
        <w:rPr>
          <w:color w:val="auto"/>
        </w:rPr>
        <w:t>Australia’s</w:t>
      </w:r>
      <w:r w:rsidRPr="00724703">
        <w:rPr>
          <w:color w:val="auto"/>
        </w:rPr>
        <w:t xml:space="preserve"> </w:t>
      </w:r>
      <w:r w:rsidR="00FE4F11">
        <w:rPr>
          <w:color w:val="auto"/>
        </w:rPr>
        <w:t>aid</w:t>
      </w:r>
      <w:r w:rsidRPr="00724703">
        <w:rPr>
          <w:color w:val="auto"/>
        </w:rPr>
        <w:t xml:space="preserve"> is making a difference on gender equality. It takes a twin-track approach to gender equity and women's empowerment - both by supporting activities that specifically focus on these issues and mainstreaming gender equity and women's empowerment across all other activities. </w:t>
      </w:r>
    </w:p>
    <w:p w14:paraId="59E56E51" w14:textId="49D6E0DD" w:rsidR="00724703" w:rsidRDefault="00FE4F11" w:rsidP="00724703">
      <w:pPr>
        <w:spacing w:after="120"/>
        <w:rPr>
          <w:color w:val="auto"/>
        </w:rPr>
      </w:pPr>
      <w:r>
        <w:rPr>
          <w:color w:val="auto"/>
        </w:rPr>
        <w:t>In 2018-19 our support primarily targeted</w:t>
      </w:r>
      <w:r w:rsidR="00724703" w:rsidRPr="00724703">
        <w:rPr>
          <w:color w:val="auto"/>
        </w:rPr>
        <w:t xml:space="preserve"> gender equality through UNFPA's 'Women and Girls First' program ($5m, 2016-19). UNFPA works to strengthen national legal frameworks, policies and institutional mechanisms for promoting gender equality and advancement of women; and to improve access to sexual and reproductive health and GBV services including in emergency settings.</w:t>
      </w:r>
    </w:p>
    <w:p w14:paraId="7147B5F8" w14:textId="1BFED40C" w:rsidR="00724703" w:rsidRDefault="00FE4F11" w:rsidP="00724703">
      <w:pPr>
        <w:spacing w:after="120"/>
        <w:rPr>
          <w:color w:val="auto"/>
        </w:rPr>
      </w:pPr>
      <w:r>
        <w:rPr>
          <w:color w:val="auto"/>
        </w:rPr>
        <w:t>An example of our support on a</w:t>
      </w:r>
      <w:r w:rsidR="00724703">
        <w:rPr>
          <w:color w:val="auto"/>
        </w:rPr>
        <w:t>ddressing gender-based viol</w:t>
      </w:r>
      <w:r>
        <w:rPr>
          <w:color w:val="auto"/>
        </w:rPr>
        <w:t>ence (GBV) wa</w:t>
      </w:r>
      <w:r w:rsidR="00724703">
        <w:rPr>
          <w:color w:val="auto"/>
        </w:rPr>
        <w:t xml:space="preserve">s </w:t>
      </w:r>
      <w:r w:rsidR="0072567C">
        <w:rPr>
          <w:color w:val="auto"/>
        </w:rPr>
        <w:t xml:space="preserve">done </w:t>
      </w:r>
      <w:r w:rsidR="00724703">
        <w:rPr>
          <w:color w:val="auto"/>
        </w:rPr>
        <w:t>through innovati</w:t>
      </w:r>
      <w:r w:rsidR="0072567C">
        <w:rPr>
          <w:color w:val="auto"/>
        </w:rPr>
        <w:t>ve</w:t>
      </w:r>
      <w:r w:rsidR="00724703">
        <w:rPr>
          <w:color w:val="auto"/>
        </w:rPr>
        <w:t xml:space="preserve"> programs, such as </w:t>
      </w:r>
      <w:r w:rsidR="00993E44" w:rsidRPr="00993E44">
        <w:rPr>
          <w:color w:val="auto"/>
        </w:rPr>
        <w:t>UNFPA's `Coffee and Tea Sessions' for men living in IDP camps in central Rakhine and northern Shan</w:t>
      </w:r>
      <w:r w:rsidR="00993E44">
        <w:rPr>
          <w:color w:val="auto"/>
        </w:rPr>
        <w:t>. This initiative</w:t>
      </w:r>
      <w:r w:rsidR="00993E44" w:rsidRPr="00993E44">
        <w:rPr>
          <w:color w:val="auto"/>
        </w:rPr>
        <w:t xml:space="preserve"> brought men together to learn how power differences drive gender-based violence, reflect on how such violence impacts their community, and commit to standing up against discrimination and violence against women. </w:t>
      </w:r>
      <w:r w:rsidR="0072567C">
        <w:rPr>
          <w:color w:val="auto"/>
        </w:rPr>
        <w:t>M</w:t>
      </w:r>
      <w:r w:rsidR="00993E44" w:rsidRPr="00993E44">
        <w:rPr>
          <w:color w:val="auto"/>
        </w:rPr>
        <w:t xml:space="preserve">ale participants </w:t>
      </w:r>
      <w:r w:rsidR="0072567C">
        <w:rPr>
          <w:color w:val="auto"/>
        </w:rPr>
        <w:t>have described</w:t>
      </w:r>
      <w:r w:rsidR="00993E44" w:rsidRPr="00993E44">
        <w:rPr>
          <w:color w:val="auto"/>
        </w:rPr>
        <w:t xml:space="preserve"> how the sessions helped them control aggression and foster more positive relationships; including taking a more active role in raising children and becoming more involved in household tasks.</w:t>
      </w:r>
      <w:r>
        <w:rPr>
          <w:color w:val="auto"/>
        </w:rPr>
        <w:t xml:space="preserve"> O</w:t>
      </w:r>
      <w:r w:rsidR="005A15A4">
        <w:rPr>
          <w:color w:val="auto"/>
        </w:rPr>
        <w:t>n the Myanmar-Thai border</w:t>
      </w:r>
      <w:r>
        <w:rPr>
          <w:color w:val="auto"/>
        </w:rPr>
        <w:t>,</w:t>
      </w:r>
      <w:r w:rsidR="005A15A4">
        <w:rPr>
          <w:color w:val="auto"/>
        </w:rPr>
        <w:t xml:space="preserve"> </w:t>
      </w:r>
      <w:r>
        <w:rPr>
          <w:color w:val="auto"/>
        </w:rPr>
        <w:t xml:space="preserve">our support through </w:t>
      </w:r>
      <w:r w:rsidR="005A15A4">
        <w:rPr>
          <w:color w:val="auto"/>
        </w:rPr>
        <w:t>T</w:t>
      </w:r>
      <w:r>
        <w:rPr>
          <w:color w:val="auto"/>
        </w:rPr>
        <w:t xml:space="preserve">he </w:t>
      </w:r>
      <w:r w:rsidR="005A15A4">
        <w:rPr>
          <w:color w:val="auto"/>
        </w:rPr>
        <w:t>B</w:t>
      </w:r>
      <w:r>
        <w:rPr>
          <w:color w:val="auto"/>
        </w:rPr>
        <w:t xml:space="preserve">order </w:t>
      </w:r>
      <w:r w:rsidR="005A15A4">
        <w:rPr>
          <w:color w:val="auto"/>
        </w:rPr>
        <w:t>C</w:t>
      </w:r>
      <w:r>
        <w:rPr>
          <w:color w:val="auto"/>
        </w:rPr>
        <w:t>onsortium</w:t>
      </w:r>
      <w:r w:rsidR="005A15A4">
        <w:rPr>
          <w:color w:val="auto"/>
        </w:rPr>
        <w:t xml:space="preserve"> is providing Safe Houses and counselling for women </w:t>
      </w:r>
      <w:r w:rsidR="002C1F05">
        <w:rPr>
          <w:color w:val="auto"/>
        </w:rPr>
        <w:t xml:space="preserve">affected by </w:t>
      </w:r>
      <w:r w:rsidR="005A15A4">
        <w:rPr>
          <w:color w:val="auto"/>
        </w:rPr>
        <w:t xml:space="preserve">GBV and </w:t>
      </w:r>
      <w:r w:rsidR="005A15A4" w:rsidRPr="005A15A4">
        <w:rPr>
          <w:color w:val="auto"/>
        </w:rPr>
        <w:t xml:space="preserve">467 community and religious leaders </w:t>
      </w:r>
      <w:r w:rsidR="005A15A4">
        <w:rPr>
          <w:color w:val="auto"/>
        </w:rPr>
        <w:t xml:space="preserve">have received </w:t>
      </w:r>
      <w:r w:rsidR="005A15A4" w:rsidRPr="005A15A4">
        <w:rPr>
          <w:color w:val="auto"/>
        </w:rPr>
        <w:t>gender sensitisation</w:t>
      </w:r>
      <w:r w:rsidR="005A15A4">
        <w:rPr>
          <w:color w:val="auto"/>
        </w:rPr>
        <w:t xml:space="preserve"> information. </w:t>
      </w:r>
      <w:r w:rsidR="005B1CBD">
        <w:rPr>
          <w:color w:val="auto"/>
        </w:rPr>
        <w:t>A</w:t>
      </w:r>
      <w:r w:rsidR="00F50506">
        <w:rPr>
          <w:color w:val="auto"/>
        </w:rPr>
        <w:t>lso on the Myanmar-Thailand border,</w:t>
      </w:r>
      <w:r w:rsidR="005A15A4" w:rsidRPr="005A15A4">
        <w:rPr>
          <w:color w:val="auto"/>
        </w:rPr>
        <w:t xml:space="preserve"> </w:t>
      </w:r>
      <w:r w:rsidR="00F50506">
        <w:rPr>
          <w:color w:val="auto"/>
        </w:rPr>
        <w:t>through Australia’s support</w:t>
      </w:r>
      <w:r w:rsidR="005B1CBD">
        <w:rPr>
          <w:color w:val="auto"/>
        </w:rPr>
        <w:t>,</w:t>
      </w:r>
      <w:r w:rsidR="00F50506">
        <w:rPr>
          <w:color w:val="auto"/>
        </w:rPr>
        <w:t xml:space="preserve"> SAVE Australia </w:t>
      </w:r>
      <w:r w:rsidR="005A15A4" w:rsidRPr="005A15A4">
        <w:rPr>
          <w:color w:val="auto"/>
        </w:rPr>
        <w:t>rolled out “gender inclusive approaches to educate boys and girls in the classroom” in its current teacher training.</w:t>
      </w:r>
    </w:p>
    <w:p w14:paraId="5FD4D272" w14:textId="144F17F5" w:rsidR="005A15A4" w:rsidRDefault="00E913B7" w:rsidP="00724703">
      <w:pPr>
        <w:spacing w:after="120"/>
        <w:rPr>
          <w:color w:val="auto"/>
        </w:rPr>
      </w:pPr>
      <w:r>
        <w:rPr>
          <w:color w:val="auto"/>
        </w:rPr>
        <w:t>Australia’s investments in humanitarian assistance ensured g</w:t>
      </w:r>
      <w:r w:rsidR="005A15A4" w:rsidRPr="005A15A4">
        <w:rPr>
          <w:color w:val="auto"/>
        </w:rPr>
        <w:t>ender and protection remain</w:t>
      </w:r>
      <w:r>
        <w:rPr>
          <w:color w:val="auto"/>
        </w:rPr>
        <w:t>ed</w:t>
      </w:r>
      <w:r w:rsidR="005A15A4" w:rsidRPr="005A15A4">
        <w:rPr>
          <w:color w:val="auto"/>
        </w:rPr>
        <w:t xml:space="preserve"> a significant focus in the </w:t>
      </w:r>
      <w:r w:rsidR="000279A5">
        <w:rPr>
          <w:color w:val="auto"/>
        </w:rPr>
        <w:t xml:space="preserve">UN-led </w:t>
      </w:r>
      <w:r w:rsidR="005A15A4" w:rsidRPr="005A15A4">
        <w:rPr>
          <w:color w:val="auto"/>
        </w:rPr>
        <w:t xml:space="preserve">2019 </w:t>
      </w:r>
      <w:r w:rsidR="0072567C">
        <w:rPr>
          <w:color w:val="auto"/>
        </w:rPr>
        <w:t xml:space="preserve">Myanmar </w:t>
      </w:r>
      <w:r w:rsidR="005A15A4" w:rsidRPr="005A15A4">
        <w:rPr>
          <w:color w:val="auto"/>
        </w:rPr>
        <w:t xml:space="preserve">Humanitarian Response Plan, prepared by </w:t>
      </w:r>
      <w:r w:rsidR="000279A5">
        <w:rPr>
          <w:color w:val="auto"/>
        </w:rPr>
        <w:t xml:space="preserve">UN </w:t>
      </w:r>
      <w:r w:rsidR="000279A5" w:rsidRPr="000279A5">
        <w:rPr>
          <w:color w:val="auto"/>
        </w:rPr>
        <w:t xml:space="preserve">Office for the Coordination </w:t>
      </w:r>
      <w:r w:rsidR="000279A5" w:rsidRPr="000279A5">
        <w:rPr>
          <w:color w:val="auto"/>
        </w:rPr>
        <w:lastRenderedPageBreak/>
        <w:t xml:space="preserve">of Humanitarian Affairs </w:t>
      </w:r>
      <w:r w:rsidR="000279A5">
        <w:rPr>
          <w:color w:val="auto"/>
        </w:rPr>
        <w:t>(</w:t>
      </w:r>
      <w:r w:rsidR="005A15A4" w:rsidRPr="005A15A4">
        <w:rPr>
          <w:color w:val="auto"/>
        </w:rPr>
        <w:t>OCHA</w:t>
      </w:r>
      <w:r w:rsidR="000279A5">
        <w:rPr>
          <w:color w:val="auto"/>
        </w:rPr>
        <w:t>)</w:t>
      </w:r>
      <w:r w:rsidR="005A15A4" w:rsidRPr="005A15A4">
        <w:rPr>
          <w:color w:val="auto"/>
        </w:rPr>
        <w:t>. The Humanitarian Country Team's newly adop</w:t>
      </w:r>
      <w:r>
        <w:rPr>
          <w:color w:val="auto"/>
        </w:rPr>
        <w:t>ted protection strategy provided</w:t>
      </w:r>
      <w:r w:rsidR="005A15A4" w:rsidRPr="005A15A4">
        <w:rPr>
          <w:color w:val="auto"/>
        </w:rPr>
        <w:t xml:space="preserve"> a framework for all partners to address the most urgent and serious protection risks, as well as for preventing the recurrence of violations of international human rights and humanitarian law.</w:t>
      </w:r>
    </w:p>
    <w:p w14:paraId="6A2D326D" w14:textId="7B6665AE" w:rsidR="00AE11E9" w:rsidRDefault="00AE11E9" w:rsidP="00724703">
      <w:pPr>
        <w:spacing w:after="120"/>
        <w:rPr>
          <w:color w:val="auto"/>
        </w:rPr>
      </w:pPr>
      <w:r w:rsidRPr="00AE11E9">
        <w:rPr>
          <w:color w:val="auto"/>
        </w:rPr>
        <w:t>E</w:t>
      </w:r>
      <w:r>
        <w:rPr>
          <w:color w:val="auto"/>
        </w:rPr>
        <w:t xml:space="preserve">ducation </w:t>
      </w:r>
      <w:r w:rsidRPr="00AE11E9">
        <w:rPr>
          <w:color w:val="auto"/>
        </w:rPr>
        <w:t>i</w:t>
      </w:r>
      <w:r>
        <w:rPr>
          <w:color w:val="auto"/>
        </w:rPr>
        <w:t xml:space="preserve">n </w:t>
      </w:r>
      <w:r w:rsidRPr="00AE11E9">
        <w:rPr>
          <w:color w:val="auto"/>
        </w:rPr>
        <w:t>E</w:t>
      </w:r>
      <w:r>
        <w:rPr>
          <w:color w:val="auto"/>
        </w:rPr>
        <w:t>mergencies (EiE)</w:t>
      </w:r>
      <w:r w:rsidRPr="00AE11E9">
        <w:rPr>
          <w:color w:val="auto"/>
        </w:rPr>
        <w:t xml:space="preserve"> partners </w:t>
      </w:r>
      <w:r w:rsidR="000A7DD3">
        <w:rPr>
          <w:color w:val="auto"/>
        </w:rPr>
        <w:t xml:space="preserve">(including Australia) </w:t>
      </w:r>
      <w:r w:rsidRPr="00AE11E9">
        <w:rPr>
          <w:color w:val="auto"/>
        </w:rPr>
        <w:t xml:space="preserve">are </w:t>
      </w:r>
      <w:r w:rsidR="000A7DD3">
        <w:rPr>
          <w:color w:val="auto"/>
        </w:rPr>
        <w:t>engaging</w:t>
      </w:r>
      <w:r w:rsidRPr="00AE11E9">
        <w:rPr>
          <w:color w:val="auto"/>
        </w:rPr>
        <w:t xml:space="preserve"> the Ministry of Education at Union and local level</w:t>
      </w:r>
      <w:r w:rsidR="000A7DD3" w:rsidRPr="000A7DD3">
        <w:rPr>
          <w:color w:val="auto"/>
        </w:rPr>
        <w:t xml:space="preserve"> </w:t>
      </w:r>
      <w:r w:rsidR="000A7DD3">
        <w:rPr>
          <w:color w:val="auto"/>
        </w:rPr>
        <w:t xml:space="preserve">on transitioning education services for children in line with </w:t>
      </w:r>
      <w:r w:rsidR="00C228FB">
        <w:rPr>
          <w:color w:val="auto"/>
        </w:rPr>
        <w:t xml:space="preserve">the </w:t>
      </w:r>
      <w:r w:rsidR="000A7DD3">
        <w:rPr>
          <w:color w:val="auto"/>
        </w:rPr>
        <w:t>humanitarian-development nexus</w:t>
      </w:r>
      <w:r w:rsidR="00C228FB">
        <w:rPr>
          <w:color w:val="auto"/>
        </w:rPr>
        <w:t xml:space="preserve"> principles</w:t>
      </w:r>
      <w:r w:rsidRPr="00AE11E9">
        <w:rPr>
          <w:color w:val="auto"/>
        </w:rPr>
        <w:t xml:space="preserve">. Our funding </w:t>
      </w:r>
      <w:r w:rsidR="000A7DD3">
        <w:rPr>
          <w:color w:val="auto"/>
        </w:rPr>
        <w:t>to</w:t>
      </w:r>
      <w:r w:rsidRPr="00AE11E9">
        <w:rPr>
          <w:color w:val="auto"/>
        </w:rPr>
        <w:t xml:space="preserve"> Save the Children </w:t>
      </w:r>
      <w:r w:rsidR="000A7DD3">
        <w:rPr>
          <w:color w:val="auto"/>
        </w:rPr>
        <w:t xml:space="preserve">for temporary learning centres and education services in IDP camps in Rakhine State </w:t>
      </w:r>
      <w:r w:rsidRPr="00AE11E9">
        <w:rPr>
          <w:color w:val="auto"/>
        </w:rPr>
        <w:t xml:space="preserve">complements DFAT's </w:t>
      </w:r>
      <w:r>
        <w:rPr>
          <w:color w:val="auto"/>
        </w:rPr>
        <w:t>broader investment in education, facilitati</w:t>
      </w:r>
      <w:r w:rsidR="000279A5">
        <w:rPr>
          <w:color w:val="auto"/>
        </w:rPr>
        <w:t>ng</w:t>
      </w:r>
      <w:r w:rsidRPr="00AE11E9">
        <w:rPr>
          <w:color w:val="auto"/>
        </w:rPr>
        <w:t xml:space="preserve"> discussions around the </w:t>
      </w:r>
      <w:r>
        <w:rPr>
          <w:color w:val="auto"/>
        </w:rPr>
        <w:t>humanitarian-development</w:t>
      </w:r>
      <w:r w:rsidR="00877654">
        <w:rPr>
          <w:color w:val="auto"/>
        </w:rPr>
        <w:t xml:space="preserve"> nexus</w:t>
      </w:r>
      <w:r w:rsidRPr="00AE11E9">
        <w:rPr>
          <w:color w:val="auto"/>
        </w:rPr>
        <w:t>.</w:t>
      </w:r>
      <w:r w:rsidR="000279A5">
        <w:rPr>
          <w:color w:val="auto"/>
        </w:rPr>
        <w:t xml:space="preserve"> This approach is working towards a </w:t>
      </w:r>
      <w:r w:rsidR="00DE4722">
        <w:rPr>
          <w:color w:val="auto"/>
        </w:rPr>
        <w:t xml:space="preserve">greater </w:t>
      </w:r>
      <w:r w:rsidR="000279A5">
        <w:rPr>
          <w:color w:val="auto"/>
        </w:rPr>
        <w:t>g</w:t>
      </w:r>
      <w:r w:rsidR="00E913B7">
        <w:rPr>
          <w:color w:val="auto"/>
        </w:rPr>
        <w:t>overnment role in the education</w:t>
      </w:r>
      <w:r w:rsidR="000279A5">
        <w:rPr>
          <w:color w:val="auto"/>
        </w:rPr>
        <w:t xml:space="preserve"> service delivery for all communities in Rak</w:t>
      </w:r>
      <w:r w:rsidR="00A14E50">
        <w:rPr>
          <w:color w:val="auto"/>
        </w:rPr>
        <w:t>h</w:t>
      </w:r>
      <w:r w:rsidR="000279A5">
        <w:rPr>
          <w:color w:val="auto"/>
        </w:rPr>
        <w:t>ine State.</w:t>
      </w:r>
    </w:p>
    <w:p w14:paraId="1FB6E7C5" w14:textId="3956CD93" w:rsidR="00AE11E9" w:rsidRDefault="00AE11E9" w:rsidP="00724703">
      <w:pPr>
        <w:spacing w:after="120"/>
        <w:rPr>
          <w:color w:val="auto"/>
        </w:rPr>
      </w:pPr>
      <w:r>
        <w:rPr>
          <w:color w:val="auto"/>
        </w:rPr>
        <w:t>Disability inclusiveness was a particular focus for activities and partners under</w:t>
      </w:r>
      <w:r w:rsidR="000A7DD3">
        <w:rPr>
          <w:color w:val="auto"/>
        </w:rPr>
        <w:t xml:space="preserve"> Australia’s humanitarian investments</w:t>
      </w:r>
      <w:r>
        <w:rPr>
          <w:color w:val="auto"/>
        </w:rPr>
        <w:t xml:space="preserve"> in 2018</w:t>
      </w:r>
      <w:r w:rsidR="000A7DD3">
        <w:rPr>
          <w:color w:val="auto"/>
        </w:rPr>
        <w:t>. This followed</w:t>
      </w:r>
      <w:r>
        <w:rPr>
          <w:color w:val="auto"/>
        </w:rPr>
        <w:t xml:space="preserve"> strong advocacy from Australia, after </w:t>
      </w:r>
      <w:r w:rsidR="000A7DD3">
        <w:rPr>
          <w:color w:val="auto"/>
        </w:rPr>
        <w:t xml:space="preserve">a review </w:t>
      </w:r>
      <w:r>
        <w:rPr>
          <w:color w:val="auto"/>
        </w:rPr>
        <w:t xml:space="preserve">establishing that disability was not consistently </w:t>
      </w:r>
      <w:r w:rsidR="00E913B7">
        <w:rPr>
          <w:color w:val="auto"/>
        </w:rPr>
        <w:t xml:space="preserve">supported </w:t>
      </w:r>
      <w:r>
        <w:rPr>
          <w:color w:val="auto"/>
        </w:rPr>
        <w:t xml:space="preserve">across this portfolio. </w:t>
      </w:r>
      <w:r w:rsidR="000A7DD3">
        <w:rPr>
          <w:color w:val="auto"/>
        </w:rPr>
        <w:t xml:space="preserve">One example of this renewed focus on disability, was </w:t>
      </w:r>
      <w:r w:rsidR="00E913B7">
        <w:rPr>
          <w:color w:val="auto"/>
        </w:rPr>
        <w:t>our support for</w:t>
      </w:r>
      <w:r w:rsidR="000A7DD3">
        <w:rPr>
          <w:color w:val="auto"/>
        </w:rPr>
        <w:t xml:space="preserve"> the Danish Refugee Council’s completion of a disability assessment report</w:t>
      </w:r>
      <w:r w:rsidR="00161169">
        <w:rPr>
          <w:color w:val="auto"/>
        </w:rPr>
        <w:t xml:space="preserve"> </w:t>
      </w:r>
      <w:r w:rsidR="000A7DD3" w:rsidRPr="000A7DD3">
        <w:rPr>
          <w:color w:val="auto"/>
        </w:rPr>
        <w:t>that informe</w:t>
      </w:r>
      <w:r w:rsidR="00E913B7">
        <w:rPr>
          <w:color w:val="auto"/>
        </w:rPr>
        <w:t>d all service provision for IDP</w:t>
      </w:r>
      <w:r w:rsidR="000A7DD3" w:rsidRPr="000A7DD3">
        <w:rPr>
          <w:color w:val="auto"/>
        </w:rPr>
        <w:t>s wi</w:t>
      </w:r>
      <w:r w:rsidR="00E913B7">
        <w:rPr>
          <w:color w:val="auto"/>
        </w:rPr>
        <w:t>th disabilities across camps.  Importantly, p</w:t>
      </w:r>
      <w:r w:rsidR="000A7DD3" w:rsidRPr="000A7DD3">
        <w:rPr>
          <w:color w:val="auto"/>
        </w:rPr>
        <w:t>eople with disabilities were involved as report assessors</w:t>
      </w:r>
      <w:r w:rsidR="00971170" w:rsidRPr="00971170">
        <w:rPr>
          <w:color w:val="auto"/>
        </w:rPr>
        <w:t>.</w:t>
      </w:r>
      <w:r w:rsidR="00971170">
        <w:rPr>
          <w:color w:val="auto"/>
        </w:rPr>
        <w:t xml:space="preserve"> Engaging people in this way empowers recipient communities to be a part of the service delivery, a people</w:t>
      </w:r>
      <w:r w:rsidR="005B1CBD">
        <w:rPr>
          <w:color w:val="auto"/>
        </w:rPr>
        <w:t>-</w:t>
      </w:r>
      <w:r w:rsidR="00971170">
        <w:rPr>
          <w:color w:val="auto"/>
        </w:rPr>
        <w:t>centred approach</w:t>
      </w:r>
      <w:r w:rsidR="00161169" w:rsidRPr="00161169">
        <w:rPr>
          <w:color w:val="auto"/>
        </w:rPr>
        <w:t>.</w:t>
      </w:r>
    </w:p>
    <w:p w14:paraId="4D2A6258" w14:textId="32B30D56" w:rsidR="001465D3" w:rsidRDefault="001465D3" w:rsidP="00724703">
      <w:pPr>
        <w:spacing w:after="120"/>
        <w:rPr>
          <w:color w:val="auto"/>
        </w:rPr>
      </w:pPr>
      <w:r w:rsidRPr="009B2166">
        <w:rPr>
          <w:color w:val="auto"/>
        </w:rPr>
        <w:t>Australia’s reputation as a principled and pragmatic humanitarian donor and responder positions us well to influence reform to the humanitarian system. We demonstrate</w:t>
      </w:r>
      <w:r w:rsidR="00844729">
        <w:rPr>
          <w:color w:val="auto"/>
        </w:rPr>
        <w:t>d</w:t>
      </w:r>
      <w:r w:rsidRPr="009B2166">
        <w:rPr>
          <w:color w:val="auto"/>
        </w:rPr>
        <w:t xml:space="preserve"> Australia’s leadership in delivering on our commitments under the global Agenda for Humanity and Grand Bargain reforms, agreed at the 2016 World Humanitarian Summit (including localisation</w:t>
      </w:r>
      <w:r w:rsidR="0078495A">
        <w:rPr>
          <w:color w:val="auto"/>
        </w:rPr>
        <w:t>, humanitarian-development nexus</w:t>
      </w:r>
      <w:r w:rsidRPr="009B2166">
        <w:rPr>
          <w:color w:val="auto"/>
        </w:rPr>
        <w:t xml:space="preserve"> and support for the participation of impacted communities in decision making)</w:t>
      </w:r>
      <w:r w:rsidRPr="001465D3">
        <w:rPr>
          <w:color w:val="auto"/>
        </w:rPr>
        <w:t>.</w:t>
      </w:r>
    </w:p>
    <w:p w14:paraId="08485427" w14:textId="77777777" w:rsidR="00554126" w:rsidRPr="00A94F08" w:rsidRDefault="00554126" w:rsidP="00CF62AE">
      <w:pPr>
        <w:spacing w:after="120"/>
        <w:rPr>
          <w:b/>
          <w:color w:val="auto"/>
        </w:rPr>
      </w:pPr>
      <w:r w:rsidRPr="00A94F08">
        <w:rPr>
          <w:b/>
          <w:color w:val="auto"/>
        </w:rPr>
        <w:t>Peace</w:t>
      </w:r>
    </w:p>
    <w:p w14:paraId="40D1F942" w14:textId="2B466D10" w:rsidR="00FB7187" w:rsidRDefault="00FB7187" w:rsidP="00FB7187">
      <w:pPr>
        <w:pStyle w:val="ListBullet"/>
        <w:tabs>
          <w:tab w:val="clear" w:pos="284"/>
        </w:tabs>
        <w:spacing w:before="120" w:after="60" w:line="230" w:lineRule="atLeast"/>
        <w:rPr>
          <w:rFonts w:asciiTheme="minorHAnsi" w:eastAsiaTheme="minorHAnsi" w:hAnsiTheme="minorHAnsi" w:cstheme="minorBidi"/>
          <w:sz w:val="22"/>
          <w:szCs w:val="22"/>
          <w:lang w:val="en-GB" w:eastAsia="en-US"/>
        </w:rPr>
      </w:pPr>
      <w:r w:rsidRPr="00DE71BE">
        <w:rPr>
          <w:rFonts w:asciiTheme="minorHAnsi" w:eastAsiaTheme="minorHAnsi" w:hAnsiTheme="minorHAnsi" w:cstheme="minorBidi"/>
          <w:sz w:val="22"/>
          <w:szCs w:val="22"/>
          <w:lang w:val="en-GB" w:eastAsia="en-US"/>
        </w:rPr>
        <w:t xml:space="preserve">Despite some valuable contributions and an upswing in performance towards the end of the reporting period, the peace program continues to face challenges to its effectiveness, primarily </w:t>
      </w:r>
      <w:r>
        <w:rPr>
          <w:rFonts w:asciiTheme="minorHAnsi" w:eastAsiaTheme="minorHAnsi" w:hAnsiTheme="minorHAnsi" w:cstheme="minorBidi"/>
          <w:sz w:val="22"/>
          <w:szCs w:val="22"/>
          <w:lang w:val="en-GB" w:eastAsia="en-US"/>
        </w:rPr>
        <w:t>due to the stalemate on progress of</w:t>
      </w:r>
      <w:r w:rsidRPr="00DE71BE">
        <w:rPr>
          <w:rFonts w:asciiTheme="minorHAnsi" w:eastAsiaTheme="minorHAnsi" w:hAnsiTheme="minorHAnsi" w:cstheme="minorBidi"/>
          <w:sz w:val="22"/>
          <w:szCs w:val="22"/>
          <w:lang w:val="en-GB" w:eastAsia="en-US"/>
        </w:rPr>
        <w:t xml:space="preserve"> the nationwide peace process. It has therefore maintained the same rating as last</w:t>
      </w:r>
      <w:r w:rsidR="00087E28">
        <w:rPr>
          <w:rFonts w:asciiTheme="minorHAnsi" w:eastAsiaTheme="minorHAnsi" w:hAnsiTheme="minorHAnsi" w:cstheme="minorBidi"/>
          <w:sz w:val="22"/>
          <w:szCs w:val="22"/>
          <w:lang w:val="en-GB" w:eastAsia="en-US"/>
        </w:rPr>
        <w:t xml:space="preserve"> year</w:t>
      </w:r>
      <w:r>
        <w:rPr>
          <w:rFonts w:asciiTheme="minorHAnsi" w:eastAsiaTheme="minorHAnsi" w:hAnsiTheme="minorHAnsi" w:cstheme="minorBidi"/>
          <w:sz w:val="22"/>
          <w:szCs w:val="22"/>
          <w:lang w:val="en-GB" w:eastAsia="en-US"/>
        </w:rPr>
        <w:t>.</w:t>
      </w:r>
      <w:r w:rsidRPr="002D0737">
        <w:rPr>
          <w:rFonts w:asciiTheme="minorHAnsi" w:eastAsiaTheme="minorHAnsi" w:hAnsiTheme="minorHAnsi" w:cstheme="minorBidi"/>
          <w:sz w:val="22"/>
          <w:szCs w:val="22"/>
          <w:lang w:val="en-GB" w:eastAsia="en-US"/>
        </w:rPr>
        <w:t xml:space="preserve"> </w:t>
      </w:r>
    </w:p>
    <w:p w14:paraId="4EED330A" w14:textId="014D81C0" w:rsidR="00F83739" w:rsidRPr="00F83739" w:rsidRDefault="00F83739" w:rsidP="00F83739">
      <w:pPr>
        <w:spacing w:after="120"/>
        <w:rPr>
          <w:color w:val="auto"/>
        </w:rPr>
      </w:pPr>
      <w:r w:rsidRPr="00F83739">
        <w:rPr>
          <w:color w:val="auto"/>
        </w:rPr>
        <w:t xml:space="preserve">The Myanmar peace process is undeniably challenging, involving at least 21 ethnic armed groups, the </w:t>
      </w:r>
      <w:r w:rsidR="00970ADB">
        <w:rPr>
          <w:color w:val="auto"/>
        </w:rPr>
        <w:t xml:space="preserve">Myanmar </w:t>
      </w:r>
      <w:r w:rsidRPr="00F83739">
        <w:rPr>
          <w:color w:val="auto"/>
        </w:rPr>
        <w:t xml:space="preserve">Government and </w:t>
      </w:r>
      <w:r w:rsidR="00970ADB">
        <w:rPr>
          <w:color w:val="auto"/>
        </w:rPr>
        <w:t>the</w:t>
      </w:r>
      <w:r w:rsidRPr="00F83739">
        <w:rPr>
          <w:color w:val="auto"/>
        </w:rPr>
        <w:t xml:space="preserve"> military.  Four years on from signing the Nationwide Ceasefire Agreement, there remains a long way to go to have all armed groups agree to a ceasefire, let alone reach a political accord that reflects an acceptable degree of federalism or political self-determination for all parties. </w:t>
      </w:r>
      <w:r w:rsidR="00970ADB">
        <w:rPr>
          <w:color w:val="auto"/>
        </w:rPr>
        <w:t>P</w:t>
      </w:r>
      <w:r w:rsidRPr="00F83739">
        <w:rPr>
          <w:color w:val="auto"/>
        </w:rPr>
        <w:t>eace processes are not linear, often experiencing set-backs</w:t>
      </w:r>
      <w:r w:rsidR="00970ADB">
        <w:rPr>
          <w:color w:val="auto"/>
        </w:rPr>
        <w:t>, and during this reporting period Myanmar’s peace process experienced substantial set-backs</w:t>
      </w:r>
      <w:r w:rsidRPr="00F83739">
        <w:rPr>
          <w:color w:val="auto"/>
        </w:rPr>
        <w:t>.  Significant obstacles arose during 2018 hindering progress on peace in Myanmar. These obstacles included:</w:t>
      </w:r>
    </w:p>
    <w:p w14:paraId="7CCBE890" w14:textId="195A9DB5" w:rsidR="00F83739" w:rsidRPr="00970ADB" w:rsidRDefault="00F83739" w:rsidP="00970ADB">
      <w:pPr>
        <w:pStyle w:val="ListParagraph"/>
        <w:numPr>
          <w:ilvl w:val="0"/>
          <w:numId w:val="38"/>
        </w:numPr>
        <w:rPr>
          <w:rFonts w:asciiTheme="minorHAnsi" w:eastAsiaTheme="minorHAnsi" w:hAnsiTheme="minorHAnsi" w:cstheme="minorBidi"/>
          <w:sz w:val="22"/>
          <w:szCs w:val="22"/>
          <w:lang w:val="en-GB"/>
        </w:rPr>
      </w:pPr>
      <w:r w:rsidRPr="00970ADB">
        <w:rPr>
          <w:rFonts w:asciiTheme="minorHAnsi" w:eastAsiaTheme="minorHAnsi" w:hAnsiTheme="minorHAnsi" w:cstheme="minorBidi"/>
          <w:sz w:val="22"/>
          <w:szCs w:val="22"/>
          <w:lang w:val="en-GB"/>
        </w:rPr>
        <w:t>diversion of the government’s focus from nationwide peace processes to address the Rakhine crisis</w:t>
      </w:r>
    </w:p>
    <w:p w14:paraId="35A5C5AA" w14:textId="77777777" w:rsidR="00F83739" w:rsidRPr="00970ADB" w:rsidRDefault="00F83739" w:rsidP="00970ADB">
      <w:pPr>
        <w:pStyle w:val="ListParagraph"/>
        <w:numPr>
          <w:ilvl w:val="0"/>
          <w:numId w:val="38"/>
        </w:numPr>
        <w:rPr>
          <w:rFonts w:asciiTheme="minorHAnsi" w:eastAsiaTheme="minorHAnsi" w:hAnsiTheme="minorHAnsi" w:cstheme="minorBidi"/>
          <w:sz w:val="22"/>
          <w:szCs w:val="22"/>
          <w:lang w:val="en-GB"/>
        </w:rPr>
      </w:pPr>
      <w:r w:rsidRPr="00970ADB">
        <w:rPr>
          <w:rFonts w:asciiTheme="minorHAnsi" w:eastAsiaTheme="minorHAnsi" w:hAnsiTheme="minorHAnsi" w:cstheme="minorBidi"/>
          <w:sz w:val="22"/>
          <w:szCs w:val="22"/>
          <w:lang w:val="en-GB"/>
        </w:rPr>
        <w:t>growing disenchantment among ethnic armed organisations and civil society with the peace process</w:t>
      </w:r>
    </w:p>
    <w:p w14:paraId="339CCD38" w14:textId="4FE1D718" w:rsidR="00F83739" w:rsidRPr="00970ADB" w:rsidRDefault="00F83739" w:rsidP="00970ADB">
      <w:pPr>
        <w:pStyle w:val="ListParagraph"/>
        <w:numPr>
          <w:ilvl w:val="0"/>
          <w:numId w:val="38"/>
        </w:numPr>
        <w:rPr>
          <w:rFonts w:asciiTheme="minorHAnsi" w:eastAsiaTheme="minorHAnsi" w:hAnsiTheme="minorHAnsi" w:cstheme="minorBidi"/>
          <w:sz w:val="22"/>
          <w:szCs w:val="22"/>
          <w:lang w:val="en-GB"/>
        </w:rPr>
      </w:pPr>
      <w:r w:rsidRPr="00970ADB">
        <w:rPr>
          <w:rFonts w:asciiTheme="minorHAnsi" w:eastAsiaTheme="minorHAnsi" w:hAnsiTheme="minorHAnsi" w:cstheme="minorBidi"/>
          <w:sz w:val="22"/>
          <w:szCs w:val="22"/>
          <w:lang w:val="en-GB"/>
        </w:rPr>
        <w:t>a pause on active participation in ceasefire monitoring and formal negotiations by the two most influential signatories to the Nationwide Ceasefire Agreement</w:t>
      </w:r>
    </w:p>
    <w:p w14:paraId="2179BB9B" w14:textId="2DB2A80D" w:rsidR="00F83739" w:rsidRPr="00970ADB" w:rsidRDefault="00F83739" w:rsidP="00970ADB">
      <w:pPr>
        <w:pStyle w:val="ListParagraph"/>
        <w:numPr>
          <w:ilvl w:val="0"/>
          <w:numId w:val="38"/>
        </w:numPr>
        <w:rPr>
          <w:rFonts w:asciiTheme="minorHAnsi" w:eastAsiaTheme="minorHAnsi" w:hAnsiTheme="minorHAnsi" w:cstheme="minorBidi"/>
          <w:sz w:val="22"/>
          <w:szCs w:val="22"/>
          <w:lang w:val="en-GB"/>
        </w:rPr>
      </w:pPr>
      <w:r w:rsidRPr="00970ADB">
        <w:rPr>
          <w:rFonts w:asciiTheme="minorHAnsi" w:eastAsiaTheme="minorHAnsi" w:hAnsiTheme="minorHAnsi" w:cstheme="minorBidi"/>
          <w:sz w:val="22"/>
          <w:szCs w:val="22"/>
          <w:lang w:val="en-GB"/>
        </w:rPr>
        <w:t>ongoing conflict in Shan State throughout the period</w:t>
      </w:r>
      <w:r w:rsidR="00970ADB">
        <w:rPr>
          <w:rFonts w:asciiTheme="minorHAnsi" w:eastAsiaTheme="minorHAnsi" w:hAnsiTheme="minorHAnsi" w:cstheme="minorBidi"/>
          <w:sz w:val="22"/>
          <w:szCs w:val="22"/>
          <w:lang w:val="en-GB"/>
        </w:rPr>
        <w:t>.</w:t>
      </w:r>
    </w:p>
    <w:p w14:paraId="561EF01D" w14:textId="39C0E777" w:rsidR="00F83739" w:rsidRPr="00F83739" w:rsidRDefault="00F83739" w:rsidP="00F83739">
      <w:pPr>
        <w:spacing w:after="120"/>
        <w:rPr>
          <w:color w:val="auto"/>
        </w:rPr>
      </w:pPr>
      <w:r w:rsidRPr="00F83739">
        <w:rPr>
          <w:color w:val="auto"/>
        </w:rPr>
        <w:t xml:space="preserve">The eruption of </w:t>
      </w:r>
      <w:r w:rsidR="000A7DD3">
        <w:rPr>
          <w:color w:val="auto"/>
        </w:rPr>
        <w:t xml:space="preserve">renewed </w:t>
      </w:r>
      <w:r w:rsidRPr="00F83739">
        <w:rPr>
          <w:color w:val="auto"/>
        </w:rPr>
        <w:t xml:space="preserve">conflict in central and northern Rakhine State </w:t>
      </w:r>
      <w:r w:rsidR="000A7DD3">
        <w:rPr>
          <w:color w:val="auto"/>
        </w:rPr>
        <w:t xml:space="preserve">and in northern Shan State </w:t>
      </w:r>
      <w:r w:rsidRPr="00F83739">
        <w:rPr>
          <w:color w:val="auto"/>
        </w:rPr>
        <w:t xml:space="preserve">will create further difficulties in achieving peace in the near future. </w:t>
      </w:r>
    </w:p>
    <w:p w14:paraId="7BEE7B52" w14:textId="4AA4EC38" w:rsidR="00F83739" w:rsidRPr="00F83739" w:rsidRDefault="00970ADB" w:rsidP="00F83739">
      <w:pPr>
        <w:spacing w:after="120"/>
        <w:rPr>
          <w:color w:val="auto"/>
        </w:rPr>
      </w:pPr>
      <w:r>
        <w:rPr>
          <w:color w:val="auto"/>
        </w:rPr>
        <w:t>S</w:t>
      </w:r>
      <w:r w:rsidR="00F83739" w:rsidRPr="00F83739">
        <w:rPr>
          <w:color w:val="auto"/>
        </w:rPr>
        <w:t>ustain</w:t>
      </w:r>
      <w:r>
        <w:rPr>
          <w:color w:val="auto"/>
        </w:rPr>
        <w:t>ing</w:t>
      </w:r>
      <w:r w:rsidR="00F83739" w:rsidRPr="00F83739">
        <w:rPr>
          <w:color w:val="auto"/>
        </w:rPr>
        <w:t xml:space="preserve"> engagement, even during downturns</w:t>
      </w:r>
      <w:r>
        <w:rPr>
          <w:color w:val="auto"/>
        </w:rPr>
        <w:t>,</w:t>
      </w:r>
      <w:r w:rsidRPr="00970ADB">
        <w:rPr>
          <w:color w:val="auto"/>
        </w:rPr>
        <w:t xml:space="preserve"> </w:t>
      </w:r>
      <w:r>
        <w:rPr>
          <w:color w:val="auto"/>
        </w:rPr>
        <w:t>is vital to</w:t>
      </w:r>
      <w:r w:rsidRPr="00F83739">
        <w:rPr>
          <w:color w:val="auto"/>
        </w:rPr>
        <w:t xml:space="preserve"> peacebuilding efforts</w:t>
      </w:r>
      <w:r>
        <w:rPr>
          <w:color w:val="auto"/>
        </w:rPr>
        <w:t xml:space="preserve"> through</w:t>
      </w:r>
      <w:r w:rsidR="00F83739" w:rsidRPr="00F83739">
        <w:rPr>
          <w:color w:val="auto"/>
        </w:rPr>
        <w:t xml:space="preserve"> support</w:t>
      </w:r>
      <w:r>
        <w:rPr>
          <w:color w:val="auto"/>
        </w:rPr>
        <w:t>ing</w:t>
      </w:r>
      <w:r w:rsidR="00F83739" w:rsidRPr="00F83739">
        <w:rPr>
          <w:color w:val="auto"/>
        </w:rPr>
        <w:t xml:space="preserve"> dialogue and </w:t>
      </w:r>
      <w:r w:rsidRPr="00F83739">
        <w:rPr>
          <w:color w:val="auto"/>
        </w:rPr>
        <w:t xml:space="preserve">building </w:t>
      </w:r>
      <w:r w:rsidR="00F83739" w:rsidRPr="00F83739">
        <w:rPr>
          <w:color w:val="auto"/>
        </w:rPr>
        <w:t>trust. Though the formal process stalled in 2018, informal discussions and trust building measures continued between the Government, military and sev</w:t>
      </w:r>
      <w:r w:rsidR="00103754">
        <w:rPr>
          <w:color w:val="auto"/>
        </w:rPr>
        <w:t>eral ethnic armed organisations. This is</w:t>
      </w:r>
      <w:r w:rsidR="00F83739" w:rsidRPr="00F83739">
        <w:rPr>
          <w:color w:val="auto"/>
        </w:rPr>
        <w:t xml:space="preserve"> sustaining hope that progress towards eventual political settlements</w:t>
      </w:r>
      <w:r w:rsidR="00103754">
        <w:rPr>
          <w:color w:val="auto"/>
        </w:rPr>
        <w:t xml:space="preserve"> will occur.</w:t>
      </w:r>
    </w:p>
    <w:p w14:paraId="06FE037C" w14:textId="52194363" w:rsidR="00F83739" w:rsidRPr="00F83739" w:rsidRDefault="00F83739" w:rsidP="00F83739">
      <w:pPr>
        <w:spacing w:after="120"/>
        <w:rPr>
          <w:color w:val="auto"/>
        </w:rPr>
      </w:pPr>
      <w:r w:rsidRPr="00F83739">
        <w:rPr>
          <w:color w:val="auto"/>
        </w:rPr>
        <w:t>The Myanmar Australia Peace Support program (MAPS, $5.8 million 2018-19) places Australia’s multi-year investment to the multi-donor Joint Peace Fund (JPF) at the heart of our support</w:t>
      </w:r>
      <w:r w:rsidR="00A65F30">
        <w:rPr>
          <w:color w:val="auto"/>
        </w:rPr>
        <w:t xml:space="preserve"> in the peace process</w:t>
      </w:r>
      <w:r w:rsidRPr="00F83739">
        <w:rPr>
          <w:color w:val="auto"/>
        </w:rPr>
        <w:t>. The JPF is an 11-donor fund</w:t>
      </w:r>
      <w:r w:rsidR="00980003">
        <w:rPr>
          <w:color w:val="auto"/>
        </w:rPr>
        <w:t xml:space="preserve">, </w:t>
      </w:r>
      <w:r w:rsidRPr="00F83739">
        <w:rPr>
          <w:color w:val="auto"/>
        </w:rPr>
        <w:t xml:space="preserve">endorsed by the Government of Myanmar, that supports nationwide conflict </w:t>
      </w:r>
      <w:r w:rsidRPr="00F83739">
        <w:rPr>
          <w:color w:val="auto"/>
        </w:rPr>
        <w:lastRenderedPageBreak/>
        <w:t>management mechan</w:t>
      </w:r>
      <w:r w:rsidR="00A65F30">
        <w:rPr>
          <w:color w:val="auto"/>
        </w:rPr>
        <w:t xml:space="preserve">isms, </w:t>
      </w:r>
      <w:r w:rsidR="00980003">
        <w:rPr>
          <w:color w:val="auto"/>
        </w:rPr>
        <w:t xml:space="preserve">and </w:t>
      </w:r>
      <w:r w:rsidR="00A65F30">
        <w:rPr>
          <w:color w:val="auto"/>
        </w:rPr>
        <w:t>peace negotiations among</w:t>
      </w:r>
      <w:r w:rsidRPr="00F83739">
        <w:rPr>
          <w:color w:val="auto"/>
        </w:rPr>
        <w:t xml:space="preserve"> all parties to conflict, and seeks to improve public involvement in the peace process. Australia sits on </w:t>
      </w:r>
      <w:r w:rsidR="00980003">
        <w:rPr>
          <w:color w:val="auto"/>
        </w:rPr>
        <w:t>the JTF</w:t>
      </w:r>
      <w:r w:rsidRPr="00F83739">
        <w:rPr>
          <w:color w:val="auto"/>
        </w:rPr>
        <w:t xml:space="preserve"> Governing Board. </w:t>
      </w:r>
      <w:r w:rsidR="00980003">
        <w:rPr>
          <w:color w:val="auto"/>
        </w:rPr>
        <w:t xml:space="preserve">Through </w:t>
      </w:r>
      <w:r w:rsidR="00A65F30">
        <w:rPr>
          <w:color w:val="auto"/>
        </w:rPr>
        <w:t xml:space="preserve">Australia’s guidance, the JPF improved its performance by </w:t>
      </w:r>
      <w:r w:rsidRPr="00F83739">
        <w:rPr>
          <w:color w:val="auto"/>
        </w:rPr>
        <w:t xml:space="preserve">refining its strategic focus, and improving its monitoring and evaluation and </w:t>
      </w:r>
      <w:r w:rsidR="00980003">
        <w:rPr>
          <w:color w:val="auto"/>
        </w:rPr>
        <w:t xml:space="preserve">its </w:t>
      </w:r>
      <w:r w:rsidRPr="00F83739">
        <w:rPr>
          <w:color w:val="auto"/>
        </w:rPr>
        <w:t xml:space="preserve">grant making efficiency.  </w:t>
      </w:r>
      <w:r w:rsidR="00980003">
        <w:rPr>
          <w:color w:val="auto"/>
        </w:rPr>
        <w:t>D</w:t>
      </w:r>
      <w:r w:rsidR="00980003" w:rsidRPr="00F83739">
        <w:rPr>
          <w:color w:val="auto"/>
        </w:rPr>
        <w:t>emonstrating appropriate flexibility</w:t>
      </w:r>
      <w:r w:rsidR="00980003">
        <w:rPr>
          <w:color w:val="auto"/>
        </w:rPr>
        <w:t xml:space="preserve">, the </w:t>
      </w:r>
      <w:r w:rsidRPr="00F83739">
        <w:rPr>
          <w:color w:val="auto"/>
        </w:rPr>
        <w:t>JPF shifted focus</w:t>
      </w:r>
      <w:r w:rsidR="00980003">
        <w:rPr>
          <w:color w:val="auto"/>
        </w:rPr>
        <w:t xml:space="preserve"> when the</w:t>
      </w:r>
      <w:r w:rsidR="00980003" w:rsidRPr="00F83739">
        <w:rPr>
          <w:color w:val="auto"/>
        </w:rPr>
        <w:t xml:space="preserve"> slowdown in momentum of the formal peace process </w:t>
      </w:r>
      <w:r w:rsidR="00980003">
        <w:rPr>
          <w:color w:val="auto"/>
        </w:rPr>
        <w:t xml:space="preserve">occurred </w:t>
      </w:r>
      <w:r w:rsidR="00980003" w:rsidRPr="00F83739">
        <w:rPr>
          <w:color w:val="auto"/>
        </w:rPr>
        <w:t xml:space="preserve">in 2018, </w:t>
      </w:r>
      <w:r w:rsidR="00980003">
        <w:rPr>
          <w:color w:val="auto"/>
        </w:rPr>
        <w:t>by</w:t>
      </w:r>
      <w:r w:rsidR="00980003" w:rsidRPr="00F83739">
        <w:rPr>
          <w:color w:val="auto"/>
        </w:rPr>
        <w:t xml:space="preserve"> </w:t>
      </w:r>
      <w:r w:rsidR="00980003">
        <w:rPr>
          <w:color w:val="auto"/>
        </w:rPr>
        <w:t xml:space="preserve">working at the grass roots level, and </w:t>
      </w:r>
      <w:r w:rsidRPr="00F83739">
        <w:rPr>
          <w:color w:val="auto"/>
        </w:rPr>
        <w:t>concentrating on improving public awareness of, and civil society part</w:t>
      </w:r>
      <w:r w:rsidR="00980003">
        <w:rPr>
          <w:color w:val="auto"/>
        </w:rPr>
        <w:t>icipation in, the peace process.</w:t>
      </w:r>
      <w:r w:rsidRPr="00F83739">
        <w:rPr>
          <w:color w:val="auto"/>
        </w:rPr>
        <w:t xml:space="preserve"> The JPF remained responsive to requests for technical advice from official peace process leaders, and support to the official nationwide ceasefire mechanism</w:t>
      </w:r>
      <w:r w:rsidR="00980003">
        <w:rPr>
          <w:color w:val="auto"/>
        </w:rPr>
        <w:t>.</w:t>
      </w:r>
    </w:p>
    <w:p w14:paraId="59D867EA" w14:textId="2E3B15A4" w:rsidR="00F83739" w:rsidRPr="00F83739" w:rsidRDefault="00844729" w:rsidP="00F83739">
      <w:pPr>
        <w:spacing w:after="120"/>
        <w:rPr>
          <w:color w:val="auto"/>
        </w:rPr>
      </w:pPr>
      <w:r>
        <w:rPr>
          <w:color w:val="auto"/>
        </w:rPr>
        <w:t>Australia also supported</w:t>
      </w:r>
      <w:r w:rsidR="00F83739" w:rsidRPr="00F83739">
        <w:rPr>
          <w:color w:val="auto"/>
        </w:rPr>
        <w:t xml:space="preserve"> the work of the Paung Sie Facility (PSF), </w:t>
      </w:r>
      <w:r w:rsidR="004422DA">
        <w:rPr>
          <w:color w:val="auto"/>
        </w:rPr>
        <w:t xml:space="preserve">under MAPS, </w:t>
      </w:r>
      <w:r w:rsidR="00F83739" w:rsidRPr="00F83739">
        <w:rPr>
          <w:color w:val="auto"/>
        </w:rPr>
        <w:t xml:space="preserve">which works to improve social cohesion and inter-communal harmony across Myanmar.  </w:t>
      </w:r>
      <w:r w:rsidR="00194056">
        <w:rPr>
          <w:color w:val="auto"/>
        </w:rPr>
        <w:t>T</w:t>
      </w:r>
      <w:r w:rsidR="00F83739" w:rsidRPr="00F83739">
        <w:rPr>
          <w:color w:val="auto"/>
        </w:rPr>
        <w:t>he P</w:t>
      </w:r>
      <w:r w:rsidR="004422DA">
        <w:rPr>
          <w:color w:val="auto"/>
        </w:rPr>
        <w:t xml:space="preserve">SF’s support </w:t>
      </w:r>
      <w:r w:rsidR="00194056">
        <w:rPr>
          <w:color w:val="auto"/>
        </w:rPr>
        <w:t>was c</w:t>
      </w:r>
      <w:r w:rsidR="00194056" w:rsidRPr="00F83739">
        <w:rPr>
          <w:color w:val="auto"/>
        </w:rPr>
        <w:t xml:space="preserve">ritically </w:t>
      </w:r>
      <w:r w:rsidR="00194056">
        <w:rPr>
          <w:color w:val="auto"/>
        </w:rPr>
        <w:t xml:space="preserve">important </w:t>
      </w:r>
      <w:r w:rsidR="00F83739" w:rsidRPr="00F83739">
        <w:rPr>
          <w:color w:val="auto"/>
        </w:rPr>
        <w:t xml:space="preserve">to </w:t>
      </w:r>
      <w:r w:rsidR="004422DA">
        <w:rPr>
          <w:color w:val="auto"/>
        </w:rPr>
        <w:t xml:space="preserve">the </w:t>
      </w:r>
      <w:r w:rsidR="00F83739" w:rsidRPr="00F83739">
        <w:rPr>
          <w:color w:val="auto"/>
        </w:rPr>
        <w:t>Rakhine Advisory Commissio</w:t>
      </w:r>
      <w:r w:rsidR="00194056">
        <w:rPr>
          <w:color w:val="auto"/>
        </w:rPr>
        <w:t>n recommendations, including to the</w:t>
      </w:r>
      <w:r w:rsidR="00F83739" w:rsidRPr="00F83739">
        <w:rPr>
          <w:color w:val="auto"/>
        </w:rPr>
        <w:t xml:space="preserve"> work of the Advisory Board to the Myanmar Government’s Committee for Implementation of the </w:t>
      </w:r>
      <w:r w:rsidR="00194056">
        <w:rPr>
          <w:color w:val="auto"/>
        </w:rPr>
        <w:t xml:space="preserve">Advisory Commission’s </w:t>
      </w:r>
      <w:r w:rsidR="00F83739" w:rsidRPr="00F83739">
        <w:rPr>
          <w:color w:val="auto"/>
        </w:rPr>
        <w:t>Recommendations on Rakhine State</w:t>
      </w:r>
      <w:r w:rsidR="004422DA">
        <w:rPr>
          <w:color w:val="auto"/>
        </w:rPr>
        <w:t xml:space="preserve">. </w:t>
      </w:r>
      <w:r w:rsidR="00923995">
        <w:rPr>
          <w:color w:val="auto"/>
        </w:rPr>
        <w:t xml:space="preserve">Through </w:t>
      </w:r>
      <w:r w:rsidR="00F83739" w:rsidRPr="00F83739">
        <w:rPr>
          <w:color w:val="auto"/>
        </w:rPr>
        <w:t>MAPS</w:t>
      </w:r>
      <w:r w:rsidR="00923995">
        <w:rPr>
          <w:color w:val="auto"/>
        </w:rPr>
        <w:t xml:space="preserve">, </w:t>
      </w:r>
      <w:r>
        <w:rPr>
          <w:color w:val="auto"/>
        </w:rPr>
        <w:t>we also supported</w:t>
      </w:r>
      <w:r w:rsidR="00F83739" w:rsidRPr="00F83739">
        <w:rPr>
          <w:color w:val="auto"/>
        </w:rPr>
        <w:t xml:space="preserve"> the work of the Centre for Humanitarian Dialogue (</w:t>
      </w:r>
      <w:r>
        <w:rPr>
          <w:color w:val="auto"/>
        </w:rPr>
        <w:t>C</w:t>
      </w:r>
      <w:r w:rsidR="00F83739" w:rsidRPr="00F83739">
        <w:rPr>
          <w:color w:val="auto"/>
        </w:rPr>
        <w:t>HD)</w:t>
      </w:r>
      <w:r w:rsidR="00923995">
        <w:rPr>
          <w:color w:val="auto"/>
        </w:rPr>
        <w:t>.</w:t>
      </w:r>
      <w:r w:rsidR="00F83739" w:rsidRPr="00F83739">
        <w:rPr>
          <w:color w:val="auto"/>
        </w:rPr>
        <w:t xml:space="preserve"> </w:t>
      </w:r>
      <w:r>
        <w:rPr>
          <w:color w:val="auto"/>
        </w:rPr>
        <w:t>C</w:t>
      </w:r>
      <w:r w:rsidR="00923995">
        <w:rPr>
          <w:color w:val="auto"/>
        </w:rPr>
        <w:t>HD</w:t>
      </w:r>
      <w:r w:rsidR="00923995" w:rsidRPr="00F83739">
        <w:rPr>
          <w:color w:val="auto"/>
        </w:rPr>
        <w:t xml:space="preserve"> </w:t>
      </w:r>
      <w:r w:rsidR="00F83739" w:rsidRPr="00F83739">
        <w:rPr>
          <w:color w:val="auto"/>
        </w:rPr>
        <w:t>works to mediate disputes between armed actors in Myanmar</w:t>
      </w:r>
      <w:r w:rsidR="003D3643">
        <w:rPr>
          <w:color w:val="auto"/>
        </w:rPr>
        <w:t xml:space="preserve"> </w:t>
      </w:r>
      <w:r w:rsidR="00923995">
        <w:rPr>
          <w:color w:val="auto"/>
        </w:rPr>
        <w:t>through</w:t>
      </w:r>
      <w:r w:rsidR="00F83739" w:rsidRPr="00F83739">
        <w:rPr>
          <w:color w:val="auto"/>
        </w:rPr>
        <w:t xml:space="preserve"> confidentiality and neutrality.  HD’s work was instrumental in mitigating conflict and building trust between several parties throughout </w:t>
      </w:r>
      <w:r w:rsidR="00923995">
        <w:rPr>
          <w:color w:val="auto"/>
        </w:rPr>
        <w:t>2018-19</w:t>
      </w:r>
      <w:r w:rsidR="00F83739" w:rsidRPr="00F83739">
        <w:rPr>
          <w:color w:val="auto"/>
        </w:rPr>
        <w:t>.</w:t>
      </w:r>
    </w:p>
    <w:p w14:paraId="09FD2BBE" w14:textId="2B7555C6" w:rsidR="003E02B9" w:rsidRDefault="00F83739" w:rsidP="003E02B9">
      <w:pPr>
        <w:spacing w:after="120"/>
        <w:rPr>
          <w:color w:val="auto"/>
        </w:rPr>
      </w:pPr>
      <w:r w:rsidRPr="00F83739">
        <w:rPr>
          <w:color w:val="auto"/>
        </w:rPr>
        <w:t>The 2018 mid-t</w:t>
      </w:r>
      <w:r w:rsidR="00276F92">
        <w:rPr>
          <w:color w:val="auto"/>
        </w:rPr>
        <w:t xml:space="preserve">erm review determined MAPS is </w:t>
      </w:r>
      <w:r w:rsidRPr="00F83739">
        <w:rPr>
          <w:color w:val="auto"/>
        </w:rPr>
        <w:t xml:space="preserve">making a positive contribution to Myanmar, helping build and sustain confidence in the locally-led peace process, improving inclusivity in general </w:t>
      </w:r>
      <w:r w:rsidR="00276F92">
        <w:rPr>
          <w:color w:val="auto"/>
        </w:rPr>
        <w:t>with</w:t>
      </w:r>
      <w:r w:rsidRPr="00F83739">
        <w:rPr>
          <w:color w:val="auto"/>
        </w:rPr>
        <w:t xml:space="preserve"> a </w:t>
      </w:r>
      <w:r w:rsidR="00276F92">
        <w:rPr>
          <w:color w:val="auto"/>
        </w:rPr>
        <w:t xml:space="preserve">specific </w:t>
      </w:r>
      <w:r w:rsidRPr="00F83739">
        <w:rPr>
          <w:color w:val="auto"/>
        </w:rPr>
        <w:t xml:space="preserve">focus on women, peace and security, and meeting some needs of the people affected by conflict. </w:t>
      </w:r>
      <w:r w:rsidR="00844729">
        <w:rPr>
          <w:color w:val="auto"/>
        </w:rPr>
        <w:t>The review</w:t>
      </w:r>
      <w:r w:rsidR="003E02B9">
        <w:rPr>
          <w:color w:val="auto"/>
        </w:rPr>
        <w:t xml:space="preserve"> states M</w:t>
      </w:r>
      <w:r w:rsidR="00276F92">
        <w:rPr>
          <w:color w:val="auto"/>
        </w:rPr>
        <w:t>APS was instrumental, through its support, in</w:t>
      </w:r>
      <w:r w:rsidRPr="00F83739">
        <w:rPr>
          <w:color w:val="auto"/>
        </w:rPr>
        <w:t xml:space="preserve"> the unblocking of</w:t>
      </w:r>
      <w:r w:rsidR="003E02B9">
        <w:rPr>
          <w:color w:val="auto"/>
        </w:rPr>
        <w:t xml:space="preserve"> the</w:t>
      </w:r>
      <w:r w:rsidRPr="00F83739">
        <w:rPr>
          <w:color w:val="auto"/>
        </w:rPr>
        <w:t xml:space="preserve"> deadlocked </w:t>
      </w:r>
      <w:r w:rsidR="003E02B9">
        <w:rPr>
          <w:color w:val="auto"/>
        </w:rPr>
        <w:t xml:space="preserve">peace process </w:t>
      </w:r>
      <w:r w:rsidRPr="00F83739">
        <w:rPr>
          <w:color w:val="auto"/>
        </w:rPr>
        <w:t>negotiations in late 2018</w:t>
      </w:r>
      <w:r w:rsidR="00276F92">
        <w:rPr>
          <w:color w:val="auto"/>
        </w:rPr>
        <w:t>.</w:t>
      </w:r>
      <w:r w:rsidR="00844729">
        <w:rPr>
          <w:color w:val="auto"/>
        </w:rPr>
        <w:t xml:space="preserve"> Adding to this, it made</w:t>
      </w:r>
      <w:r w:rsidRPr="00F83739">
        <w:rPr>
          <w:color w:val="auto"/>
        </w:rPr>
        <w:t xml:space="preserve"> important contributions to the women, peace and security agenda </w:t>
      </w:r>
      <w:r w:rsidR="003E02B9">
        <w:rPr>
          <w:color w:val="auto"/>
        </w:rPr>
        <w:t xml:space="preserve">by </w:t>
      </w:r>
      <w:r w:rsidRPr="00F83739">
        <w:rPr>
          <w:color w:val="auto"/>
        </w:rPr>
        <w:t xml:space="preserve">increasing women’s participation in the formal peace process from 17 to </w:t>
      </w:r>
      <w:r w:rsidR="003E12DB" w:rsidRPr="00F83739">
        <w:rPr>
          <w:color w:val="auto"/>
        </w:rPr>
        <w:t>2</w:t>
      </w:r>
      <w:r w:rsidR="003E12DB">
        <w:rPr>
          <w:color w:val="auto"/>
        </w:rPr>
        <w:t>1</w:t>
      </w:r>
      <w:r w:rsidR="003E12DB" w:rsidRPr="00F83739">
        <w:rPr>
          <w:color w:val="auto"/>
        </w:rPr>
        <w:t xml:space="preserve"> </w:t>
      </w:r>
      <w:r w:rsidRPr="00F83739">
        <w:rPr>
          <w:color w:val="auto"/>
        </w:rPr>
        <w:t>per cent, and heightening the focus on responding to sexual</w:t>
      </w:r>
      <w:r w:rsidR="003D3643">
        <w:rPr>
          <w:color w:val="auto"/>
        </w:rPr>
        <w:t>-</w:t>
      </w:r>
      <w:r w:rsidRPr="00F83739">
        <w:rPr>
          <w:color w:val="auto"/>
        </w:rPr>
        <w:t xml:space="preserve"> and gender</w:t>
      </w:r>
      <w:r w:rsidR="003D3643">
        <w:rPr>
          <w:color w:val="auto"/>
        </w:rPr>
        <w:t>-</w:t>
      </w:r>
      <w:r w:rsidRPr="00F83739">
        <w:rPr>
          <w:color w:val="auto"/>
        </w:rPr>
        <w:t xml:space="preserve">based violence in joint ceasefire monitoring mechanisms. MAPS also built capacity for inter-communal conflict mitigation measures in Rakhine. </w:t>
      </w:r>
    </w:p>
    <w:p w14:paraId="449F9B1F" w14:textId="0A03D8F7" w:rsidR="007138A8" w:rsidRDefault="003E02B9" w:rsidP="00E35EEA">
      <w:pPr>
        <w:spacing w:after="120"/>
        <w:rPr>
          <w:color w:val="auto"/>
        </w:rPr>
      </w:pPr>
      <w:r>
        <w:rPr>
          <w:color w:val="auto"/>
        </w:rPr>
        <w:t>T</w:t>
      </w:r>
      <w:r w:rsidR="00F83739" w:rsidRPr="00F83739">
        <w:rPr>
          <w:color w:val="auto"/>
        </w:rPr>
        <w:t xml:space="preserve">he </w:t>
      </w:r>
      <w:r>
        <w:rPr>
          <w:color w:val="auto"/>
        </w:rPr>
        <w:t xml:space="preserve">MAPS </w:t>
      </w:r>
      <w:r w:rsidR="00F83739" w:rsidRPr="00F83739">
        <w:rPr>
          <w:color w:val="auto"/>
        </w:rPr>
        <w:t>review</w:t>
      </w:r>
      <w:r>
        <w:rPr>
          <w:color w:val="auto"/>
        </w:rPr>
        <w:t>’s recommendations included</w:t>
      </w:r>
      <w:r w:rsidR="00F83739" w:rsidRPr="00F83739">
        <w:rPr>
          <w:color w:val="auto"/>
        </w:rPr>
        <w:t xml:space="preserve"> a new performance assessment framework, recalibrating ambitious objectives to a more realistic set of expected outcomes, and an associated adaptive monitoring and evaluation </w:t>
      </w:r>
      <w:r w:rsidR="00A4451B">
        <w:rPr>
          <w:color w:val="auto"/>
        </w:rPr>
        <w:t xml:space="preserve">mechanism, along with </w:t>
      </w:r>
      <w:r w:rsidR="00A4451B" w:rsidRPr="00F83739">
        <w:rPr>
          <w:color w:val="auto"/>
        </w:rPr>
        <w:t>strengthen</w:t>
      </w:r>
      <w:r w:rsidR="00A4451B">
        <w:rPr>
          <w:color w:val="auto"/>
        </w:rPr>
        <w:t>ing</w:t>
      </w:r>
      <w:r w:rsidR="00A4451B" w:rsidRPr="00F83739">
        <w:rPr>
          <w:color w:val="auto"/>
        </w:rPr>
        <w:t xml:space="preserve"> the focus on women</w:t>
      </w:r>
      <w:r w:rsidR="00EF75F7">
        <w:rPr>
          <w:color w:val="auto"/>
        </w:rPr>
        <w:t>,</w:t>
      </w:r>
      <w:r w:rsidR="00A4451B" w:rsidRPr="00F83739">
        <w:rPr>
          <w:color w:val="auto"/>
        </w:rPr>
        <w:t xml:space="preserve"> peace and security and disability inclusion</w:t>
      </w:r>
      <w:r w:rsidR="00A4451B">
        <w:rPr>
          <w:color w:val="auto"/>
        </w:rPr>
        <w:t>. The d</w:t>
      </w:r>
      <w:r w:rsidR="00F83739" w:rsidRPr="00F83739">
        <w:rPr>
          <w:color w:val="auto"/>
        </w:rPr>
        <w:t xml:space="preserve">evelopment of a new phase of MAPS in late 2019 will respond to </w:t>
      </w:r>
      <w:r w:rsidR="00A4451B">
        <w:rPr>
          <w:color w:val="auto"/>
        </w:rPr>
        <w:t>all</w:t>
      </w:r>
      <w:r w:rsidR="00F83739" w:rsidRPr="00F83739">
        <w:rPr>
          <w:color w:val="auto"/>
        </w:rPr>
        <w:t xml:space="preserve"> recommendations </w:t>
      </w:r>
      <w:r w:rsidR="00A4451B">
        <w:rPr>
          <w:color w:val="auto"/>
        </w:rPr>
        <w:t>of the review</w:t>
      </w:r>
      <w:r w:rsidR="00F83739" w:rsidRPr="00F83739">
        <w:rPr>
          <w:color w:val="auto"/>
        </w:rPr>
        <w:t xml:space="preserve">.  </w:t>
      </w:r>
      <w:r w:rsidR="007138A8" w:rsidRPr="00AC0B09">
        <w:rPr>
          <w:color w:val="auto"/>
        </w:rPr>
        <w:t xml:space="preserve">  </w:t>
      </w:r>
    </w:p>
    <w:p w14:paraId="3A0ED179" w14:textId="77777777" w:rsidR="000D39D1" w:rsidRPr="00A94F08" w:rsidRDefault="000D39D1" w:rsidP="000D39D1">
      <w:pPr>
        <w:spacing w:after="120"/>
        <w:rPr>
          <w:b/>
          <w:color w:val="auto"/>
        </w:rPr>
      </w:pPr>
      <w:r w:rsidRPr="00A94F08">
        <w:rPr>
          <w:b/>
          <w:color w:val="auto"/>
        </w:rPr>
        <w:t>Democratic governance</w:t>
      </w:r>
    </w:p>
    <w:p w14:paraId="6586E74C" w14:textId="4F6851F0" w:rsidR="000D39D1" w:rsidRDefault="000D39D1" w:rsidP="000D39D1">
      <w:pPr>
        <w:spacing w:after="120"/>
        <w:rPr>
          <w:color w:val="auto"/>
        </w:rPr>
      </w:pPr>
      <w:r>
        <w:rPr>
          <w:color w:val="auto"/>
        </w:rPr>
        <w:t xml:space="preserve">Myanmar’s government, parliament and state institutions are evolving after decades of military rule. </w:t>
      </w:r>
      <w:r w:rsidR="00CF51E5">
        <w:rPr>
          <w:color w:val="auto"/>
        </w:rPr>
        <w:t>The country</w:t>
      </w:r>
      <w:r>
        <w:rPr>
          <w:color w:val="auto"/>
        </w:rPr>
        <w:t xml:space="preserve"> </w:t>
      </w:r>
      <w:r w:rsidR="00844729">
        <w:rPr>
          <w:color w:val="auto"/>
        </w:rPr>
        <w:t>requires</w:t>
      </w:r>
      <w:r>
        <w:rPr>
          <w:color w:val="auto"/>
        </w:rPr>
        <w:t xml:space="preserve"> a complex and challenging set of reforms for its transition to dem</w:t>
      </w:r>
      <w:r w:rsidR="001E66DC">
        <w:rPr>
          <w:color w:val="auto"/>
        </w:rPr>
        <w:t xml:space="preserve">ocracy. Notably, in early 2019, </w:t>
      </w:r>
      <w:r>
        <w:rPr>
          <w:color w:val="auto"/>
        </w:rPr>
        <w:t xml:space="preserve">significant government restructuring moved the General Administration Department </w:t>
      </w:r>
      <w:r w:rsidR="00EF75F7">
        <w:rPr>
          <w:color w:val="auto"/>
        </w:rPr>
        <w:t>to</w:t>
      </w:r>
      <w:r>
        <w:rPr>
          <w:color w:val="auto"/>
        </w:rPr>
        <w:t xml:space="preserve"> civilian control</w:t>
      </w:r>
      <w:r w:rsidR="00764157">
        <w:rPr>
          <w:color w:val="auto"/>
        </w:rPr>
        <w:t>,</w:t>
      </w:r>
      <w:r>
        <w:rPr>
          <w:color w:val="auto"/>
        </w:rPr>
        <w:t xml:space="preserve"> and a greater focus and discussion on constitutional reform</w:t>
      </w:r>
      <w:r w:rsidR="003D3643">
        <w:rPr>
          <w:color w:val="auto"/>
        </w:rPr>
        <w:t xml:space="preserve"> began</w:t>
      </w:r>
      <w:r w:rsidR="00E946BC">
        <w:rPr>
          <w:color w:val="auto"/>
        </w:rPr>
        <w:t>.</w:t>
      </w:r>
      <w:r>
        <w:rPr>
          <w:color w:val="auto"/>
        </w:rPr>
        <w:t xml:space="preserve"> </w:t>
      </w:r>
    </w:p>
    <w:p w14:paraId="5EA3845B" w14:textId="03D42788" w:rsidR="00730ED5" w:rsidRDefault="00730ED5" w:rsidP="00730ED5">
      <w:pPr>
        <w:spacing w:after="120"/>
        <w:rPr>
          <w:color w:val="auto"/>
        </w:rPr>
      </w:pPr>
      <w:r>
        <w:rPr>
          <w:color w:val="auto"/>
        </w:rPr>
        <w:t xml:space="preserve">Australia delivered support for democratic governance reform through </w:t>
      </w:r>
      <w:r w:rsidR="00EF75F7">
        <w:rPr>
          <w:color w:val="auto"/>
        </w:rPr>
        <w:t xml:space="preserve">the </w:t>
      </w:r>
      <w:r w:rsidRPr="00FE4190">
        <w:rPr>
          <w:color w:val="auto"/>
        </w:rPr>
        <w:t>Supporting Reform and Improving Governance i</w:t>
      </w:r>
      <w:r>
        <w:rPr>
          <w:color w:val="auto"/>
        </w:rPr>
        <w:t xml:space="preserve">nvestment (SRIG; $2.6m 2018-19).  Ratings for this investment </w:t>
      </w:r>
      <w:r w:rsidRPr="00FE4190">
        <w:rPr>
          <w:color w:val="auto"/>
        </w:rPr>
        <w:t>improved in 2018-19 from the previous year, with concerted effort by partners to improve efficiency and strengthen gender equality across their programs.</w:t>
      </w:r>
    </w:p>
    <w:p w14:paraId="03642E5F" w14:textId="0798BA23" w:rsidR="000D39D1" w:rsidRDefault="009C546C" w:rsidP="000D39D1">
      <w:pPr>
        <w:spacing w:after="120"/>
        <w:rPr>
          <w:color w:val="auto"/>
        </w:rPr>
      </w:pPr>
      <w:r>
        <w:rPr>
          <w:color w:val="auto"/>
        </w:rPr>
        <w:t>Australia’s investment across this portfolio</w:t>
      </w:r>
      <w:r w:rsidR="000D39D1">
        <w:rPr>
          <w:color w:val="auto"/>
        </w:rPr>
        <w:t xml:space="preserve"> support</w:t>
      </w:r>
      <w:r w:rsidR="00844729">
        <w:rPr>
          <w:color w:val="auto"/>
        </w:rPr>
        <w:t>ed</w:t>
      </w:r>
      <w:r w:rsidR="000D39D1">
        <w:rPr>
          <w:color w:val="auto"/>
        </w:rPr>
        <w:t xml:space="preserve"> practical changes to strengthen</w:t>
      </w:r>
      <w:r w:rsidR="000D39D1" w:rsidRPr="004F13CC">
        <w:rPr>
          <w:color w:val="auto"/>
        </w:rPr>
        <w:t xml:space="preserve"> the country’s democratic institutions by promoting accountability and transparency, and improving capacities for service delivery, integrated policy planning, coordination and analysi</w:t>
      </w:r>
      <w:r w:rsidR="000D39D1">
        <w:rPr>
          <w:color w:val="auto"/>
        </w:rPr>
        <w:t>s aiming for long</w:t>
      </w:r>
      <w:r w:rsidR="00FA0CB3">
        <w:rPr>
          <w:color w:val="auto"/>
        </w:rPr>
        <w:t>-</w:t>
      </w:r>
      <w:r w:rsidR="000D39D1">
        <w:rPr>
          <w:color w:val="auto"/>
        </w:rPr>
        <w:t xml:space="preserve">term institutional reform. </w:t>
      </w:r>
    </w:p>
    <w:p w14:paraId="3553AB3C" w14:textId="25AADFCF" w:rsidR="000D39D1" w:rsidRPr="004F13CC" w:rsidRDefault="000D39D1" w:rsidP="000D39D1">
      <w:pPr>
        <w:spacing w:after="120"/>
        <w:rPr>
          <w:color w:val="auto"/>
        </w:rPr>
      </w:pPr>
      <w:r>
        <w:rPr>
          <w:color w:val="auto"/>
        </w:rPr>
        <w:t xml:space="preserve">Recognising institutional capacity challenges, Australia’s partnership with UNDP worked vertically within </w:t>
      </w:r>
      <w:r w:rsidR="00FA0CB3">
        <w:rPr>
          <w:color w:val="auto"/>
        </w:rPr>
        <w:t>m</w:t>
      </w:r>
      <w:r>
        <w:rPr>
          <w:color w:val="auto"/>
        </w:rPr>
        <w:t xml:space="preserve">inistries, </w:t>
      </w:r>
      <w:r w:rsidR="00FA0CB3">
        <w:rPr>
          <w:color w:val="auto"/>
        </w:rPr>
        <w:t>s</w:t>
      </w:r>
      <w:r>
        <w:rPr>
          <w:color w:val="auto"/>
        </w:rPr>
        <w:t xml:space="preserve">tate </w:t>
      </w:r>
      <w:r w:rsidR="00FA0CB3">
        <w:rPr>
          <w:color w:val="auto"/>
        </w:rPr>
        <w:t>g</w:t>
      </w:r>
      <w:r>
        <w:rPr>
          <w:color w:val="auto"/>
        </w:rPr>
        <w:t xml:space="preserve">overnance </w:t>
      </w:r>
      <w:r w:rsidR="00FA0CB3">
        <w:rPr>
          <w:color w:val="auto"/>
        </w:rPr>
        <w:t>i</w:t>
      </w:r>
      <w:r>
        <w:rPr>
          <w:color w:val="auto"/>
        </w:rPr>
        <w:t xml:space="preserve">nstitutions and </w:t>
      </w:r>
      <w:r w:rsidR="00FA0CB3">
        <w:rPr>
          <w:color w:val="auto"/>
        </w:rPr>
        <w:t>p</w:t>
      </w:r>
      <w:r>
        <w:rPr>
          <w:color w:val="auto"/>
        </w:rPr>
        <w:t xml:space="preserve">arliaments as well as horizontally across the country to support good governance reforms, drawing on Australian expertise where relevant. </w:t>
      </w:r>
    </w:p>
    <w:p w14:paraId="65DCE387" w14:textId="3B69FCC7" w:rsidR="000D39D1" w:rsidRDefault="000D39D1" w:rsidP="000D39D1">
      <w:pPr>
        <w:spacing w:after="120"/>
        <w:rPr>
          <w:color w:val="auto"/>
        </w:rPr>
      </w:pPr>
      <w:r>
        <w:rPr>
          <w:color w:val="auto"/>
        </w:rPr>
        <w:t>In</w:t>
      </w:r>
      <w:r w:rsidRPr="004F13CC">
        <w:rPr>
          <w:color w:val="auto"/>
        </w:rPr>
        <w:t xml:space="preserve"> Myanmar, small steps open up avenues for more complex advancements. Some </w:t>
      </w:r>
      <w:r>
        <w:rPr>
          <w:color w:val="auto"/>
        </w:rPr>
        <w:t>recent achievements include</w:t>
      </w:r>
      <w:r w:rsidR="00844729">
        <w:rPr>
          <w:color w:val="auto"/>
        </w:rPr>
        <w:t>d</w:t>
      </w:r>
      <w:r>
        <w:rPr>
          <w:color w:val="auto"/>
        </w:rPr>
        <w:t xml:space="preserve"> </w:t>
      </w:r>
      <w:r w:rsidRPr="004F13CC">
        <w:rPr>
          <w:color w:val="auto"/>
        </w:rPr>
        <w:t>mainstreaming gender diversity and inclusion across civil service policy and systems</w:t>
      </w:r>
      <w:r>
        <w:rPr>
          <w:color w:val="auto"/>
        </w:rPr>
        <w:t xml:space="preserve">; developing a </w:t>
      </w:r>
      <w:r>
        <w:rPr>
          <w:color w:val="auto"/>
        </w:rPr>
        <w:lastRenderedPageBreak/>
        <w:t xml:space="preserve">Fair Trial Guide Book for law officers; and </w:t>
      </w:r>
      <w:r w:rsidRPr="004F13CC">
        <w:rPr>
          <w:color w:val="auto"/>
        </w:rPr>
        <w:t xml:space="preserve">the </w:t>
      </w:r>
      <w:r>
        <w:rPr>
          <w:color w:val="auto"/>
        </w:rPr>
        <w:t xml:space="preserve">development of </w:t>
      </w:r>
      <w:r w:rsidR="00FA0CB3">
        <w:rPr>
          <w:color w:val="auto"/>
        </w:rPr>
        <w:t>p</w:t>
      </w:r>
      <w:r>
        <w:rPr>
          <w:color w:val="auto"/>
        </w:rPr>
        <w:t xml:space="preserve">arliamentary business plans and sitting calendars. </w:t>
      </w:r>
    </w:p>
    <w:p w14:paraId="66119DDD" w14:textId="5AE50FEC" w:rsidR="000D39D1" w:rsidRDefault="00027A6E" w:rsidP="000D39D1">
      <w:pPr>
        <w:spacing w:after="120"/>
        <w:rPr>
          <w:color w:val="auto"/>
        </w:rPr>
      </w:pPr>
      <w:r>
        <w:rPr>
          <w:color w:val="auto"/>
        </w:rPr>
        <w:t>Australia’s contributions</w:t>
      </w:r>
      <w:r w:rsidR="000D39D1">
        <w:rPr>
          <w:color w:val="auto"/>
        </w:rPr>
        <w:t xml:space="preserve"> supported </w:t>
      </w:r>
      <w:r w:rsidR="000D39D1" w:rsidRPr="004F13CC">
        <w:rPr>
          <w:color w:val="auto"/>
        </w:rPr>
        <w:t>Myanmar’s first Union Parliament inquiry</w:t>
      </w:r>
      <w:r w:rsidR="000D39D1">
        <w:rPr>
          <w:color w:val="auto"/>
        </w:rPr>
        <w:t xml:space="preserve">, and </w:t>
      </w:r>
      <w:r>
        <w:rPr>
          <w:color w:val="auto"/>
        </w:rPr>
        <w:t xml:space="preserve">adoption of </w:t>
      </w:r>
      <w:r w:rsidR="000D39D1">
        <w:rPr>
          <w:color w:val="auto"/>
        </w:rPr>
        <w:t xml:space="preserve">this fundamental accountability practice is </w:t>
      </w:r>
      <w:r>
        <w:rPr>
          <w:color w:val="auto"/>
        </w:rPr>
        <w:t>occurring across</w:t>
      </w:r>
      <w:r w:rsidR="000D39D1">
        <w:rPr>
          <w:color w:val="auto"/>
        </w:rPr>
        <w:t xml:space="preserve"> </w:t>
      </w:r>
      <w:r w:rsidR="00FA0CB3">
        <w:rPr>
          <w:color w:val="auto"/>
        </w:rPr>
        <w:t>s</w:t>
      </w:r>
      <w:r w:rsidR="000D39D1">
        <w:rPr>
          <w:color w:val="auto"/>
        </w:rPr>
        <w:t xml:space="preserve">tate and </w:t>
      </w:r>
      <w:r w:rsidR="00FA0CB3">
        <w:rPr>
          <w:color w:val="auto"/>
        </w:rPr>
        <w:t>r</w:t>
      </w:r>
      <w:r w:rsidR="000D39D1">
        <w:rPr>
          <w:color w:val="auto"/>
        </w:rPr>
        <w:t xml:space="preserve">egional parliaments.  </w:t>
      </w:r>
    </w:p>
    <w:p w14:paraId="4CE20FBC" w14:textId="701C4930" w:rsidR="000D39D1" w:rsidRPr="004F13CC" w:rsidRDefault="000D39D1" w:rsidP="000D39D1">
      <w:pPr>
        <w:spacing w:after="120"/>
        <w:rPr>
          <w:color w:val="auto"/>
        </w:rPr>
      </w:pPr>
      <w:r>
        <w:rPr>
          <w:color w:val="auto"/>
        </w:rPr>
        <w:t>A stronger focus on gender equality in democratic governance programs supported an incre</w:t>
      </w:r>
      <w:r w:rsidR="00027A6E">
        <w:rPr>
          <w:color w:val="auto"/>
        </w:rPr>
        <w:t xml:space="preserve">ase in gender equality ratings. </w:t>
      </w:r>
      <w:r>
        <w:rPr>
          <w:color w:val="auto"/>
        </w:rPr>
        <w:t xml:space="preserve">Greater resources were committed to gender analysis, and the program </w:t>
      </w:r>
      <w:r w:rsidR="00844729">
        <w:rPr>
          <w:color w:val="auto"/>
        </w:rPr>
        <w:t>drew</w:t>
      </w:r>
      <w:r>
        <w:rPr>
          <w:color w:val="auto"/>
        </w:rPr>
        <w:t xml:space="preserve"> on the recommendations of its own 2018 Gender Equality in Public Administration study to improve implementation, monitoring and evaluation. The mainstreaming of gender in the Myanmar Government’s Human Resources Manual and </w:t>
      </w:r>
      <w:r w:rsidRPr="004F13CC">
        <w:rPr>
          <w:color w:val="auto"/>
        </w:rPr>
        <w:t xml:space="preserve">concerted efforts </w:t>
      </w:r>
      <w:r>
        <w:rPr>
          <w:color w:val="auto"/>
        </w:rPr>
        <w:t xml:space="preserve">at improving human resource procedures </w:t>
      </w:r>
      <w:r w:rsidRPr="004F13CC">
        <w:rPr>
          <w:color w:val="auto"/>
        </w:rPr>
        <w:t>led to an</w:t>
      </w:r>
      <w:r>
        <w:rPr>
          <w:color w:val="auto"/>
        </w:rPr>
        <w:t xml:space="preserve"> </w:t>
      </w:r>
      <w:r w:rsidRPr="004F13CC">
        <w:rPr>
          <w:color w:val="auto"/>
        </w:rPr>
        <w:t>increase of women at the deputy level from 39 per cent in 2016 to 47 per cent in 2018-19.</w:t>
      </w:r>
    </w:p>
    <w:p w14:paraId="17828115" w14:textId="77777777" w:rsidR="000D39D1" w:rsidRDefault="000D39D1" w:rsidP="000D39D1">
      <w:pPr>
        <w:spacing w:after="120"/>
        <w:rPr>
          <w:color w:val="auto"/>
        </w:rPr>
      </w:pPr>
      <w:r w:rsidRPr="004F13CC">
        <w:rPr>
          <w:color w:val="auto"/>
        </w:rPr>
        <w:t xml:space="preserve">Australia continued to </w:t>
      </w:r>
      <w:r>
        <w:rPr>
          <w:color w:val="auto"/>
        </w:rPr>
        <w:t xml:space="preserve">promote </w:t>
      </w:r>
      <w:r w:rsidRPr="004F13CC">
        <w:rPr>
          <w:color w:val="auto"/>
        </w:rPr>
        <w:t xml:space="preserve">inclusive participation in electoral processes </w:t>
      </w:r>
      <w:r>
        <w:rPr>
          <w:color w:val="auto"/>
        </w:rPr>
        <w:t xml:space="preserve">with support to </w:t>
      </w:r>
      <w:r w:rsidRPr="004F13CC">
        <w:rPr>
          <w:color w:val="auto"/>
        </w:rPr>
        <w:t xml:space="preserve">the Myanmar Union Electoral Commission (UEC) and civil society </w:t>
      </w:r>
      <w:r>
        <w:rPr>
          <w:color w:val="auto"/>
        </w:rPr>
        <w:t>organisations</w:t>
      </w:r>
      <w:r w:rsidRPr="004F13CC">
        <w:rPr>
          <w:color w:val="auto"/>
        </w:rPr>
        <w:t xml:space="preserve">. With assistance from the International Foundation of Electoral Systems (IFES), the UEC drafted </w:t>
      </w:r>
      <w:r>
        <w:rPr>
          <w:color w:val="auto"/>
        </w:rPr>
        <w:t xml:space="preserve">a Strategic Plan and </w:t>
      </w:r>
      <w:r w:rsidRPr="004F13CC">
        <w:rPr>
          <w:color w:val="auto"/>
        </w:rPr>
        <w:t xml:space="preserve">its first Gender Equality and Women’s Empowerment Policy and Action Plan. </w:t>
      </w:r>
    </w:p>
    <w:p w14:paraId="049EB7AF" w14:textId="4D89D79B" w:rsidR="000D39D1" w:rsidRPr="004F13CC" w:rsidRDefault="000D39D1" w:rsidP="000D39D1">
      <w:pPr>
        <w:spacing w:after="120"/>
        <w:rPr>
          <w:color w:val="auto"/>
        </w:rPr>
      </w:pPr>
      <w:r>
        <w:rPr>
          <w:color w:val="auto"/>
        </w:rPr>
        <w:t xml:space="preserve">The UEC has increased outreach to political parties, government ministries and civil society and made internal progress on updating electoral policies and procedures. They </w:t>
      </w:r>
      <w:r w:rsidR="00027A6E">
        <w:rPr>
          <w:color w:val="auto"/>
        </w:rPr>
        <w:t xml:space="preserve">also </w:t>
      </w:r>
      <w:r>
        <w:rPr>
          <w:color w:val="auto"/>
        </w:rPr>
        <w:t xml:space="preserve">hosted </w:t>
      </w:r>
      <w:r w:rsidRPr="004F13CC">
        <w:rPr>
          <w:color w:val="auto"/>
        </w:rPr>
        <w:t>the 4th Regional Disability Rights Dialogue</w:t>
      </w:r>
      <w:r>
        <w:rPr>
          <w:color w:val="auto"/>
        </w:rPr>
        <w:t xml:space="preserve"> in early 2019</w:t>
      </w:r>
      <w:r w:rsidRPr="004F13CC">
        <w:rPr>
          <w:color w:val="auto"/>
        </w:rPr>
        <w:t>. The event brought t</w:t>
      </w:r>
      <w:r w:rsidR="00027A6E">
        <w:rPr>
          <w:color w:val="auto"/>
        </w:rPr>
        <w:t>ogether disabled persons organis</w:t>
      </w:r>
      <w:r w:rsidRPr="004F13CC">
        <w:rPr>
          <w:color w:val="auto"/>
        </w:rPr>
        <w:t xml:space="preserve">ations and other stakeholders to discuss national-level implementation of the recently adopted ASEAN Enabling Masterplan 2025: Mainstreaming the Rights of Persons with Disabilities. </w:t>
      </w:r>
    </w:p>
    <w:p w14:paraId="57F958C3" w14:textId="0E9A53A8" w:rsidR="000D39D1" w:rsidRPr="004F13CC" w:rsidRDefault="000D39D1" w:rsidP="000D39D1">
      <w:pPr>
        <w:spacing w:after="120"/>
        <w:rPr>
          <w:color w:val="auto"/>
        </w:rPr>
      </w:pPr>
      <w:r>
        <w:rPr>
          <w:color w:val="auto"/>
        </w:rPr>
        <w:t>D</w:t>
      </w:r>
      <w:r w:rsidRPr="004F13CC">
        <w:rPr>
          <w:color w:val="auto"/>
        </w:rPr>
        <w:t>esigned to enable women to participate at all levels in political and electoral process decisions</w:t>
      </w:r>
      <w:r>
        <w:rPr>
          <w:color w:val="auto"/>
        </w:rPr>
        <w:t xml:space="preserve">, the </w:t>
      </w:r>
      <w:r w:rsidRPr="004F13CC">
        <w:rPr>
          <w:color w:val="auto"/>
        </w:rPr>
        <w:t xml:space="preserve">She Leads </w:t>
      </w:r>
      <w:r>
        <w:rPr>
          <w:color w:val="auto"/>
        </w:rPr>
        <w:t xml:space="preserve">program continued to deliver </w:t>
      </w:r>
      <w:r w:rsidRPr="004F13CC">
        <w:rPr>
          <w:color w:val="auto"/>
        </w:rPr>
        <w:t>training to over 1</w:t>
      </w:r>
      <w:r w:rsidR="00FA0CB3">
        <w:rPr>
          <w:color w:val="auto"/>
        </w:rPr>
        <w:t>,</w:t>
      </w:r>
      <w:r w:rsidRPr="004F13CC">
        <w:rPr>
          <w:color w:val="auto"/>
        </w:rPr>
        <w:t>800 women of different ages, religious and ethnic groups and people with disabilities</w:t>
      </w:r>
      <w:r>
        <w:rPr>
          <w:color w:val="auto"/>
        </w:rPr>
        <w:t xml:space="preserve"> (Oct 2017-June 2019). </w:t>
      </w:r>
      <w:r w:rsidR="00027A6E">
        <w:rPr>
          <w:color w:val="auto"/>
        </w:rPr>
        <w:t xml:space="preserve">The piloting of </w:t>
      </w:r>
      <w:r>
        <w:rPr>
          <w:color w:val="auto"/>
        </w:rPr>
        <w:t xml:space="preserve">She Leads </w:t>
      </w:r>
      <w:r w:rsidRPr="004F13CC">
        <w:rPr>
          <w:color w:val="auto"/>
        </w:rPr>
        <w:t>in</w:t>
      </w:r>
      <w:r w:rsidR="00027A6E">
        <w:rPr>
          <w:color w:val="auto"/>
        </w:rPr>
        <w:t xml:space="preserve"> five IDP camps in Kachin State</w:t>
      </w:r>
      <w:r w:rsidRPr="004F13CC">
        <w:rPr>
          <w:color w:val="auto"/>
        </w:rPr>
        <w:t xml:space="preserve"> </w:t>
      </w:r>
      <w:r w:rsidR="00027A6E">
        <w:rPr>
          <w:color w:val="auto"/>
        </w:rPr>
        <w:t>had</w:t>
      </w:r>
      <w:r w:rsidRPr="004F13CC">
        <w:rPr>
          <w:color w:val="auto"/>
        </w:rPr>
        <w:t xml:space="preserve"> positive results in developing women’s leadership and local ownership. </w:t>
      </w:r>
    </w:p>
    <w:p w14:paraId="0CD5EA0B" w14:textId="36D35FF5" w:rsidR="00E74C93" w:rsidRPr="00672E77" w:rsidRDefault="00E74C93" w:rsidP="00E74C93">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sidR="00914514">
        <w:rPr>
          <w:rFonts w:asciiTheme="majorHAnsi" w:eastAsiaTheme="majorEastAsia" w:hAnsiTheme="majorHAnsi" w:cstheme="majorBidi"/>
          <w:caps/>
          <w:sz w:val="32"/>
          <w:szCs w:val="32"/>
        </w:rPr>
        <w:t>3</w:t>
      </w:r>
      <w:r>
        <w:rPr>
          <w:rFonts w:asciiTheme="majorHAnsi" w:eastAsiaTheme="majorEastAsia" w:hAnsiTheme="majorHAnsi" w:cstheme="majorBidi"/>
          <w:caps/>
          <w:sz w:val="32"/>
          <w:szCs w:val="32"/>
        </w:rPr>
        <w:t xml:space="preserve">: </w:t>
      </w:r>
      <w:r w:rsidRPr="00672E77">
        <w:rPr>
          <w:rFonts w:asciiTheme="majorHAnsi" w:eastAsiaTheme="majorEastAsia" w:hAnsiTheme="majorHAnsi" w:cstheme="majorBidi"/>
          <w:caps/>
          <w:sz w:val="32"/>
          <w:szCs w:val="32"/>
        </w:rPr>
        <w:t>PROMOTING INCLUSIVE ECONOMIC GROWTH AND GOVERNMENT MANAGEMENT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ve 3 Sustainable Develpment Goals"/>
        <w:tblDescription w:val="SDG 2&#10;SDG 5&#10;SDG 8&#10;SDG 17"/>
      </w:tblPr>
      <w:tblGrid>
        <w:gridCol w:w="2016"/>
        <w:gridCol w:w="1904"/>
        <w:gridCol w:w="1906"/>
        <w:gridCol w:w="1906"/>
        <w:gridCol w:w="1906"/>
      </w:tblGrid>
      <w:tr w:rsidR="00E74C93" w:rsidRPr="00695730" w14:paraId="6FF5F9FA" w14:textId="77777777" w:rsidTr="0048244D">
        <w:tc>
          <w:tcPr>
            <w:tcW w:w="2016" w:type="dxa"/>
          </w:tcPr>
          <w:p w14:paraId="058061EB" w14:textId="77777777" w:rsidR="00E74C93" w:rsidRPr="00695730" w:rsidRDefault="00E74C93" w:rsidP="0048244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57FA9EF5" wp14:editId="44B111BE">
                  <wp:extent cx="1137600" cy="720000"/>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29393782" w14:textId="77777777" w:rsidR="00E74C93" w:rsidRPr="00695730" w:rsidRDefault="0027682A" w:rsidP="0048244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8027FB6" wp14:editId="72EA5336">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313467A" w14:textId="77777777" w:rsidR="00E74C93" w:rsidRPr="00695730" w:rsidRDefault="0027682A" w:rsidP="0048244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287469D" wp14:editId="3AACC296">
                  <wp:extent cx="612000" cy="61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5837E66" w14:textId="77777777" w:rsidR="00E74C93" w:rsidRPr="00695730" w:rsidRDefault="0027682A" w:rsidP="0048244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0B1CE42" wp14:editId="104284AF">
                  <wp:extent cx="609600" cy="609600"/>
                  <wp:effectExtent l="0" t="0" r="0" b="0"/>
                  <wp:docPr id="36" name="Picture 3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00950539" w14:textId="77777777" w:rsidR="00E74C93" w:rsidRPr="00695730" w:rsidRDefault="0027682A" w:rsidP="0048244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2E8E4B8" wp14:editId="1B9B5B0F">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55F62217" w14:textId="1B783B75" w:rsidR="00E74C93" w:rsidRPr="00CF288C" w:rsidRDefault="006660E6" w:rsidP="00CF288C">
      <w:pPr>
        <w:spacing w:after="120"/>
        <w:rPr>
          <w:color w:val="auto"/>
        </w:rPr>
      </w:pPr>
      <w:r w:rsidRPr="006660E6">
        <w:rPr>
          <w:color w:val="auto"/>
        </w:rPr>
        <w:t>Australian aid is helping to create a legislative and policy environment that incentivises inclusive investment, trade and economic reform. We promote women’s economic empowerment and support partners to facilitate increased engagement between government, the private sector and civil society. Australia is also building incomes and access to finance for rural households and helping these communities share in the benefits of Myanmar’s economic growth. This objective improved its rating from amber to green during the reporting period. Our investments in rural development and livelihoods continued to perform well, but it was our private sector development and public financial management (PFM) investments where performance improved, notably in the areas of efficiency and gender equality.</w:t>
      </w:r>
    </w:p>
    <w:p w14:paraId="5E86A4B2" w14:textId="77777777" w:rsidR="006B1E22" w:rsidRPr="00313B91" w:rsidRDefault="006B1E22" w:rsidP="006B1E22">
      <w:pPr>
        <w:rPr>
          <w:b/>
          <w:color w:val="auto"/>
        </w:rPr>
      </w:pPr>
      <w:r w:rsidRPr="00313B91">
        <w:rPr>
          <w:b/>
          <w:color w:val="auto"/>
        </w:rPr>
        <w:t>Private sector development</w:t>
      </w:r>
    </w:p>
    <w:p w14:paraId="6E69206B" w14:textId="0830B0F3" w:rsidR="00406D22" w:rsidRPr="00141069" w:rsidRDefault="006B1E22" w:rsidP="006B1E22">
      <w:pPr>
        <w:spacing w:after="120"/>
        <w:rPr>
          <w:color w:val="auto"/>
        </w:rPr>
      </w:pPr>
      <w:r w:rsidRPr="00141069">
        <w:rPr>
          <w:color w:val="auto"/>
        </w:rPr>
        <w:t>Our major investment in private sector development is the Investment Climate and Com</w:t>
      </w:r>
      <w:r w:rsidR="00BB1D28">
        <w:rPr>
          <w:color w:val="auto"/>
        </w:rPr>
        <w:t>petitiveness Program (ICCP,</w:t>
      </w:r>
      <w:r w:rsidR="00C02E6B">
        <w:rPr>
          <w:color w:val="auto"/>
        </w:rPr>
        <w:t xml:space="preserve"> $5</w:t>
      </w:r>
      <w:r w:rsidR="005E0F7C" w:rsidRPr="00141069">
        <w:rPr>
          <w:color w:val="auto"/>
        </w:rPr>
        <w:t xml:space="preserve"> million in 2018-19</w:t>
      </w:r>
      <w:r w:rsidRPr="00141069">
        <w:rPr>
          <w:color w:val="auto"/>
        </w:rPr>
        <w:t xml:space="preserve">), implemented by the International Finance Corporation (IFC). </w:t>
      </w:r>
      <w:r w:rsidR="005E0F7C" w:rsidRPr="00141069">
        <w:rPr>
          <w:color w:val="auto"/>
        </w:rPr>
        <w:t>A DFAT evaluation</w:t>
      </w:r>
      <w:r w:rsidR="00406D22" w:rsidRPr="00141069">
        <w:rPr>
          <w:color w:val="auto"/>
        </w:rPr>
        <w:t xml:space="preserve"> in 2018</w:t>
      </w:r>
      <w:r w:rsidR="005E0F7C" w:rsidRPr="00141069">
        <w:rPr>
          <w:color w:val="auto"/>
        </w:rPr>
        <w:t xml:space="preserve"> of Australia’s key economic growth programs in Myanmar</w:t>
      </w:r>
      <w:r w:rsidR="007E22BC">
        <w:rPr>
          <w:color w:val="auto"/>
        </w:rPr>
        <w:t>,</w:t>
      </w:r>
      <w:r w:rsidR="00346802" w:rsidRPr="00141069">
        <w:rPr>
          <w:color w:val="auto"/>
        </w:rPr>
        <w:t xml:space="preserve"> found that the ICCP portfolio of </w:t>
      </w:r>
      <w:r w:rsidR="00DB4831">
        <w:rPr>
          <w:color w:val="auto"/>
        </w:rPr>
        <w:t>11</w:t>
      </w:r>
      <w:r w:rsidR="00C02E6B">
        <w:rPr>
          <w:color w:val="auto"/>
        </w:rPr>
        <w:t xml:space="preserve"> projects </w:t>
      </w:r>
      <w:r w:rsidR="005934AC">
        <w:rPr>
          <w:color w:val="auto"/>
        </w:rPr>
        <w:t xml:space="preserve">was </w:t>
      </w:r>
      <w:r w:rsidR="00C02E6B">
        <w:rPr>
          <w:color w:val="auto"/>
        </w:rPr>
        <w:t>perform</w:t>
      </w:r>
      <w:r w:rsidR="005934AC">
        <w:rPr>
          <w:color w:val="auto"/>
        </w:rPr>
        <w:t>ing</w:t>
      </w:r>
      <w:r w:rsidR="00D86183">
        <w:rPr>
          <w:color w:val="auto"/>
        </w:rPr>
        <w:t xml:space="preserve"> </w:t>
      </w:r>
      <w:r w:rsidR="00C02E6B">
        <w:rPr>
          <w:color w:val="auto"/>
        </w:rPr>
        <w:t xml:space="preserve">well and </w:t>
      </w:r>
      <w:r w:rsidR="005934AC">
        <w:rPr>
          <w:color w:val="auto"/>
        </w:rPr>
        <w:t xml:space="preserve">was </w:t>
      </w:r>
      <w:r w:rsidR="00D86183">
        <w:rPr>
          <w:color w:val="auto"/>
        </w:rPr>
        <w:t>genera</w:t>
      </w:r>
      <w:r w:rsidR="005934AC">
        <w:rPr>
          <w:color w:val="auto"/>
        </w:rPr>
        <w:t>ting</w:t>
      </w:r>
      <w:r w:rsidR="00D86183">
        <w:rPr>
          <w:color w:val="auto"/>
        </w:rPr>
        <w:t xml:space="preserve"> </w:t>
      </w:r>
      <w:r w:rsidR="00C02E6B">
        <w:rPr>
          <w:color w:val="auto"/>
        </w:rPr>
        <w:t>a number of important results for private sector development</w:t>
      </w:r>
      <w:r w:rsidR="00756019">
        <w:rPr>
          <w:color w:val="auto"/>
        </w:rPr>
        <w:t>. These results include</w:t>
      </w:r>
      <w:r w:rsidR="005934AC">
        <w:rPr>
          <w:color w:val="auto"/>
        </w:rPr>
        <w:t>d</w:t>
      </w:r>
      <w:r w:rsidR="00756019">
        <w:rPr>
          <w:color w:val="auto"/>
        </w:rPr>
        <w:t xml:space="preserve"> </w:t>
      </w:r>
      <w:r w:rsidR="006726B3">
        <w:rPr>
          <w:color w:val="auto"/>
        </w:rPr>
        <w:t xml:space="preserve">halving the fees for company </w:t>
      </w:r>
      <w:r w:rsidR="009C4379">
        <w:rPr>
          <w:color w:val="auto"/>
        </w:rPr>
        <w:t>registration and</w:t>
      </w:r>
      <w:r w:rsidR="006726B3">
        <w:rPr>
          <w:color w:val="auto"/>
        </w:rPr>
        <w:t xml:space="preserve"> </w:t>
      </w:r>
      <w:r w:rsidR="00D86183">
        <w:rPr>
          <w:color w:val="auto"/>
        </w:rPr>
        <w:t xml:space="preserve">delivering </w:t>
      </w:r>
      <w:r w:rsidR="00756019">
        <w:rPr>
          <w:color w:val="auto"/>
        </w:rPr>
        <w:t>around</w:t>
      </w:r>
      <w:r w:rsidR="00BE6BDD">
        <w:rPr>
          <w:color w:val="auto"/>
        </w:rPr>
        <w:t xml:space="preserve"> $23 </w:t>
      </w:r>
      <w:r w:rsidR="00BE6BDD">
        <w:rPr>
          <w:color w:val="auto"/>
        </w:rPr>
        <w:lastRenderedPageBreak/>
        <w:t>million in compliance savings to the private sector</w:t>
      </w:r>
      <w:r w:rsidR="00756019">
        <w:rPr>
          <w:color w:val="auto"/>
        </w:rPr>
        <w:t xml:space="preserve"> from the implementation of the ICCP</w:t>
      </w:r>
      <w:r w:rsidR="00FA0CB3">
        <w:rPr>
          <w:color w:val="auto"/>
        </w:rPr>
        <w:t>-</w:t>
      </w:r>
      <w:r w:rsidR="00756019">
        <w:rPr>
          <w:color w:val="auto"/>
        </w:rPr>
        <w:t xml:space="preserve">supported </w:t>
      </w:r>
      <w:r w:rsidR="00756019" w:rsidRPr="00414FC5">
        <w:rPr>
          <w:i/>
          <w:iCs/>
          <w:color w:val="auto"/>
        </w:rPr>
        <w:t>Investment Law</w:t>
      </w:r>
      <w:r w:rsidR="00BE6BDD">
        <w:rPr>
          <w:color w:val="auto"/>
        </w:rPr>
        <w:t xml:space="preserve">. </w:t>
      </w:r>
    </w:p>
    <w:p w14:paraId="71E54698" w14:textId="725B4749" w:rsidR="00D9436A" w:rsidRPr="00141069" w:rsidRDefault="006B1E22" w:rsidP="006B1E22">
      <w:pPr>
        <w:spacing w:after="120"/>
        <w:rPr>
          <w:color w:val="auto"/>
        </w:rPr>
      </w:pPr>
      <w:r w:rsidRPr="00141069">
        <w:rPr>
          <w:color w:val="auto"/>
        </w:rPr>
        <w:t>ICCP</w:t>
      </w:r>
      <w:r w:rsidR="00C02E6B">
        <w:rPr>
          <w:color w:val="auto"/>
        </w:rPr>
        <w:t xml:space="preserve">, in its </w:t>
      </w:r>
      <w:r w:rsidR="00D86183">
        <w:rPr>
          <w:color w:val="auto"/>
        </w:rPr>
        <w:t>fourth</w:t>
      </w:r>
      <w:r w:rsidR="00C02E6B">
        <w:rPr>
          <w:color w:val="auto"/>
        </w:rPr>
        <w:t xml:space="preserve"> year of implementation,</w:t>
      </w:r>
      <w:r w:rsidR="005E0F7C" w:rsidRPr="00141069">
        <w:rPr>
          <w:color w:val="auto"/>
        </w:rPr>
        <w:t xml:space="preserve"> </w:t>
      </w:r>
      <w:r w:rsidR="00D86183" w:rsidRPr="00141069">
        <w:rPr>
          <w:color w:val="auto"/>
        </w:rPr>
        <w:t>strengthe</w:t>
      </w:r>
      <w:r w:rsidR="005934AC">
        <w:rPr>
          <w:color w:val="auto"/>
        </w:rPr>
        <w:t>ned</w:t>
      </w:r>
      <w:r w:rsidR="00370BF1" w:rsidRPr="00141069">
        <w:rPr>
          <w:color w:val="auto"/>
        </w:rPr>
        <w:t xml:space="preserve"> core gov</w:t>
      </w:r>
      <w:r w:rsidR="00C02E6B">
        <w:rPr>
          <w:color w:val="auto"/>
        </w:rPr>
        <w:t xml:space="preserve">ernment functions and </w:t>
      </w:r>
      <w:r w:rsidR="005934AC">
        <w:rPr>
          <w:color w:val="auto"/>
        </w:rPr>
        <w:t>improved</w:t>
      </w:r>
      <w:r w:rsidR="00D86183">
        <w:rPr>
          <w:color w:val="auto"/>
        </w:rPr>
        <w:t xml:space="preserve"> </w:t>
      </w:r>
      <w:r w:rsidR="00756019">
        <w:rPr>
          <w:color w:val="auto"/>
        </w:rPr>
        <w:t>opportunities</w:t>
      </w:r>
      <w:r w:rsidR="00C02E6B">
        <w:rPr>
          <w:color w:val="auto"/>
        </w:rPr>
        <w:t xml:space="preserve"> for </w:t>
      </w:r>
      <w:r w:rsidR="00EA24F6">
        <w:rPr>
          <w:color w:val="auto"/>
        </w:rPr>
        <w:t>private</w:t>
      </w:r>
      <w:r w:rsidR="00C02E6B">
        <w:rPr>
          <w:color w:val="auto"/>
        </w:rPr>
        <w:t xml:space="preserve"> sector growth. </w:t>
      </w:r>
      <w:r w:rsidR="00EE5A84" w:rsidRPr="00141069">
        <w:rPr>
          <w:color w:val="auto"/>
        </w:rPr>
        <w:t>ICCP ac</w:t>
      </w:r>
      <w:r w:rsidR="00370BF1" w:rsidRPr="00141069">
        <w:rPr>
          <w:color w:val="auto"/>
        </w:rPr>
        <w:t>hievements</w:t>
      </w:r>
      <w:r w:rsidR="008919B9">
        <w:rPr>
          <w:color w:val="auto"/>
        </w:rPr>
        <w:t xml:space="preserve"> </w:t>
      </w:r>
      <w:r w:rsidR="00370BF1" w:rsidRPr="00141069">
        <w:rPr>
          <w:color w:val="auto"/>
        </w:rPr>
        <w:t>include</w:t>
      </w:r>
      <w:r w:rsidR="005934AC">
        <w:rPr>
          <w:color w:val="auto"/>
        </w:rPr>
        <w:t>d</w:t>
      </w:r>
      <w:r w:rsidR="00370BF1" w:rsidRPr="00141069">
        <w:rPr>
          <w:color w:val="auto"/>
        </w:rPr>
        <w:t xml:space="preserve"> the inauguration of the</w:t>
      </w:r>
      <w:r w:rsidR="00EE5A84" w:rsidRPr="00141069">
        <w:rPr>
          <w:color w:val="auto"/>
        </w:rPr>
        <w:t xml:space="preserve"> Myanmar Institute of Directors</w:t>
      </w:r>
      <w:r w:rsidR="007157BE" w:rsidRPr="00141069">
        <w:rPr>
          <w:color w:val="auto"/>
        </w:rPr>
        <w:t>;</w:t>
      </w:r>
      <w:r w:rsidR="00370BF1" w:rsidRPr="00141069">
        <w:rPr>
          <w:color w:val="auto"/>
        </w:rPr>
        <w:t xml:space="preserve"> </w:t>
      </w:r>
      <w:r w:rsidR="00EE5A84" w:rsidRPr="00141069">
        <w:rPr>
          <w:color w:val="auto"/>
        </w:rPr>
        <w:t xml:space="preserve">corporate governance training for company directors; </w:t>
      </w:r>
      <w:r w:rsidR="00C539F2">
        <w:rPr>
          <w:color w:val="auto"/>
        </w:rPr>
        <w:t xml:space="preserve">and </w:t>
      </w:r>
      <w:r w:rsidR="006726B3" w:rsidRPr="009B573C">
        <w:rPr>
          <w:color w:val="auto"/>
        </w:rPr>
        <w:t>reducing</w:t>
      </w:r>
      <w:r w:rsidR="00EE5A84" w:rsidRPr="00AC0B09">
        <w:rPr>
          <w:color w:val="auto"/>
        </w:rPr>
        <w:t xml:space="preserve"> the </w:t>
      </w:r>
      <w:r w:rsidR="006726B3" w:rsidRPr="00AC0B09">
        <w:rPr>
          <w:color w:val="auto"/>
        </w:rPr>
        <w:t>burden</w:t>
      </w:r>
      <w:r w:rsidR="00C31C8F" w:rsidRPr="00AC0B09">
        <w:rPr>
          <w:color w:val="auto"/>
        </w:rPr>
        <w:t xml:space="preserve"> of </w:t>
      </w:r>
      <w:r w:rsidR="006726B3" w:rsidRPr="00AC0B09">
        <w:rPr>
          <w:color w:val="auto"/>
        </w:rPr>
        <w:t xml:space="preserve">export licensing – there has been </w:t>
      </w:r>
      <w:r w:rsidR="00C31C8F" w:rsidRPr="00AC0B09">
        <w:rPr>
          <w:color w:val="auto"/>
        </w:rPr>
        <w:t xml:space="preserve">a </w:t>
      </w:r>
      <w:r w:rsidR="006726B3" w:rsidRPr="00AC0B09">
        <w:rPr>
          <w:color w:val="auto"/>
        </w:rPr>
        <w:t>70 per cent reduction in the number</w:t>
      </w:r>
      <w:r w:rsidR="00C31C8F" w:rsidRPr="00AC0B09">
        <w:rPr>
          <w:color w:val="auto"/>
        </w:rPr>
        <w:t xml:space="preserve"> of </w:t>
      </w:r>
      <w:r w:rsidR="006726B3" w:rsidRPr="00AC0B09">
        <w:rPr>
          <w:color w:val="auto"/>
        </w:rPr>
        <w:t xml:space="preserve">products requiring export licences. </w:t>
      </w:r>
      <w:r w:rsidR="00C539F2">
        <w:rPr>
          <w:color w:val="auto"/>
        </w:rPr>
        <w:t>An</w:t>
      </w:r>
      <w:r w:rsidR="00C31C8F">
        <w:rPr>
          <w:color w:val="auto"/>
        </w:rPr>
        <w:t>other</w:t>
      </w:r>
      <w:r w:rsidR="00D9436A" w:rsidRPr="00141069">
        <w:rPr>
          <w:color w:val="auto"/>
        </w:rPr>
        <w:t xml:space="preserve"> PAF </w:t>
      </w:r>
      <w:r w:rsidR="00D86183" w:rsidRPr="00141069">
        <w:rPr>
          <w:color w:val="auto"/>
        </w:rPr>
        <w:t>target</w:t>
      </w:r>
      <w:r w:rsidR="00D86183">
        <w:rPr>
          <w:color w:val="auto"/>
        </w:rPr>
        <w:t xml:space="preserve"> was</w:t>
      </w:r>
      <w:r w:rsidR="00DB4831">
        <w:rPr>
          <w:color w:val="auto"/>
        </w:rPr>
        <w:t xml:space="preserve"> to improve Myanmar’s rating </w:t>
      </w:r>
      <w:r w:rsidR="00D9436A" w:rsidRPr="00141069">
        <w:rPr>
          <w:color w:val="auto"/>
        </w:rPr>
        <w:t xml:space="preserve">in the </w:t>
      </w:r>
      <w:r w:rsidR="00987082" w:rsidRPr="00141069">
        <w:rPr>
          <w:color w:val="auto"/>
        </w:rPr>
        <w:t xml:space="preserve">World Bank’s </w:t>
      </w:r>
      <w:r w:rsidR="00D9436A" w:rsidRPr="00141069">
        <w:rPr>
          <w:color w:val="auto"/>
        </w:rPr>
        <w:t>Doing Business Rating Index</w:t>
      </w:r>
      <w:r w:rsidR="008C43AA">
        <w:rPr>
          <w:color w:val="auto"/>
        </w:rPr>
        <w:t xml:space="preserve"> from 2017</w:t>
      </w:r>
      <w:r w:rsidR="00DB4831">
        <w:rPr>
          <w:color w:val="auto"/>
        </w:rPr>
        <w:t>.</w:t>
      </w:r>
      <w:r w:rsidR="00D9436A" w:rsidRPr="00141069">
        <w:rPr>
          <w:color w:val="auto"/>
        </w:rPr>
        <w:t xml:space="preserve"> </w:t>
      </w:r>
      <w:r w:rsidR="00DB4831">
        <w:rPr>
          <w:color w:val="auto"/>
        </w:rPr>
        <w:t>H</w:t>
      </w:r>
      <w:r w:rsidR="00C31C8F">
        <w:rPr>
          <w:color w:val="auto"/>
        </w:rPr>
        <w:t>owever</w:t>
      </w:r>
      <w:r w:rsidR="00DB4831">
        <w:rPr>
          <w:color w:val="auto"/>
        </w:rPr>
        <w:t>,</w:t>
      </w:r>
      <w:r w:rsidR="00D9436A" w:rsidRPr="00141069">
        <w:rPr>
          <w:color w:val="auto"/>
        </w:rPr>
        <w:t xml:space="preserve"> Myanmar remained </w:t>
      </w:r>
      <w:r w:rsidR="004657CA">
        <w:rPr>
          <w:color w:val="auto"/>
        </w:rPr>
        <w:t>in</w:t>
      </w:r>
      <w:r w:rsidR="00D9436A" w:rsidRPr="00141069">
        <w:rPr>
          <w:color w:val="auto"/>
        </w:rPr>
        <w:t xml:space="preserve"> </w:t>
      </w:r>
      <w:r w:rsidR="00DB4831">
        <w:rPr>
          <w:color w:val="auto"/>
        </w:rPr>
        <w:t xml:space="preserve">position </w:t>
      </w:r>
      <w:r w:rsidR="00D9436A" w:rsidRPr="00141069">
        <w:rPr>
          <w:color w:val="auto"/>
        </w:rPr>
        <w:t xml:space="preserve">171 (out of 190), with mixed results across the </w:t>
      </w:r>
      <w:r w:rsidR="00DB4831">
        <w:rPr>
          <w:color w:val="auto"/>
        </w:rPr>
        <w:t>11</w:t>
      </w:r>
      <w:r w:rsidR="00D9436A" w:rsidRPr="00141069">
        <w:rPr>
          <w:color w:val="auto"/>
        </w:rPr>
        <w:t xml:space="preserve"> measured indicators. Myanmar remains at the bottom of the </w:t>
      </w:r>
      <w:r w:rsidR="008919B9">
        <w:rPr>
          <w:color w:val="auto"/>
        </w:rPr>
        <w:t>Doing Business</w:t>
      </w:r>
      <w:r w:rsidR="008919B9" w:rsidRPr="00141069">
        <w:rPr>
          <w:color w:val="auto"/>
        </w:rPr>
        <w:t xml:space="preserve"> </w:t>
      </w:r>
      <w:r w:rsidR="00987082" w:rsidRPr="00141069">
        <w:rPr>
          <w:color w:val="auto"/>
        </w:rPr>
        <w:t xml:space="preserve">ratings across </w:t>
      </w:r>
      <w:r w:rsidR="00D9436A" w:rsidRPr="00141069">
        <w:rPr>
          <w:color w:val="auto"/>
        </w:rPr>
        <w:t xml:space="preserve">ASEAN countries, indicating the impact of </w:t>
      </w:r>
      <w:r w:rsidR="00987082" w:rsidRPr="00141069">
        <w:rPr>
          <w:color w:val="auto"/>
        </w:rPr>
        <w:t>ongoing</w:t>
      </w:r>
      <w:r w:rsidR="00D9436A" w:rsidRPr="00141069">
        <w:rPr>
          <w:color w:val="auto"/>
        </w:rPr>
        <w:t xml:space="preserve"> conflicts</w:t>
      </w:r>
      <w:r w:rsidR="00987082" w:rsidRPr="00141069">
        <w:rPr>
          <w:color w:val="auto"/>
        </w:rPr>
        <w:t xml:space="preserve">, the complexity of economic reform, delays between enacting </w:t>
      </w:r>
      <w:r w:rsidR="00E30B98">
        <w:rPr>
          <w:color w:val="auto"/>
        </w:rPr>
        <w:t xml:space="preserve">and implementing </w:t>
      </w:r>
      <w:r w:rsidR="00987082" w:rsidRPr="00141069">
        <w:rPr>
          <w:color w:val="auto"/>
        </w:rPr>
        <w:t xml:space="preserve">legislation and </w:t>
      </w:r>
      <w:r w:rsidR="00FA0CB3">
        <w:rPr>
          <w:color w:val="auto"/>
        </w:rPr>
        <w:t>g</w:t>
      </w:r>
      <w:r w:rsidR="00E30B98">
        <w:rPr>
          <w:color w:val="auto"/>
        </w:rPr>
        <w:t xml:space="preserve">overnment </w:t>
      </w:r>
      <w:r w:rsidR="00987082" w:rsidRPr="00141069">
        <w:rPr>
          <w:color w:val="auto"/>
        </w:rPr>
        <w:t>capacity constraints</w:t>
      </w:r>
      <w:r w:rsidR="00D9436A" w:rsidRPr="00141069">
        <w:rPr>
          <w:color w:val="auto"/>
        </w:rPr>
        <w:t>.</w:t>
      </w:r>
      <w:r w:rsidR="00987082" w:rsidRPr="00141069">
        <w:rPr>
          <w:color w:val="auto"/>
        </w:rPr>
        <w:t xml:space="preserve"> </w:t>
      </w:r>
    </w:p>
    <w:p w14:paraId="63A9303D" w14:textId="45410F55" w:rsidR="00EA7A56" w:rsidRPr="00AC0B09" w:rsidRDefault="00EA7A56" w:rsidP="00EA7A56">
      <w:pPr>
        <w:spacing w:after="120"/>
        <w:rPr>
          <w:color w:val="auto"/>
        </w:rPr>
      </w:pPr>
      <w:r w:rsidRPr="009B573C">
        <w:rPr>
          <w:color w:val="auto"/>
        </w:rPr>
        <w:t>The Mekong Women’s Empowerment Project also falls w</w:t>
      </w:r>
      <w:r w:rsidR="007E22BC">
        <w:rPr>
          <w:color w:val="auto"/>
        </w:rPr>
        <w:t>ithin this pillar and in</w:t>
      </w:r>
      <w:r w:rsidRPr="00AC0B09">
        <w:rPr>
          <w:color w:val="auto"/>
        </w:rPr>
        <w:t xml:space="preserve"> its fi</w:t>
      </w:r>
      <w:r w:rsidR="007E22BC">
        <w:rPr>
          <w:color w:val="auto"/>
        </w:rPr>
        <w:t>rst full year of implementation</w:t>
      </w:r>
      <w:r w:rsidRPr="00AC0B09">
        <w:rPr>
          <w:color w:val="auto"/>
        </w:rPr>
        <w:t xml:space="preserve"> made significant progress towards program outcomes. The program enhanced women’s financial independence and control over their economic activities. It trained 46 frontline female healthcare workers who reached 10,502 community members with high-quality reproductive health and family planning services. </w:t>
      </w:r>
    </w:p>
    <w:p w14:paraId="6CAC9269" w14:textId="77777777" w:rsidR="004A5BFF" w:rsidRPr="00141069" w:rsidRDefault="004A5BFF" w:rsidP="004A5BFF">
      <w:pPr>
        <w:rPr>
          <w:b/>
          <w:color w:val="auto"/>
        </w:rPr>
      </w:pPr>
      <w:r w:rsidRPr="00141069">
        <w:rPr>
          <w:b/>
          <w:color w:val="auto"/>
        </w:rPr>
        <w:t>Public financial management</w:t>
      </w:r>
    </w:p>
    <w:p w14:paraId="0501086B" w14:textId="37657C78" w:rsidR="001E66DC" w:rsidRDefault="005C67C9" w:rsidP="001E66DC">
      <w:pPr>
        <w:rPr>
          <w:color w:val="auto"/>
        </w:rPr>
      </w:pPr>
      <w:r w:rsidRPr="00141069">
        <w:rPr>
          <w:color w:val="auto"/>
        </w:rPr>
        <w:t xml:space="preserve">Through </w:t>
      </w:r>
      <w:r w:rsidR="00C539F2">
        <w:rPr>
          <w:color w:val="auto"/>
        </w:rPr>
        <w:t>our support to T</w:t>
      </w:r>
      <w:r w:rsidR="00472321">
        <w:rPr>
          <w:color w:val="auto"/>
        </w:rPr>
        <w:t>he Asia Foundation’s</w:t>
      </w:r>
      <w:r w:rsidR="00C539F2">
        <w:rPr>
          <w:color w:val="auto"/>
        </w:rPr>
        <w:t xml:space="preserve"> (TAF)</w:t>
      </w:r>
      <w:r w:rsidR="00472321" w:rsidRPr="00141069">
        <w:rPr>
          <w:color w:val="auto"/>
        </w:rPr>
        <w:t xml:space="preserve"> </w:t>
      </w:r>
      <w:r w:rsidRPr="00141069">
        <w:rPr>
          <w:color w:val="auto"/>
        </w:rPr>
        <w:t>Myanmar Strategic Support Program</w:t>
      </w:r>
      <w:r w:rsidR="00472321">
        <w:rPr>
          <w:color w:val="auto"/>
        </w:rPr>
        <w:t xml:space="preserve"> (MSSP)</w:t>
      </w:r>
      <w:r w:rsidRPr="00141069">
        <w:rPr>
          <w:color w:val="auto"/>
        </w:rPr>
        <w:t>, Australia contributed to</w:t>
      </w:r>
      <w:r w:rsidR="00BA3801" w:rsidRPr="00141069">
        <w:rPr>
          <w:color w:val="auto"/>
        </w:rPr>
        <w:t xml:space="preserve"> </w:t>
      </w:r>
      <w:r w:rsidRPr="00141069">
        <w:rPr>
          <w:color w:val="auto"/>
        </w:rPr>
        <w:t xml:space="preserve">tax reform </w:t>
      </w:r>
      <w:r w:rsidR="00CA2828">
        <w:rPr>
          <w:color w:val="auto"/>
        </w:rPr>
        <w:t xml:space="preserve">and improved sub-national government budgeting – as well as </w:t>
      </w:r>
      <w:r w:rsidR="00BB1D28">
        <w:rPr>
          <w:color w:val="auto"/>
        </w:rPr>
        <w:t xml:space="preserve">contributing to </w:t>
      </w:r>
      <w:r w:rsidR="00CA2828">
        <w:rPr>
          <w:color w:val="auto"/>
        </w:rPr>
        <w:t>a cross pollination of ideas across previous</w:t>
      </w:r>
      <w:r w:rsidR="00BB1D28">
        <w:rPr>
          <w:color w:val="auto"/>
        </w:rPr>
        <w:t>ly</w:t>
      </w:r>
      <w:r w:rsidR="00CA2828">
        <w:rPr>
          <w:color w:val="auto"/>
        </w:rPr>
        <w:t xml:space="preserve"> unconnected sub</w:t>
      </w:r>
      <w:r w:rsidR="00FA0CB3">
        <w:rPr>
          <w:color w:val="auto"/>
        </w:rPr>
        <w:t>-</w:t>
      </w:r>
      <w:r w:rsidR="00CA2828">
        <w:rPr>
          <w:color w:val="auto"/>
        </w:rPr>
        <w:t xml:space="preserve">national governments. </w:t>
      </w:r>
      <w:r w:rsidR="00CA2828" w:rsidRPr="00E81F72">
        <w:rPr>
          <w:color w:val="auto"/>
        </w:rPr>
        <w:t>Development Affairs Organizations (DAOs)</w:t>
      </w:r>
      <w:r w:rsidR="00C539F2">
        <w:rPr>
          <w:color w:val="auto"/>
        </w:rPr>
        <w:t>,</w:t>
      </w:r>
      <w:r w:rsidR="00CA2828" w:rsidRPr="00E81F72">
        <w:rPr>
          <w:color w:val="auto"/>
        </w:rPr>
        <w:t xml:space="preserve"> unique in Myanmar’s go</w:t>
      </w:r>
      <w:r w:rsidR="00C539F2">
        <w:rPr>
          <w:color w:val="auto"/>
        </w:rPr>
        <w:t>vernance structure, have</w:t>
      </w:r>
      <w:r w:rsidR="00CA2828" w:rsidRPr="00C64190">
        <w:rPr>
          <w:color w:val="auto"/>
        </w:rPr>
        <w:t xml:space="preserve"> sole</w:t>
      </w:r>
      <w:r w:rsidR="00CA2828">
        <w:rPr>
          <w:color w:val="auto"/>
        </w:rPr>
        <w:t xml:space="preserve"> </w:t>
      </w:r>
      <w:r w:rsidR="00CA2828" w:rsidRPr="00E81F72">
        <w:rPr>
          <w:color w:val="auto"/>
        </w:rPr>
        <w:t>accountability to state and region</w:t>
      </w:r>
      <w:r w:rsidR="00FA0CB3">
        <w:rPr>
          <w:color w:val="auto"/>
        </w:rPr>
        <w:t>al</w:t>
      </w:r>
      <w:r w:rsidR="00CA2828" w:rsidRPr="00E81F72">
        <w:rPr>
          <w:color w:val="auto"/>
        </w:rPr>
        <w:t xml:space="preserve"> governments and considerable autonomy to make decisions at the local level.</w:t>
      </w:r>
      <w:r w:rsidR="00FB4078">
        <w:rPr>
          <w:color w:val="auto"/>
        </w:rPr>
        <w:t xml:space="preserve"> </w:t>
      </w:r>
      <w:r w:rsidR="00CA2828" w:rsidRPr="00E81F72">
        <w:rPr>
          <w:color w:val="auto"/>
        </w:rPr>
        <w:t>They deliver</w:t>
      </w:r>
      <w:r w:rsidR="00D86183">
        <w:rPr>
          <w:color w:val="auto"/>
        </w:rPr>
        <w:t xml:space="preserve"> </w:t>
      </w:r>
      <w:r w:rsidR="00CA2828" w:rsidRPr="00E81F72">
        <w:rPr>
          <w:color w:val="auto"/>
        </w:rPr>
        <w:t>urban services such as roads, markets and solid w</w:t>
      </w:r>
      <w:r w:rsidR="009B12DF">
        <w:rPr>
          <w:color w:val="auto"/>
        </w:rPr>
        <w:t xml:space="preserve">aste management. </w:t>
      </w:r>
      <w:r w:rsidR="006660E6" w:rsidRPr="006660E6">
        <w:rPr>
          <w:color w:val="auto"/>
        </w:rPr>
        <w:t>With our support, 13 DAOs adopted a streamlined digital revenue management system leading to greater efficiency and increased revenues. Other work on local level tax reform led to property tax revenue increases of over 15 per</w:t>
      </w:r>
      <w:r w:rsidR="003D3643">
        <w:rPr>
          <w:color w:val="auto"/>
        </w:rPr>
        <w:t xml:space="preserve"> </w:t>
      </w:r>
      <w:r w:rsidR="006660E6" w:rsidRPr="006660E6">
        <w:rPr>
          <w:color w:val="auto"/>
        </w:rPr>
        <w:t>cent and new opportunities for DAOs to deliver services to their communities.</w:t>
      </w:r>
      <w:r w:rsidR="00FB4078">
        <w:rPr>
          <w:color w:val="auto"/>
        </w:rPr>
        <w:t xml:space="preserve"> </w:t>
      </w:r>
    </w:p>
    <w:p w14:paraId="185BA426" w14:textId="766277D1" w:rsidR="00CA2828" w:rsidRDefault="00C50048" w:rsidP="001E66DC">
      <w:pPr>
        <w:rPr>
          <w:color w:val="auto"/>
        </w:rPr>
      </w:pPr>
      <w:r>
        <w:rPr>
          <w:color w:val="auto"/>
        </w:rPr>
        <w:t xml:space="preserve">Australia’s </w:t>
      </w:r>
      <w:r w:rsidR="00472321">
        <w:rPr>
          <w:color w:val="auto"/>
        </w:rPr>
        <w:t>funding and TAF’s efforts</w:t>
      </w:r>
      <w:r>
        <w:rPr>
          <w:color w:val="auto"/>
        </w:rPr>
        <w:t xml:space="preserve"> </w:t>
      </w:r>
      <w:r w:rsidR="00C539F2">
        <w:rPr>
          <w:color w:val="auto"/>
        </w:rPr>
        <w:t xml:space="preserve">have resulted in increased transparency of </w:t>
      </w:r>
      <w:r w:rsidR="00D86183">
        <w:rPr>
          <w:color w:val="auto"/>
        </w:rPr>
        <w:t>sub</w:t>
      </w:r>
      <w:r w:rsidR="00FA0CB3">
        <w:rPr>
          <w:color w:val="auto"/>
        </w:rPr>
        <w:t>-</w:t>
      </w:r>
      <w:r w:rsidR="00D86183">
        <w:rPr>
          <w:color w:val="auto"/>
        </w:rPr>
        <w:t>national</w:t>
      </w:r>
      <w:r w:rsidR="00CA2828">
        <w:rPr>
          <w:color w:val="auto"/>
        </w:rPr>
        <w:t xml:space="preserve"> budgets</w:t>
      </w:r>
      <w:r w:rsidR="00D94597">
        <w:rPr>
          <w:color w:val="auto"/>
        </w:rPr>
        <w:t xml:space="preserve"> with the </w:t>
      </w:r>
      <w:r w:rsidR="00CA2828" w:rsidRPr="00E81F72">
        <w:rPr>
          <w:color w:val="auto"/>
        </w:rPr>
        <w:t xml:space="preserve">public </w:t>
      </w:r>
      <w:r w:rsidR="00D94597">
        <w:rPr>
          <w:color w:val="auto"/>
        </w:rPr>
        <w:t>having</w:t>
      </w:r>
      <w:r w:rsidR="009B12DF">
        <w:rPr>
          <w:color w:val="auto"/>
        </w:rPr>
        <w:t xml:space="preserve"> increasing</w:t>
      </w:r>
      <w:r w:rsidR="00CA2828" w:rsidRPr="00C64190">
        <w:rPr>
          <w:color w:val="auto"/>
        </w:rPr>
        <w:t xml:space="preserve"> access to budget</w:t>
      </w:r>
      <w:r w:rsidR="00CA2828">
        <w:rPr>
          <w:color w:val="auto"/>
        </w:rPr>
        <w:t xml:space="preserve"> </w:t>
      </w:r>
      <w:r w:rsidR="00CA2828" w:rsidRPr="00E81F72">
        <w:rPr>
          <w:color w:val="auto"/>
        </w:rPr>
        <w:t xml:space="preserve">information in 13 of </w:t>
      </w:r>
      <w:r w:rsidR="003D3643">
        <w:rPr>
          <w:color w:val="auto"/>
        </w:rPr>
        <w:t xml:space="preserve">the </w:t>
      </w:r>
      <w:r w:rsidR="00CA2828" w:rsidRPr="00E81F72">
        <w:rPr>
          <w:color w:val="auto"/>
        </w:rPr>
        <w:t>14 states and regions</w:t>
      </w:r>
      <w:r w:rsidR="00391E3C">
        <w:rPr>
          <w:color w:val="auto"/>
        </w:rPr>
        <w:t>.</w:t>
      </w:r>
      <w:r w:rsidR="00D60DDA" w:rsidRPr="00D60DDA">
        <w:rPr>
          <w:color w:val="auto"/>
        </w:rPr>
        <w:t xml:space="preserve"> </w:t>
      </w:r>
      <w:r w:rsidR="00391E3C" w:rsidRPr="00141069">
        <w:rPr>
          <w:color w:val="auto"/>
        </w:rPr>
        <w:t>The international community</w:t>
      </w:r>
      <w:r w:rsidR="00FA0CB3">
        <w:rPr>
          <w:color w:val="auto"/>
        </w:rPr>
        <w:t xml:space="preserve"> acknowledged Myanmar’s recent tax reforms and</w:t>
      </w:r>
      <w:r w:rsidR="00391E3C" w:rsidRPr="00141069">
        <w:rPr>
          <w:color w:val="auto"/>
        </w:rPr>
        <w:t xml:space="preserve"> </w:t>
      </w:r>
      <w:r w:rsidR="00391E3C">
        <w:rPr>
          <w:color w:val="auto"/>
        </w:rPr>
        <w:t>Myanmar’s</w:t>
      </w:r>
      <w:r w:rsidR="00391E3C" w:rsidRPr="00141069">
        <w:rPr>
          <w:color w:val="auto"/>
        </w:rPr>
        <w:t xml:space="preserve"> </w:t>
      </w:r>
      <w:r w:rsidR="00FA0CB3">
        <w:rPr>
          <w:color w:val="auto"/>
        </w:rPr>
        <w:t xml:space="preserve">Open Budget ranking increase from two to seven. </w:t>
      </w:r>
      <w:r w:rsidR="00D60DDA">
        <w:rPr>
          <w:color w:val="auto"/>
        </w:rPr>
        <w:t>A</w:t>
      </w:r>
      <w:r w:rsidR="00D60DDA" w:rsidRPr="00141069">
        <w:rPr>
          <w:color w:val="auto"/>
        </w:rPr>
        <w:t xml:space="preserve">lthough </w:t>
      </w:r>
      <w:r w:rsidR="00D60DDA">
        <w:rPr>
          <w:color w:val="auto"/>
        </w:rPr>
        <w:t xml:space="preserve">remaining </w:t>
      </w:r>
      <w:r w:rsidR="00D60DDA" w:rsidRPr="00141069">
        <w:rPr>
          <w:color w:val="auto"/>
        </w:rPr>
        <w:t xml:space="preserve">in the </w:t>
      </w:r>
      <w:r w:rsidR="00D60DDA">
        <w:rPr>
          <w:color w:val="auto"/>
        </w:rPr>
        <w:t>‘</w:t>
      </w:r>
      <w:r w:rsidR="00D60DDA" w:rsidRPr="00141069">
        <w:rPr>
          <w:color w:val="auto"/>
        </w:rPr>
        <w:t>red zone</w:t>
      </w:r>
      <w:r w:rsidR="00D60DDA">
        <w:rPr>
          <w:color w:val="auto"/>
        </w:rPr>
        <w:t>’</w:t>
      </w:r>
      <w:r w:rsidR="00D60DDA" w:rsidRPr="00141069">
        <w:rPr>
          <w:color w:val="auto"/>
        </w:rPr>
        <w:t xml:space="preserve"> it is an achievement in extremely challenging circumstances.</w:t>
      </w:r>
    </w:p>
    <w:p w14:paraId="7F5B7C5E" w14:textId="612E132B" w:rsidR="00D86183" w:rsidRPr="00141069" w:rsidRDefault="00D86183" w:rsidP="00D86183">
      <w:pPr>
        <w:rPr>
          <w:color w:val="auto"/>
        </w:rPr>
      </w:pPr>
      <w:r w:rsidRPr="00E81F72">
        <w:rPr>
          <w:color w:val="auto"/>
        </w:rPr>
        <w:t xml:space="preserve">Through </w:t>
      </w:r>
      <w:r w:rsidR="00391E3C">
        <w:rPr>
          <w:color w:val="auto"/>
        </w:rPr>
        <w:t>Australia’s</w:t>
      </w:r>
      <w:r w:rsidRPr="00E81F72">
        <w:rPr>
          <w:color w:val="auto"/>
        </w:rPr>
        <w:t xml:space="preserve"> partnership with the World Bank, we are building government economic management foundations: enhancing</w:t>
      </w:r>
      <w:r w:rsidRPr="00C64190">
        <w:rPr>
          <w:color w:val="auto"/>
        </w:rPr>
        <w:t xml:space="preserve"> transparency, accountability; </w:t>
      </w:r>
      <w:r w:rsidR="00AB0038">
        <w:rPr>
          <w:color w:val="auto"/>
        </w:rPr>
        <w:t xml:space="preserve">improving </w:t>
      </w:r>
      <w:r w:rsidRPr="00E81F72">
        <w:rPr>
          <w:color w:val="auto"/>
        </w:rPr>
        <w:t>the manage</w:t>
      </w:r>
      <w:r w:rsidRPr="00C64190">
        <w:rPr>
          <w:color w:val="auto"/>
        </w:rPr>
        <w:t>ment of revenue and expenditure,</w:t>
      </w:r>
      <w:r w:rsidRPr="00E81F72">
        <w:rPr>
          <w:color w:val="auto"/>
        </w:rPr>
        <w:t xml:space="preserve"> and increasing access to high-quality financial services. </w:t>
      </w:r>
      <w:r>
        <w:rPr>
          <w:color w:val="auto"/>
        </w:rPr>
        <w:t>A recent</w:t>
      </w:r>
      <w:r w:rsidRPr="00E81F72">
        <w:rPr>
          <w:color w:val="auto"/>
        </w:rPr>
        <w:t xml:space="preserve"> </w:t>
      </w:r>
      <w:r w:rsidRPr="00C64190">
        <w:rPr>
          <w:color w:val="auto"/>
        </w:rPr>
        <w:t>example</w:t>
      </w:r>
      <w:r w:rsidRPr="00E81F72">
        <w:rPr>
          <w:color w:val="auto"/>
        </w:rPr>
        <w:t xml:space="preserve"> of success </w:t>
      </w:r>
      <w:r w:rsidR="000B48E6">
        <w:rPr>
          <w:color w:val="auto"/>
        </w:rPr>
        <w:t>was</w:t>
      </w:r>
      <w:r w:rsidRPr="00E81F72">
        <w:rPr>
          <w:color w:val="auto"/>
        </w:rPr>
        <w:t xml:space="preserve"> </w:t>
      </w:r>
      <w:r>
        <w:rPr>
          <w:color w:val="auto"/>
        </w:rPr>
        <w:t>supporting the</w:t>
      </w:r>
      <w:r w:rsidRPr="00E81F72">
        <w:rPr>
          <w:color w:val="auto"/>
        </w:rPr>
        <w:t xml:space="preserve"> Government to adopt electronic budget su</w:t>
      </w:r>
      <w:r w:rsidR="00391E3C">
        <w:rPr>
          <w:color w:val="auto"/>
        </w:rPr>
        <w:t xml:space="preserve">bmissions this financial year. </w:t>
      </w:r>
      <w:r w:rsidRPr="00E81F72">
        <w:rPr>
          <w:color w:val="auto"/>
        </w:rPr>
        <w:t>This will result in improved fiscal reporting practices, better data access, an ability to undertake more sophisticated budget analysis, stronger bottom-up budgeting, and greater fiscal transparency.</w:t>
      </w:r>
      <w:r>
        <w:rPr>
          <w:color w:val="auto"/>
        </w:rPr>
        <w:t xml:space="preserve"> </w:t>
      </w:r>
    </w:p>
    <w:p w14:paraId="0EB4FA08" w14:textId="7B23F384" w:rsidR="004A5BFF" w:rsidRPr="00141069" w:rsidRDefault="000B48E6" w:rsidP="004A5BFF">
      <w:pPr>
        <w:rPr>
          <w:color w:val="auto"/>
        </w:rPr>
      </w:pPr>
      <w:r>
        <w:rPr>
          <w:color w:val="auto"/>
        </w:rPr>
        <w:t>Also through our support to the World Bank, M</w:t>
      </w:r>
      <w:r w:rsidR="004A5BFF" w:rsidRPr="00141069">
        <w:rPr>
          <w:color w:val="auto"/>
        </w:rPr>
        <w:t xml:space="preserve">yanmar </w:t>
      </w:r>
      <w:r w:rsidR="00C54DE3" w:rsidRPr="00141069">
        <w:rPr>
          <w:color w:val="auto"/>
        </w:rPr>
        <w:t>continued its engagement</w:t>
      </w:r>
      <w:r w:rsidR="004A5BFF" w:rsidRPr="00141069">
        <w:rPr>
          <w:color w:val="auto"/>
        </w:rPr>
        <w:t xml:space="preserve"> with the Extractive Industries Transparency Initiative (EITI)</w:t>
      </w:r>
      <w:r w:rsidR="00D60DDA">
        <w:rPr>
          <w:color w:val="auto"/>
        </w:rPr>
        <w:t xml:space="preserve"> over 2018-</w:t>
      </w:r>
      <w:r w:rsidR="000D0E51">
        <w:rPr>
          <w:color w:val="auto"/>
        </w:rPr>
        <w:t>19</w:t>
      </w:r>
      <w:r w:rsidR="00D86183">
        <w:rPr>
          <w:color w:val="auto"/>
        </w:rPr>
        <w:t>.</w:t>
      </w:r>
      <w:r w:rsidR="004A5BFF" w:rsidRPr="00141069">
        <w:rPr>
          <w:color w:val="auto"/>
        </w:rPr>
        <w:t xml:space="preserve"> </w:t>
      </w:r>
      <w:r w:rsidR="00C54DE3" w:rsidRPr="00141069">
        <w:rPr>
          <w:color w:val="auto"/>
        </w:rPr>
        <w:t xml:space="preserve">The Myanmar EITI </w:t>
      </w:r>
      <w:r w:rsidR="00181B1D">
        <w:rPr>
          <w:color w:val="auto"/>
        </w:rPr>
        <w:t>has</w:t>
      </w:r>
      <w:r w:rsidR="00C54DE3" w:rsidRPr="00141069">
        <w:rPr>
          <w:color w:val="auto"/>
        </w:rPr>
        <w:t xml:space="preserve"> </w:t>
      </w:r>
      <w:r w:rsidR="000A5543" w:rsidRPr="00141069">
        <w:rPr>
          <w:color w:val="auto"/>
        </w:rPr>
        <w:t>committed to</w:t>
      </w:r>
      <w:r w:rsidR="00181B1D">
        <w:rPr>
          <w:color w:val="auto"/>
        </w:rPr>
        <w:t xml:space="preserve"> a</w:t>
      </w:r>
      <w:r w:rsidR="00C54DE3" w:rsidRPr="00141069">
        <w:rPr>
          <w:color w:val="auto"/>
        </w:rPr>
        <w:t xml:space="preserve"> schedule</w:t>
      </w:r>
      <w:r w:rsidR="000A5543" w:rsidRPr="00141069">
        <w:rPr>
          <w:color w:val="auto"/>
        </w:rPr>
        <w:t xml:space="preserve"> of submitting</w:t>
      </w:r>
      <w:r w:rsidR="00C54DE3" w:rsidRPr="00141069">
        <w:rPr>
          <w:color w:val="auto"/>
        </w:rPr>
        <w:t xml:space="preserve"> reports</w:t>
      </w:r>
      <w:r w:rsidR="00181B1D">
        <w:rPr>
          <w:color w:val="auto"/>
        </w:rPr>
        <w:t>,</w:t>
      </w:r>
      <w:r w:rsidR="004E0A61" w:rsidRPr="00141069">
        <w:rPr>
          <w:color w:val="auto"/>
        </w:rPr>
        <w:t xml:space="preserve"> and </w:t>
      </w:r>
      <w:r w:rsidR="00181B1D">
        <w:rPr>
          <w:color w:val="auto"/>
        </w:rPr>
        <w:t xml:space="preserve">recently </w:t>
      </w:r>
      <w:r w:rsidR="004E0A61" w:rsidRPr="00141069">
        <w:rPr>
          <w:color w:val="auto"/>
        </w:rPr>
        <w:t xml:space="preserve">underwent a formal EITI validation </w:t>
      </w:r>
      <w:r w:rsidR="00936CAF" w:rsidRPr="00141069">
        <w:rPr>
          <w:color w:val="auto"/>
        </w:rPr>
        <w:t>process</w:t>
      </w:r>
      <w:r w:rsidR="00B05440">
        <w:rPr>
          <w:color w:val="auto"/>
        </w:rPr>
        <w:t xml:space="preserve">. </w:t>
      </w:r>
      <w:r w:rsidR="004A5BFF" w:rsidRPr="00141069">
        <w:rPr>
          <w:color w:val="auto"/>
        </w:rPr>
        <w:t>This is a major step towards increasing the transparency of Myanmar’s natural resources sector and improving accountable and robust public financial management.</w:t>
      </w:r>
      <w:r w:rsidR="00B05440">
        <w:rPr>
          <w:color w:val="auto"/>
        </w:rPr>
        <w:t xml:space="preserve"> The EITI Board is yet to make a decision on the validation application.</w:t>
      </w:r>
    </w:p>
    <w:p w14:paraId="500D99BB" w14:textId="79447F39" w:rsidR="000B48E6" w:rsidRDefault="000B48E6" w:rsidP="00141069">
      <w:pPr>
        <w:rPr>
          <w:b/>
          <w:color w:val="auto"/>
        </w:rPr>
      </w:pPr>
      <w:r>
        <w:rPr>
          <w:color w:val="auto"/>
        </w:rPr>
        <w:t>The</w:t>
      </w:r>
      <w:r w:rsidR="00370BF1" w:rsidRPr="00651666">
        <w:rPr>
          <w:color w:val="auto"/>
        </w:rPr>
        <w:t xml:space="preserve"> regional Mekong Business Initiative </w:t>
      </w:r>
      <w:r w:rsidR="00651666" w:rsidRPr="00651666">
        <w:rPr>
          <w:color w:val="auto"/>
        </w:rPr>
        <w:t>(MBI</w:t>
      </w:r>
      <w:r w:rsidR="00391E3C" w:rsidRPr="00651666">
        <w:rPr>
          <w:color w:val="auto"/>
        </w:rPr>
        <w:t>)</w:t>
      </w:r>
      <w:r>
        <w:rPr>
          <w:color w:val="auto"/>
        </w:rPr>
        <w:t xml:space="preserve"> </w:t>
      </w:r>
      <w:r w:rsidR="00651666" w:rsidRPr="00651666">
        <w:rPr>
          <w:color w:val="auto"/>
        </w:rPr>
        <w:t>continued to help implement the National</w:t>
      </w:r>
      <w:r w:rsidR="00D86183">
        <w:rPr>
          <w:color w:val="auto"/>
        </w:rPr>
        <w:t xml:space="preserve"> Private Sector Development</w:t>
      </w:r>
      <w:r w:rsidR="00651666" w:rsidRPr="00651666">
        <w:rPr>
          <w:color w:val="auto"/>
        </w:rPr>
        <w:t xml:space="preserve"> Framework and Action Plan focus</w:t>
      </w:r>
      <w:r w:rsidR="00391E3C">
        <w:rPr>
          <w:color w:val="auto"/>
        </w:rPr>
        <w:t>sing</w:t>
      </w:r>
      <w:r w:rsidR="00651666" w:rsidRPr="00651666">
        <w:rPr>
          <w:color w:val="auto"/>
        </w:rPr>
        <w:t xml:space="preserve"> on access to finance.</w:t>
      </w:r>
      <w:r w:rsidR="00651666">
        <w:rPr>
          <w:color w:val="auto"/>
        </w:rPr>
        <w:t xml:space="preserve"> The MBI regional activities in Myanmar include t</w:t>
      </w:r>
      <w:r w:rsidR="00651666" w:rsidRPr="00651666">
        <w:rPr>
          <w:color w:val="auto"/>
        </w:rPr>
        <w:t>he Mekong Inn</w:t>
      </w:r>
      <w:r w:rsidR="00D86183">
        <w:rPr>
          <w:color w:val="auto"/>
        </w:rPr>
        <w:t xml:space="preserve">ovative Start-up Tourism </w:t>
      </w:r>
      <w:r w:rsidR="00651666" w:rsidRPr="00651666">
        <w:rPr>
          <w:color w:val="auto"/>
        </w:rPr>
        <w:t>a</w:t>
      </w:r>
      <w:r w:rsidR="00651666">
        <w:rPr>
          <w:color w:val="auto"/>
        </w:rPr>
        <w:t xml:space="preserve">cceleration program (launched </w:t>
      </w:r>
      <w:r w:rsidR="00B05440">
        <w:rPr>
          <w:color w:val="auto"/>
        </w:rPr>
        <w:t xml:space="preserve">in </w:t>
      </w:r>
      <w:r w:rsidR="00651666" w:rsidRPr="00651666">
        <w:rPr>
          <w:color w:val="auto"/>
        </w:rPr>
        <w:t>2017</w:t>
      </w:r>
      <w:r w:rsidR="00651666">
        <w:rPr>
          <w:color w:val="auto"/>
        </w:rPr>
        <w:t>)</w:t>
      </w:r>
      <w:r w:rsidR="00651666" w:rsidRPr="00651666">
        <w:rPr>
          <w:color w:val="auto"/>
        </w:rPr>
        <w:t xml:space="preserve"> </w:t>
      </w:r>
      <w:r w:rsidR="00651666">
        <w:rPr>
          <w:color w:val="auto"/>
        </w:rPr>
        <w:t>aiming to assist</w:t>
      </w:r>
      <w:r w:rsidR="00651666" w:rsidRPr="00651666">
        <w:rPr>
          <w:color w:val="auto"/>
        </w:rPr>
        <w:t xml:space="preserve"> l</w:t>
      </w:r>
      <w:r w:rsidR="00651666">
        <w:rPr>
          <w:color w:val="auto"/>
        </w:rPr>
        <w:t>ocal tourism start-ups grow and expand into the Mekong region; and t</w:t>
      </w:r>
      <w:r w:rsidR="00651666" w:rsidRPr="00651666">
        <w:rPr>
          <w:color w:val="auto"/>
        </w:rPr>
        <w:t>he Mekong Ag</w:t>
      </w:r>
      <w:r w:rsidR="00651666">
        <w:rPr>
          <w:color w:val="auto"/>
        </w:rPr>
        <w:t xml:space="preserve">ribusiness </w:t>
      </w:r>
      <w:r w:rsidR="00651666">
        <w:rPr>
          <w:color w:val="auto"/>
        </w:rPr>
        <w:lastRenderedPageBreak/>
        <w:t xml:space="preserve">Technology Challenge </w:t>
      </w:r>
      <w:r w:rsidR="00651666" w:rsidRPr="00651666">
        <w:rPr>
          <w:color w:val="auto"/>
        </w:rPr>
        <w:t>acceler</w:t>
      </w:r>
      <w:r w:rsidR="00651666">
        <w:rPr>
          <w:color w:val="auto"/>
        </w:rPr>
        <w:t xml:space="preserve">ation program supporting start-ups </w:t>
      </w:r>
      <w:r w:rsidR="00651666" w:rsidRPr="00651666">
        <w:rPr>
          <w:color w:val="auto"/>
        </w:rPr>
        <w:t xml:space="preserve">in agriculture </w:t>
      </w:r>
      <w:r w:rsidR="00651666">
        <w:rPr>
          <w:color w:val="auto"/>
        </w:rPr>
        <w:t xml:space="preserve">to develop products, and access </w:t>
      </w:r>
      <w:r w:rsidR="00651666" w:rsidRPr="00651666">
        <w:rPr>
          <w:color w:val="auto"/>
        </w:rPr>
        <w:t xml:space="preserve">markets and funding. </w:t>
      </w:r>
    </w:p>
    <w:p w14:paraId="79C97C08" w14:textId="3A43A494" w:rsidR="00141069" w:rsidRPr="00313B91" w:rsidRDefault="00141069" w:rsidP="00141069">
      <w:pPr>
        <w:rPr>
          <w:b/>
          <w:color w:val="auto"/>
        </w:rPr>
      </w:pPr>
      <w:r w:rsidRPr="00313B91">
        <w:rPr>
          <w:b/>
          <w:color w:val="auto"/>
        </w:rPr>
        <w:t>Rural development</w:t>
      </w:r>
    </w:p>
    <w:p w14:paraId="3819105B" w14:textId="3A9B8749" w:rsidR="006660E6" w:rsidRPr="00182C35" w:rsidRDefault="00141069" w:rsidP="006660E6">
      <w:pPr>
        <w:rPr>
          <w:color w:val="auto"/>
        </w:rPr>
      </w:pPr>
      <w:r w:rsidRPr="00141069">
        <w:rPr>
          <w:color w:val="auto"/>
        </w:rPr>
        <w:t>The Livelihoods and Food Security Fund (LIFT, $</w:t>
      </w:r>
      <w:r>
        <w:rPr>
          <w:color w:val="auto"/>
        </w:rPr>
        <w:t>2.5 million in 2018-19</w:t>
      </w:r>
      <w:r w:rsidRPr="00141069">
        <w:rPr>
          <w:color w:val="auto"/>
        </w:rPr>
        <w:t xml:space="preserve">) is the largest multi-donor </w:t>
      </w:r>
      <w:r w:rsidR="004F72E1">
        <w:rPr>
          <w:color w:val="auto"/>
        </w:rPr>
        <w:t xml:space="preserve">fund </w:t>
      </w:r>
      <w:r w:rsidRPr="00141069">
        <w:rPr>
          <w:color w:val="auto"/>
        </w:rPr>
        <w:t>in Myanmar, to which Australia is the third largest donor. LIFT continued its strong performance</w:t>
      </w:r>
      <w:r w:rsidR="00D86183">
        <w:rPr>
          <w:color w:val="auto"/>
        </w:rPr>
        <w:t xml:space="preserve"> </w:t>
      </w:r>
      <w:r w:rsidRPr="00141069">
        <w:rPr>
          <w:color w:val="auto"/>
        </w:rPr>
        <w:t>i</w:t>
      </w:r>
      <w:r w:rsidR="00221D6E">
        <w:rPr>
          <w:color w:val="auto"/>
        </w:rPr>
        <w:t>n 2018-19</w:t>
      </w:r>
      <w:r w:rsidR="004F72E1">
        <w:rPr>
          <w:color w:val="auto"/>
        </w:rPr>
        <w:t>, including</w:t>
      </w:r>
      <w:r w:rsidRPr="00141069">
        <w:rPr>
          <w:color w:val="auto"/>
        </w:rPr>
        <w:t>: facilitating access to finance to more rural women and men; providing technical expertise to inform the Myanmar Government’s agricultural policies; and continuing to leverage private sector investment i</w:t>
      </w:r>
      <w:r w:rsidR="00651666">
        <w:rPr>
          <w:color w:val="auto"/>
        </w:rPr>
        <w:t>n support of rural development.</w:t>
      </w:r>
      <w:r w:rsidR="006660E6">
        <w:rPr>
          <w:color w:val="auto"/>
        </w:rPr>
        <w:t xml:space="preserve"> </w:t>
      </w:r>
      <w:r w:rsidR="006660E6" w:rsidRPr="00A968E9">
        <w:rPr>
          <w:color w:val="auto"/>
        </w:rPr>
        <w:t>Australian aid enabled income increases for 22,146 households (</w:t>
      </w:r>
      <w:r w:rsidR="006660E6">
        <w:rPr>
          <w:color w:val="auto"/>
        </w:rPr>
        <w:t xml:space="preserve">15 per cent </w:t>
      </w:r>
      <w:r w:rsidR="006660E6" w:rsidRPr="00A968E9">
        <w:rPr>
          <w:color w:val="auto"/>
        </w:rPr>
        <w:t xml:space="preserve">female-headed) and provided access to finance for </w:t>
      </w:r>
      <w:r w:rsidR="006660E6" w:rsidRPr="00D03384">
        <w:rPr>
          <w:color w:val="auto"/>
        </w:rPr>
        <w:t xml:space="preserve">41,981 </w:t>
      </w:r>
      <w:r w:rsidR="006660E6" w:rsidRPr="00A968E9">
        <w:rPr>
          <w:color w:val="auto"/>
        </w:rPr>
        <w:t>clients (91 per cent women).</w:t>
      </w:r>
      <w:r w:rsidR="006660E6" w:rsidRPr="00B72000">
        <w:rPr>
          <w:color w:val="auto"/>
        </w:rPr>
        <w:t xml:space="preserve"> </w:t>
      </w:r>
    </w:p>
    <w:p w14:paraId="4F07378F" w14:textId="0024042E" w:rsidR="00881963" w:rsidRDefault="006660E6" w:rsidP="00141069">
      <w:pPr>
        <w:rPr>
          <w:color w:val="auto"/>
        </w:rPr>
      </w:pPr>
      <w:r w:rsidRPr="006660E6">
        <w:rPr>
          <w:color w:val="auto"/>
        </w:rPr>
        <w:t>LIFT did not meet either of the two PAF targets</w:t>
      </w:r>
      <w:r w:rsidR="00F24D0A">
        <w:rPr>
          <w:color w:val="auto"/>
        </w:rPr>
        <w:t xml:space="preserve"> for 2018-19</w:t>
      </w:r>
      <w:r w:rsidRPr="006660E6">
        <w:rPr>
          <w:color w:val="auto"/>
        </w:rPr>
        <w:t xml:space="preserve">. </w:t>
      </w:r>
      <w:r w:rsidR="00F24D0A">
        <w:rPr>
          <w:color w:val="auto"/>
        </w:rPr>
        <w:t xml:space="preserve">This </w:t>
      </w:r>
      <w:r w:rsidR="003B1220">
        <w:rPr>
          <w:color w:val="auto"/>
        </w:rPr>
        <w:t xml:space="preserve">arose </w:t>
      </w:r>
      <w:r w:rsidR="00F24D0A">
        <w:rPr>
          <w:color w:val="auto"/>
        </w:rPr>
        <w:t xml:space="preserve">because the targets selected </w:t>
      </w:r>
      <w:r w:rsidR="00E15020">
        <w:rPr>
          <w:color w:val="auto"/>
        </w:rPr>
        <w:t xml:space="preserve">for 2018-19 </w:t>
      </w:r>
      <w:r w:rsidR="00F24D0A">
        <w:rPr>
          <w:color w:val="auto"/>
        </w:rPr>
        <w:t xml:space="preserve">were based on a calculation method that </w:t>
      </w:r>
      <w:r w:rsidR="003B1220">
        <w:rPr>
          <w:color w:val="auto"/>
        </w:rPr>
        <w:t xml:space="preserve">was </w:t>
      </w:r>
      <w:r w:rsidR="00F24D0A">
        <w:rPr>
          <w:color w:val="auto"/>
        </w:rPr>
        <w:t>adjusted</w:t>
      </w:r>
      <w:r w:rsidR="00E15020">
        <w:rPr>
          <w:color w:val="auto"/>
        </w:rPr>
        <w:t xml:space="preserve"> </w:t>
      </w:r>
      <w:r w:rsidR="003B1220">
        <w:rPr>
          <w:color w:val="auto"/>
        </w:rPr>
        <w:t xml:space="preserve">after the </w:t>
      </w:r>
      <w:r w:rsidR="00E15020">
        <w:rPr>
          <w:color w:val="auto"/>
        </w:rPr>
        <w:t>publication of the 2017-18 APPR</w:t>
      </w:r>
      <w:r w:rsidR="00F24D0A">
        <w:rPr>
          <w:color w:val="auto"/>
        </w:rPr>
        <w:t xml:space="preserve">. </w:t>
      </w:r>
      <w:r w:rsidRPr="006660E6">
        <w:rPr>
          <w:color w:val="auto"/>
        </w:rPr>
        <w:t xml:space="preserve">The </w:t>
      </w:r>
      <w:r w:rsidR="00E15020" w:rsidRPr="006660E6">
        <w:rPr>
          <w:color w:val="auto"/>
        </w:rPr>
        <w:t xml:space="preserve">2019-20 </w:t>
      </w:r>
      <w:r w:rsidR="00E15020">
        <w:rPr>
          <w:color w:val="auto"/>
        </w:rPr>
        <w:t xml:space="preserve">PAF </w:t>
      </w:r>
      <w:r w:rsidRPr="006660E6">
        <w:rPr>
          <w:color w:val="auto"/>
        </w:rPr>
        <w:t xml:space="preserve">targets for both outcomes will require adjustment to accommodate </w:t>
      </w:r>
      <w:r w:rsidR="00E15020">
        <w:rPr>
          <w:color w:val="auto"/>
        </w:rPr>
        <w:t>the</w:t>
      </w:r>
      <w:r w:rsidRPr="006660E6">
        <w:rPr>
          <w:color w:val="auto"/>
        </w:rPr>
        <w:t xml:space="preserve"> </w:t>
      </w:r>
      <w:r w:rsidR="00E15020">
        <w:rPr>
          <w:color w:val="auto"/>
        </w:rPr>
        <w:t>adjusted</w:t>
      </w:r>
      <w:r w:rsidRPr="006660E6">
        <w:rPr>
          <w:color w:val="auto"/>
        </w:rPr>
        <w:t xml:space="preserve"> calculation method</w:t>
      </w:r>
      <w:r w:rsidR="00AA5F61">
        <w:rPr>
          <w:color w:val="auto"/>
        </w:rPr>
        <w:t xml:space="preserve"> for Australia’s attribution</w:t>
      </w:r>
      <w:r w:rsidRPr="006660E6">
        <w:rPr>
          <w:color w:val="auto"/>
        </w:rPr>
        <w:t>.</w:t>
      </w:r>
      <w:r w:rsidR="007C1139">
        <w:rPr>
          <w:color w:val="auto"/>
        </w:rPr>
        <w:t xml:space="preserve"> </w:t>
      </w:r>
    </w:p>
    <w:p w14:paraId="7099036E" w14:textId="77777777" w:rsidR="00182C35" w:rsidRPr="008C7300" w:rsidRDefault="00182C35" w:rsidP="009E551D">
      <w:pPr>
        <w:rPr>
          <w:color w:val="auto"/>
        </w:rPr>
      </w:pPr>
      <w:r w:rsidRPr="008C7300">
        <w:rPr>
          <w:color w:val="auto"/>
        </w:rPr>
        <w:t xml:space="preserve">In total, LIFT’s </w:t>
      </w:r>
      <w:r w:rsidR="00FC4B66" w:rsidRPr="008C7300">
        <w:rPr>
          <w:color w:val="auto"/>
        </w:rPr>
        <w:t xml:space="preserve">largest program, </w:t>
      </w:r>
      <w:r w:rsidRPr="008C7300">
        <w:rPr>
          <w:color w:val="auto"/>
        </w:rPr>
        <w:t>financial inclusion</w:t>
      </w:r>
      <w:r w:rsidR="00FC4B66" w:rsidRPr="008C7300">
        <w:rPr>
          <w:color w:val="auto"/>
        </w:rPr>
        <w:t>,</w:t>
      </w:r>
      <w:r w:rsidRPr="008C7300">
        <w:rPr>
          <w:color w:val="auto"/>
        </w:rPr>
        <w:t xml:space="preserve"> now reaches </w:t>
      </w:r>
      <w:r w:rsidR="00B72000" w:rsidRPr="008C7300">
        <w:rPr>
          <w:color w:val="auto"/>
        </w:rPr>
        <w:t>over 2.6</w:t>
      </w:r>
      <w:r w:rsidRPr="008C7300">
        <w:rPr>
          <w:color w:val="auto"/>
        </w:rPr>
        <w:t xml:space="preserve"> million clients across Myanmar.</w:t>
      </w:r>
      <w:r w:rsidR="00FC4B66" w:rsidRPr="008C7300">
        <w:rPr>
          <w:color w:val="auto"/>
        </w:rPr>
        <w:t xml:space="preserve"> LIFT-supported microfinance institutions deliver deposit services, lines of credit, leasing, term-finance, debt consolidation loans, financing for seasonal crops, livestock, small businesses and customised loans for low-income women, migrants, people with disabilities and the internally displaced</w:t>
      </w:r>
      <w:r w:rsidR="008C7300" w:rsidRPr="008C7300">
        <w:rPr>
          <w:color w:val="auto"/>
        </w:rPr>
        <w:t>.</w:t>
      </w:r>
    </w:p>
    <w:p w14:paraId="392594E3" w14:textId="5A057F0F" w:rsidR="005138EE" w:rsidRPr="00E81F72" w:rsidRDefault="005138EE" w:rsidP="009E551D">
      <w:pPr>
        <w:rPr>
          <w:color w:val="auto"/>
        </w:rPr>
      </w:pPr>
      <w:r w:rsidRPr="005138EE">
        <w:rPr>
          <w:color w:val="auto"/>
        </w:rPr>
        <w:t xml:space="preserve">In 2018, LIFT continued to support maternal and </w:t>
      </w:r>
      <w:r w:rsidR="00D95C5D">
        <w:rPr>
          <w:color w:val="auto"/>
        </w:rPr>
        <w:t xml:space="preserve">child </w:t>
      </w:r>
      <w:r w:rsidRPr="005138EE">
        <w:rPr>
          <w:color w:val="auto"/>
        </w:rPr>
        <w:t xml:space="preserve">cash transfer </w:t>
      </w:r>
      <w:r w:rsidR="0002588D">
        <w:rPr>
          <w:color w:val="auto"/>
        </w:rPr>
        <w:t xml:space="preserve">(MCCT) </w:t>
      </w:r>
      <w:r w:rsidRPr="005138EE">
        <w:rPr>
          <w:color w:val="auto"/>
        </w:rPr>
        <w:t xml:space="preserve">programs in the Delta, Dry Zone, Chin State and Rakhine. </w:t>
      </w:r>
      <w:r w:rsidR="0024404C">
        <w:rPr>
          <w:color w:val="auto"/>
        </w:rPr>
        <w:t>The</w:t>
      </w:r>
      <w:r w:rsidR="00F423E7" w:rsidRPr="005138EE">
        <w:rPr>
          <w:color w:val="auto"/>
        </w:rPr>
        <w:t xml:space="preserve"> </w:t>
      </w:r>
      <w:r w:rsidR="00391E3C" w:rsidRPr="005138EE">
        <w:rPr>
          <w:color w:val="auto"/>
        </w:rPr>
        <w:t>state</w:t>
      </w:r>
      <w:r w:rsidR="00391E3C">
        <w:rPr>
          <w:color w:val="auto"/>
        </w:rPr>
        <w:t>wide</w:t>
      </w:r>
      <w:r w:rsidRPr="005138EE">
        <w:rPr>
          <w:color w:val="auto"/>
        </w:rPr>
        <w:t xml:space="preserve"> pilot </w:t>
      </w:r>
      <w:r w:rsidR="0002588D">
        <w:rPr>
          <w:color w:val="auto"/>
        </w:rPr>
        <w:t xml:space="preserve">of the </w:t>
      </w:r>
      <w:r w:rsidR="0002588D" w:rsidRPr="005138EE">
        <w:rPr>
          <w:color w:val="auto"/>
        </w:rPr>
        <w:t xml:space="preserve">MCCT program </w:t>
      </w:r>
      <w:r w:rsidRPr="005138EE">
        <w:rPr>
          <w:color w:val="auto"/>
        </w:rPr>
        <w:t>conducted in Chin State</w:t>
      </w:r>
      <w:r w:rsidR="00FA0CB3">
        <w:rPr>
          <w:color w:val="auto"/>
        </w:rPr>
        <w:t xml:space="preserve"> was</w:t>
      </w:r>
      <w:r w:rsidRPr="005138EE">
        <w:rPr>
          <w:color w:val="auto"/>
        </w:rPr>
        <w:t xml:space="preserve"> led by the Department of Social Welfare with LIFT’s funding and support</w:t>
      </w:r>
      <w:r w:rsidR="00F423E7">
        <w:rPr>
          <w:color w:val="auto"/>
        </w:rPr>
        <w:t xml:space="preserve">. The Government </w:t>
      </w:r>
      <w:r w:rsidR="006660E6">
        <w:rPr>
          <w:color w:val="auto"/>
        </w:rPr>
        <w:t xml:space="preserve">of Myanmar </w:t>
      </w:r>
      <w:r w:rsidR="00F423E7">
        <w:rPr>
          <w:color w:val="auto"/>
        </w:rPr>
        <w:t xml:space="preserve">has now allocated budget to cover the costs of a </w:t>
      </w:r>
      <w:r w:rsidR="00FA0CB3">
        <w:rPr>
          <w:color w:val="auto"/>
        </w:rPr>
        <w:t xml:space="preserve">statewide </w:t>
      </w:r>
      <w:r w:rsidR="00F423E7">
        <w:rPr>
          <w:color w:val="auto"/>
        </w:rPr>
        <w:t>MCCT program for Chin State</w:t>
      </w:r>
      <w:r w:rsidRPr="005138EE">
        <w:rPr>
          <w:color w:val="auto"/>
        </w:rPr>
        <w:t xml:space="preserve"> from 2019</w:t>
      </w:r>
      <w:r w:rsidR="00FA0CB3">
        <w:rPr>
          <w:color w:val="auto"/>
        </w:rPr>
        <w:t>.</w:t>
      </w:r>
      <w:r w:rsidR="00F423E7" w:rsidRPr="00E81F72">
        <w:rPr>
          <w:color w:val="auto"/>
        </w:rPr>
        <w:t xml:space="preserve"> T</w:t>
      </w:r>
      <w:r w:rsidR="00EB2A3D">
        <w:rPr>
          <w:color w:val="auto"/>
        </w:rPr>
        <w:t>he fact t</w:t>
      </w:r>
      <w:r w:rsidR="00F423E7" w:rsidRPr="00E81F72">
        <w:rPr>
          <w:color w:val="auto"/>
        </w:rPr>
        <w:t xml:space="preserve">hat </w:t>
      </w:r>
      <w:r w:rsidR="00EB2A3D">
        <w:rPr>
          <w:color w:val="auto"/>
        </w:rPr>
        <w:t>Myanmar</w:t>
      </w:r>
      <w:r w:rsidR="00F423E7" w:rsidRPr="00E81F72">
        <w:rPr>
          <w:color w:val="auto"/>
        </w:rPr>
        <w:t xml:space="preserve"> sees the value of LIFT’s pilots</w:t>
      </w:r>
      <w:r w:rsidR="00EB2A3D">
        <w:rPr>
          <w:color w:val="auto"/>
        </w:rPr>
        <w:t>,</w:t>
      </w:r>
      <w:r w:rsidR="00F423E7" w:rsidRPr="00E81F72">
        <w:rPr>
          <w:color w:val="auto"/>
        </w:rPr>
        <w:t xml:space="preserve"> and </w:t>
      </w:r>
      <w:r w:rsidR="00EB2A3D">
        <w:rPr>
          <w:color w:val="auto"/>
        </w:rPr>
        <w:t>is continuing</w:t>
      </w:r>
      <w:r w:rsidR="00F423E7" w:rsidRPr="00E81F72">
        <w:rPr>
          <w:color w:val="auto"/>
        </w:rPr>
        <w:t xml:space="preserve"> fund</w:t>
      </w:r>
      <w:r w:rsidR="0024404C">
        <w:rPr>
          <w:color w:val="auto"/>
        </w:rPr>
        <w:t>ing</w:t>
      </w:r>
      <w:r w:rsidR="00F423E7" w:rsidRPr="00E81F72">
        <w:rPr>
          <w:color w:val="auto"/>
        </w:rPr>
        <w:t xml:space="preserve"> with its own budget</w:t>
      </w:r>
      <w:r w:rsidR="00EB2A3D">
        <w:rPr>
          <w:color w:val="auto"/>
        </w:rPr>
        <w:t>,</w:t>
      </w:r>
      <w:r w:rsidR="00F423E7" w:rsidRPr="00E81F72">
        <w:rPr>
          <w:color w:val="auto"/>
        </w:rPr>
        <w:t xml:space="preserve"> is an excellent example of </w:t>
      </w:r>
      <w:r w:rsidR="00EB2A3D">
        <w:rPr>
          <w:color w:val="auto"/>
        </w:rPr>
        <w:t>the effectiveness of activities</w:t>
      </w:r>
      <w:r w:rsidR="00F423E7" w:rsidRPr="00E81F72">
        <w:rPr>
          <w:color w:val="auto"/>
        </w:rPr>
        <w:t xml:space="preserve">, policy engagement and </w:t>
      </w:r>
      <w:r w:rsidR="00A40722" w:rsidRPr="00E81F72">
        <w:rPr>
          <w:color w:val="auto"/>
        </w:rPr>
        <w:t>long-term</w:t>
      </w:r>
      <w:r w:rsidR="00F423E7" w:rsidRPr="00E81F72">
        <w:rPr>
          <w:color w:val="auto"/>
        </w:rPr>
        <w:t xml:space="preserve"> sustainability. </w:t>
      </w:r>
    </w:p>
    <w:p w14:paraId="78AA5E13" w14:textId="32088642" w:rsidR="00D80CB5" w:rsidRPr="00344361" w:rsidRDefault="004F0055" w:rsidP="009E551D">
      <w:pPr>
        <w:rPr>
          <w:color w:val="auto"/>
        </w:rPr>
      </w:pPr>
      <w:r>
        <w:rPr>
          <w:color w:val="auto"/>
        </w:rPr>
        <w:t>D</w:t>
      </w:r>
      <w:r w:rsidR="008A3EA4" w:rsidRPr="00344361">
        <w:rPr>
          <w:color w:val="auto"/>
        </w:rPr>
        <w:t>isability-inclusive programming</w:t>
      </w:r>
      <w:r w:rsidR="006813C2" w:rsidRPr="00344361">
        <w:rPr>
          <w:color w:val="auto"/>
        </w:rPr>
        <w:t xml:space="preserve"> is a first for LIFT, with six proposals selected to work in the Delta, Dry Zone,</w:t>
      </w:r>
      <w:r w:rsidR="00344361" w:rsidRPr="00344361">
        <w:rPr>
          <w:color w:val="auto"/>
        </w:rPr>
        <w:t xml:space="preserve"> and</w:t>
      </w:r>
      <w:r w:rsidR="006813C2" w:rsidRPr="00344361">
        <w:rPr>
          <w:color w:val="auto"/>
        </w:rPr>
        <w:t xml:space="preserve"> Chin, Shan and Rakhine States. It is too soon to report on these projects</w:t>
      </w:r>
      <w:r w:rsidR="00D95C5D">
        <w:rPr>
          <w:color w:val="auto"/>
        </w:rPr>
        <w:t>.</w:t>
      </w:r>
      <w:r w:rsidR="006813C2" w:rsidRPr="00344361">
        <w:rPr>
          <w:color w:val="auto"/>
        </w:rPr>
        <w:t xml:space="preserve"> </w:t>
      </w:r>
      <w:r w:rsidR="00D95C5D">
        <w:rPr>
          <w:color w:val="auto"/>
        </w:rPr>
        <w:t>H</w:t>
      </w:r>
      <w:r w:rsidR="006813C2" w:rsidRPr="00344361">
        <w:rPr>
          <w:color w:val="auto"/>
        </w:rPr>
        <w:t>owever</w:t>
      </w:r>
      <w:r w:rsidR="00D95C5D">
        <w:rPr>
          <w:color w:val="auto"/>
        </w:rPr>
        <w:t>,</w:t>
      </w:r>
      <w:r w:rsidR="00344361" w:rsidRPr="00344361">
        <w:rPr>
          <w:color w:val="auto"/>
        </w:rPr>
        <w:t xml:space="preserve"> through another program</w:t>
      </w:r>
      <w:r w:rsidR="006813C2" w:rsidRPr="00344361">
        <w:rPr>
          <w:color w:val="auto"/>
        </w:rPr>
        <w:t xml:space="preserve">, </w:t>
      </w:r>
      <w:r w:rsidR="00344361" w:rsidRPr="00344361">
        <w:rPr>
          <w:color w:val="auto"/>
        </w:rPr>
        <w:t>LIFT’s partner, HelpAge, provided cash transfers to persons with a disability across 180 villages in six townships of the Dry Zone. This aided beneficiaries to access healthcare and psychological support, easing pressure on household expenses, and overall improving incomes and food security</w:t>
      </w:r>
      <w:r w:rsidR="006813C2" w:rsidRPr="00344361">
        <w:rPr>
          <w:color w:val="auto"/>
        </w:rPr>
        <w:t xml:space="preserve">. </w:t>
      </w:r>
    </w:p>
    <w:p w14:paraId="6F8913B1" w14:textId="264045B8" w:rsidR="006A2CAF" w:rsidRDefault="00472321" w:rsidP="009E551D">
      <w:pPr>
        <w:rPr>
          <w:color w:val="auto"/>
        </w:rPr>
      </w:pPr>
      <w:r>
        <w:rPr>
          <w:color w:val="auto"/>
        </w:rPr>
        <w:t xml:space="preserve">One </w:t>
      </w:r>
      <w:r w:rsidR="000A3310">
        <w:rPr>
          <w:color w:val="auto"/>
        </w:rPr>
        <w:t xml:space="preserve">in four </w:t>
      </w:r>
      <w:r w:rsidR="00902799">
        <w:rPr>
          <w:color w:val="auto"/>
        </w:rPr>
        <w:t xml:space="preserve">people in </w:t>
      </w:r>
      <w:r w:rsidR="000A3310">
        <w:rPr>
          <w:color w:val="auto"/>
        </w:rPr>
        <w:t xml:space="preserve">Myanmar are </w:t>
      </w:r>
      <w:r>
        <w:rPr>
          <w:color w:val="auto"/>
        </w:rPr>
        <w:t>migrating</w:t>
      </w:r>
      <w:r w:rsidR="00756E79">
        <w:rPr>
          <w:color w:val="auto"/>
        </w:rPr>
        <w:t xml:space="preserve"> within Myanmar</w:t>
      </w:r>
      <w:r>
        <w:rPr>
          <w:color w:val="auto"/>
        </w:rPr>
        <w:t>,</w:t>
      </w:r>
      <w:r w:rsidR="000A3310">
        <w:rPr>
          <w:color w:val="auto"/>
        </w:rPr>
        <w:t xml:space="preserve"> mostly to</w:t>
      </w:r>
      <w:r>
        <w:rPr>
          <w:color w:val="auto"/>
        </w:rPr>
        <w:t xml:space="preserve"> </w:t>
      </w:r>
      <w:r w:rsidR="006A2CAF">
        <w:rPr>
          <w:color w:val="auto"/>
        </w:rPr>
        <w:t>peri</w:t>
      </w:r>
      <w:r w:rsidR="00CD5D28">
        <w:rPr>
          <w:color w:val="auto"/>
        </w:rPr>
        <w:t>-urban and urban areas</w:t>
      </w:r>
      <w:r w:rsidR="00D86183">
        <w:rPr>
          <w:color w:val="auto"/>
        </w:rPr>
        <w:t xml:space="preserve">. </w:t>
      </w:r>
      <w:r w:rsidR="00CD5D28" w:rsidRPr="00CD5D28">
        <w:rPr>
          <w:color w:val="auto"/>
        </w:rPr>
        <w:t xml:space="preserve">Migration from rural areas continues to increase as jobs in urban areas attract rural people </w:t>
      </w:r>
      <w:r>
        <w:rPr>
          <w:color w:val="auto"/>
        </w:rPr>
        <w:t>to new opportunities</w:t>
      </w:r>
      <w:r w:rsidR="00CD5D28" w:rsidRPr="00CD5D28">
        <w:rPr>
          <w:color w:val="auto"/>
        </w:rPr>
        <w:t xml:space="preserve">. LIFT’s partners work with migrants and aspiring migrants to ensure they have the skills, financial literacy and support to </w:t>
      </w:r>
      <w:r>
        <w:rPr>
          <w:color w:val="auto"/>
        </w:rPr>
        <w:t>take up</w:t>
      </w:r>
      <w:r w:rsidRPr="00CD5D28">
        <w:rPr>
          <w:color w:val="auto"/>
        </w:rPr>
        <w:t xml:space="preserve"> </w:t>
      </w:r>
      <w:r w:rsidR="00CD5D28" w:rsidRPr="00CD5D28">
        <w:rPr>
          <w:color w:val="auto"/>
        </w:rPr>
        <w:t>new opportunities</w:t>
      </w:r>
      <w:r>
        <w:rPr>
          <w:color w:val="auto"/>
        </w:rPr>
        <w:t xml:space="preserve"> in a positive way.</w:t>
      </w:r>
    </w:p>
    <w:p w14:paraId="78C5701F" w14:textId="2D368BDE" w:rsidR="00221D6E" w:rsidRDefault="00221D6E" w:rsidP="00221D6E">
      <w:pPr>
        <w:rPr>
          <w:color w:val="auto"/>
        </w:rPr>
      </w:pPr>
      <w:r>
        <w:rPr>
          <w:color w:val="auto"/>
        </w:rPr>
        <w:t xml:space="preserve">In 2018, </w:t>
      </w:r>
      <w:r w:rsidR="00F22484">
        <w:rPr>
          <w:color w:val="auto"/>
        </w:rPr>
        <w:t xml:space="preserve">LIFT </w:t>
      </w:r>
      <w:r>
        <w:rPr>
          <w:color w:val="auto"/>
        </w:rPr>
        <w:t>cond</w:t>
      </w:r>
      <w:r w:rsidR="00F22484">
        <w:rPr>
          <w:color w:val="auto"/>
        </w:rPr>
        <w:t xml:space="preserve">ucted extensive </w:t>
      </w:r>
      <w:r w:rsidR="00677A26">
        <w:rPr>
          <w:color w:val="auto"/>
        </w:rPr>
        <w:t>analysis</w:t>
      </w:r>
      <w:r>
        <w:rPr>
          <w:color w:val="auto"/>
        </w:rPr>
        <w:t xml:space="preserve"> to inform </w:t>
      </w:r>
      <w:r w:rsidR="00D86183">
        <w:rPr>
          <w:color w:val="auto"/>
        </w:rPr>
        <w:t>a</w:t>
      </w:r>
      <w:r w:rsidR="004657CA">
        <w:rPr>
          <w:color w:val="auto"/>
        </w:rPr>
        <w:t xml:space="preserve"> </w:t>
      </w:r>
      <w:r w:rsidR="00D86183">
        <w:rPr>
          <w:color w:val="auto"/>
        </w:rPr>
        <w:t>further</w:t>
      </w:r>
      <w:r w:rsidR="004657CA">
        <w:rPr>
          <w:color w:val="auto"/>
        </w:rPr>
        <w:t xml:space="preserve"> </w:t>
      </w:r>
      <w:r>
        <w:rPr>
          <w:color w:val="auto"/>
        </w:rPr>
        <w:t>phase</w:t>
      </w:r>
      <w:r w:rsidR="002F6146">
        <w:rPr>
          <w:color w:val="auto"/>
        </w:rPr>
        <w:t xml:space="preserve">, which </w:t>
      </w:r>
      <w:r w:rsidR="00677A26">
        <w:rPr>
          <w:color w:val="auto"/>
        </w:rPr>
        <w:t xml:space="preserve">will </w:t>
      </w:r>
      <w:r w:rsidR="002F6146">
        <w:rPr>
          <w:color w:val="auto"/>
        </w:rPr>
        <w:t>expand its work in conflict</w:t>
      </w:r>
      <w:r w:rsidR="00F22484">
        <w:rPr>
          <w:color w:val="auto"/>
        </w:rPr>
        <w:t>-</w:t>
      </w:r>
      <w:r w:rsidR="006D0A1F">
        <w:rPr>
          <w:color w:val="auto"/>
        </w:rPr>
        <w:t xml:space="preserve">affected </w:t>
      </w:r>
      <w:r w:rsidR="00F22484">
        <w:rPr>
          <w:color w:val="auto"/>
        </w:rPr>
        <w:t>communities in</w:t>
      </w:r>
      <w:r w:rsidR="002F6146">
        <w:rPr>
          <w:color w:val="auto"/>
        </w:rPr>
        <w:t xml:space="preserve"> northern Rakhine, Shan and Kachin States.</w:t>
      </w:r>
      <w:r w:rsidR="00472321">
        <w:rPr>
          <w:color w:val="auto"/>
        </w:rPr>
        <w:t xml:space="preserve"> </w:t>
      </w:r>
      <w:r w:rsidR="00472321" w:rsidRPr="00344361">
        <w:rPr>
          <w:color w:val="auto"/>
        </w:rPr>
        <w:t>Over the reporting period, LIFT continued to adjust its approach in Rakhine, notably in the north w</w:t>
      </w:r>
      <w:r w:rsidR="00472321">
        <w:rPr>
          <w:color w:val="auto"/>
        </w:rPr>
        <w:t>here</w:t>
      </w:r>
      <w:r w:rsidR="00472321" w:rsidRPr="00344361">
        <w:rPr>
          <w:color w:val="auto"/>
        </w:rPr>
        <w:t xml:space="preserve"> the increased violence and </w:t>
      </w:r>
      <w:r w:rsidR="00472321">
        <w:rPr>
          <w:color w:val="auto"/>
        </w:rPr>
        <w:t>access restrictions</w:t>
      </w:r>
      <w:r w:rsidR="00472321" w:rsidRPr="00344361">
        <w:rPr>
          <w:color w:val="auto"/>
        </w:rPr>
        <w:t xml:space="preserve"> </w:t>
      </w:r>
      <w:r w:rsidR="00472321">
        <w:rPr>
          <w:color w:val="auto"/>
        </w:rPr>
        <w:t>disrupt</w:t>
      </w:r>
      <w:r w:rsidR="00EB2A3D">
        <w:rPr>
          <w:color w:val="auto"/>
        </w:rPr>
        <w:t>ed</w:t>
      </w:r>
      <w:r w:rsidR="00472321" w:rsidRPr="00344361">
        <w:rPr>
          <w:color w:val="auto"/>
        </w:rPr>
        <w:t xml:space="preserve"> projects. </w:t>
      </w:r>
      <w:r w:rsidR="00472321">
        <w:rPr>
          <w:color w:val="auto"/>
        </w:rPr>
        <w:t xml:space="preserve">LIFT acknowledges the challenges, remaining flexible and adaptable. </w:t>
      </w:r>
    </w:p>
    <w:p w14:paraId="395DBBD5" w14:textId="696D8336" w:rsidR="00E946BC" w:rsidRDefault="0012635B" w:rsidP="00963DC4">
      <w:pPr>
        <w:rPr>
          <w:color w:val="auto"/>
        </w:rPr>
      </w:pPr>
      <w:r w:rsidRPr="00BC0E88">
        <w:rPr>
          <w:color w:val="auto"/>
        </w:rPr>
        <w:t xml:space="preserve">The Australian Centre for International Agricultural Research (ACIAR, </w:t>
      </w:r>
      <w:r w:rsidR="006660E6">
        <w:rPr>
          <w:color w:val="auto"/>
        </w:rPr>
        <w:t xml:space="preserve">estimated </w:t>
      </w:r>
      <w:r w:rsidRPr="00BC0E88">
        <w:rPr>
          <w:color w:val="auto"/>
        </w:rPr>
        <w:t>$4.</w:t>
      </w:r>
      <w:r w:rsidR="00405B97">
        <w:rPr>
          <w:color w:val="auto"/>
        </w:rPr>
        <w:t>7</w:t>
      </w:r>
      <w:r w:rsidRPr="00BC0E88">
        <w:rPr>
          <w:color w:val="auto"/>
        </w:rPr>
        <w:t xml:space="preserve"> million in 2018-19) continued to work collaboratively with research partners on increasing food production and household incomes in the Central Dry Zone and Ayeyarwady Delta region. Research on vegetable value</w:t>
      </w:r>
      <w:r w:rsidR="00FA0CB3">
        <w:rPr>
          <w:color w:val="auto"/>
        </w:rPr>
        <w:t xml:space="preserve"> </w:t>
      </w:r>
      <w:r w:rsidRPr="00BC0E88">
        <w:rPr>
          <w:color w:val="auto"/>
        </w:rPr>
        <w:t xml:space="preserve">chains and transport networks, linked to major markets in Yangon and Mandalay, demonstrated demand for vegetables that comply with Good Agricultural Practice (GAP). Related to this, </w:t>
      </w:r>
      <w:r w:rsidR="00FC529D">
        <w:rPr>
          <w:color w:val="auto"/>
        </w:rPr>
        <w:t xml:space="preserve">training on </w:t>
      </w:r>
      <w:r w:rsidR="00FC529D" w:rsidRPr="00BC0E88">
        <w:rPr>
          <w:color w:val="auto"/>
        </w:rPr>
        <w:t>agronomy and how to achieve GAP</w:t>
      </w:r>
      <w:r w:rsidR="00FC529D">
        <w:rPr>
          <w:color w:val="auto"/>
        </w:rPr>
        <w:t>-</w:t>
      </w:r>
      <w:r w:rsidR="00FC529D" w:rsidRPr="00BC0E88">
        <w:rPr>
          <w:color w:val="auto"/>
        </w:rPr>
        <w:t>ac</w:t>
      </w:r>
      <w:r w:rsidR="00FC529D">
        <w:rPr>
          <w:color w:val="auto"/>
        </w:rPr>
        <w:t>credited vegetable production</w:t>
      </w:r>
      <w:r w:rsidR="00FC529D" w:rsidRPr="00BC0E88">
        <w:rPr>
          <w:color w:val="auto"/>
        </w:rPr>
        <w:t xml:space="preserve"> </w:t>
      </w:r>
      <w:r w:rsidR="00FC529D">
        <w:rPr>
          <w:color w:val="auto"/>
        </w:rPr>
        <w:t>occurred for</w:t>
      </w:r>
      <w:r w:rsidRPr="00BC0E88">
        <w:rPr>
          <w:color w:val="auto"/>
        </w:rPr>
        <w:t xml:space="preserve"> </w:t>
      </w:r>
      <w:r w:rsidR="00FC529D">
        <w:rPr>
          <w:color w:val="auto"/>
        </w:rPr>
        <w:t xml:space="preserve">about </w:t>
      </w:r>
      <w:r w:rsidR="006D0A1F">
        <w:rPr>
          <w:color w:val="auto"/>
        </w:rPr>
        <w:t>100</w:t>
      </w:r>
      <w:r w:rsidRPr="00BC0E88">
        <w:rPr>
          <w:color w:val="auto"/>
        </w:rPr>
        <w:t xml:space="preserve"> farmers and extension staff</w:t>
      </w:r>
      <w:r w:rsidR="00BC0E88">
        <w:rPr>
          <w:color w:val="auto"/>
        </w:rPr>
        <w:t xml:space="preserve">. </w:t>
      </w:r>
    </w:p>
    <w:p w14:paraId="2FD8F2C6" w14:textId="2DE75754" w:rsidR="00E946BC" w:rsidRDefault="00E946BC" w:rsidP="00963DC4">
      <w:pPr>
        <w:rPr>
          <w:color w:val="auto"/>
        </w:rPr>
      </w:pPr>
      <w:r w:rsidRPr="000A38E2">
        <w:rPr>
          <w:color w:val="auto"/>
        </w:rPr>
        <w:t>The regional Grow Asia program complements these bilateral investments by supporting local agriculture partnerships and networks in Myanmar. Grow Asia supported the Myanmar Agriculture Network to revitalise its in-country operations and appoint a full</w:t>
      </w:r>
      <w:r w:rsidR="00FA0CB3">
        <w:rPr>
          <w:color w:val="auto"/>
        </w:rPr>
        <w:t>-</w:t>
      </w:r>
      <w:r w:rsidRPr="000A38E2">
        <w:rPr>
          <w:color w:val="auto"/>
        </w:rPr>
        <w:t xml:space="preserve">time Secretariat. </w:t>
      </w:r>
      <w:r w:rsidR="003B1220">
        <w:rPr>
          <w:color w:val="auto"/>
        </w:rPr>
        <w:t>The network now has more than 123 member organisations and 11 working groups.</w:t>
      </w:r>
      <w:r>
        <w:rPr>
          <w:color w:val="auto"/>
        </w:rPr>
        <w:t xml:space="preserve"> </w:t>
      </w:r>
      <w:r w:rsidRPr="000A38E2">
        <w:rPr>
          <w:color w:val="auto"/>
        </w:rPr>
        <w:t xml:space="preserve">Grow Asia facilitated successful international networking and contract </w:t>
      </w:r>
      <w:r w:rsidRPr="000A38E2">
        <w:rPr>
          <w:color w:val="auto"/>
        </w:rPr>
        <w:lastRenderedPageBreak/>
        <w:t xml:space="preserve">farming events to build value chains and share good practice on productivity, profitability and environmental sustainability. Grow Asia also worked with the Myanmar Government </w:t>
      </w:r>
      <w:r w:rsidR="00EB2A3D">
        <w:rPr>
          <w:color w:val="auto"/>
        </w:rPr>
        <w:t>(</w:t>
      </w:r>
      <w:r w:rsidRPr="000A38E2">
        <w:rPr>
          <w:color w:val="auto"/>
        </w:rPr>
        <w:t>and other ASEAN governments</w:t>
      </w:r>
      <w:r w:rsidR="00EB2A3D">
        <w:rPr>
          <w:color w:val="auto"/>
        </w:rPr>
        <w:t>)</w:t>
      </w:r>
      <w:r w:rsidRPr="000A38E2">
        <w:rPr>
          <w:color w:val="auto"/>
        </w:rPr>
        <w:t xml:space="preserve"> to draft guidelines on responsible investment in food, agriculture and forestry. A recent mid-term review indic</w:t>
      </w:r>
      <w:r w:rsidR="00FA0CB3">
        <w:rPr>
          <w:color w:val="auto"/>
        </w:rPr>
        <w:t>a</w:t>
      </w:r>
      <w:r w:rsidRPr="000A38E2">
        <w:rPr>
          <w:color w:val="auto"/>
        </w:rPr>
        <w:t>ted the Secretariat should work more on building capacity, increasing financial self-sufficiency and undertaking impact studies and stor</w:t>
      </w:r>
      <w:r>
        <w:rPr>
          <w:color w:val="auto"/>
        </w:rPr>
        <w:t>y gathering</w:t>
      </w:r>
      <w:r w:rsidRPr="000A38E2">
        <w:rPr>
          <w:color w:val="auto"/>
        </w:rPr>
        <w:t xml:space="preserve"> across all countries.</w:t>
      </w:r>
    </w:p>
    <w:p w14:paraId="0E0E183B" w14:textId="77777777" w:rsidR="002A51CA" w:rsidRDefault="002A51CA" w:rsidP="00CF62AE">
      <w:pPr>
        <w:pStyle w:val="Heading2"/>
        <w:spacing w:before="360" w:line="300" w:lineRule="exact"/>
      </w:pPr>
      <w:r>
        <w:t>Mutual obligations</w:t>
      </w:r>
    </w:p>
    <w:p w14:paraId="7B5C2C6E" w14:textId="1AF90304" w:rsidR="0078302A" w:rsidRPr="00AC0B09" w:rsidRDefault="0078302A" w:rsidP="0078302A">
      <w:pPr>
        <w:rPr>
          <w:color w:val="auto"/>
        </w:rPr>
      </w:pPr>
      <w:r w:rsidRPr="0078302A">
        <w:rPr>
          <w:color w:val="auto"/>
        </w:rPr>
        <w:t xml:space="preserve">Australia provides </w:t>
      </w:r>
      <w:r w:rsidR="00677A26">
        <w:rPr>
          <w:color w:val="auto"/>
        </w:rPr>
        <w:t>aid</w:t>
      </w:r>
      <w:r w:rsidRPr="0078302A">
        <w:rPr>
          <w:color w:val="auto"/>
        </w:rPr>
        <w:t xml:space="preserve"> to Myanmar under the Memorandum of Understanding (MoU) on Development Cooperation, signed in 2013. High</w:t>
      </w:r>
      <w:r w:rsidR="006D0A1F">
        <w:rPr>
          <w:color w:val="auto"/>
        </w:rPr>
        <w:t>-</w:t>
      </w:r>
      <w:r w:rsidR="00C403BE">
        <w:rPr>
          <w:color w:val="auto"/>
        </w:rPr>
        <w:t>Level Consultations (HLCs) o</w:t>
      </w:r>
      <w:r w:rsidRPr="0078302A">
        <w:rPr>
          <w:color w:val="auto"/>
        </w:rPr>
        <w:t xml:space="preserve">n Development Cooperation have </w:t>
      </w:r>
      <w:r>
        <w:rPr>
          <w:color w:val="auto"/>
        </w:rPr>
        <w:t>occurred</w:t>
      </w:r>
      <w:r w:rsidRPr="0078302A">
        <w:rPr>
          <w:color w:val="auto"/>
        </w:rPr>
        <w:t xml:space="preserve"> twice since the </w:t>
      </w:r>
      <w:r>
        <w:rPr>
          <w:color w:val="auto"/>
        </w:rPr>
        <w:t xml:space="preserve">signing of the </w:t>
      </w:r>
      <w:r w:rsidRPr="0078302A">
        <w:rPr>
          <w:color w:val="auto"/>
        </w:rPr>
        <w:t>MoU</w:t>
      </w:r>
      <w:r w:rsidR="00D86183">
        <w:rPr>
          <w:color w:val="auto"/>
        </w:rPr>
        <w:t xml:space="preserve"> and we anticipate a further round in </w:t>
      </w:r>
      <w:r w:rsidR="00CE19D7">
        <w:rPr>
          <w:color w:val="auto"/>
        </w:rPr>
        <w:t>early 2020</w:t>
      </w:r>
      <w:r>
        <w:rPr>
          <w:color w:val="auto"/>
        </w:rPr>
        <w:t xml:space="preserve">. </w:t>
      </w:r>
      <w:r w:rsidRPr="0078302A">
        <w:rPr>
          <w:color w:val="auto"/>
        </w:rPr>
        <w:t xml:space="preserve">Our bilateral engagement on development is best characterised as a traditional donor-recipient relationship, with discussion centred on Myanmar’s requests for assistance rather than mutual obligations. </w:t>
      </w:r>
      <w:r w:rsidR="00EF668C">
        <w:rPr>
          <w:color w:val="auto"/>
        </w:rPr>
        <w:t>T</w:t>
      </w:r>
      <w:r w:rsidRPr="0078302A">
        <w:rPr>
          <w:color w:val="auto"/>
        </w:rPr>
        <w:t xml:space="preserve">he next HLCs </w:t>
      </w:r>
      <w:r w:rsidR="00EF668C">
        <w:rPr>
          <w:color w:val="auto"/>
        </w:rPr>
        <w:t>will provide an opportunity for further discussion on</w:t>
      </w:r>
      <w:r w:rsidRPr="0078302A">
        <w:rPr>
          <w:color w:val="auto"/>
        </w:rPr>
        <w:t xml:space="preserve"> mutual obligations, </w:t>
      </w:r>
      <w:r w:rsidR="00EF668C">
        <w:rPr>
          <w:color w:val="auto"/>
        </w:rPr>
        <w:t>the findings of this</w:t>
      </w:r>
      <w:r w:rsidRPr="0078302A">
        <w:rPr>
          <w:color w:val="auto"/>
        </w:rPr>
        <w:t xml:space="preserve"> report</w:t>
      </w:r>
      <w:r w:rsidR="00EF668C">
        <w:rPr>
          <w:color w:val="auto"/>
        </w:rPr>
        <w:t>,</w:t>
      </w:r>
      <w:r w:rsidRPr="0078302A">
        <w:rPr>
          <w:color w:val="auto"/>
        </w:rPr>
        <w:t xml:space="preserve"> </w:t>
      </w:r>
      <w:r w:rsidR="00F70893">
        <w:rPr>
          <w:color w:val="auto"/>
        </w:rPr>
        <w:t xml:space="preserve">and </w:t>
      </w:r>
      <w:r w:rsidRPr="0078302A">
        <w:rPr>
          <w:color w:val="auto"/>
        </w:rPr>
        <w:t>aid performance.</w:t>
      </w:r>
      <w:r w:rsidR="00020887">
        <w:rPr>
          <w:color w:val="auto"/>
        </w:rPr>
        <w:t xml:space="preserve"> </w:t>
      </w:r>
      <w:r w:rsidRPr="0078302A">
        <w:rPr>
          <w:color w:val="auto"/>
        </w:rPr>
        <w:t>Mutual accountability in the education sector</w:t>
      </w:r>
      <w:r w:rsidR="00EB426A">
        <w:rPr>
          <w:color w:val="auto"/>
        </w:rPr>
        <w:t xml:space="preserve"> is the most advanced</w:t>
      </w:r>
      <w:r w:rsidRPr="0078302A">
        <w:rPr>
          <w:color w:val="auto"/>
        </w:rPr>
        <w:t xml:space="preserve">, where aid coordination structures are functioning and the </w:t>
      </w:r>
      <w:r w:rsidR="00894DBC">
        <w:rPr>
          <w:color w:val="auto"/>
        </w:rPr>
        <w:t xml:space="preserve">Myanmar Government’s </w:t>
      </w:r>
      <w:r w:rsidRPr="0078302A">
        <w:rPr>
          <w:color w:val="auto"/>
        </w:rPr>
        <w:t>National Education Strategic Plan guides both government and development partner activities.</w:t>
      </w:r>
      <w:r w:rsidR="00706D53" w:rsidRPr="00706D53">
        <w:t xml:space="preserve"> </w:t>
      </w:r>
    </w:p>
    <w:p w14:paraId="3C994282" w14:textId="6F42D96C" w:rsidR="00020887" w:rsidRPr="0078302A" w:rsidRDefault="00020887" w:rsidP="00AC0B09">
      <w:pPr>
        <w:spacing w:after="120"/>
        <w:rPr>
          <w:color w:val="auto"/>
        </w:rPr>
      </w:pPr>
      <w:r>
        <w:rPr>
          <w:color w:val="auto"/>
        </w:rPr>
        <w:t xml:space="preserve">The Myanmar Sustainable Development Plan </w:t>
      </w:r>
      <w:r w:rsidRPr="0066305F">
        <w:rPr>
          <w:color w:val="auto"/>
        </w:rPr>
        <w:t>2018-2020</w:t>
      </w:r>
      <w:r>
        <w:rPr>
          <w:color w:val="auto"/>
        </w:rPr>
        <w:t xml:space="preserve"> contains three pillars</w:t>
      </w:r>
      <w:r w:rsidRPr="0066305F">
        <w:rPr>
          <w:color w:val="auto"/>
        </w:rPr>
        <w:t>: peace and stability; prosperity and partnership; and people and planet</w:t>
      </w:r>
      <w:r>
        <w:rPr>
          <w:color w:val="auto"/>
        </w:rPr>
        <w:t>.</w:t>
      </w:r>
      <w:r w:rsidRPr="0066305F">
        <w:t xml:space="preserve"> </w:t>
      </w:r>
      <w:r w:rsidRPr="00FA7C06">
        <w:rPr>
          <w:color w:val="auto"/>
        </w:rPr>
        <w:t>The</w:t>
      </w:r>
      <w:r>
        <w:t xml:space="preserve"> </w:t>
      </w:r>
      <w:r w:rsidRPr="0066305F">
        <w:rPr>
          <w:color w:val="auto"/>
        </w:rPr>
        <w:t xml:space="preserve">MSDP </w:t>
      </w:r>
      <w:r w:rsidR="008D18BD">
        <w:rPr>
          <w:color w:val="auto"/>
        </w:rPr>
        <w:t>reflects</w:t>
      </w:r>
      <w:r w:rsidRPr="0066305F">
        <w:rPr>
          <w:color w:val="auto"/>
        </w:rPr>
        <w:t xml:space="preserve"> Myanmar’s development priorities, such as those articulated in Myanmar's 12 Point Economic Policy, and international and regional commitments, such as the SDGs, the Greater Mekong </w:t>
      </w:r>
      <w:r>
        <w:rPr>
          <w:color w:val="auto"/>
        </w:rPr>
        <w:t>Sub-</w:t>
      </w:r>
      <w:r w:rsidRPr="0066305F">
        <w:rPr>
          <w:color w:val="auto"/>
        </w:rPr>
        <w:t>region Strategic Framework and ASEAN Economic Community. Cross cutting themes include equity and inclusion, sustainability, conflict-sensitive approaches and democratic principles.</w:t>
      </w:r>
      <w:r>
        <w:rPr>
          <w:color w:val="auto"/>
        </w:rPr>
        <w:t xml:space="preserve"> </w:t>
      </w:r>
    </w:p>
    <w:p w14:paraId="4CBCCB9F" w14:textId="2E1C1B82" w:rsidR="00D86183" w:rsidRDefault="0078302A" w:rsidP="00FA7C06">
      <w:pPr>
        <w:spacing w:after="120"/>
        <w:rPr>
          <w:color w:val="auto"/>
        </w:rPr>
      </w:pPr>
      <w:r w:rsidRPr="0078302A">
        <w:rPr>
          <w:color w:val="auto"/>
        </w:rPr>
        <w:t>Australia support</w:t>
      </w:r>
      <w:r w:rsidR="00C24974">
        <w:rPr>
          <w:color w:val="auto"/>
        </w:rPr>
        <w:t>s</w:t>
      </w:r>
      <w:r w:rsidRPr="0078302A">
        <w:rPr>
          <w:color w:val="auto"/>
        </w:rPr>
        <w:t xml:space="preserve"> the Myanmar Government’s </w:t>
      </w:r>
      <w:r w:rsidR="00020887">
        <w:rPr>
          <w:color w:val="auto"/>
        </w:rPr>
        <w:t xml:space="preserve">multiple </w:t>
      </w:r>
      <w:r w:rsidRPr="0078302A">
        <w:rPr>
          <w:color w:val="auto"/>
        </w:rPr>
        <w:t xml:space="preserve">aid coordination </w:t>
      </w:r>
      <w:r w:rsidR="00677A26">
        <w:rPr>
          <w:color w:val="auto"/>
        </w:rPr>
        <w:t xml:space="preserve">and planning </w:t>
      </w:r>
      <w:r w:rsidR="00020887">
        <w:rPr>
          <w:color w:val="auto"/>
        </w:rPr>
        <w:t xml:space="preserve">mechanisms </w:t>
      </w:r>
      <w:r w:rsidR="00C24974">
        <w:rPr>
          <w:color w:val="auto"/>
        </w:rPr>
        <w:t>and</w:t>
      </w:r>
      <w:r w:rsidR="00706D53">
        <w:rPr>
          <w:color w:val="auto"/>
        </w:rPr>
        <w:t xml:space="preserve"> </w:t>
      </w:r>
      <w:r w:rsidR="00706D53" w:rsidRPr="0078302A">
        <w:rPr>
          <w:color w:val="auto"/>
        </w:rPr>
        <w:t>the Myanmar Strategic Development Plan</w:t>
      </w:r>
      <w:r w:rsidR="00706D53">
        <w:rPr>
          <w:color w:val="auto"/>
        </w:rPr>
        <w:t xml:space="preserve"> </w:t>
      </w:r>
      <w:r w:rsidR="00BC0E88">
        <w:rPr>
          <w:color w:val="auto"/>
        </w:rPr>
        <w:t>(</w:t>
      </w:r>
      <w:r w:rsidR="00706D53">
        <w:rPr>
          <w:color w:val="auto"/>
        </w:rPr>
        <w:t>MSDP</w:t>
      </w:r>
      <w:r w:rsidR="00BC0E88">
        <w:rPr>
          <w:color w:val="auto"/>
        </w:rPr>
        <w:t>)</w:t>
      </w:r>
      <w:r w:rsidRPr="0078302A">
        <w:rPr>
          <w:color w:val="auto"/>
        </w:rPr>
        <w:t xml:space="preserve">. </w:t>
      </w:r>
      <w:r w:rsidR="00706D53">
        <w:rPr>
          <w:color w:val="auto"/>
        </w:rPr>
        <w:t>Australia</w:t>
      </w:r>
      <w:r w:rsidRPr="0078302A">
        <w:rPr>
          <w:color w:val="auto"/>
        </w:rPr>
        <w:t xml:space="preserve"> </w:t>
      </w:r>
      <w:r w:rsidR="00020887">
        <w:rPr>
          <w:color w:val="auto"/>
        </w:rPr>
        <w:t>contributed to</w:t>
      </w:r>
      <w:r w:rsidRPr="0078302A">
        <w:rPr>
          <w:color w:val="auto"/>
        </w:rPr>
        <w:t xml:space="preserve"> the development of</w:t>
      </w:r>
      <w:r w:rsidR="00706D53">
        <w:rPr>
          <w:color w:val="auto"/>
        </w:rPr>
        <w:t xml:space="preserve"> the MSDP, </w:t>
      </w:r>
      <w:r w:rsidR="00020887">
        <w:rPr>
          <w:color w:val="auto"/>
        </w:rPr>
        <w:t xml:space="preserve">which </w:t>
      </w:r>
      <w:r w:rsidRPr="0078302A">
        <w:rPr>
          <w:color w:val="auto"/>
        </w:rPr>
        <w:t>guide</w:t>
      </w:r>
      <w:r w:rsidR="00020887">
        <w:rPr>
          <w:color w:val="auto"/>
        </w:rPr>
        <w:t>s</w:t>
      </w:r>
      <w:r w:rsidRPr="0078302A">
        <w:rPr>
          <w:color w:val="auto"/>
        </w:rPr>
        <w:t xml:space="preserve"> priorities for government</w:t>
      </w:r>
      <w:r w:rsidR="00020887">
        <w:rPr>
          <w:color w:val="auto"/>
        </w:rPr>
        <w:t xml:space="preserve">, </w:t>
      </w:r>
      <w:r w:rsidRPr="0078302A">
        <w:rPr>
          <w:color w:val="auto"/>
        </w:rPr>
        <w:t>development partners</w:t>
      </w:r>
      <w:r w:rsidR="00020887">
        <w:rPr>
          <w:color w:val="auto"/>
        </w:rPr>
        <w:t xml:space="preserve"> and the private sector</w:t>
      </w:r>
      <w:r w:rsidRPr="0078302A">
        <w:rPr>
          <w:color w:val="auto"/>
        </w:rPr>
        <w:t>.</w:t>
      </w:r>
      <w:r w:rsidR="00AF42D3">
        <w:rPr>
          <w:color w:val="auto"/>
        </w:rPr>
        <w:t xml:space="preserve"> </w:t>
      </w:r>
      <w:r w:rsidR="00FA7C06" w:rsidRPr="0066305F">
        <w:rPr>
          <w:color w:val="auto"/>
        </w:rPr>
        <w:t xml:space="preserve">Directly related to the MSDP, is the </w:t>
      </w:r>
      <w:r w:rsidR="00FA7C06">
        <w:rPr>
          <w:color w:val="auto"/>
        </w:rPr>
        <w:t>‘Project Bank’</w:t>
      </w:r>
      <w:r w:rsidR="00C24974">
        <w:rPr>
          <w:color w:val="auto"/>
        </w:rPr>
        <w:t xml:space="preserve">. </w:t>
      </w:r>
      <w:r w:rsidR="00C3606B">
        <w:rPr>
          <w:color w:val="auto"/>
        </w:rPr>
        <w:t>This will contain projects and programs that have been screened by the Government and assesse</w:t>
      </w:r>
      <w:r w:rsidR="00F70893">
        <w:rPr>
          <w:color w:val="auto"/>
        </w:rPr>
        <w:t>d as worthy of proceeding. The Project B</w:t>
      </w:r>
      <w:r w:rsidR="00C3606B">
        <w:rPr>
          <w:color w:val="auto"/>
        </w:rPr>
        <w:t>ank will work to ensure that donor, private sector and government funded project</w:t>
      </w:r>
      <w:r w:rsidR="00FA0CB3">
        <w:rPr>
          <w:color w:val="auto"/>
        </w:rPr>
        <w:t>s</w:t>
      </w:r>
      <w:r w:rsidR="00C3606B">
        <w:rPr>
          <w:color w:val="auto"/>
        </w:rPr>
        <w:t xml:space="preserve"> support delivery of the MSDP’s goals. </w:t>
      </w:r>
    </w:p>
    <w:p w14:paraId="50B09190" w14:textId="4BD4A0C0" w:rsidR="00FA7C06" w:rsidRPr="0078302A" w:rsidRDefault="00D86183" w:rsidP="00FA7C06">
      <w:pPr>
        <w:spacing w:after="120"/>
        <w:rPr>
          <w:color w:val="auto"/>
        </w:rPr>
      </w:pPr>
      <w:r>
        <w:rPr>
          <w:color w:val="auto"/>
        </w:rPr>
        <w:t>T</w:t>
      </w:r>
      <w:r w:rsidR="00FA7C06" w:rsidRPr="0066305F">
        <w:rPr>
          <w:color w:val="auto"/>
        </w:rPr>
        <w:t>he World Bank</w:t>
      </w:r>
      <w:r w:rsidR="00FA7C06">
        <w:rPr>
          <w:color w:val="auto"/>
        </w:rPr>
        <w:t xml:space="preserve">, </w:t>
      </w:r>
      <w:r w:rsidR="00C3606B">
        <w:rPr>
          <w:color w:val="auto"/>
        </w:rPr>
        <w:t>with</w:t>
      </w:r>
      <w:r w:rsidR="00FA7C06">
        <w:rPr>
          <w:color w:val="auto"/>
        </w:rPr>
        <w:t xml:space="preserve"> Australia’s support</w:t>
      </w:r>
      <w:r w:rsidR="00F70893">
        <w:rPr>
          <w:color w:val="auto"/>
        </w:rPr>
        <w:t>,</w:t>
      </w:r>
      <w:r w:rsidR="00FA7C06" w:rsidRPr="0066305F">
        <w:rPr>
          <w:color w:val="auto"/>
        </w:rPr>
        <w:t xml:space="preserve"> has been providing technical assistance to the Myanmar Government on the mechanism, templates, a screening tool and approval processes. The Proje</w:t>
      </w:r>
      <w:r w:rsidR="00F70893">
        <w:rPr>
          <w:color w:val="auto"/>
        </w:rPr>
        <w:t>ct Bank directly aligns to the budgetary process, ensuring strategic</w:t>
      </w:r>
      <w:r w:rsidR="00FA7C06" w:rsidRPr="0066305F">
        <w:rPr>
          <w:color w:val="auto"/>
        </w:rPr>
        <w:t xml:space="preserve"> projects larger than MMK 2 billion (approximately AUD</w:t>
      </w:r>
      <w:r w:rsidR="007F7F20">
        <w:rPr>
          <w:color w:val="auto"/>
        </w:rPr>
        <w:t xml:space="preserve"> </w:t>
      </w:r>
      <w:r w:rsidR="00FA7C06" w:rsidRPr="0066305F">
        <w:rPr>
          <w:color w:val="auto"/>
        </w:rPr>
        <w:t>18.5 million) go through an additional screening process, conducted by a committee comprising four government agencies.</w:t>
      </w:r>
      <w:r w:rsidR="00364FF3">
        <w:rPr>
          <w:color w:val="auto"/>
        </w:rPr>
        <w:t xml:space="preserve"> By engaging with and supporting the Project Bank and the MSDP, Australia is working to harmonise donor arrangements and deliver on what the Government of Myanmar want</w:t>
      </w:r>
      <w:r w:rsidR="00F70893">
        <w:rPr>
          <w:color w:val="auto"/>
        </w:rPr>
        <w:t>s</w:t>
      </w:r>
      <w:r w:rsidR="00364FF3">
        <w:rPr>
          <w:color w:val="auto"/>
        </w:rPr>
        <w:t xml:space="preserve"> of us as an aid partner. </w:t>
      </w:r>
    </w:p>
    <w:p w14:paraId="20CD257E" w14:textId="77777777" w:rsidR="002A51CA" w:rsidRPr="002A51CA" w:rsidRDefault="002A51CA" w:rsidP="00CF62AE">
      <w:pPr>
        <w:pStyle w:val="Heading2"/>
        <w:spacing w:before="360" w:line="300" w:lineRule="exact"/>
      </w:pPr>
      <w:r w:rsidRPr="002A51CA">
        <w:t xml:space="preserve">Program Quality and Partner Performance </w:t>
      </w:r>
    </w:p>
    <w:p w14:paraId="792426FD" w14:textId="5AB872E8" w:rsidR="002A51CA" w:rsidRPr="00CF62AE" w:rsidRDefault="002A51CA" w:rsidP="002A51CA">
      <w:pPr>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14:paraId="606C76A8" w14:textId="275DC947" w:rsidR="00CD6830" w:rsidRDefault="006A071C" w:rsidP="00AC0B09">
      <w:pPr>
        <w:tabs>
          <w:tab w:val="left" w:pos="1020"/>
        </w:tabs>
        <w:rPr>
          <w:color w:val="auto"/>
        </w:rPr>
      </w:pPr>
      <w:r w:rsidRPr="006A071C">
        <w:rPr>
          <w:color w:val="auto"/>
        </w:rPr>
        <w:t>There has been a</w:t>
      </w:r>
      <w:r w:rsidR="00677A26">
        <w:rPr>
          <w:color w:val="auto"/>
        </w:rPr>
        <w:t xml:space="preserve">n </w:t>
      </w:r>
      <w:r w:rsidR="00567FE2">
        <w:rPr>
          <w:color w:val="auto"/>
        </w:rPr>
        <w:t>improvement</w:t>
      </w:r>
      <w:r w:rsidR="00CD6830">
        <w:rPr>
          <w:color w:val="auto"/>
        </w:rPr>
        <w:t xml:space="preserve"> </w:t>
      </w:r>
      <w:r w:rsidR="00567FE2">
        <w:rPr>
          <w:color w:val="auto"/>
        </w:rPr>
        <w:t>in</w:t>
      </w:r>
      <w:r w:rsidRPr="006A071C">
        <w:rPr>
          <w:color w:val="auto"/>
        </w:rPr>
        <w:t xml:space="preserve"> performance </w:t>
      </w:r>
      <w:r>
        <w:rPr>
          <w:color w:val="auto"/>
        </w:rPr>
        <w:t>information</w:t>
      </w:r>
      <w:r w:rsidR="00567FE2">
        <w:rPr>
          <w:color w:val="auto"/>
        </w:rPr>
        <w:t xml:space="preserve"> generated </w:t>
      </w:r>
      <w:r w:rsidR="00363667">
        <w:rPr>
          <w:color w:val="auto"/>
        </w:rPr>
        <w:t xml:space="preserve">by partners </w:t>
      </w:r>
      <w:r w:rsidR="00B43B1A">
        <w:rPr>
          <w:color w:val="auto"/>
        </w:rPr>
        <w:t>in</w:t>
      </w:r>
      <w:r w:rsidR="00363667">
        <w:rPr>
          <w:color w:val="auto"/>
        </w:rPr>
        <w:t xml:space="preserve"> </w:t>
      </w:r>
      <w:r w:rsidRPr="006A071C">
        <w:rPr>
          <w:color w:val="auto"/>
        </w:rPr>
        <w:t>2018-19</w:t>
      </w:r>
      <w:r w:rsidR="002220AB">
        <w:rPr>
          <w:color w:val="auto"/>
        </w:rPr>
        <w:t>.</w:t>
      </w:r>
      <w:r>
        <w:rPr>
          <w:color w:val="auto"/>
        </w:rPr>
        <w:t xml:space="preserve"> </w:t>
      </w:r>
      <w:r w:rsidR="00B43B1A">
        <w:rPr>
          <w:color w:val="auto"/>
        </w:rPr>
        <w:t>DFSP and</w:t>
      </w:r>
      <w:r>
        <w:rPr>
          <w:color w:val="auto"/>
        </w:rPr>
        <w:t xml:space="preserve"> LIFT </w:t>
      </w:r>
      <w:r w:rsidR="00B43B1A">
        <w:rPr>
          <w:color w:val="auto"/>
        </w:rPr>
        <w:t>deliver</w:t>
      </w:r>
      <w:r w:rsidR="00363667">
        <w:rPr>
          <w:color w:val="auto"/>
        </w:rPr>
        <w:t xml:space="preserve"> </w:t>
      </w:r>
      <w:r w:rsidR="00CD6830">
        <w:rPr>
          <w:color w:val="auto"/>
        </w:rPr>
        <w:t xml:space="preserve">the </w:t>
      </w:r>
      <w:r w:rsidR="00F7044C">
        <w:rPr>
          <w:color w:val="auto"/>
        </w:rPr>
        <w:t>highest</w:t>
      </w:r>
      <w:r w:rsidR="00715F12">
        <w:rPr>
          <w:color w:val="auto"/>
        </w:rPr>
        <w:t xml:space="preserve"> quality performance data through partner reporting</w:t>
      </w:r>
      <w:r w:rsidR="00715F12" w:rsidRPr="00715F12">
        <w:rPr>
          <w:color w:val="auto"/>
        </w:rPr>
        <w:t>,</w:t>
      </w:r>
      <w:r w:rsidRPr="00715F12">
        <w:rPr>
          <w:color w:val="auto"/>
        </w:rPr>
        <w:t xml:space="preserve"> while investments in economic governance and </w:t>
      </w:r>
      <w:r w:rsidR="002220AB" w:rsidRPr="00715F12">
        <w:rPr>
          <w:color w:val="auto"/>
        </w:rPr>
        <w:t xml:space="preserve">peace </w:t>
      </w:r>
      <w:r w:rsidR="00715F12" w:rsidRPr="00715F12">
        <w:rPr>
          <w:color w:val="auto"/>
        </w:rPr>
        <w:t>generated detailed performance data through the reviews conducted during the reporting period.</w:t>
      </w:r>
      <w:r w:rsidR="002220AB" w:rsidRPr="00715F12">
        <w:rPr>
          <w:color w:val="auto"/>
        </w:rPr>
        <w:t xml:space="preserve"> </w:t>
      </w:r>
      <w:r w:rsidR="00677A26" w:rsidRPr="00715F12">
        <w:rPr>
          <w:color w:val="auto"/>
        </w:rPr>
        <w:t xml:space="preserve"> </w:t>
      </w:r>
      <w:r w:rsidR="009E1C07">
        <w:rPr>
          <w:color w:val="auto"/>
        </w:rPr>
        <w:t>U</w:t>
      </w:r>
      <w:r w:rsidR="00715F12">
        <w:rPr>
          <w:color w:val="auto"/>
        </w:rPr>
        <w:t>pdated PAF targets included in the 2017-18 APPR</w:t>
      </w:r>
      <w:r w:rsidR="009E1C07">
        <w:rPr>
          <w:color w:val="auto"/>
        </w:rPr>
        <w:t xml:space="preserve">, </w:t>
      </w:r>
      <w:r w:rsidR="00715F12">
        <w:rPr>
          <w:color w:val="auto"/>
        </w:rPr>
        <w:t xml:space="preserve">resulted in improved disaggregated data collection and reporting over 2018-19. </w:t>
      </w:r>
      <w:r w:rsidR="006D0A1F" w:rsidRPr="00C77E26">
        <w:rPr>
          <w:color w:val="auto"/>
        </w:rPr>
        <w:t>Robust economic</w:t>
      </w:r>
      <w:r w:rsidR="00C77E26" w:rsidRPr="00C77E26">
        <w:rPr>
          <w:color w:val="auto"/>
        </w:rPr>
        <w:t xml:space="preserve">, political and social analysis </w:t>
      </w:r>
      <w:r w:rsidR="00054924" w:rsidRPr="00C77E26">
        <w:rPr>
          <w:color w:val="auto"/>
        </w:rPr>
        <w:t>commenced in 2019</w:t>
      </w:r>
      <w:r w:rsidR="00B43B1A">
        <w:rPr>
          <w:color w:val="auto"/>
        </w:rPr>
        <w:t xml:space="preserve">. The findings of this work </w:t>
      </w:r>
      <w:r w:rsidR="00054924" w:rsidRPr="00C77E26">
        <w:rPr>
          <w:color w:val="auto"/>
        </w:rPr>
        <w:t xml:space="preserve">will feed into the </w:t>
      </w:r>
      <w:r w:rsidR="00CD6830">
        <w:rPr>
          <w:color w:val="auto"/>
        </w:rPr>
        <w:t>new</w:t>
      </w:r>
      <w:r w:rsidR="006D0A1F">
        <w:rPr>
          <w:color w:val="auto"/>
        </w:rPr>
        <w:t xml:space="preserve"> </w:t>
      </w:r>
      <w:r w:rsidR="00054924" w:rsidRPr="00C77E26">
        <w:rPr>
          <w:color w:val="auto"/>
        </w:rPr>
        <w:t>A</w:t>
      </w:r>
      <w:r w:rsidR="006B2FFA">
        <w:rPr>
          <w:color w:val="auto"/>
        </w:rPr>
        <w:t xml:space="preserve">id </w:t>
      </w:r>
      <w:r w:rsidR="00054924" w:rsidRPr="00C77E26">
        <w:rPr>
          <w:color w:val="auto"/>
        </w:rPr>
        <w:t>I</w:t>
      </w:r>
      <w:r w:rsidR="006B2FFA">
        <w:rPr>
          <w:color w:val="auto"/>
        </w:rPr>
        <w:t xml:space="preserve">nvestment </w:t>
      </w:r>
      <w:r w:rsidR="00677A26">
        <w:rPr>
          <w:color w:val="auto"/>
        </w:rPr>
        <w:t>P</w:t>
      </w:r>
      <w:r w:rsidR="006B2FFA">
        <w:rPr>
          <w:color w:val="auto"/>
        </w:rPr>
        <w:t>lan</w:t>
      </w:r>
      <w:r w:rsidR="00677A26">
        <w:rPr>
          <w:color w:val="auto"/>
        </w:rPr>
        <w:t xml:space="preserve">. </w:t>
      </w:r>
    </w:p>
    <w:p w14:paraId="718F1783" w14:textId="772D06DE" w:rsidR="00CD6830" w:rsidRDefault="00CD6830" w:rsidP="00CD6830">
      <w:pPr>
        <w:rPr>
          <w:color w:val="auto"/>
        </w:rPr>
      </w:pPr>
      <w:r w:rsidRPr="008B7CEB">
        <w:rPr>
          <w:color w:val="auto"/>
        </w:rPr>
        <w:t xml:space="preserve">Despite the challenges, the </w:t>
      </w:r>
      <w:r w:rsidR="00307D15">
        <w:rPr>
          <w:color w:val="auto"/>
        </w:rPr>
        <w:t>two</w:t>
      </w:r>
      <w:r w:rsidRPr="008B7CEB">
        <w:rPr>
          <w:color w:val="auto"/>
        </w:rPr>
        <w:t xml:space="preserve"> highest performing investments in the Myanmar </w:t>
      </w:r>
      <w:r w:rsidR="00FA0CB3">
        <w:rPr>
          <w:color w:val="auto"/>
        </w:rPr>
        <w:t>p</w:t>
      </w:r>
      <w:r w:rsidRPr="008B7CEB">
        <w:rPr>
          <w:color w:val="auto"/>
        </w:rPr>
        <w:t>rogram (</w:t>
      </w:r>
      <w:r w:rsidR="00A65C7E">
        <w:rPr>
          <w:color w:val="auto"/>
        </w:rPr>
        <w:t>one</w:t>
      </w:r>
      <w:r w:rsidRPr="008B7CEB">
        <w:rPr>
          <w:color w:val="auto"/>
        </w:rPr>
        <w:t xml:space="preserve"> in </w:t>
      </w:r>
      <w:r w:rsidR="00FA0CB3">
        <w:rPr>
          <w:color w:val="auto"/>
        </w:rPr>
        <w:t>e</w:t>
      </w:r>
      <w:r w:rsidRPr="008B7CEB">
        <w:rPr>
          <w:color w:val="auto"/>
        </w:rPr>
        <w:t xml:space="preserve">ducation and one in </w:t>
      </w:r>
      <w:r w:rsidR="00FA0CB3">
        <w:rPr>
          <w:color w:val="auto"/>
        </w:rPr>
        <w:t>rural livelihoods</w:t>
      </w:r>
      <w:r w:rsidRPr="008B7CEB">
        <w:rPr>
          <w:color w:val="auto"/>
        </w:rPr>
        <w:t xml:space="preserve">) </w:t>
      </w:r>
      <w:r w:rsidR="00A65C7E">
        <w:rPr>
          <w:color w:val="auto"/>
        </w:rPr>
        <w:t>and the two significant</w:t>
      </w:r>
      <w:r w:rsidR="002350F7">
        <w:rPr>
          <w:color w:val="auto"/>
        </w:rPr>
        <w:t>ly</w:t>
      </w:r>
      <w:r w:rsidR="00A65C7E">
        <w:rPr>
          <w:color w:val="auto"/>
        </w:rPr>
        <w:t xml:space="preserve"> improved investments (economic and democratic </w:t>
      </w:r>
      <w:r w:rsidR="00A65C7E">
        <w:rPr>
          <w:color w:val="auto"/>
        </w:rPr>
        <w:lastRenderedPageBreak/>
        <w:t xml:space="preserve">governance) </w:t>
      </w:r>
      <w:r w:rsidRPr="008B7CEB">
        <w:rPr>
          <w:color w:val="auto"/>
        </w:rPr>
        <w:t>receive</w:t>
      </w:r>
      <w:r w:rsidR="006B2FFA">
        <w:rPr>
          <w:color w:val="auto"/>
        </w:rPr>
        <w:t>d</w:t>
      </w:r>
      <w:r w:rsidRPr="008B7CEB">
        <w:rPr>
          <w:color w:val="auto"/>
        </w:rPr>
        <w:t xml:space="preserve"> </w:t>
      </w:r>
      <w:r w:rsidR="00A65C7E">
        <w:rPr>
          <w:color w:val="auto"/>
        </w:rPr>
        <w:t>over</w:t>
      </w:r>
      <w:r w:rsidRPr="008B7CEB">
        <w:rPr>
          <w:color w:val="auto"/>
        </w:rPr>
        <w:t xml:space="preserve"> half of the bilateral allocation</w:t>
      </w:r>
      <w:r w:rsidR="00A65C7E">
        <w:rPr>
          <w:color w:val="auto"/>
        </w:rPr>
        <w:t xml:space="preserve"> (exclud</w:t>
      </w:r>
      <w:r w:rsidR="00FA0CB3">
        <w:rPr>
          <w:color w:val="auto"/>
        </w:rPr>
        <w:t>ing</w:t>
      </w:r>
      <w:r w:rsidR="00A65C7E">
        <w:rPr>
          <w:color w:val="auto"/>
        </w:rPr>
        <w:t xml:space="preserve"> humanitarian spend)</w:t>
      </w:r>
      <w:r w:rsidRPr="008B7CEB">
        <w:rPr>
          <w:color w:val="auto"/>
        </w:rPr>
        <w:t>. This</w:t>
      </w:r>
      <w:r w:rsidR="000660FF">
        <w:rPr>
          <w:color w:val="auto"/>
        </w:rPr>
        <w:t xml:space="preserve"> indicate</w:t>
      </w:r>
      <w:r w:rsidR="002350F7">
        <w:rPr>
          <w:color w:val="auto"/>
        </w:rPr>
        <w:t>s</w:t>
      </w:r>
      <w:r w:rsidRPr="008B7CEB">
        <w:rPr>
          <w:color w:val="auto"/>
        </w:rPr>
        <w:t xml:space="preserve"> funding follows perform</w:t>
      </w:r>
      <w:r w:rsidR="006B2FFA">
        <w:rPr>
          <w:color w:val="auto"/>
        </w:rPr>
        <w:t>ance and the portfolio continue</w:t>
      </w:r>
      <w:r w:rsidR="002350F7">
        <w:rPr>
          <w:color w:val="auto"/>
        </w:rPr>
        <w:t>s</w:t>
      </w:r>
      <w:r w:rsidRPr="008B7CEB">
        <w:rPr>
          <w:color w:val="auto"/>
        </w:rPr>
        <w:t xml:space="preserve"> to manage risk </w:t>
      </w:r>
      <w:r w:rsidR="006B2FFA">
        <w:rPr>
          <w:color w:val="auto"/>
        </w:rPr>
        <w:t>effectively</w:t>
      </w:r>
      <w:r w:rsidRPr="008B7CEB">
        <w:rPr>
          <w:color w:val="auto"/>
        </w:rPr>
        <w:t xml:space="preserve">. </w:t>
      </w:r>
    </w:p>
    <w:p w14:paraId="23C8E67D" w14:textId="7EF3DD71" w:rsidR="00CE19D7" w:rsidRDefault="00CE19D7" w:rsidP="00CD6830">
      <w:pPr>
        <w:rPr>
          <w:color w:val="auto"/>
        </w:rPr>
      </w:pPr>
      <w:r>
        <w:rPr>
          <w:color w:val="auto"/>
        </w:rPr>
        <w:t xml:space="preserve">Some of our investments, notably My-EQIP and MSSP, use iterative and adaptive programming approaches to build on strength, encourage government leadership </w:t>
      </w:r>
      <w:r w:rsidR="000A6F8B">
        <w:rPr>
          <w:color w:val="auto"/>
        </w:rPr>
        <w:t xml:space="preserve">and build sustainable progress. In the Myanmar context, these approaches </w:t>
      </w:r>
      <w:r w:rsidR="006B2FFA">
        <w:rPr>
          <w:color w:val="auto"/>
        </w:rPr>
        <w:t xml:space="preserve">have been </w:t>
      </w:r>
      <w:r w:rsidR="000A6F8B">
        <w:rPr>
          <w:color w:val="auto"/>
        </w:rPr>
        <w:t xml:space="preserve">useful in testing ideas and seeing what works and consolidating program direction and focus.  </w:t>
      </w:r>
    </w:p>
    <w:p w14:paraId="20CB2368" w14:textId="32BFDD2E" w:rsidR="00022416" w:rsidRDefault="009E1C07" w:rsidP="00BE6C6D">
      <w:pPr>
        <w:rPr>
          <w:color w:val="auto"/>
        </w:rPr>
      </w:pPr>
      <w:r>
        <w:rPr>
          <w:color w:val="auto"/>
        </w:rPr>
        <w:t>Consolidation</w:t>
      </w:r>
      <w:r w:rsidR="00054924">
        <w:rPr>
          <w:color w:val="auto"/>
        </w:rPr>
        <w:t xml:space="preserve"> of investments has not transpired </w:t>
      </w:r>
      <w:r w:rsidR="00006248">
        <w:rPr>
          <w:color w:val="auto"/>
        </w:rPr>
        <w:t xml:space="preserve">within </w:t>
      </w:r>
      <w:r w:rsidR="00054924">
        <w:rPr>
          <w:color w:val="auto"/>
        </w:rPr>
        <w:t xml:space="preserve">this reporting period. </w:t>
      </w:r>
      <w:r w:rsidR="00443AAD">
        <w:rPr>
          <w:color w:val="auto"/>
        </w:rPr>
        <w:t>Instead of decreasing, i</w:t>
      </w:r>
      <w:r w:rsidR="00054924">
        <w:rPr>
          <w:color w:val="auto"/>
        </w:rPr>
        <w:t xml:space="preserve">nvestments have increased by 22 per </w:t>
      </w:r>
      <w:r w:rsidR="00006248">
        <w:rPr>
          <w:color w:val="auto"/>
        </w:rPr>
        <w:t>cent; t</w:t>
      </w:r>
      <w:r w:rsidR="00054924">
        <w:rPr>
          <w:color w:val="auto"/>
        </w:rPr>
        <w:t xml:space="preserve">he </w:t>
      </w:r>
      <w:r w:rsidR="002C547C">
        <w:rPr>
          <w:color w:val="auto"/>
        </w:rPr>
        <w:t xml:space="preserve">new </w:t>
      </w:r>
      <w:r w:rsidR="00054924">
        <w:rPr>
          <w:color w:val="auto"/>
        </w:rPr>
        <w:t>AIP</w:t>
      </w:r>
      <w:r w:rsidR="002C547C">
        <w:rPr>
          <w:color w:val="auto"/>
        </w:rPr>
        <w:t xml:space="preserve"> </w:t>
      </w:r>
      <w:r w:rsidR="00AF04C4">
        <w:rPr>
          <w:color w:val="auto"/>
        </w:rPr>
        <w:t>will</w:t>
      </w:r>
      <w:r w:rsidR="002C547C">
        <w:rPr>
          <w:color w:val="auto"/>
        </w:rPr>
        <w:t xml:space="preserve"> address this issue</w:t>
      </w:r>
      <w:r w:rsidR="00006248">
        <w:rPr>
          <w:color w:val="auto"/>
        </w:rPr>
        <w:t xml:space="preserve"> and consolidate </w:t>
      </w:r>
      <w:r w:rsidR="003E0276">
        <w:rPr>
          <w:color w:val="auto"/>
        </w:rPr>
        <w:t xml:space="preserve">investments </w:t>
      </w:r>
      <w:r w:rsidR="00006248">
        <w:rPr>
          <w:color w:val="auto"/>
        </w:rPr>
        <w:t xml:space="preserve">to ensure </w:t>
      </w:r>
      <w:r w:rsidR="006660E6">
        <w:rPr>
          <w:color w:val="auto"/>
        </w:rPr>
        <w:t xml:space="preserve">future </w:t>
      </w:r>
      <w:r w:rsidR="00006248">
        <w:rPr>
          <w:color w:val="auto"/>
        </w:rPr>
        <w:t>efficiencies</w:t>
      </w:r>
      <w:r w:rsidR="00054924">
        <w:rPr>
          <w:color w:val="auto"/>
        </w:rPr>
        <w:t>.</w:t>
      </w:r>
      <w:r w:rsidR="003E0276">
        <w:rPr>
          <w:color w:val="auto"/>
        </w:rPr>
        <w:t xml:space="preserve"> </w:t>
      </w:r>
    </w:p>
    <w:p w14:paraId="05950E5F" w14:textId="7E380125" w:rsidR="00AF04C4" w:rsidRDefault="00AF04C4" w:rsidP="00BE6C6D">
      <w:pPr>
        <w:rPr>
          <w:color w:val="auto"/>
        </w:rPr>
      </w:pPr>
      <w:r w:rsidRPr="00AF04C4">
        <w:rPr>
          <w:color w:val="auto"/>
        </w:rPr>
        <w:t>This reporting period of 2018-19, includes two IRIs; one in objective (i) and the other in objective (ii). These have resulted from explicable challenges in a program that is otherwise performing well, despite operating in very difficult environments and circumstances. It is in gender equality where the program’s concerted efforts over the past 12 months realised a marked increase</w:t>
      </w:r>
      <w:r w:rsidR="002350F7">
        <w:rPr>
          <w:color w:val="auto"/>
        </w:rPr>
        <w:t>,</w:t>
      </w:r>
      <w:r w:rsidRPr="00AF04C4">
        <w:rPr>
          <w:color w:val="auto"/>
        </w:rPr>
        <w:t xml:space="preserve"> resulting in an 82 per cent rating across the program for 2018-19, up by 37.5 per cent.</w:t>
      </w:r>
    </w:p>
    <w:p w14:paraId="5FF48114" w14:textId="581E2C8B" w:rsidR="00600479" w:rsidRPr="00CF62AE" w:rsidRDefault="00600479" w:rsidP="00BE6C6D">
      <w:pPr>
        <w:rPr>
          <w:sz w:val="32"/>
          <w:szCs w:val="32"/>
          <w:lang w:eastAsia="zh-CN"/>
        </w:rPr>
      </w:pPr>
      <w:r w:rsidRPr="00CF62AE">
        <w:rPr>
          <w:sz w:val="32"/>
          <w:szCs w:val="32"/>
          <w:lang w:eastAsia="zh-CN"/>
        </w:rPr>
        <w:t>Aid Quality Checks (AQCs)</w:t>
      </w:r>
    </w:p>
    <w:p w14:paraId="4208D13B" w14:textId="0A41D54D" w:rsidR="00BC0E88" w:rsidRDefault="00BC0E88" w:rsidP="00BC0E88">
      <w:pPr>
        <w:rPr>
          <w:color w:val="auto"/>
        </w:rPr>
      </w:pPr>
      <w:r w:rsidRPr="008B7CEB">
        <w:rPr>
          <w:color w:val="auto"/>
        </w:rPr>
        <w:t>In 2019, the Myanmar program was required to complete 12 AQCs</w:t>
      </w:r>
      <w:r w:rsidR="00122732">
        <w:rPr>
          <w:color w:val="auto"/>
        </w:rPr>
        <w:t xml:space="preserve">, of which one was a final AQC (investment completed) and another </w:t>
      </w:r>
      <w:r w:rsidR="00C54C01">
        <w:rPr>
          <w:color w:val="auto"/>
        </w:rPr>
        <w:t xml:space="preserve">was </w:t>
      </w:r>
      <w:r w:rsidR="00122732">
        <w:rPr>
          <w:color w:val="auto"/>
        </w:rPr>
        <w:t>a Humanitarian AQC (includes extra criteria)</w:t>
      </w:r>
      <w:r w:rsidRPr="008B7CEB">
        <w:rPr>
          <w:color w:val="auto"/>
        </w:rPr>
        <w:t>. One investment was under the threshold for moderation, and</w:t>
      </w:r>
      <w:r w:rsidR="006B2FFA">
        <w:rPr>
          <w:color w:val="auto"/>
        </w:rPr>
        <w:t xml:space="preserve"> there wa</w:t>
      </w:r>
      <w:r w:rsidR="00122732">
        <w:rPr>
          <w:color w:val="auto"/>
        </w:rPr>
        <w:t xml:space="preserve">s one </w:t>
      </w:r>
      <w:r w:rsidRPr="008B7CEB">
        <w:rPr>
          <w:color w:val="auto"/>
        </w:rPr>
        <w:t xml:space="preserve">valid exemption from the process. </w:t>
      </w:r>
      <w:r w:rsidR="00A23E27">
        <w:rPr>
          <w:color w:val="auto"/>
        </w:rPr>
        <w:t xml:space="preserve">The 2018-19 analysis includes </w:t>
      </w:r>
      <w:r w:rsidR="00FA0CB3">
        <w:rPr>
          <w:color w:val="auto"/>
        </w:rPr>
        <w:t>11</w:t>
      </w:r>
      <w:r w:rsidR="00122732">
        <w:rPr>
          <w:color w:val="auto"/>
        </w:rPr>
        <w:t xml:space="preserve"> </w:t>
      </w:r>
      <w:r w:rsidR="00A23E27">
        <w:rPr>
          <w:color w:val="auto"/>
        </w:rPr>
        <w:t>AQCs</w:t>
      </w:r>
      <w:r w:rsidR="00122732">
        <w:rPr>
          <w:color w:val="auto"/>
        </w:rPr>
        <w:t>.</w:t>
      </w:r>
    </w:p>
    <w:p w14:paraId="674F8CAA" w14:textId="422733E9" w:rsidR="00BC0E88" w:rsidRDefault="00BC0E88" w:rsidP="00BC0E88">
      <w:pPr>
        <w:rPr>
          <w:color w:val="auto"/>
        </w:rPr>
      </w:pPr>
      <w:r w:rsidRPr="008B7CEB">
        <w:rPr>
          <w:color w:val="auto"/>
        </w:rPr>
        <w:t>Quality scores in general</w:t>
      </w:r>
      <w:r w:rsidR="00CD6421">
        <w:rPr>
          <w:color w:val="auto"/>
        </w:rPr>
        <w:t xml:space="preserve"> </w:t>
      </w:r>
      <w:r w:rsidRPr="008B7CEB">
        <w:rPr>
          <w:color w:val="auto"/>
        </w:rPr>
        <w:t xml:space="preserve">remained the same or increased since 2018. </w:t>
      </w:r>
      <w:r w:rsidR="00FC562B">
        <w:rPr>
          <w:color w:val="auto"/>
        </w:rPr>
        <w:t xml:space="preserve">The two highest performing investments </w:t>
      </w:r>
      <w:r w:rsidR="00CF7E14">
        <w:rPr>
          <w:color w:val="auto"/>
        </w:rPr>
        <w:t>remain in</w:t>
      </w:r>
      <w:r w:rsidR="00FC562B">
        <w:rPr>
          <w:color w:val="auto"/>
        </w:rPr>
        <w:t xml:space="preserve"> education (DFSP) and rural livelihoods (LIFT)</w:t>
      </w:r>
      <w:r w:rsidR="000977C6">
        <w:rPr>
          <w:color w:val="auto"/>
        </w:rPr>
        <w:t>. A</w:t>
      </w:r>
      <w:r w:rsidR="006802D7">
        <w:rPr>
          <w:color w:val="auto"/>
        </w:rPr>
        <w:t>cross</w:t>
      </w:r>
      <w:r w:rsidR="004C3D51">
        <w:rPr>
          <w:color w:val="auto"/>
        </w:rPr>
        <w:t xml:space="preserve"> the </w:t>
      </w:r>
      <w:r w:rsidR="00CF7E14">
        <w:rPr>
          <w:color w:val="auto"/>
        </w:rPr>
        <w:t>program</w:t>
      </w:r>
      <w:r w:rsidR="004C3D51">
        <w:rPr>
          <w:color w:val="auto"/>
        </w:rPr>
        <w:t xml:space="preserve">, efficiency </w:t>
      </w:r>
      <w:r w:rsidR="00FC562B">
        <w:rPr>
          <w:color w:val="auto"/>
        </w:rPr>
        <w:t xml:space="preserve">criteria </w:t>
      </w:r>
      <w:r w:rsidR="004C3D51">
        <w:rPr>
          <w:color w:val="auto"/>
        </w:rPr>
        <w:t>rated at 82.5 per cent (just below the 85 per cent aid target</w:t>
      </w:r>
      <w:r w:rsidR="006802D7">
        <w:rPr>
          <w:color w:val="auto"/>
        </w:rPr>
        <w:t>) and</w:t>
      </w:r>
      <w:r w:rsidR="004C3D51">
        <w:rPr>
          <w:color w:val="auto"/>
        </w:rPr>
        <w:t xml:space="preserve"> effectiveness</w:t>
      </w:r>
      <w:r w:rsidR="00FC562B">
        <w:rPr>
          <w:color w:val="auto"/>
        </w:rPr>
        <w:t xml:space="preserve"> </w:t>
      </w:r>
      <w:r w:rsidR="00CF7E14">
        <w:rPr>
          <w:color w:val="auto"/>
        </w:rPr>
        <w:t>at 63.6</w:t>
      </w:r>
      <w:r w:rsidR="00FC562B">
        <w:rPr>
          <w:color w:val="auto"/>
        </w:rPr>
        <w:t xml:space="preserve"> per cent </w:t>
      </w:r>
      <w:r w:rsidR="004C3D51">
        <w:rPr>
          <w:color w:val="auto"/>
        </w:rPr>
        <w:t>(below the target</w:t>
      </w:r>
      <w:r w:rsidR="00FC562B">
        <w:rPr>
          <w:color w:val="auto"/>
        </w:rPr>
        <w:t xml:space="preserve"> of </w:t>
      </w:r>
      <w:r w:rsidR="002C6534" w:rsidRPr="002C6534">
        <w:rPr>
          <w:color w:val="auto"/>
        </w:rPr>
        <w:t>85 per cent</w:t>
      </w:r>
      <w:r w:rsidR="004C3D51" w:rsidRPr="002C6534">
        <w:rPr>
          <w:color w:val="auto"/>
        </w:rPr>
        <w:t>).</w:t>
      </w:r>
      <w:r w:rsidR="004C3D51">
        <w:rPr>
          <w:color w:val="auto"/>
        </w:rPr>
        <w:t xml:space="preserve"> </w:t>
      </w:r>
      <w:r w:rsidR="006802D7">
        <w:rPr>
          <w:color w:val="auto"/>
        </w:rPr>
        <w:t>Two investments rated poorly (UNICEF FAQC and SPARC)</w:t>
      </w:r>
      <w:r w:rsidR="00FA0CB3">
        <w:rPr>
          <w:color w:val="auto"/>
        </w:rPr>
        <w:t xml:space="preserve"> and</w:t>
      </w:r>
      <w:r w:rsidR="002C6534">
        <w:rPr>
          <w:color w:val="auto"/>
        </w:rPr>
        <w:t xml:space="preserve"> </w:t>
      </w:r>
      <w:r w:rsidR="000977C6">
        <w:rPr>
          <w:color w:val="auto"/>
        </w:rPr>
        <w:t>brought</w:t>
      </w:r>
      <w:r w:rsidR="006802D7">
        <w:rPr>
          <w:color w:val="auto"/>
        </w:rPr>
        <w:t xml:space="preserve"> down the overall scores. </w:t>
      </w:r>
      <w:r w:rsidR="002C6534">
        <w:rPr>
          <w:color w:val="auto"/>
        </w:rPr>
        <w:t>The o</w:t>
      </w:r>
      <w:r w:rsidR="006802D7">
        <w:rPr>
          <w:color w:val="auto"/>
        </w:rPr>
        <w:t>verall scores increase significantly when removing these two investments from analysis (</w:t>
      </w:r>
      <w:r w:rsidR="004C3D51">
        <w:rPr>
          <w:color w:val="auto"/>
        </w:rPr>
        <w:t>efficiency becomes 100 per cent and effectiveness is at 77.8 per cent</w:t>
      </w:r>
      <w:r w:rsidR="006802D7">
        <w:rPr>
          <w:color w:val="auto"/>
        </w:rPr>
        <w:t>)</w:t>
      </w:r>
      <w:r w:rsidR="004C3D51">
        <w:rPr>
          <w:color w:val="auto"/>
        </w:rPr>
        <w:t>.</w:t>
      </w:r>
    </w:p>
    <w:p w14:paraId="531B539C" w14:textId="2E6BE33B" w:rsidR="00DC3E8A" w:rsidRDefault="00DC3E8A" w:rsidP="00BC0E88">
      <w:pPr>
        <w:rPr>
          <w:color w:val="auto"/>
        </w:rPr>
      </w:pPr>
      <w:r w:rsidRPr="00DC3E8A">
        <w:rPr>
          <w:color w:val="auto"/>
        </w:rPr>
        <w:t>Under the Supporting Reform and Improving Governance investment (SRIG; $2.6m 2018-19), Austra</w:t>
      </w:r>
      <w:r w:rsidR="006B2FFA">
        <w:rPr>
          <w:color w:val="auto"/>
        </w:rPr>
        <w:t>lia delivered</w:t>
      </w:r>
      <w:r w:rsidRPr="00DC3E8A">
        <w:rPr>
          <w:color w:val="auto"/>
        </w:rPr>
        <w:t xml:space="preserve"> a mix of democratic and economic governance programs. However, the economic governance component of SRIG, which lies under Component (iii), was not rated</w:t>
      </w:r>
      <w:r w:rsidR="006B2FFA">
        <w:rPr>
          <w:color w:val="auto"/>
        </w:rPr>
        <w:t xml:space="preserve"> in the 2019 AQC process. This wa</w:t>
      </w:r>
      <w:r w:rsidRPr="00DC3E8A">
        <w:rPr>
          <w:color w:val="auto"/>
        </w:rPr>
        <w:t>s due to the departure of the senior program manager and the challenges in filling this locally engaged position during the reporting period. A governance strategy was not developed due to these resourcing constraints.  Analytical work on economic governance is underway for the future AIP.</w:t>
      </w:r>
    </w:p>
    <w:p w14:paraId="79FB90D7" w14:textId="1022320A" w:rsidR="006802D7" w:rsidRDefault="00CF7E14" w:rsidP="00BC0E88">
      <w:pPr>
        <w:rPr>
          <w:color w:val="auto"/>
        </w:rPr>
      </w:pPr>
      <w:r>
        <w:rPr>
          <w:color w:val="auto"/>
        </w:rPr>
        <w:t xml:space="preserve">Across the program, there </w:t>
      </w:r>
      <w:r w:rsidR="006B2FFA">
        <w:rPr>
          <w:color w:val="auto"/>
        </w:rPr>
        <w:t>was</w:t>
      </w:r>
      <w:r w:rsidR="00330A8E" w:rsidRPr="008B7CEB">
        <w:rPr>
          <w:color w:val="auto"/>
        </w:rPr>
        <w:t xml:space="preserve"> significant improvement in </w:t>
      </w:r>
      <w:r w:rsidR="00330A8E">
        <w:rPr>
          <w:color w:val="auto"/>
        </w:rPr>
        <w:t>g</w:t>
      </w:r>
      <w:r w:rsidR="00330A8E" w:rsidRPr="008B7CEB">
        <w:rPr>
          <w:color w:val="auto"/>
        </w:rPr>
        <w:t>ender</w:t>
      </w:r>
      <w:r>
        <w:rPr>
          <w:color w:val="auto"/>
        </w:rPr>
        <w:t>, with scores increasing to almost 82 per cent for 2018-19. These</w:t>
      </w:r>
      <w:r w:rsidR="006802D7">
        <w:rPr>
          <w:color w:val="auto"/>
        </w:rPr>
        <w:t xml:space="preserve"> ratings</w:t>
      </w:r>
      <w:r>
        <w:rPr>
          <w:color w:val="auto"/>
        </w:rPr>
        <w:t xml:space="preserve"> </w:t>
      </w:r>
      <w:r w:rsidR="006B2FFA">
        <w:rPr>
          <w:color w:val="auto"/>
        </w:rPr>
        <w:t>reflect</w:t>
      </w:r>
      <w:r w:rsidR="00330A8E" w:rsidRPr="008B7CEB">
        <w:rPr>
          <w:color w:val="auto"/>
        </w:rPr>
        <w:t xml:space="preserve"> the considerable effort on the part of the program to improve</w:t>
      </w:r>
      <w:r w:rsidR="006802D7" w:rsidRPr="008B7CEB">
        <w:rPr>
          <w:color w:val="auto"/>
        </w:rPr>
        <w:t xml:space="preserve"> </w:t>
      </w:r>
      <w:r w:rsidR="00330A8E" w:rsidRPr="008B7CEB">
        <w:rPr>
          <w:color w:val="auto"/>
        </w:rPr>
        <w:t>investment</w:t>
      </w:r>
      <w:r w:rsidR="00330A8E">
        <w:rPr>
          <w:color w:val="auto"/>
        </w:rPr>
        <w:t>-</w:t>
      </w:r>
      <w:r w:rsidR="00330A8E" w:rsidRPr="008B7CEB">
        <w:rPr>
          <w:color w:val="auto"/>
        </w:rPr>
        <w:t>level progress</w:t>
      </w:r>
      <w:r>
        <w:rPr>
          <w:color w:val="auto"/>
        </w:rPr>
        <w:t>. This included increasing inputs from a</w:t>
      </w:r>
      <w:r w:rsidR="006802D7">
        <w:rPr>
          <w:color w:val="auto"/>
        </w:rPr>
        <w:t xml:space="preserve"> gender specialist who worked with program managers and partners to address management actions in </w:t>
      </w:r>
      <w:r w:rsidR="006B2FFA">
        <w:rPr>
          <w:color w:val="auto"/>
        </w:rPr>
        <w:t xml:space="preserve">the </w:t>
      </w:r>
      <w:r w:rsidR="006802D7">
        <w:rPr>
          <w:color w:val="auto"/>
        </w:rPr>
        <w:t>2017-18 APPR</w:t>
      </w:r>
      <w:r w:rsidR="00FA0CB3">
        <w:rPr>
          <w:color w:val="auto"/>
        </w:rPr>
        <w:t>.</w:t>
      </w:r>
      <w:r w:rsidR="00330A8E" w:rsidRPr="008B7CEB">
        <w:rPr>
          <w:color w:val="auto"/>
        </w:rPr>
        <w:t xml:space="preserve"> </w:t>
      </w:r>
    </w:p>
    <w:p w14:paraId="408398A6" w14:textId="6C1854C7" w:rsidR="0087491F" w:rsidRDefault="006802D7" w:rsidP="00BC0E88">
      <w:pPr>
        <w:rPr>
          <w:color w:val="auto"/>
        </w:rPr>
      </w:pPr>
      <w:r>
        <w:rPr>
          <w:color w:val="auto"/>
        </w:rPr>
        <w:t>Two</w:t>
      </w:r>
      <w:r w:rsidR="00815532">
        <w:rPr>
          <w:color w:val="auto"/>
        </w:rPr>
        <w:t xml:space="preserve"> investments </w:t>
      </w:r>
      <w:r w:rsidR="006B2FFA">
        <w:rPr>
          <w:color w:val="auto"/>
        </w:rPr>
        <w:t>were</w:t>
      </w:r>
      <w:r>
        <w:rPr>
          <w:color w:val="auto"/>
        </w:rPr>
        <w:t xml:space="preserve"> rated as </w:t>
      </w:r>
      <w:r w:rsidR="00815532">
        <w:rPr>
          <w:color w:val="auto"/>
        </w:rPr>
        <w:t>In</w:t>
      </w:r>
      <w:r w:rsidR="006B2FFA">
        <w:rPr>
          <w:color w:val="auto"/>
        </w:rPr>
        <w:t>vestments Requiring Improvement</w:t>
      </w:r>
      <w:r w:rsidR="00815532">
        <w:rPr>
          <w:color w:val="auto"/>
        </w:rPr>
        <w:t xml:space="preserve"> (IRI).</w:t>
      </w:r>
      <w:r w:rsidR="0087491F">
        <w:rPr>
          <w:color w:val="auto"/>
        </w:rPr>
        <w:t xml:space="preserve"> </w:t>
      </w:r>
    </w:p>
    <w:p w14:paraId="71D4337E" w14:textId="4A131FB7" w:rsidR="00BC0E88" w:rsidRPr="008B7CEB" w:rsidRDefault="00BC0E88" w:rsidP="00BC0E88">
      <w:pPr>
        <w:rPr>
          <w:color w:val="auto"/>
        </w:rPr>
      </w:pPr>
      <w:r w:rsidRPr="008B7CEB">
        <w:rPr>
          <w:color w:val="auto"/>
        </w:rPr>
        <w:t xml:space="preserve">The Supporting Partnerships and Resilience of Communities (SPARC) is an IRI. Through our implementing partner, CARE, SPARC played an important role in facilitating connections between ethnic Rakhine, Rohingya and local authorities. However, since the security events in 2017, significant disruption </w:t>
      </w:r>
      <w:r w:rsidR="002B2168">
        <w:rPr>
          <w:color w:val="auto"/>
        </w:rPr>
        <w:t xml:space="preserve">has </w:t>
      </w:r>
      <w:r w:rsidRPr="008B7CEB">
        <w:rPr>
          <w:color w:val="auto"/>
        </w:rPr>
        <w:t>occurred to SPARC activities</w:t>
      </w:r>
      <w:r w:rsidR="002B2168">
        <w:rPr>
          <w:color w:val="auto"/>
        </w:rPr>
        <w:t>,</w:t>
      </w:r>
      <w:r w:rsidRPr="008B7CEB">
        <w:rPr>
          <w:color w:val="auto"/>
        </w:rPr>
        <w:t xml:space="preserve"> with the target populations displaced across the border, access denied to remaining communities or townships for CARE staff, and the inability to recommence large-scale implementation of the program. This resulted in an almost $1 million underspend and low scores for </w:t>
      </w:r>
      <w:r w:rsidR="0058458F">
        <w:rPr>
          <w:color w:val="auto"/>
        </w:rPr>
        <w:t>e</w:t>
      </w:r>
      <w:r w:rsidRPr="008B7CEB">
        <w:rPr>
          <w:color w:val="auto"/>
        </w:rPr>
        <w:t xml:space="preserve">ffectiveness and </w:t>
      </w:r>
      <w:r w:rsidR="0058458F">
        <w:rPr>
          <w:color w:val="auto"/>
        </w:rPr>
        <w:t>e</w:t>
      </w:r>
      <w:r w:rsidRPr="008B7CEB">
        <w:rPr>
          <w:color w:val="auto"/>
        </w:rPr>
        <w:t xml:space="preserve">fficiency. To manage this, </w:t>
      </w:r>
      <w:r w:rsidR="006B2FFA">
        <w:rPr>
          <w:color w:val="auto"/>
        </w:rPr>
        <w:t>we agreed</w:t>
      </w:r>
      <w:r w:rsidRPr="008B7CEB">
        <w:rPr>
          <w:color w:val="auto"/>
        </w:rPr>
        <w:t xml:space="preserve"> with CARE to expand SPARC’s geographic scope to Kayah and Shan States, where </w:t>
      </w:r>
      <w:r w:rsidR="00B77CA6">
        <w:rPr>
          <w:color w:val="auto"/>
        </w:rPr>
        <w:t>CARE</w:t>
      </w:r>
      <w:r w:rsidRPr="008B7CEB">
        <w:rPr>
          <w:color w:val="auto"/>
        </w:rPr>
        <w:t xml:space="preserve"> ha</w:t>
      </w:r>
      <w:r w:rsidR="00FA0CB3">
        <w:rPr>
          <w:color w:val="auto"/>
        </w:rPr>
        <w:t>s</w:t>
      </w:r>
      <w:r w:rsidRPr="008B7CEB">
        <w:rPr>
          <w:color w:val="auto"/>
        </w:rPr>
        <w:t xml:space="preserve"> an existing presence. </w:t>
      </w:r>
      <w:r w:rsidR="00CD6421">
        <w:rPr>
          <w:color w:val="auto"/>
        </w:rPr>
        <w:t xml:space="preserve">SPARC will conclude in December 2019. </w:t>
      </w:r>
    </w:p>
    <w:p w14:paraId="74C84B87" w14:textId="7514BC2B" w:rsidR="00BC0E88" w:rsidRPr="008B7CEB" w:rsidRDefault="00BC0E88" w:rsidP="00BC0E88">
      <w:pPr>
        <w:rPr>
          <w:color w:val="auto"/>
        </w:rPr>
      </w:pPr>
      <w:r w:rsidRPr="008B7CEB">
        <w:rPr>
          <w:color w:val="auto"/>
        </w:rPr>
        <w:lastRenderedPageBreak/>
        <w:t>The Myanmar Education Consortium (MEC) is also an IRI. It is an innovative,</w:t>
      </w:r>
      <w:r w:rsidR="006B2FFA">
        <w:rPr>
          <w:color w:val="auto"/>
        </w:rPr>
        <w:t xml:space="preserve"> important but</w:t>
      </w:r>
      <w:r w:rsidRPr="008B7CEB">
        <w:rPr>
          <w:color w:val="auto"/>
        </w:rPr>
        <w:t xml:space="preserve"> high-risk </w:t>
      </w:r>
      <w:r w:rsidR="009A2395">
        <w:rPr>
          <w:color w:val="auto"/>
        </w:rPr>
        <w:t xml:space="preserve">investment </w:t>
      </w:r>
      <w:r w:rsidRPr="008B7CEB">
        <w:rPr>
          <w:color w:val="auto"/>
        </w:rPr>
        <w:t xml:space="preserve">designed to </w:t>
      </w:r>
      <w:r w:rsidR="009A2395">
        <w:rPr>
          <w:color w:val="auto"/>
        </w:rPr>
        <w:t>support</w:t>
      </w:r>
      <w:r w:rsidR="009A2395" w:rsidRPr="008B7CEB">
        <w:rPr>
          <w:color w:val="auto"/>
        </w:rPr>
        <w:t xml:space="preserve"> </w:t>
      </w:r>
      <w:r w:rsidRPr="008B7CEB">
        <w:rPr>
          <w:color w:val="auto"/>
        </w:rPr>
        <w:t xml:space="preserve">quality education </w:t>
      </w:r>
      <w:r w:rsidR="009A2395">
        <w:rPr>
          <w:color w:val="auto"/>
        </w:rPr>
        <w:t>for</w:t>
      </w:r>
      <w:r w:rsidR="009A2395" w:rsidRPr="008B7CEB">
        <w:rPr>
          <w:color w:val="auto"/>
        </w:rPr>
        <w:t xml:space="preserve"> </w:t>
      </w:r>
      <w:r w:rsidRPr="008B7CEB">
        <w:rPr>
          <w:color w:val="auto"/>
        </w:rPr>
        <w:t>the hardest to reach children</w:t>
      </w:r>
      <w:r w:rsidR="009A2395">
        <w:rPr>
          <w:color w:val="auto"/>
        </w:rPr>
        <w:t xml:space="preserve">. MEC also engages with the development of education policy that is </w:t>
      </w:r>
      <w:r w:rsidRPr="008B7CEB">
        <w:rPr>
          <w:color w:val="auto"/>
        </w:rPr>
        <w:t>politically</w:t>
      </w:r>
      <w:r w:rsidR="00AC3F9A">
        <w:rPr>
          <w:color w:val="auto"/>
        </w:rPr>
        <w:t xml:space="preserve"> </w:t>
      </w:r>
      <w:r w:rsidRPr="008B7CEB">
        <w:rPr>
          <w:color w:val="auto"/>
        </w:rPr>
        <w:t xml:space="preserve">sensitive </w:t>
      </w:r>
      <w:r w:rsidR="009A2395">
        <w:rPr>
          <w:color w:val="auto"/>
        </w:rPr>
        <w:t xml:space="preserve">and intimately linked with </w:t>
      </w:r>
      <w:r w:rsidR="008A7B7A">
        <w:rPr>
          <w:color w:val="auto"/>
        </w:rPr>
        <w:t xml:space="preserve">broader education reforms. </w:t>
      </w:r>
      <w:r w:rsidRPr="008B7CEB">
        <w:rPr>
          <w:color w:val="auto"/>
        </w:rPr>
        <w:t xml:space="preserve"> Myanmar’s conflict dynamics </w:t>
      </w:r>
      <w:r w:rsidR="009A2395">
        <w:rPr>
          <w:color w:val="auto"/>
        </w:rPr>
        <w:t>affect</w:t>
      </w:r>
      <w:r w:rsidR="006B2FFA">
        <w:rPr>
          <w:color w:val="auto"/>
        </w:rPr>
        <w:t>ed</w:t>
      </w:r>
      <w:r w:rsidRPr="008B7CEB">
        <w:rPr>
          <w:color w:val="auto"/>
        </w:rPr>
        <w:t xml:space="preserve"> MEC’s operational reality</w:t>
      </w:r>
      <w:r w:rsidR="002B2168">
        <w:rPr>
          <w:color w:val="auto"/>
        </w:rPr>
        <w:t xml:space="preserve"> and presented</w:t>
      </w:r>
      <w:r w:rsidR="009A2395">
        <w:rPr>
          <w:color w:val="auto"/>
        </w:rPr>
        <w:t xml:space="preserve"> challenges for both effectiveness and efficiency in implementation</w:t>
      </w:r>
      <w:r w:rsidRPr="008B7CEB">
        <w:rPr>
          <w:color w:val="auto"/>
        </w:rPr>
        <w:t xml:space="preserve">. </w:t>
      </w:r>
      <w:r w:rsidR="00AC3F9A">
        <w:rPr>
          <w:color w:val="auto"/>
        </w:rPr>
        <w:t>Australia</w:t>
      </w:r>
      <w:r w:rsidR="00AC3F9A" w:rsidRPr="008B7CEB">
        <w:rPr>
          <w:color w:val="auto"/>
        </w:rPr>
        <w:t xml:space="preserve"> </w:t>
      </w:r>
      <w:r w:rsidR="006B2FFA">
        <w:rPr>
          <w:color w:val="auto"/>
        </w:rPr>
        <w:t>worked</w:t>
      </w:r>
      <w:r w:rsidRPr="008B7CEB">
        <w:rPr>
          <w:color w:val="auto"/>
        </w:rPr>
        <w:t xml:space="preserve"> closely with the fund manager (Save the Children), </w:t>
      </w:r>
      <w:r w:rsidR="006B2FFA">
        <w:rPr>
          <w:color w:val="auto"/>
        </w:rPr>
        <w:t xml:space="preserve">other </w:t>
      </w:r>
      <w:r w:rsidRPr="008B7CEB">
        <w:rPr>
          <w:color w:val="auto"/>
        </w:rPr>
        <w:t xml:space="preserve">donors to the program (DFID and Denmark), and MEC </w:t>
      </w:r>
      <w:r w:rsidR="009A2395">
        <w:rPr>
          <w:color w:val="auto"/>
        </w:rPr>
        <w:t>program staff</w:t>
      </w:r>
      <w:r w:rsidRPr="008B7CEB">
        <w:rPr>
          <w:color w:val="auto"/>
        </w:rPr>
        <w:t xml:space="preserve"> to address </w:t>
      </w:r>
      <w:r w:rsidR="009A2395">
        <w:rPr>
          <w:color w:val="auto"/>
        </w:rPr>
        <w:t>operational</w:t>
      </w:r>
      <w:r w:rsidR="009A2395" w:rsidRPr="008B7CEB">
        <w:rPr>
          <w:color w:val="auto"/>
        </w:rPr>
        <w:t xml:space="preserve"> issues</w:t>
      </w:r>
      <w:r w:rsidR="009A2395">
        <w:rPr>
          <w:color w:val="auto"/>
        </w:rPr>
        <w:t>,</w:t>
      </w:r>
      <w:r w:rsidRPr="008B7CEB">
        <w:rPr>
          <w:color w:val="auto"/>
        </w:rPr>
        <w:t xml:space="preserve"> performance, and </w:t>
      </w:r>
      <w:r w:rsidR="009A2395">
        <w:rPr>
          <w:color w:val="auto"/>
        </w:rPr>
        <w:t>strengthen</w:t>
      </w:r>
      <w:r w:rsidRPr="008B7CEB">
        <w:rPr>
          <w:color w:val="auto"/>
        </w:rPr>
        <w:t xml:space="preserve"> risk management. </w:t>
      </w:r>
      <w:r w:rsidR="006B2FFA">
        <w:rPr>
          <w:color w:val="auto"/>
        </w:rPr>
        <w:t>P</w:t>
      </w:r>
      <w:r w:rsidR="002D0241" w:rsidRPr="002D0241">
        <w:rPr>
          <w:color w:val="auto"/>
        </w:rPr>
        <w:t xml:space="preserve">rogress in 2019 </w:t>
      </w:r>
      <w:r w:rsidR="006B2FFA">
        <w:rPr>
          <w:color w:val="auto"/>
        </w:rPr>
        <w:t>indicates</w:t>
      </w:r>
      <w:r w:rsidR="002D0241" w:rsidRPr="002D0241">
        <w:rPr>
          <w:color w:val="auto"/>
        </w:rPr>
        <w:t xml:space="preserve"> efforts to improve performance will continue a positive trajectory for 2019-20.</w:t>
      </w:r>
    </w:p>
    <w:p w14:paraId="6722BBF2" w14:textId="77777777" w:rsidR="00BC0E88" w:rsidRPr="008B7CEB" w:rsidRDefault="00BC0E88" w:rsidP="00BC0E88">
      <w:pPr>
        <w:rPr>
          <w:color w:val="auto"/>
        </w:rPr>
      </w:pPr>
      <w:r w:rsidRPr="008B7CEB">
        <w:rPr>
          <w:color w:val="auto"/>
        </w:rPr>
        <w:t xml:space="preserve">A table of AQC ratings is included in </w:t>
      </w:r>
      <w:r w:rsidRPr="008B7CEB">
        <w:rPr>
          <w:b/>
          <w:color w:val="auto"/>
        </w:rPr>
        <w:t>Annex D</w:t>
      </w:r>
      <w:r w:rsidRPr="008B7CEB">
        <w:rPr>
          <w:color w:val="auto"/>
        </w:rPr>
        <w:t>.</w:t>
      </w:r>
    </w:p>
    <w:p w14:paraId="3A912C73" w14:textId="77777777" w:rsidR="00600479" w:rsidRPr="00CF62AE" w:rsidRDefault="00600479" w:rsidP="00600479">
      <w:pPr>
        <w:rPr>
          <w:sz w:val="32"/>
          <w:szCs w:val="32"/>
          <w:lang w:eastAsia="zh-CN"/>
        </w:rPr>
      </w:pPr>
      <w:r w:rsidRPr="00CF62AE">
        <w:rPr>
          <w:sz w:val="32"/>
          <w:szCs w:val="32"/>
          <w:lang w:eastAsia="zh-CN"/>
        </w:rPr>
        <w:t>Performance of key delivery partners</w:t>
      </w:r>
    </w:p>
    <w:p w14:paraId="6E630314" w14:textId="6A1D1C43" w:rsidR="00D325E6" w:rsidRPr="00D325E6" w:rsidRDefault="00D325E6" w:rsidP="00D325E6">
      <w:pPr>
        <w:rPr>
          <w:color w:val="auto"/>
        </w:rPr>
      </w:pPr>
      <w:r w:rsidRPr="00D325E6">
        <w:rPr>
          <w:color w:val="auto"/>
        </w:rPr>
        <w:t xml:space="preserve">Australia’s </w:t>
      </w:r>
      <w:r w:rsidR="00060F7B">
        <w:rPr>
          <w:color w:val="auto"/>
        </w:rPr>
        <w:t>aid program</w:t>
      </w:r>
      <w:r w:rsidR="0048027C">
        <w:rPr>
          <w:color w:val="auto"/>
        </w:rPr>
        <w:t xml:space="preserve"> </w:t>
      </w:r>
      <w:r w:rsidR="0048027C" w:rsidRPr="0048027C">
        <w:rPr>
          <w:color w:val="auto"/>
        </w:rPr>
        <w:t xml:space="preserve">delivery partners in Myanmar largely performed </w:t>
      </w:r>
      <w:r w:rsidR="006660E6">
        <w:rPr>
          <w:color w:val="auto"/>
        </w:rPr>
        <w:t>well</w:t>
      </w:r>
      <w:r w:rsidR="0048027C" w:rsidRPr="0048027C">
        <w:rPr>
          <w:color w:val="auto"/>
        </w:rPr>
        <w:t xml:space="preserve">. </w:t>
      </w:r>
      <w:r w:rsidR="0048027C">
        <w:rPr>
          <w:color w:val="auto"/>
        </w:rPr>
        <w:t xml:space="preserve">Our </w:t>
      </w:r>
      <w:r w:rsidRPr="00D325E6">
        <w:rPr>
          <w:color w:val="auto"/>
        </w:rPr>
        <w:t xml:space="preserve">aid program in Myanmar is unusual in its heavy use of grants-based funding. Almost all </w:t>
      </w:r>
      <w:r w:rsidR="001D32A8">
        <w:rPr>
          <w:color w:val="auto"/>
        </w:rPr>
        <w:t xml:space="preserve">delivery of </w:t>
      </w:r>
      <w:r w:rsidRPr="00D325E6">
        <w:rPr>
          <w:color w:val="auto"/>
        </w:rPr>
        <w:t xml:space="preserve">funding is through multilateral partners and NGOs. This is a legacy of Myanmar’s isolation, when there were few commercial incentives for development contractors to establish a presence in </w:t>
      </w:r>
      <w:r w:rsidR="00D74002">
        <w:rPr>
          <w:color w:val="auto"/>
        </w:rPr>
        <w:t>country</w:t>
      </w:r>
      <w:r w:rsidRPr="00D325E6">
        <w:rPr>
          <w:color w:val="auto"/>
        </w:rPr>
        <w:t>. In 2018</w:t>
      </w:r>
      <w:r w:rsidR="002D4D0F">
        <w:rPr>
          <w:color w:val="auto"/>
        </w:rPr>
        <w:t>-19</w:t>
      </w:r>
      <w:r w:rsidRPr="00D325E6">
        <w:rPr>
          <w:color w:val="auto"/>
        </w:rPr>
        <w:t>,</w:t>
      </w:r>
      <w:r w:rsidR="002D4D0F">
        <w:rPr>
          <w:color w:val="auto"/>
        </w:rPr>
        <w:t xml:space="preserve"> the Myanmar program completed </w:t>
      </w:r>
      <w:r w:rsidR="0058458F">
        <w:rPr>
          <w:color w:val="auto"/>
        </w:rPr>
        <w:t>10</w:t>
      </w:r>
      <w:r w:rsidRPr="00D325E6">
        <w:rPr>
          <w:color w:val="auto"/>
        </w:rPr>
        <w:t xml:space="preserve"> </w:t>
      </w:r>
      <w:r w:rsidR="0058458F">
        <w:rPr>
          <w:color w:val="auto"/>
        </w:rPr>
        <w:t>p</w:t>
      </w:r>
      <w:r w:rsidRPr="00D325E6">
        <w:rPr>
          <w:color w:val="auto"/>
        </w:rPr>
        <w:t>a</w:t>
      </w:r>
      <w:r w:rsidR="002D4D0F">
        <w:rPr>
          <w:color w:val="auto"/>
        </w:rPr>
        <w:t xml:space="preserve">rtner </w:t>
      </w:r>
      <w:r w:rsidR="0058458F">
        <w:rPr>
          <w:color w:val="auto"/>
        </w:rPr>
        <w:t>p</w:t>
      </w:r>
      <w:r w:rsidR="002D4D0F">
        <w:rPr>
          <w:color w:val="auto"/>
        </w:rPr>
        <w:t xml:space="preserve">erformance </w:t>
      </w:r>
      <w:r w:rsidR="0058458F">
        <w:rPr>
          <w:color w:val="auto"/>
        </w:rPr>
        <w:t>a</w:t>
      </w:r>
      <w:r w:rsidR="002D4D0F">
        <w:rPr>
          <w:color w:val="auto"/>
        </w:rPr>
        <w:t xml:space="preserve">ssessments: </w:t>
      </w:r>
      <w:r w:rsidR="00567FE2">
        <w:rPr>
          <w:color w:val="auto"/>
        </w:rPr>
        <w:t>five</w:t>
      </w:r>
      <w:r w:rsidR="00567FE2" w:rsidRPr="00D325E6">
        <w:rPr>
          <w:color w:val="auto"/>
        </w:rPr>
        <w:t xml:space="preserve"> </w:t>
      </w:r>
      <w:r w:rsidRPr="00D325E6">
        <w:rPr>
          <w:color w:val="auto"/>
        </w:rPr>
        <w:t>for multilat</w:t>
      </w:r>
      <w:r w:rsidR="00D057CA">
        <w:rPr>
          <w:color w:val="auto"/>
        </w:rPr>
        <w:t>eral organisations</w:t>
      </w:r>
      <w:r w:rsidR="002D4D0F">
        <w:rPr>
          <w:color w:val="auto"/>
        </w:rPr>
        <w:t xml:space="preserve">; </w:t>
      </w:r>
      <w:r w:rsidR="00567FE2">
        <w:rPr>
          <w:color w:val="auto"/>
        </w:rPr>
        <w:t xml:space="preserve">one </w:t>
      </w:r>
      <w:r w:rsidR="002D4D0F">
        <w:rPr>
          <w:color w:val="auto"/>
        </w:rPr>
        <w:t xml:space="preserve">for a contractor; and </w:t>
      </w:r>
      <w:r w:rsidR="00567FE2">
        <w:rPr>
          <w:color w:val="auto"/>
        </w:rPr>
        <w:t>fo</w:t>
      </w:r>
      <w:r w:rsidR="00D74002">
        <w:rPr>
          <w:color w:val="auto"/>
        </w:rPr>
        <w:t>u</w:t>
      </w:r>
      <w:r w:rsidR="00567FE2">
        <w:rPr>
          <w:color w:val="auto"/>
        </w:rPr>
        <w:t>r</w:t>
      </w:r>
      <w:r w:rsidR="009E2716">
        <w:rPr>
          <w:color w:val="auto"/>
        </w:rPr>
        <w:t xml:space="preserve"> </w:t>
      </w:r>
      <w:r w:rsidR="002D4D0F">
        <w:rPr>
          <w:color w:val="auto"/>
        </w:rPr>
        <w:t xml:space="preserve">for </w:t>
      </w:r>
      <w:r w:rsidRPr="00D325E6">
        <w:rPr>
          <w:color w:val="auto"/>
        </w:rPr>
        <w:t>NGO</w:t>
      </w:r>
      <w:r w:rsidR="009E2716">
        <w:rPr>
          <w:color w:val="auto"/>
        </w:rPr>
        <w:t xml:space="preserve"> </w:t>
      </w:r>
      <w:r w:rsidR="00567FE2">
        <w:rPr>
          <w:color w:val="auto"/>
        </w:rPr>
        <w:t>partners</w:t>
      </w:r>
      <w:r w:rsidRPr="00D325E6">
        <w:rPr>
          <w:color w:val="auto"/>
        </w:rPr>
        <w:t xml:space="preserve">. </w:t>
      </w:r>
    </w:p>
    <w:p w14:paraId="1ADEAA79" w14:textId="7E91997B" w:rsidR="00567FE2" w:rsidRDefault="0048027C" w:rsidP="00D325E6">
      <w:pPr>
        <w:rPr>
          <w:color w:val="auto"/>
        </w:rPr>
      </w:pPr>
      <w:r w:rsidRPr="0048027C">
        <w:rPr>
          <w:color w:val="auto"/>
        </w:rPr>
        <w:t xml:space="preserve">Performance of multilateral partners was strong. </w:t>
      </w:r>
      <w:r w:rsidR="00567FE2" w:rsidRPr="00D325E6">
        <w:rPr>
          <w:color w:val="auto"/>
        </w:rPr>
        <w:t xml:space="preserve">The World Bank Group continued to be our largest implementing partner in Myanmar. </w:t>
      </w:r>
      <w:r w:rsidR="00AD3AD4">
        <w:rPr>
          <w:color w:val="auto"/>
        </w:rPr>
        <w:t>Our</w:t>
      </w:r>
      <w:r w:rsidR="00567FE2" w:rsidRPr="00D325E6">
        <w:rPr>
          <w:color w:val="auto"/>
        </w:rPr>
        <w:t xml:space="preserve"> education partnership remained strong, with the</w:t>
      </w:r>
      <w:r w:rsidR="00D74002">
        <w:rPr>
          <w:color w:val="auto"/>
        </w:rPr>
        <w:t xml:space="preserve"> World</w:t>
      </w:r>
      <w:r w:rsidR="00567FE2" w:rsidRPr="00D325E6">
        <w:rPr>
          <w:color w:val="auto"/>
        </w:rPr>
        <w:t xml:space="preserve"> </w:t>
      </w:r>
      <w:r w:rsidR="00567FE2">
        <w:rPr>
          <w:color w:val="auto"/>
        </w:rPr>
        <w:t>B</w:t>
      </w:r>
      <w:r w:rsidR="00567FE2" w:rsidRPr="00D325E6">
        <w:rPr>
          <w:color w:val="auto"/>
        </w:rPr>
        <w:t xml:space="preserve">ank engaging Australia in decision-making, providing guidance to the Ministry of Education, and promoting sustainability within the program.  </w:t>
      </w:r>
      <w:r w:rsidR="00171E40">
        <w:rPr>
          <w:color w:val="auto"/>
        </w:rPr>
        <w:t>Our engagement with the Bank on economic governance and PFM reform strengthen</w:t>
      </w:r>
      <w:r w:rsidR="00FA0CB3">
        <w:rPr>
          <w:color w:val="auto"/>
        </w:rPr>
        <w:t>ed</w:t>
      </w:r>
      <w:r w:rsidR="00171E40">
        <w:rPr>
          <w:color w:val="auto"/>
        </w:rPr>
        <w:t xml:space="preserve"> over </w:t>
      </w:r>
      <w:r w:rsidRPr="0048027C">
        <w:rPr>
          <w:color w:val="auto"/>
        </w:rPr>
        <w:t>the reporting period. Similarly, the IFC has cons</w:t>
      </w:r>
      <w:r>
        <w:rPr>
          <w:color w:val="auto"/>
        </w:rPr>
        <w:t xml:space="preserve">olidated and focussed its </w:t>
      </w:r>
      <w:r w:rsidR="00DC4B7E">
        <w:rPr>
          <w:color w:val="auto"/>
        </w:rPr>
        <w:t xml:space="preserve">efforts, </w:t>
      </w:r>
      <w:r w:rsidRPr="0048027C">
        <w:rPr>
          <w:color w:val="auto"/>
        </w:rPr>
        <w:t>improving the quality of ICCP outputs.</w:t>
      </w:r>
    </w:p>
    <w:p w14:paraId="313F90C5" w14:textId="39166BBA" w:rsidR="00D74002" w:rsidRPr="00D325E6" w:rsidRDefault="00873491" w:rsidP="00D36359">
      <w:pPr>
        <w:rPr>
          <w:color w:val="auto"/>
        </w:rPr>
      </w:pPr>
      <w:r>
        <w:rPr>
          <w:color w:val="auto"/>
        </w:rPr>
        <w:t>Engagement</w:t>
      </w:r>
      <w:r w:rsidR="00D325E6" w:rsidRPr="00D325E6">
        <w:rPr>
          <w:color w:val="auto"/>
        </w:rPr>
        <w:t xml:space="preserve"> with UN partners </w:t>
      </w:r>
      <w:r>
        <w:rPr>
          <w:color w:val="auto"/>
        </w:rPr>
        <w:t>in Myanmar</w:t>
      </w:r>
      <w:r w:rsidR="00AD3AD4">
        <w:rPr>
          <w:color w:val="auto"/>
        </w:rPr>
        <w:t xml:space="preserve"> </w:t>
      </w:r>
      <w:r w:rsidR="00DC4B7E">
        <w:rPr>
          <w:color w:val="auto"/>
        </w:rPr>
        <w:t>was positive</w:t>
      </w:r>
      <w:r w:rsidR="00D325E6" w:rsidRPr="00D325E6">
        <w:rPr>
          <w:color w:val="auto"/>
        </w:rPr>
        <w:t xml:space="preserve">. </w:t>
      </w:r>
      <w:r>
        <w:rPr>
          <w:color w:val="auto"/>
        </w:rPr>
        <w:t xml:space="preserve">Australia has long advocated </w:t>
      </w:r>
      <w:r w:rsidR="00FA0CB3">
        <w:rPr>
          <w:color w:val="auto"/>
        </w:rPr>
        <w:t xml:space="preserve">for </w:t>
      </w:r>
      <w:r>
        <w:rPr>
          <w:color w:val="auto"/>
        </w:rPr>
        <w:t xml:space="preserve">enhanced coordination between </w:t>
      </w:r>
      <w:r w:rsidR="00E67CB9">
        <w:rPr>
          <w:color w:val="auto"/>
        </w:rPr>
        <w:t xml:space="preserve">UN </w:t>
      </w:r>
      <w:r>
        <w:rPr>
          <w:color w:val="auto"/>
        </w:rPr>
        <w:t>agencies</w:t>
      </w:r>
      <w:r w:rsidR="00060F7B">
        <w:rPr>
          <w:color w:val="auto"/>
        </w:rPr>
        <w:t>,</w:t>
      </w:r>
      <w:r>
        <w:rPr>
          <w:color w:val="auto"/>
        </w:rPr>
        <w:t xml:space="preserve"> and within the reporting</w:t>
      </w:r>
      <w:r w:rsidR="00AD3AD4">
        <w:rPr>
          <w:color w:val="auto"/>
        </w:rPr>
        <w:t xml:space="preserve"> </w:t>
      </w:r>
      <w:r w:rsidR="008333FD">
        <w:rPr>
          <w:color w:val="auto"/>
        </w:rPr>
        <w:t>perio</w:t>
      </w:r>
      <w:r w:rsidR="00194758">
        <w:rPr>
          <w:color w:val="auto"/>
        </w:rPr>
        <w:t xml:space="preserve">d </w:t>
      </w:r>
      <w:r>
        <w:rPr>
          <w:color w:val="auto"/>
        </w:rPr>
        <w:t xml:space="preserve">we welcomed greater collaboration between partners, including UNFPA and UNICEF. </w:t>
      </w:r>
      <w:r w:rsidR="00D325E6" w:rsidRPr="00D325E6">
        <w:rPr>
          <w:color w:val="auto"/>
        </w:rPr>
        <w:t>UNFPA</w:t>
      </w:r>
      <w:r>
        <w:rPr>
          <w:color w:val="auto"/>
        </w:rPr>
        <w:t xml:space="preserve"> maintained a </w:t>
      </w:r>
      <w:r w:rsidR="00060F7B">
        <w:rPr>
          <w:color w:val="auto"/>
        </w:rPr>
        <w:t xml:space="preserve">valuable </w:t>
      </w:r>
      <w:r w:rsidR="00D325E6" w:rsidRPr="00D325E6">
        <w:rPr>
          <w:color w:val="auto"/>
        </w:rPr>
        <w:t>leadership role promoting women’s safety and protection</w:t>
      </w:r>
      <w:r w:rsidR="00567FE2">
        <w:rPr>
          <w:color w:val="auto"/>
        </w:rPr>
        <w:t>.</w:t>
      </w:r>
      <w:r w:rsidR="00D045BF">
        <w:rPr>
          <w:color w:val="auto"/>
        </w:rPr>
        <w:t xml:space="preserve"> We commend </w:t>
      </w:r>
      <w:r w:rsidR="00D74002">
        <w:rPr>
          <w:color w:val="auto"/>
        </w:rPr>
        <w:t xml:space="preserve">UNFPA’s </w:t>
      </w:r>
      <w:r w:rsidR="00D74002" w:rsidRPr="00D325E6">
        <w:rPr>
          <w:color w:val="auto"/>
        </w:rPr>
        <w:t>efforts</w:t>
      </w:r>
      <w:r w:rsidR="00D325E6" w:rsidRPr="00D325E6">
        <w:rPr>
          <w:color w:val="auto"/>
        </w:rPr>
        <w:t xml:space="preserve"> to bridge the humanitarian-development divide through </w:t>
      </w:r>
      <w:r w:rsidR="00740F23">
        <w:rPr>
          <w:color w:val="auto"/>
        </w:rPr>
        <w:t xml:space="preserve">targeted </w:t>
      </w:r>
      <w:r w:rsidR="00567FE2">
        <w:rPr>
          <w:color w:val="auto"/>
        </w:rPr>
        <w:t xml:space="preserve">programming, such as </w:t>
      </w:r>
      <w:r w:rsidR="00D325E6" w:rsidRPr="00D325E6">
        <w:rPr>
          <w:color w:val="auto"/>
        </w:rPr>
        <w:t xml:space="preserve">the Women and Girls First program. </w:t>
      </w:r>
      <w:r w:rsidR="00D74002" w:rsidRPr="00D325E6">
        <w:rPr>
          <w:color w:val="auto"/>
        </w:rPr>
        <w:t xml:space="preserve">LIFT </w:t>
      </w:r>
      <w:r w:rsidR="00D74002">
        <w:rPr>
          <w:color w:val="auto"/>
        </w:rPr>
        <w:t xml:space="preserve">(UNOPS) also </w:t>
      </w:r>
      <w:r w:rsidR="00D74002" w:rsidRPr="00D325E6">
        <w:rPr>
          <w:color w:val="auto"/>
        </w:rPr>
        <w:t>offer</w:t>
      </w:r>
      <w:r w:rsidR="00D74002">
        <w:rPr>
          <w:color w:val="auto"/>
        </w:rPr>
        <w:t>s</w:t>
      </w:r>
      <w:r w:rsidR="00D74002" w:rsidRPr="00D325E6">
        <w:rPr>
          <w:color w:val="auto"/>
        </w:rPr>
        <w:t xml:space="preserve"> </w:t>
      </w:r>
      <w:r w:rsidR="00D74002">
        <w:rPr>
          <w:color w:val="auto"/>
        </w:rPr>
        <w:t xml:space="preserve">a </w:t>
      </w:r>
      <w:r w:rsidR="00D74002" w:rsidRPr="00D325E6">
        <w:rPr>
          <w:color w:val="auto"/>
        </w:rPr>
        <w:t xml:space="preserve">good example of multilateral partners engaging in policy discussions and decision-making with the Myanmar Government, Australia and other donors. UNOPS has been very responsive and has effective systems to generate performance information. </w:t>
      </w:r>
    </w:p>
    <w:p w14:paraId="77721C69" w14:textId="69C7BC9B" w:rsidR="004E0F5D" w:rsidRDefault="00DC4B7E" w:rsidP="00DC4B7E">
      <w:pPr>
        <w:rPr>
          <w:color w:val="auto"/>
        </w:rPr>
      </w:pPr>
      <w:r w:rsidRPr="00DC4B7E">
        <w:rPr>
          <w:color w:val="auto"/>
        </w:rPr>
        <w:t xml:space="preserve">The </w:t>
      </w:r>
      <w:r>
        <w:rPr>
          <w:color w:val="auto"/>
        </w:rPr>
        <w:t xml:space="preserve">Australian </w:t>
      </w:r>
      <w:r w:rsidRPr="00DC4B7E">
        <w:rPr>
          <w:color w:val="auto"/>
        </w:rPr>
        <w:t>Embassy engaged with a range of NGO partners across the breadth of the program. NGO perf</w:t>
      </w:r>
      <w:r>
        <w:rPr>
          <w:color w:val="auto"/>
        </w:rPr>
        <w:t xml:space="preserve">ormance was mostly positive. </w:t>
      </w:r>
      <w:r w:rsidR="00060F7B">
        <w:rPr>
          <w:color w:val="auto"/>
        </w:rPr>
        <w:t>Management of</w:t>
      </w:r>
      <w:r>
        <w:rPr>
          <w:color w:val="auto"/>
        </w:rPr>
        <w:t xml:space="preserve"> </w:t>
      </w:r>
      <w:r w:rsidRPr="00DC4B7E">
        <w:rPr>
          <w:color w:val="auto"/>
        </w:rPr>
        <w:t>performance concerns with partners</w:t>
      </w:r>
      <w:r>
        <w:rPr>
          <w:color w:val="auto"/>
        </w:rPr>
        <w:t xml:space="preserve"> (of which there were few)</w:t>
      </w:r>
      <w:r w:rsidRPr="00DC4B7E">
        <w:rPr>
          <w:color w:val="auto"/>
        </w:rPr>
        <w:t xml:space="preserve"> </w:t>
      </w:r>
      <w:r w:rsidR="00060F7B">
        <w:rPr>
          <w:color w:val="auto"/>
        </w:rPr>
        <w:t>was</w:t>
      </w:r>
      <w:r>
        <w:rPr>
          <w:color w:val="auto"/>
        </w:rPr>
        <w:t xml:space="preserve"> constructive</w:t>
      </w:r>
      <w:r w:rsidRPr="00DC4B7E">
        <w:rPr>
          <w:color w:val="auto"/>
        </w:rPr>
        <w:t xml:space="preserve"> and in accordance with DFAT process.  Our one comm</w:t>
      </w:r>
      <w:r>
        <w:rPr>
          <w:color w:val="auto"/>
        </w:rPr>
        <w:t>ercial supplier performed well.</w:t>
      </w:r>
    </w:p>
    <w:p w14:paraId="5EBD3CD0" w14:textId="0872B2D6" w:rsidR="00D840FD" w:rsidRDefault="00D840FD" w:rsidP="00DC4B7E">
      <w:pPr>
        <w:rPr>
          <w:color w:val="auto"/>
        </w:rPr>
      </w:pPr>
      <w:r>
        <w:rPr>
          <w:color w:val="auto"/>
        </w:rPr>
        <w:t>A</w:t>
      </w:r>
      <w:r w:rsidRPr="00D840FD">
        <w:rPr>
          <w:color w:val="auto"/>
        </w:rPr>
        <w:t xml:space="preserve"> number of </w:t>
      </w:r>
      <w:r>
        <w:rPr>
          <w:color w:val="auto"/>
        </w:rPr>
        <w:t>Australia’s</w:t>
      </w:r>
      <w:r w:rsidRPr="00D840FD">
        <w:rPr>
          <w:color w:val="auto"/>
        </w:rPr>
        <w:t xml:space="preserve"> investments support the work of civil soc</w:t>
      </w:r>
      <w:r>
        <w:rPr>
          <w:color w:val="auto"/>
        </w:rPr>
        <w:t>iety organisations in Myanmar. An opportunity to assess the role of CSOs in Myanmar’s reform going forward will be a part of the robust analysis underway to inform the new AIP design.</w:t>
      </w:r>
    </w:p>
    <w:p w14:paraId="1AF48AEA" w14:textId="77777777" w:rsidR="00286AE4" w:rsidRDefault="00286AE4">
      <w:pPr>
        <w:suppressAutoHyphens w:val="0"/>
        <w:spacing w:before="0" w:after="120" w:line="440" w:lineRule="atLeast"/>
        <w:rPr>
          <w:rFonts w:asciiTheme="majorHAnsi" w:eastAsiaTheme="majorEastAsia" w:hAnsiTheme="majorHAnsi" w:cstheme="majorBidi"/>
          <w:caps/>
          <w:sz w:val="38"/>
          <w:szCs w:val="26"/>
        </w:rPr>
      </w:pPr>
      <w:r>
        <w:br w:type="page"/>
      </w:r>
    </w:p>
    <w:p w14:paraId="70F519A2" w14:textId="483456D8" w:rsidR="002A51CA" w:rsidRPr="002A51CA" w:rsidRDefault="002A51CA" w:rsidP="00CF62AE">
      <w:pPr>
        <w:pStyle w:val="Heading2"/>
        <w:spacing w:before="360" w:line="300" w:lineRule="exact"/>
      </w:pPr>
      <w:r w:rsidRPr="002A51CA">
        <w:lastRenderedPageBreak/>
        <w:t>Risks</w:t>
      </w:r>
    </w:p>
    <w:p w14:paraId="05E55A69" w14:textId="77777777"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Table 3 Managemnt of Key Risks to Achieveing Objectives"/>
        <w:tblDescription w:val="Key risks (emerging and ongoing)&#10;1. Further deterioration in Rakhine (including ongoing atrocity risk) and conflict elsewhere causes suspension of investments and undermines development.&#10;2. Reform efforts stall or reverse, limiting Australia's ability to engage with Myanmar Government and/or NGOs on aid delivery or align assistance with Government priorities.&#10;3. Lack of access to conflict-affected areas and camps means we are unable to monitor and manage our aid investments.&#10;4. Lack of technical advice reduces performance of investments.&#10;&#10;What actions were taken to manage the risks over the past year?&#10;1. Within a constrained operating context, the aid program has adapted support for Rakhine as opportunities arise.&#10;2. We continued to align assistance with Government priorities to improve capacity to progress reforms. Sector teams actively engaged with, and supported, reform leaders within the Myanmar Government. &#10;3. We have consistently advocated for and sought access and/or monitored investments through partners.&#10;4. The program drew on the support of technical advisors (both within and external to DFAT) who supported program development and delivery.   &#10;&#10;What further actions will be taken to manage the risks in the coming year?&#10;1. Australia will continue to advocate for improved access to Rakhine and improved conditions in Rakhine for all communities.&#10;2. Australia will continue to support reform efforts through the aid program where they benefit the Myanmar people. &#10;3. We will continue to seek access to monitor aid investments and work through partners who have a presence in the field. &#10;4. The program will continue to engage advisors where appropriate. &#10;&#10;Provide a Risk Rating (low, medium, high, very high)&#10;1. High&#10;2. Medium &#10;3. Very High&#10;4. High&#10;&#10;Are these same risks in in Post’s Risk Register (Yes/No)*&#10;1. Yes &#10;2. Yes&#10;3. Yes&#10;4. Yes &#10;"/>
      </w:tblPr>
      <w:tblGrid>
        <w:gridCol w:w="1924"/>
        <w:gridCol w:w="2454"/>
        <w:gridCol w:w="2537"/>
        <w:gridCol w:w="1298"/>
        <w:gridCol w:w="1267"/>
      </w:tblGrid>
      <w:tr w:rsidR="002A6AC8" w:rsidRPr="00AC0B09" w14:paraId="49E82520" w14:textId="77777777" w:rsidTr="00182A40">
        <w:tc>
          <w:tcPr>
            <w:tcW w:w="1882" w:type="dxa"/>
            <w:hideMark/>
          </w:tcPr>
          <w:p w14:paraId="4ACA19AD" w14:textId="77777777" w:rsidR="002A6AC8" w:rsidRPr="00BE6C6D" w:rsidRDefault="002A6AC8" w:rsidP="00BE6C6D">
            <w:pPr>
              <w:rPr>
                <w:rFonts w:asciiTheme="minorHAnsi" w:hAnsiTheme="minorHAnsi"/>
                <w:b/>
              </w:rPr>
            </w:pPr>
            <w:r w:rsidRPr="00BE6C6D">
              <w:rPr>
                <w:rFonts w:asciiTheme="minorHAnsi" w:hAnsiTheme="minorHAnsi"/>
                <w:b/>
              </w:rPr>
              <w:t>Key risks</w:t>
            </w:r>
            <w:r w:rsidR="004F7208">
              <w:rPr>
                <w:rFonts w:asciiTheme="minorHAnsi" w:hAnsiTheme="minorHAnsi"/>
                <w:b/>
              </w:rPr>
              <w:t xml:space="preserve"> (emerging and ongoing)</w:t>
            </w:r>
          </w:p>
        </w:tc>
        <w:tc>
          <w:tcPr>
            <w:tcW w:w="2426" w:type="dxa"/>
          </w:tcPr>
          <w:p w14:paraId="4647F024" w14:textId="77777777"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509" w:type="dxa"/>
          </w:tcPr>
          <w:p w14:paraId="50D47D4D" w14:textId="77777777"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270" w:type="dxa"/>
          </w:tcPr>
          <w:p w14:paraId="02D7E637" w14:textId="77777777" w:rsidR="002A6AC8" w:rsidRPr="00BE6C6D" w:rsidRDefault="004F7208" w:rsidP="004F7208">
            <w:pPr>
              <w:rPr>
                <w:rFonts w:asciiTheme="minorHAnsi" w:hAnsiTheme="minorHAnsi"/>
                <w:b/>
              </w:rPr>
            </w:pPr>
            <w:r>
              <w:rPr>
                <w:rFonts w:asciiTheme="minorHAnsi" w:hAnsiTheme="minorHAnsi"/>
                <w:b/>
              </w:rPr>
              <w:t>P</w:t>
            </w:r>
            <w:r w:rsidR="002A6AC8" w:rsidRPr="00BE6C6D">
              <w:rPr>
                <w:rFonts w:asciiTheme="minorHAnsi" w:hAnsiTheme="minorHAnsi"/>
                <w:b/>
              </w:rPr>
              <w:t>rovide a Risk Rating (low, medium, high, very high)</w:t>
            </w:r>
          </w:p>
        </w:tc>
        <w:tc>
          <w:tcPr>
            <w:tcW w:w="1225" w:type="dxa"/>
          </w:tcPr>
          <w:p w14:paraId="2FA78D65" w14:textId="77777777" w:rsidR="002A6AC8" w:rsidRPr="00BE6C6D" w:rsidRDefault="0043564E" w:rsidP="0043564E">
            <w:pPr>
              <w:rPr>
                <w:b/>
              </w:rPr>
            </w:pPr>
            <w:r>
              <w:rPr>
                <w:b/>
              </w:rPr>
              <w:t xml:space="preserve">Are </w:t>
            </w:r>
            <w:r w:rsidR="002A6AC8">
              <w:rPr>
                <w:b/>
              </w:rPr>
              <w:t xml:space="preserve">these same risks </w:t>
            </w:r>
            <w:r>
              <w:rPr>
                <w:b/>
              </w:rPr>
              <w:t xml:space="preserve">in in </w:t>
            </w:r>
            <w:r w:rsidR="002A6AC8">
              <w:rPr>
                <w:b/>
              </w:rPr>
              <w:t>Post’s Risk Register (Yes/No)*</w:t>
            </w:r>
          </w:p>
        </w:tc>
      </w:tr>
      <w:tr w:rsidR="002A6AC8" w:rsidRPr="00AC0B09" w14:paraId="46889CFA" w14:textId="77777777" w:rsidTr="00182A40">
        <w:tc>
          <w:tcPr>
            <w:tcW w:w="1882" w:type="dxa"/>
            <w:hideMark/>
          </w:tcPr>
          <w:p w14:paraId="69E50767" w14:textId="77777777" w:rsidR="002A6AC8" w:rsidRPr="00BE6C6D" w:rsidRDefault="00D835FD" w:rsidP="00D835FD">
            <w:pPr>
              <w:rPr>
                <w:rFonts w:asciiTheme="minorHAnsi" w:hAnsiTheme="minorHAnsi"/>
              </w:rPr>
            </w:pPr>
            <w:r w:rsidRPr="00AC0B09">
              <w:rPr>
                <w:rFonts w:asciiTheme="minorHAnsi" w:hAnsiTheme="minorHAnsi"/>
              </w:rPr>
              <w:t xml:space="preserve">Further deterioration in Rakhine </w:t>
            </w:r>
            <w:r w:rsidR="00EB43CA" w:rsidRPr="00EB43CA">
              <w:rPr>
                <w:rFonts w:asciiTheme="minorHAnsi" w:hAnsiTheme="minorHAnsi"/>
              </w:rPr>
              <w:t xml:space="preserve">(including ongoing atrocity risk) and conflict </w:t>
            </w:r>
            <w:r w:rsidRPr="00AC0B09">
              <w:rPr>
                <w:rFonts w:asciiTheme="minorHAnsi" w:hAnsiTheme="minorHAnsi"/>
              </w:rPr>
              <w:t>elsewhere causes suspension of investments and undermines development.</w:t>
            </w:r>
          </w:p>
        </w:tc>
        <w:tc>
          <w:tcPr>
            <w:tcW w:w="2426" w:type="dxa"/>
          </w:tcPr>
          <w:p w14:paraId="1259DEE6" w14:textId="77777777" w:rsidR="002A6AC8" w:rsidRPr="00BE6C6D" w:rsidRDefault="00D835FD" w:rsidP="00BE6C6D">
            <w:pPr>
              <w:rPr>
                <w:rFonts w:asciiTheme="minorHAnsi" w:hAnsiTheme="minorHAnsi"/>
              </w:rPr>
            </w:pPr>
            <w:r w:rsidRPr="00D835FD">
              <w:rPr>
                <w:rFonts w:asciiTheme="minorHAnsi" w:hAnsiTheme="minorHAnsi"/>
              </w:rPr>
              <w:t>Within a constrained operating context, the aid program has adapted support for Rakhine as opportunities arise.</w:t>
            </w:r>
          </w:p>
        </w:tc>
        <w:tc>
          <w:tcPr>
            <w:tcW w:w="2509" w:type="dxa"/>
          </w:tcPr>
          <w:p w14:paraId="1CC8E749" w14:textId="2C99C25B" w:rsidR="002A6AC8" w:rsidRPr="00BE6C6D" w:rsidRDefault="00D835FD" w:rsidP="00BE6C6D">
            <w:pPr>
              <w:rPr>
                <w:rFonts w:asciiTheme="minorHAnsi" w:hAnsiTheme="minorHAnsi"/>
              </w:rPr>
            </w:pPr>
            <w:r w:rsidRPr="00D835FD">
              <w:rPr>
                <w:rFonts w:asciiTheme="minorHAnsi" w:hAnsiTheme="minorHAnsi"/>
              </w:rPr>
              <w:t>Australia will continue to advocate for improved access to</w:t>
            </w:r>
            <w:r w:rsidR="0029571C">
              <w:rPr>
                <w:rFonts w:asciiTheme="minorHAnsi" w:hAnsiTheme="minorHAnsi"/>
              </w:rPr>
              <w:t xml:space="preserve"> Rakhine</w:t>
            </w:r>
            <w:r w:rsidRPr="00D835FD">
              <w:rPr>
                <w:rFonts w:asciiTheme="minorHAnsi" w:hAnsiTheme="minorHAnsi"/>
              </w:rPr>
              <w:t xml:space="preserve"> and </w:t>
            </w:r>
            <w:r w:rsidR="0029571C">
              <w:rPr>
                <w:rFonts w:asciiTheme="minorHAnsi" w:hAnsiTheme="minorHAnsi"/>
              </w:rPr>
              <w:t xml:space="preserve">improved </w:t>
            </w:r>
            <w:r w:rsidRPr="00D835FD">
              <w:rPr>
                <w:rFonts w:asciiTheme="minorHAnsi" w:hAnsiTheme="minorHAnsi"/>
              </w:rPr>
              <w:t>conditions in Rakhine for all communities.</w:t>
            </w:r>
          </w:p>
        </w:tc>
        <w:tc>
          <w:tcPr>
            <w:tcW w:w="1270" w:type="dxa"/>
          </w:tcPr>
          <w:p w14:paraId="625DAB2B" w14:textId="77777777" w:rsidR="002A6AC8" w:rsidRPr="00BE6C6D" w:rsidRDefault="00D835FD" w:rsidP="00BE6C6D">
            <w:pPr>
              <w:rPr>
                <w:rFonts w:asciiTheme="minorHAnsi" w:hAnsiTheme="minorHAnsi"/>
              </w:rPr>
            </w:pPr>
            <w:r>
              <w:rPr>
                <w:rFonts w:asciiTheme="minorHAnsi" w:hAnsiTheme="minorHAnsi"/>
              </w:rPr>
              <w:t>High</w:t>
            </w:r>
          </w:p>
        </w:tc>
        <w:tc>
          <w:tcPr>
            <w:tcW w:w="1225" w:type="dxa"/>
          </w:tcPr>
          <w:p w14:paraId="3E7C6DAF" w14:textId="77777777" w:rsidR="002A6AC8" w:rsidRPr="00AC0B09" w:rsidRDefault="00D835FD" w:rsidP="00BE6C6D">
            <w:pPr>
              <w:rPr>
                <w:rFonts w:asciiTheme="minorHAnsi" w:hAnsiTheme="minorHAnsi"/>
              </w:rPr>
            </w:pPr>
            <w:r w:rsidRPr="00AC0B09">
              <w:rPr>
                <w:rFonts w:asciiTheme="minorHAnsi" w:hAnsiTheme="minorHAnsi"/>
              </w:rPr>
              <w:t xml:space="preserve">Yes </w:t>
            </w:r>
          </w:p>
        </w:tc>
      </w:tr>
      <w:tr w:rsidR="002A6AC8" w:rsidRPr="00AC0B09" w14:paraId="5A125B36" w14:textId="77777777" w:rsidTr="00182A40">
        <w:tc>
          <w:tcPr>
            <w:tcW w:w="1882" w:type="dxa"/>
            <w:hideMark/>
          </w:tcPr>
          <w:p w14:paraId="01FB0AD3" w14:textId="646ACD6E" w:rsidR="002A6AC8" w:rsidRPr="00AC0B09" w:rsidRDefault="00D835FD" w:rsidP="00D15A00">
            <w:pPr>
              <w:keepLines/>
              <w:spacing w:before="40" w:after="40" w:line="200" w:lineRule="atLeast"/>
              <w:rPr>
                <w:rFonts w:asciiTheme="minorHAnsi" w:hAnsiTheme="minorHAnsi"/>
              </w:rPr>
            </w:pPr>
            <w:r w:rsidRPr="00AC0B09">
              <w:rPr>
                <w:rFonts w:asciiTheme="minorHAnsi" w:hAnsiTheme="minorHAnsi"/>
              </w:rPr>
              <w:t>Reform efforts stall or reverse, limiting Australia's ability to engage with Myanmar Government and/or NGOs on aid delivery or align assistance with Government priorities.</w:t>
            </w:r>
          </w:p>
        </w:tc>
        <w:tc>
          <w:tcPr>
            <w:tcW w:w="2426" w:type="dxa"/>
          </w:tcPr>
          <w:p w14:paraId="16DAF8A0" w14:textId="77777777" w:rsidR="002A6AC8" w:rsidRPr="00AC0B09" w:rsidRDefault="008D5C28" w:rsidP="008D5C28">
            <w:pPr>
              <w:keepLines/>
              <w:spacing w:before="40" w:after="40" w:line="200" w:lineRule="atLeast"/>
              <w:rPr>
                <w:rFonts w:asciiTheme="minorHAnsi" w:hAnsiTheme="minorHAnsi"/>
              </w:rPr>
            </w:pPr>
            <w:r w:rsidRPr="00AC0B09">
              <w:rPr>
                <w:rFonts w:asciiTheme="minorHAnsi" w:hAnsiTheme="minorHAnsi"/>
              </w:rPr>
              <w:t xml:space="preserve">We continued to align assistance with Government priorities to improve capacity to progress reforms. Sector teams actively engaged with, and supported, reform leaders within the Myanmar Government. </w:t>
            </w:r>
          </w:p>
        </w:tc>
        <w:tc>
          <w:tcPr>
            <w:tcW w:w="2509" w:type="dxa"/>
          </w:tcPr>
          <w:p w14:paraId="6980DFE7" w14:textId="77777777" w:rsidR="002A6AC8" w:rsidRPr="00AC0B09" w:rsidRDefault="008D5C28" w:rsidP="008D5C28">
            <w:pPr>
              <w:keepLines/>
              <w:spacing w:before="40" w:after="40" w:line="200" w:lineRule="atLeast"/>
              <w:rPr>
                <w:rFonts w:asciiTheme="minorHAnsi" w:hAnsiTheme="minorHAnsi"/>
              </w:rPr>
            </w:pPr>
            <w:r w:rsidRPr="00AC0B09">
              <w:rPr>
                <w:rFonts w:asciiTheme="minorHAnsi" w:hAnsiTheme="minorHAnsi"/>
              </w:rPr>
              <w:t>Australia will continue to support reform efforts through the aid program wh</w:t>
            </w:r>
            <w:r w:rsidR="00253851" w:rsidRPr="00AC0B09">
              <w:rPr>
                <w:rFonts w:asciiTheme="minorHAnsi" w:hAnsiTheme="minorHAnsi"/>
              </w:rPr>
              <w:t xml:space="preserve">ere they benefit the Myanmar people. </w:t>
            </w:r>
          </w:p>
        </w:tc>
        <w:tc>
          <w:tcPr>
            <w:tcW w:w="1270" w:type="dxa"/>
          </w:tcPr>
          <w:p w14:paraId="101A803B" w14:textId="77777777" w:rsidR="002A6AC8" w:rsidRPr="00AC0B09" w:rsidRDefault="008D5C28" w:rsidP="00D15A00">
            <w:pPr>
              <w:keepLines/>
              <w:spacing w:before="40" w:after="40" w:line="200" w:lineRule="atLeast"/>
              <w:rPr>
                <w:rFonts w:asciiTheme="minorHAnsi" w:hAnsiTheme="minorHAnsi"/>
              </w:rPr>
            </w:pPr>
            <w:r w:rsidRPr="00AC0B09">
              <w:rPr>
                <w:rFonts w:asciiTheme="minorHAnsi" w:hAnsiTheme="minorHAnsi"/>
              </w:rPr>
              <w:t xml:space="preserve">Medium </w:t>
            </w:r>
          </w:p>
        </w:tc>
        <w:tc>
          <w:tcPr>
            <w:tcW w:w="1225" w:type="dxa"/>
          </w:tcPr>
          <w:p w14:paraId="63B60CB5" w14:textId="77777777" w:rsidR="002A6AC8" w:rsidRPr="00AC0B09" w:rsidRDefault="008D5C28" w:rsidP="00D15A00">
            <w:pPr>
              <w:keepLines/>
              <w:spacing w:before="40" w:after="40" w:line="200" w:lineRule="atLeast"/>
              <w:rPr>
                <w:rFonts w:asciiTheme="minorHAnsi" w:hAnsiTheme="minorHAnsi"/>
              </w:rPr>
            </w:pPr>
            <w:r w:rsidRPr="00AC0B09">
              <w:rPr>
                <w:rFonts w:asciiTheme="minorHAnsi" w:hAnsiTheme="minorHAnsi"/>
              </w:rPr>
              <w:t>Yes</w:t>
            </w:r>
          </w:p>
        </w:tc>
      </w:tr>
      <w:tr w:rsidR="002A6AC8" w:rsidRPr="00AC0B09" w14:paraId="04352FAD" w14:textId="77777777" w:rsidTr="00182A40">
        <w:trPr>
          <w:trHeight w:val="56"/>
        </w:trPr>
        <w:tc>
          <w:tcPr>
            <w:tcW w:w="1882" w:type="dxa"/>
          </w:tcPr>
          <w:p w14:paraId="0D421032" w14:textId="1309DDDA" w:rsidR="002A6AC8" w:rsidRPr="00AC0B09" w:rsidRDefault="00D835FD" w:rsidP="00D15A00">
            <w:pPr>
              <w:keepLines/>
              <w:spacing w:before="40" w:after="40" w:line="200" w:lineRule="atLeast"/>
              <w:rPr>
                <w:rFonts w:asciiTheme="minorHAnsi" w:hAnsiTheme="minorHAnsi"/>
              </w:rPr>
            </w:pPr>
            <w:r w:rsidRPr="00AC0B09">
              <w:rPr>
                <w:rFonts w:asciiTheme="minorHAnsi" w:hAnsiTheme="minorHAnsi"/>
              </w:rPr>
              <w:t xml:space="preserve">Lack of access to conflict-affected areas </w:t>
            </w:r>
            <w:r w:rsidR="009C3586">
              <w:rPr>
                <w:rFonts w:asciiTheme="minorHAnsi" w:hAnsiTheme="minorHAnsi"/>
              </w:rPr>
              <w:t xml:space="preserve">and camps </w:t>
            </w:r>
            <w:r w:rsidRPr="00AC0B09">
              <w:rPr>
                <w:rFonts w:asciiTheme="minorHAnsi" w:hAnsiTheme="minorHAnsi"/>
              </w:rPr>
              <w:t>means we are unable to monitor and manage our aid investments.</w:t>
            </w:r>
          </w:p>
        </w:tc>
        <w:tc>
          <w:tcPr>
            <w:tcW w:w="2426" w:type="dxa"/>
          </w:tcPr>
          <w:p w14:paraId="3A73FF05" w14:textId="080CBE47" w:rsidR="002A6AC8" w:rsidRPr="00AC0B09" w:rsidRDefault="00D835FD" w:rsidP="00D15A00">
            <w:pPr>
              <w:keepLines/>
              <w:spacing w:before="40" w:after="40" w:line="200" w:lineRule="atLeast"/>
              <w:rPr>
                <w:rFonts w:asciiTheme="minorHAnsi" w:hAnsiTheme="minorHAnsi"/>
              </w:rPr>
            </w:pPr>
            <w:r w:rsidRPr="00AC0B09">
              <w:rPr>
                <w:rFonts w:asciiTheme="minorHAnsi" w:hAnsiTheme="minorHAnsi"/>
              </w:rPr>
              <w:t xml:space="preserve">We have consistently advocated for </w:t>
            </w:r>
            <w:r w:rsidR="009C3586">
              <w:rPr>
                <w:rFonts w:asciiTheme="minorHAnsi" w:hAnsiTheme="minorHAnsi"/>
              </w:rPr>
              <w:t xml:space="preserve">and sought </w:t>
            </w:r>
            <w:r w:rsidRPr="00AC0B09">
              <w:rPr>
                <w:rFonts w:asciiTheme="minorHAnsi" w:hAnsiTheme="minorHAnsi"/>
              </w:rPr>
              <w:t>access and/or monitored investments through partners.</w:t>
            </w:r>
          </w:p>
        </w:tc>
        <w:tc>
          <w:tcPr>
            <w:tcW w:w="2509" w:type="dxa"/>
          </w:tcPr>
          <w:p w14:paraId="0F0B26C8" w14:textId="4AB3B3BE" w:rsidR="002A6AC8" w:rsidRPr="00AC0B09" w:rsidRDefault="008D5C28" w:rsidP="008D5C28">
            <w:pPr>
              <w:keepLines/>
              <w:spacing w:before="40" w:after="40" w:line="200" w:lineRule="atLeast"/>
              <w:rPr>
                <w:rFonts w:asciiTheme="minorHAnsi" w:hAnsiTheme="minorHAnsi"/>
              </w:rPr>
            </w:pPr>
            <w:r w:rsidRPr="00AC0B09">
              <w:rPr>
                <w:rFonts w:asciiTheme="minorHAnsi" w:hAnsiTheme="minorHAnsi"/>
              </w:rPr>
              <w:t xml:space="preserve">We will continue </w:t>
            </w:r>
            <w:r w:rsidR="00FA0CB3">
              <w:rPr>
                <w:rFonts w:asciiTheme="minorHAnsi" w:hAnsiTheme="minorHAnsi"/>
              </w:rPr>
              <w:t xml:space="preserve">to </w:t>
            </w:r>
            <w:r w:rsidRPr="00AC0B09">
              <w:rPr>
                <w:rFonts w:asciiTheme="minorHAnsi" w:hAnsiTheme="minorHAnsi"/>
              </w:rPr>
              <w:t xml:space="preserve">seek access to monitor aid investments and work through partners who have a presence in the field. </w:t>
            </w:r>
          </w:p>
        </w:tc>
        <w:tc>
          <w:tcPr>
            <w:tcW w:w="1270" w:type="dxa"/>
          </w:tcPr>
          <w:p w14:paraId="39DB7078" w14:textId="77777777" w:rsidR="002A6AC8" w:rsidRPr="00AC0B09" w:rsidRDefault="00D835FD" w:rsidP="00D15A00">
            <w:pPr>
              <w:keepLines/>
              <w:spacing w:before="40" w:after="40" w:line="200" w:lineRule="atLeast"/>
              <w:rPr>
                <w:rFonts w:asciiTheme="minorHAnsi" w:hAnsiTheme="minorHAnsi"/>
              </w:rPr>
            </w:pPr>
            <w:r w:rsidRPr="00AC0B09">
              <w:rPr>
                <w:rFonts w:asciiTheme="minorHAnsi" w:hAnsiTheme="minorHAnsi"/>
              </w:rPr>
              <w:t>Very High</w:t>
            </w:r>
          </w:p>
        </w:tc>
        <w:tc>
          <w:tcPr>
            <w:tcW w:w="1225" w:type="dxa"/>
          </w:tcPr>
          <w:p w14:paraId="32766CB5" w14:textId="77777777" w:rsidR="002A6AC8" w:rsidRPr="00AC0B09" w:rsidRDefault="00D835FD" w:rsidP="00D15A00">
            <w:pPr>
              <w:keepLines/>
              <w:spacing w:before="40" w:after="40" w:line="200" w:lineRule="atLeast"/>
              <w:rPr>
                <w:rFonts w:asciiTheme="minorHAnsi" w:hAnsiTheme="minorHAnsi"/>
              </w:rPr>
            </w:pPr>
            <w:r w:rsidRPr="00AC0B09">
              <w:rPr>
                <w:rFonts w:asciiTheme="minorHAnsi" w:hAnsiTheme="minorHAnsi"/>
              </w:rPr>
              <w:t>Yes</w:t>
            </w:r>
          </w:p>
        </w:tc>
      </w:tr>
      <w:tr w:rsidR="00D835FD" w:rsidRPr="00AC0B09" w14:paraId="4D2177E3" w14:textId="77777777" w:rsidTr="00182A40">
        <w:trPr>
          <w:trHeight w:val="56"/>
        </w:trPr>
        <w:tc>
          <w:tcPr>
            <w:tcW w:w="1882" w:type="dxa"/>
            <w:shd w:val="clear" w:color="auto" w:fill="auto"/>
          </w:tcPr>
          <w:p w14:paraId="0772C41C" w14:textId="77777777" w:rsidR="00D835FD" w:rsidRPr="00AC0B09" w:rsidRDefault="00D835FD" w:rsidP="00D15A00">
            <w:pPr>
              <w:keepLines/>
              <w:spacing w:before="40" w:after="40" w:line="200" w:lineRule="atLeast"/>
              <w:rPr>
                <w:rFonts w:asciiTheme="minorHAnsi" w:hAnsiTheme="minorHAnsi"/>
              </w:rPr>
            </w:pPr>
            <w:r w:rsidRPr="00AC0B09">
              <w:rPr>
                <w:rFonts w:asciiTheme="minorHAnsi" w:hAnsiTheme="minorHAnsi"/>
              </w:rPr>
              <w:t>Lack of technical advice reduces performance of investments.</w:t>
            </w:r>
          </w:p>
        </w:tc>
        <w:tc>
          <w:tcPr>
            <w:tcW w:w="2426" w:type="dxa"/>
            <w:shd w:val="clear" w:color="auto" w:fill="auto"/>
          </w:tcPr>
          <w:p w14:paraId="58DA2BDB" w14:textId="658AF6DA" w:rsidR="00D835FD" w:rsidRPr="00AC0B09" w:rsidRDefault="008D5C28" w:rsidP="008D5C28">
            <w:pPr>
              <w:keepLines/>
              <w:spacing w:before="40" w:after="40" w:line="200" w:lineRule="atLeast"/>
              <w:rPr>
                <w:rFonts w:asciiTheme="minorHAnsi" w:hAnsiTheme="minorHAnsi"/>
              </w:rPr>
            </w:pPr>
            <w:r w:rsidRPr="00AC0B09">
              <w:rPr>
                <w:rFonts w:asciiTheme="minorHAnsi" w:hAnsiTheme="minorHAnsi"/>
              </w:rPr>
              <w:t xml:space="preserve">The </w:t>
            </w:r>
            <w:r w:rsidR="00FA0CB3">
              <w:rPr>
                <w:rFonts w:asciiTheme="minorHAnsi" w:hAnsiTheme="minorHAnsi"/>
              </w:rPr>
              <w:t>p</w:t>
            </w:r>
            <w:r w:rsidRPr="00AC0B09">
              <w:rPr>
                <w:rFonts w:asciiTheme="minorHAnsi" w:hAnsiTheme="minorHAnsi"/>
              </w:rPr>
              <w:t xml:space="preserve">rogram drew on the support of technical advisors (both within and external to DFAT) who supported program development and delivery.   </w:t>
            </w:r>
          </w:p>
        </w:tc>
        <w:tc>
          <w:tcPr>
            <w:tcW w:w="2509" w:type="dxa"/>
            <w:shd w:val="clear" w:color="auto" w:fill="auto"/>
          </w:tcPr>
          <w:p w14:paraId="44D1478D" w14:textId="77777777" w:rsidR="00D835FD" w:rsidRPr="00AC0B09" w:rsidRDefault="008D5C28" w:rsidP="00D15A00">
            <w:pPr>
              <w:keepLines/>
              <w:spacing w:before="40" w:after="40" w:line="200" w:lineRule="atLeast"/>
              <w:rPr>
                <w:rFonts w:asciiTheme="minorHAnsi" w:hAnsiTheme="minorHAnsi"/>
              </w:rPr>
            </w:pPr>
            <w:r w:rsidRPr="00AC0B09">
              <w:rPr>
                <w:rFonts w:asciiTheme="minorHAnsi" w:hAnsiTheme="minorHAnsi"/>
              </w:rPr>
              <w:t xml:space="preserve">The program will continue to engage advisors where appropriate. </w:t>
            </w:r>
          </w:p>
        </w:tc>
        <w:tc>
          <w:tcPr>
            <w:tcW w:w="1270" w:type="dxa"/>
            <w:shd w:val="clear" w:color="auto" w:fill="auto"/>
          </w:tcPr>
          <w:p w14:paraId="2BB2C1A4" w14:textId="77777777" w:rsidR="00D835FD" w:rsidRPr="00AC0B09" w:rsidRDefault="008D5C28" w:rsidP="00D15A00">
            <w:pPr>
              <w:keepLines/>
              <w:spacing w:before="40" w:after="40" w:line="200" w:lineRule="atLeast"/>
              <w:rPr>
                <w:rFonts w:asciiTheme="minorHAnsi" w:hAnsiTheme="minorHAnsi"/>
              </w:rPr>
            </w:pPr>
            <w:r w:rsidRPr="00AC0B09">
              <w:rPr>
                <w:rFonts w:asciiTheme="minorHAnsi" w:hAnsiTheme="minorHAnsi"/>
              </w:rPr>
              <w:t>High</w:t>
            </w:r>
          </w:p>
        </w:tc>
        <w:tc>
          <w:tcPr>
            <w:tcW w:w="1225" w:type="dxa"/>
            <w:shd w:val="clear" w:color="auto" w:fill="auto"/>
          </w:tcPr>
          <w:p w14:paraId="03BB8D1E" w14:textId="77777777" w:rsidR="00D835FD" w:rsidRPr="00AC0B09" w:rsidRDefault="008D5C28" w:rsidP="00D15A00">
            <w:pPr>
              <w:keepLines/>
              <w:spacing w:before="40" w:after="40" w:line="200" w:lineRule="atLeast"/>
              <w:rPr>
                <w:rFonts w:asciiTheme="minorHAnsi" w:hAnsiTheme="minorHAnsi"/>
              </w:rPr>
            </w:pPr>
            <w:r w:rsidRPr="00AC0B09">
              <w:rPr>
                <w:rFonts w:asciiTheme="minorHAnsi" w:hAnsiTheme="minorHAnsi"/>
              </w:rPr>
              <w:t xml:space="preserve">Yes </w:t>
            </w:r>
          </w:p>
        </w:tc>
      </w:tr>
    </w:tbl>
    <w:p w14:paraId="3DAA4206" w14:textId="693B5C1C" w:rsidR="00182A40" w:rsidRPr="00182A40" w:rsidRDefault="00182A40" w:rsidP="00F04B5D">
      <w:pPr>
        <w:pStyle w:val="Heading2"/>
        <w:spacing w:before="360" w:line="300" w:lineRule="exact"/>
        <w:contextualSpacing w:val="0"/>
      </w:pPr>
      <w:r w:rsidRPr="009E2716">
        <w:rPr>
          <w:rFonts w:asciiTheme="minorHAnsi" w:eastAsiaTheme="minorHAnsi" w:hAnsiTheme="minorHAnsi" w:cstheme="minorBidi"/>
          <w:caps w:val="0"/>
          <w:sz w:val="22"/>
          <w:szCs w:val="22"/>
        </w:rPr>
        <w:t>The risk profile for the program remained the same as the previous reporting period.</w:t>
      </w:r>
    </w:p>
    <w:p w14:paraId="7816778A" w14:textId="147889FD" w:rsidR="00171E40" w:rsidRDefault="002A51CA" w:rsidP="00047FFB">
      <w:pPr>
        <w:pStyle w:val="Heading2"/>
        <w:spacing w:before="360" w:line="300" w:lineRule="exact"/>
        <w:contextualSpacing w:val="0"/>
        <w:rPr>
          <w:color w:val="FF0000"/>
        </w:rPr>
      </w:pPr>
      <w:r w:rsidRPr="002A51CA">
        <w:t xml:space="preserve">Management </w:t>
      </w:r>
      <w:r w:rsidR="00AC302F">
        <w:t>actions</w:t>
      </w:r>
      <w:r w:rsidRPr="002A51CA">
        <w:tab/>
      </w:r>
      <w:r w:rsidRPr="002A51CA">
        <w:tab/>
      </w:r>
    </w:p>
    <w:p w14:paraId="5D044874" w14:textId="071D2124" w:rsidR="00C660F2" w:rsidRPr="00C61187" w:rsidRDefault="00C660F2" w:rsidP="00C660F2">
      <w:r>
        <w:t xml:space="preserve">Of the </w:t>
      </w:r>
      <w:r w:rsidR="0058458F">
        <w:t>13</w:t>
      </w:r>
      <w:r>
        <w:t xml:space="preserve"> management actions identified in the 2017-18 APPR</w:t>
      </w:r>
      <w:r w:rsidR="00E7346C">
        <w:t>,</w:t>
      </w:r>
      <w:r>
        <w:t xml:space="preserve"> </w:t>
      </w:r>
      <w:r w:rsidR="00A13360">
        <w:t>five</w:t>
      </w:r>
      <w:r>
        <w:t xml:space="preserve"> </w:t>
      </w:r>
      <w:r w:rsidR="00D27827">
        <w:t xml:space="preserve">were </w:t>
      </w:r>
      <w:r>
        <w:t xml:space="preserve">achieved, </w:t>
      </w:r>
      <w:r w:rsidR="0042220A">
        <w:t xml:space="preserve">seven </w:t>
      </w:r>
      <w:r>
        <w:t xml:space="preserve">partly achieved, and </w:t>
      </w:r>
      <w:r w:rsidR="0042220A">
        <w:t xml:space="preserve">one </w:t>
      </w:r>
      <w:r>
        <w:t>not achieved. This largely reflects staffing constraints in Yangon and Canberra</w:t>
      </w:r>
      <w:r w:rsidR="009E17EC">
        <w:t>,</w:t>
      </w:r>
      <w:r>
        <w:t xml:space="preserve"> and the ongoing need to reprioritise resources in response to the Rakhine crisis. A summary</w:t>
      </w:r>
      <w:r w:rsidRPr="00C61187">
        <w:t xml:space="preserve"> of progress on management </w:t>
      </w:r>
      <w:r>
        <w:t>actions</w:t>
      </w:r>
      <w:r w:rsidRPr="00C61187">
        <w:t xml:space="preserve"> </w:t>
      </w:r>
      <w:r>
        <w:t>is</w:t>
      </w:r>
      <w:r w:rsidRPr="00C61187">
        <w:t xml:space="preserve"> included </w:t>
      </w:r>
      <w:r>
        <w:t>at</w:t>
      </w:r>
      <w:r w:rsidRPr="00C61187">
        <w:t xml:space="preserve"> </w:t>
      </w:r>
      <w:r w:rsidRPr="00C61187">
        <w:rPr>
          <w:b/>
        </w:rPr>
        <w:t>Annex A.</w:t>
      </w:r>
    </w:p>
    <w:p w14:paraId="085C7A63" w14:textId="108D5C91" w:rsidR="00C660F2" w:rsidRDefault="00C660F2" w:rsidP="00C660F2">
      <w:r>
        <w:t xml:space="preserve">In </w:t>
      </w:r>
      <w:r w:rsidR="00740F23">
        <w:t>2019</w:t>
      </w:r>
      <w:r>
        <w:t>-</w:t>
      </w:r>
      <w:r w:rsidR="00740F23">
        <w:t>2020</w:t>
      </w:r>
      <w:r>
        <w:t xml:space="preserve">, Australia’s aid program in Myanmar will pursue the follow </w:t>
      </w:r>
      <w:r w:rsidRPr="003E2A52">
        <w:rPr>
          <w:b/>
        </w:rPr>
        <w:t>strategic</w:t>
      </w:r>
      <w:r>
        <w:t xml:space="preserve"> management actions:</w:t>
      </w:r>
    </w:p>
    <w:p w14:paraId="5ECFDF2F" w14:textId="22A6F8F0" w:rsidR="00C660F2" w:rsidRDefault="009E17EC" w:rsidP="00C27E29">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Conduct robust economic, </w:t>
      </w:r>
      <w:r w:rsidR="00C27E29" w:rsidRPr="00C27E29">
        <w:rPr>
          <w:rFonts w:asciiTheme="minorHAnsi" w:hAnsiTheme="minorHAnsi"/>
          <w:color w:val="495965" w:themeColor="text2"/>
          <w:sz w:val="22"/>
          <w:szCs w:val="22"/>
        </w:rPr>
        <w:t xml:space="preserve">atrocity risk, </w:t>
      </w:r>
      <w:r w:rsidR="00F57DE1">
        <w:rPr>
          <w:rFonts w:asciiTheme="minorHAnsi" w:hAnsiTheme="minorHAnsi"/>
          <w:color w:val="495965" w:themeColor="text2"/>
          <w:sz w:val="22"/>
          <w:szCs w:val="22"/>
        </w:rPr>
        <w:t xml:space="preserve">conflict, </w:t>
      </w:r>
      <w:r>
        <w:rPr>
          <w:rFonts w:asciiTheme="minorHAnsi" w:hAnsiTheme="minorHAnsi"/>
          <w:color w:val="495965" w:themeColor="text2"/>
          <w:sz w:val="22"/>
          <w:szCs w:val="22"/>
        </w:rPr>
        <w:t>political and social analysis and a review of</w:t>
      </w:r>
      <w:r w:rsidR="00C660F2" w:rsidRPr="003E2A52">
        <w:rPr>
          <w:rFonts w:asciiTheme="minorHAnsi" w:hAnsiTheme="minorHAnsi"/>
          <w:color w:val="495965" w:themeColor="text2"/>
          <w:sz w:val="22"/>
          <w:szCs w:val="22"/>
        </w:rPr>
        <w:t xml:space="preserve"> the Aid Investment Plan to guide development assistance from </w:t>
      </w:r>
      <w:r w:rsidR="00D96E43">
        <w:rPr>
          <w:rFonts w:asciiTheme="minorHAnsi" w:hAnsiTheme="minorHAnsi"/>
          <w:color w:val="495965" w:themeColor="text2"/>
          <w:sz w:val="22"/>
          <w:szCs w:val="22"/>
        </w:rPr>
        <w:t xml:space="preserve">end </w:t>
      </w:r>
      <w:r w:rsidR="00C660F2" w:rsidRPr="003E2A52">
        <w:rPr>
          <w:rFonts w:asciiTheme="minorHAnsi" w:hAnsiTheme="minorHAnsi"/>
          <w:color w:val="495965" w:themeColor="text2"/>
          <w:sz w:val="22"/>
          <w:szCs w:val="22"/>
        </w:rPr>
        <w:t>2020;</w:t>
      </w:r>
    </w:p>
    <w:p w14:paraId="0BDFBD90" w14:textId="6F400AEB" w:rsidR="005C0C8B" w:rsidRDefault="00D27827" w:rsidP="00D27827">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w:t>
      </w:r>
      <w:r w:rsidR="005C0C8B">
        <w:rPr>
          <w:rFonts w:asciiTheme="minorHAnsi" w:hAnsiTheme="minorHAnsi"/>
          <w:color w:val="495965" w:themeColor="text2"/>
          <w:sz w:val="22"/>
          <w:szCs w:val="22"/>
        </w:rPr>
        <w:t>ommence a new design of the Aid Investment Plan 2021-2025;</w:t>
      </w:r>
    </w:p>
    <w:p w14:paraId="67B20941" w14:textId="77777777" w:rsidR="005A1B70" w:rsidRDefault="005A1B70"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Complete an Education Sector Investment Plan (Dec</w:t>
      </w:r>
      <w:r w:rsidR="0058458F">
        <w:rPr>
          <w:rFonts w:asciiTheme="minorHAnsi" w:hAnsiTheme="minorHAnsi"/>
          <w:color w:val="495965" w:themeColor="text2"/>
          <w:sz w:val="22"/>
          <w:szCs w:val="22"/>
        </w:rPr>
        <w:t>ember</w:t>
      </w:r>
      <w:r>
        <w:rPr>
          <w:rFonts w:asciiTheme="minorHAnsi" w:hAnsiTheme="minorHAnsi"/>
          <w:color w:val="495965" w:themeColor="text2"/>
          <w:sz w:val="22"/>
          <w:szCs w:val="22"/>
        </w:rPr>
        <w:t xml:space="preserve"> 2019);</w:t>
      </w:r>
    </w:p>
    <w:p w14:paraId="7FE03F0F" w14:textId="77777777" w:rsidR="0036543B" w:rsidRDefault="0036543B" w:rsidP="0036543B">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Complete the design of a second phase of the Myanmar-Australia Peace Support Program (December 2019)</w:t>
      </w:r>
    </w:p>
    <w:p w14:paraId="62B776F2" w14:textId="6EB20A6A" w:rsidR="005A1B70" w:rsidRPr="005A1B70" w:rsidRDefault="00D27827" w:rsidP="005A1B70">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lastRenderedPageBreak/>
        <w:t xml:space="preserve">Hold High Level Consultations on Development Cooperation (early 2020), which will </w:t>
      </w:r>
      <w:r w:rsidR="00F813B2">
        <w:rPr>
          <w:rFonts w:asciiTheme="minorHAnsi" w:hAnsiTheme="minorHAnsi"/>
          <w:color w:val="495965" w:themeColor="text2"/>
          <w:sz w:val="22"/>
          <w:szCs w:val="22"/>
        </w:rPr>
        <w:t>inter alia</w:t>
      </w:r>
      <w:r>
        <w:rPr>
          <w:rFonts w:asciiTheme="minorHAnsi" w:hAnsiTheme="minorHAnsi"/>
          <w:color w:val="495965" w:themeColor="text2"/>
          <w:sz w:val="22"/>
          <w:szCs w:val="22"/>
        </w:rPr>
        <w:t xml:space="preserve"> seek to s</w:t>
      </w:r>
      <w:r w:rsidR="005A1B70" w:rsidRPr="003E2A52">
        <w:rPr>
          <w:rFonts w:asciiTheme="minorHAnsi" w:hAnsiTheme="minorHAnsi"/>
          <w:color w:val="495965" w:themeColor="text2"/>
          <w:sz w:val="22"/>
          <w:szCs w:val="22"/>
        </w:rPr>
        <w:t xml:space="preserve">trengthen </w:t>
      </w:r>
      <w:r w:rsidR="005A1B70">
        <w:rPr>
          <w:rFonts w:asciiTheme="minorHAnsi" w:hAnsiTheme="minorHAnsi"/>
          <w:color w:val="495965" w:themeColor="text2"/>
          <w:sz w:val="22"/>
          <w:szCs w:val="22"/>
        </w:rPr>
        <w:t>mutual accountability</w:t>
      </w:r>
      <w:r>
        <w:rPr>
          <w:rFonts w:asciiTheme="minorHAnsi" w:hAnsiTheme="minorHAnsi"/>
          <w:color w:val="495965" w:themeColor="text2"/>
          <w:sz w:val="22"/>
          <w:szCs w:val="22"/>
        </w:rPr>
        <w:t xml:space="preserve">, assess </w:t>
      </w:r>
      <w:r w:rsidR="005A1B70" w:rsidRPr="003E2A52">
        <w:rPr>
          <w:rFonts w:asciiTheme="minorHAnsi" w:hAnsiTheme="minorHAnsi"/>
          <w:color w:val="495965" w:themeColor="text2"/>
          <w:sz w:val="22"/>
          <w:szCs w:val="22"/>
        </w:rPr>
        <w:t xml:space="preserve">performance of Australian aid and </w:t>
      </w:r>
      <w:r>
        <w:rPr>
          <w:rFonts w:asciiTheme="minorHAnsi" w:hAnsiTheme="minorHAnsi"/>
          <w:color w:val="495965" w:themeColor="text2"/>
          <w:sz w:val="22"/>
          <w:szCs w:val="22"/>
        </w:rPr>
        <w:t xml:space="preserve">seek to identify </w:t>
      </w:r>
      <w:r w:rsidR="005A1B70" w:rsidRPr="003E2A52">
        <w:rPr>
          <w:rFonts w:asciiTheme="minorHAnsi" w:hAnsiTheme="minorHAnsi"/>
          <w:color w:val="495965" w:themeColor="text2"/>
          <w:sz w:val="22"/>
          <w:szCs w:val="22"/>
        </w:rPr>
        <w:t xml:space="preserve">ways </w:t>
      </w:r>
      <w:r>
        <w:rPr>
          <w:rFonts w:asciiTheme="minorHAnsi" w:hAnsiTheme="minorHAnsi"/>
          <w:color w:val="495965" w:themeColor="text2"/>
          <w:sz w:val="22"/>
          <w:szCs w:val="22"/>
        </w:rPr>
        <w:t>to</w:t>
      </w:r>
      <w:r w:rsidR="005A1B70" w:rsidRPr="003E2A52">
        <w:rPr>
          <w:rFonts w:asciiTheme="minorHAnsi" w:hAnsiTheme="minorHAnsi"/>
          <w:color w:val="495965" w:themeColor="text2"/>
          <w:sz w:val="22"/>
          <w:szCs w:val="22"/>
        </w:rPr>
        <w:t xml:space="preserve"> remove obstacles to delivery</w:t>
      </w:r>
      <w:r w:rsidR="00D96E43">
        <w:rPr>
          <w:rFonts w:asciiTheme="minorHAnsi" w:hAnsiTheme="minorHAnsi"/>
          <w:color w:val="495965" w:themeColor="text2"/>
          <w:sz w:val="22"/>
          <w:szCs w:val="22"/>
        </w:rPr>
        <w:t>;</w:t>
      </w:r>
    </w:p>
    <w:p w14:paraId="335AFD67" w14:textId="6751B1FD" w:rsidR="00C77E26" w:rsidRDefault="00740F23"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Commence</w:t>
      </w:r>
      <w:r w:rsidR="00134966">
        <w:rPr>
          <w:rFonts w:asciiTheme="minorHAnsi" w:hAnsiTheme="minorHAnsi"/>
          <w:color w:val="495965" w:themeColor="text2"/>
          <w:sz w:val="22"/>
          <w:szCs w:val="22"/>
        </w:rPr>
        <w:t xml:space="preserve"> </w:t>
      </w:r>
      <w:r w:rsidR="00EF7359">
        <w:rPr>
          <w:rFonts w:asciiTheme="minorHAnsi" w:hAnsiTheme="minorHAnsi"/>
          <w:color w:val="495965" w:themeColor="text2"/>
          <w:sz w:val="22"/>
          <w:szCs w:val="22"/>
        </w:rPr>
        <w:t>implement</w:t>
      </w:r>
      <w:r w:rsidR="00134966">
        <w:rPr>
          <w:rFonts w:asciiTheme="minorHAnsi" w:hAnsiTheme="minorHAnsi"/>
          <w:color w:val="495965" w:themeColor="text2"/>
          <w:sz w:val="22"/>
          <w:szCs w:val="22"/>
        </w:rPr>
        <w:t>ation</w:t>
      </w:r>
      <w:r>
        <w:rPr>
          <w:rFonts w:asciiTheme="minorHAnsi" w:hAnsiTheme="minorHAnsi"/>
          <w:color w:val="495965" w:themeColor="text2"/>
          <w:sz w:val="22"/>
          <w:szCs w:val="22"/>
        </w:rPr>
        <w:t xml:space="preserve"> of the ‘Equality Strategy for Australia in Myanmar’</w:t>
      </w:r>
      <w:r w:rsidR="00EF7359">
        <w:rPr>
          <w:rFonts w:asciiTheme="minorHAnsi" w:hAnsiTheme="minorHAnsi"/>
          <w:color w:val="495965" w:themeColor="text2"/>
          <w:sz w:val="22"/>
          <w:szCs w:val="22"/>
        </w:rPr>
        <w:t>;</w:t>
      </w:r>
    </w:p>
    <w:p w14:paraId="4C73044F" w14:textId="607B691E" w:rsidR="00F86CD4" w:rsidRDefault="00F86CD4"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Complete economic governance design;</w:t>
      </w:r>
    </w:p>
    <w:p w14:paraId="41C8B27B" w14:textId="123AC8BA" w:rsidR="00F86CD4" w:rsidRDefault="00F86CD4" w:rsidP="00F86CD4">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Finalise a humanitarian design for 2020 implementation;</w:t>
      </w:r>
    </w:p>
    <w:p w14:paraId="682DCE00" w14:textId="705AB9E3" w:rsidR="005A1B70" w:rsidRDefault="00C660F2" w:rsidP="00EF7359">
      <w:pPr>
        <w:pStyle w:val="ListParagraph"/>
        <w:numPr>
          <w:ilvl w:val="0"/>
          <w:numId w:val="40"/>
        </w:numPr>
        <w:spacing w:before="120" w:after="60" w:line="230" w:lineRule="atLeast"/>
        <w:rPr>
          <w:rFonts w:asciiTheme="minorHAnsi" w:hAnsiTheme="minorHAnsi"/>
          <w:color w:val="495965" w:themeColor="text2"/>
          <w:sz w:val="22"/>
          <w:szCs w:val="22"/>
        </w:rPr>
      </w:pPr>
      <w:r w:rsidRPr="00EF7359">
        <w:rPr>
          <w:rFonts w:asciiTheme="minorHAnsi" w:hAnsiTheme="minorHAnsi"/>
          <w:color w:val="495965" w:themeColor="text2"/>
          <w:sz w:val="22"/>
          <w:szCs w:val="22"/>
        </w:rPr>
        <w:t>Shape investments to respond to emerging development and humanitarian needs</w:t>
      </w:r>
      <w:r w:rsidR="009E2716">
        <w:rPr>
          <w:rFonts w:asciiTheme="minorHAnsi" w:hAnsiTheme="minorHAnsi"/>
          <w:color w:val="495965" w:themeColor="text2"/>
          <w:sz w:val="22"/>
          <w:szCs w:val="22"/>
        </w:rPr>
        <w:t>, particularly in Rakhine State;</w:t>
      </w:r>
      <w:r w:rsidR="00F86CD4">
        <w:rPr>
          <w:rFonts w:asciiTheme="minorHAnsi" w:hAnsiTheme="minorHAnsi"/>
          <w:color w:val="495965" w:themeColor="text2"/>
          <w:sz w:val="22"/>
          <w:szCs w:val="22"/>
        </w:rPr>
        <w:t xml:space="preserve"> and</w:t>
      </w:r>
    </w:p>
    <w:p w14:paraId="076728F1" w14:textId="4A1D21FE" w:rsidR="006865F7" w:rsidRPr="00EF7359" w:rsidRDefault="006865F7" w:rsidP="00EF7359">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Update the Performance Assessment Framework to reflect new investment phases and changed data calculation methodologies. </w:t>
      </w:r>
    </w:p>
    <w:p w14:paraId="4044D2D5" w14:textId="77777777" w:rsidR="00C660F2" w:rsidRDefault="00C660F2" w:rsidP="00C660F2">
      <w:r>
        <w:t xml:space="preserve">In addition, we will prioritise the following </w:t>
      </w:r>
      <w:r w:rsidRPr="003E2A52">
        <w:rPr>
          <w:b/>
        </w:rPr>
        <w:t>operational</w:t>
      </w:r>
      <w:r>
        <w:t xml:space="preserve"> management actions:</w:t>
      </w:r>
    </w:p>
    <w:p w14:paraId="2B590062" w14:textId="4E00EF52" w:rsidR="005A1B70" w:rsidRDefault="005C0C8B"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Enhance engagement</w:t>
      </w:r>
      <w:r w:rsidR="005A1B70">
        <w:rPr>
          <w:rFonts w:asciiTheme="minorHAnsi" w:hAnsiTheme="minorHAnsi"/>
          <w:color w:val="495965" w:themeColor="text2"/>
          <w:sz w:val="22"/>
          <w:szCs w:val="22"/>
        </w:rPr>
        <w:t xml:space="preserve"> with </w:t>
      </w:r>
      <w:r w:rsidR="00FA0CB3">
        <w:rPr>
          <w:rFonts w:asciiTheme="minorHAnsi" w:hAnsiTheme="minorHAnsi"/>
          <w:color w:val="495965" w:themeColor="text2"/>
          <w:sz w:val="22"/>
          <w:szCs w:val="22"/>
        </w:rPr>
        <w:t>c</w:t>
      </w:r>
      <w:r w:rsidR="005A1B70">
        <w:rPr>
          <w:rFonts w:asciiTheme="minorHAnsi" w:hAnsiTheme="minorHAnsi"/>
          <w:color w:val="495965" w:themeColor="text2"/>
          <w:sz w:val="22"/>
          <w:szCs w:val="22"/>
        </w:rPr>
        <w:t xml:space="preserve">ivil </w:t>
      </w:r>
      <w:r w:rsidR="00FA0CB3">
        <w:rPr>
          <w:rFonts w:asciiTheme="minorHAnsi" w:hAnsiTheme="minorHAnsi"/>
          <w:color w:val="495965" w:themeColor="text2"/>
          <w:sz w:val="22"/>
          <w:szCs w:val="22"/>
        </w:rPr>
        <w:t>s</w:t>
      </w:r>
      <w:r w:rsidR="005A1B70">
        <w:rPr>
          <w:rFonts w:asciiTheme="minorHAnsi" w:hAnsiTheme="minorHAnsi"/>
          <w:color w:val="495965" w:themeColor="text2"/>
          <w:sz w:val="22"/>
          <w:szCs w:val="22"/>
        </w:rPr>
        <w:t xml:space="preserve">ociety </w:t>
      </w:r>
      <w:r w:rsidR="00FA0CB3">
        <w:rPr>
          <w:rFonts w:asciiTheme="minorHAnsi" w:hAnsiTheme="minorHAnsi"/>
          <w:color w:val="495965" w:themeColor="text2"/>
          <w:sz w:val="22"/>
          <w:szCs w:val="22"/>
        </w:rPr>
        <w:t>o</w:t>
      </w:r>
      <w:r w:rsidR="005A1B70">
        <w:rPr>
          <w:rFonts w:asciiTheme="minorHAnsi" w:hAnsiTheme="minorHAnsi"/>
          <w:color w:val="495965" w:themeColor="text2"/>
          <w:sz w:val="22"/>
          <w:szCs w:val="22"/>
        </w:rPr>
        <w:t>rganisations</w:t>
      </w:r>
      <w:r w:rsidR="00740F23">
        <w:rPr>
          <w:rFonts w:asciiTheme="minorHAnsi" w:hAnsiTheme="minorHAnsi"/>
          <w:color w:val="495965" w:themeColor="text2"/>
          <w:sz w:val="22"/>
          <w:szCs w:val="22"/>
        </w:rPr>
        <w:t>;</w:t>
      </w:r>
    </w:p>
    <w:p w14:paraId="107082A0" w14:textId="12C220A6" w:rsidR="00C660F2" w:rsidRPr="00D93D43" w:rsidRDefault="00C77E26"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Maintain</w:t>
      </w:r>
      <w:r w:rsidR="00C660F2" w:rsidRPr="00D93D43">
        <w:rPr>
          <w:rFonts w:asciiTheme="minorHAnsi" w:hAnsiTheme="minorHAnsi"/>
          <w:color w:val="495965" w:themeColor="text2"/>
          <w:sz w:val="22"/>
          <w:szCs w:val="22"/>
        </w:rPr>
        <w:t xml:space="preserve"> technical support for monitoring, evaluation and learning, </w:t>
      </w:r>
      <w:r w:rsidR="00DD7177">
        <w:rPr>
          <w:rFonts w:asciiTheme="minorHAnsi" w:hAnsiTheme="minorHAnsi"/>
          <w:color w:val="495965" w:themeColor="text2"/>
          <w:sz w:val="22"/>
          <w:szCs w:val="22"/>
        </w:rPr>
        <w:t xml:space="preserve">and </w:t>
      </w:r>
      <w:r>
        <w:rPr>
          <w:rFonts w:asciiTheme="minorHAnsi" w:hAnsiTheme="minorHAnsi"/>
          <w:color w:val="495965" w:themeColor="text2"/>
          <w:sz w:val="22"/>
          <w:szCs w:val="22"/>
        </w:rPr>
        <w:t>develop a new flexible contract</w:t>
      </w:r>
      <w:r w:rsidR="00D96E43">
        <w:rPr>
          <w:rFonts w:asciiTheme="minorHAnsi" w:hAnsiTheme="minorHAnsi"/>
          <w:color w:val="495965" w:themeColor="text2"/>
          <w:sz w:val="22"/>
          <w:szCs w:val="22"/>
        </w:rPr>
        <w:t xml:space="preserve"> for this</w:t>
      </w:r>
      <w:r w:rsidR="00C660F2" w:rsidRPr="00D93D43">
        <w:rPr>
          <w:rFonts w:asciiTheme="minorHAnsi" w:hAnsiTheme="minorHAnsi"/>
          <w:color w:val="495965" w:themeColor="text2"/>
          <w:sz w:val="22"/>
          <w:szCs w:val="22"/>
        </w:rPr>
        <w:t>;</w:t>
      </w:r>
    </w:p>
    <w:p w14:paraId="474FF17E" w14:textId="22352E72" w:rsidR="00C660F2" w:rsidRPr="00D93D43" w:rsidRDefault="00C77E26"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Maintain</w:t>
      </w:r>
      <w:r w:rsidR="00C660F2" w:rsidRPr="00D93D43">
        <w:rPr>
          <w:rFonts w:asciiTheme="minorHAnsi" w:hAnsiTheme="minorHAnsi"/>
          <w:color w:val="495965" w:themeColor="text2"/>
          <w:sz w:val="22"/>
          <w:szCs w:val="22"/>
        </w:rPr>
        <w:t xml:space="preserve"> inputs from the Social Inclusion Adviser to assist program managers in mainstreaming disability</w:t>
      </w:r>
      <w:r w:rsidR="0029571C">
        <w:rPr>
          <w:rFonts w:asciiTheme="minorHAnsi" w:hAnsiTheme="minorHAnsi"/>
          <w:color w:val="495965" w:themeColor="text2"/>
          <w:sz w:val="22"/>
          <w:szCs w:val="22"/>
        </w:rPr>
        <w:t>-</w:t>
      </w:r>
      <w:r w:rsidRPr="00D93D43">
        <w:rPr>
          <w:rFonts w:asciiTheme="minorHAnsi" w:hAnsiTheme="minorHAnsi"/>
          <w:color w:val="495965" w:themeColor="text2"/>
          <w:sz w:val="22"/>
          <w:szCs w:val="22"/>
        </w:rPr>
        <w:t xml:space="preserve">inclusive </w:t>
      </w:r>
      <w:r>
        <w:rPr>
          <w:rFonts w:asciiTheme="minorHAnsi" w:hAnsiTheme="minorHAnsi"/>
          <w:color w:val="495965" w:themeColor="text2"/>
          <w:sz w:val="22"/>
          <w:szCs w:val="22"/>
        </w:rPr>
        <w:t>and social</w:t>
      </w:r>
      <w:r w:rsidR="0029571C">
        <w:rPr>
          <w:rFonts w:asciiTheme="minorHAnsi" w:hAnsiTheme="minorHAnsi"/>
          <w:color w:val="495965" w:themeColor="text2"/>
          <w:sz w:val="22"/>
          <w:szCs w:val="22"/>
        </w:rPr>
        <w:t>-</w:t>
      </w:r>
      <w:r>
        <w:rPr>
          <w:rFonts w:asciiTheme="minorHAnsi" w:hAnsiTheme="minorHAnsi"/>
          <w:color w:val="495965" w:themeColor="text2"/>
          <w:sz w:val="22"/>
          <w:szCs w:val="22"/>
        </w:rPr>
        <w:t>inclusive</w:t>
      </w:r>
      <w:r w:rsidR="00C660F2" w:rsidRPr="00D93D43">
        <w:rPr>
          <w:rFonts w:asciiTheme="minorHAnsi" w:hAnsiTheme="minorHAnsi"/>
          <w:color w:val="495965" w:themeColor="text2"/>
          <w:sz w:val="22"/>
          <w:szCs w:val="22"/>
        </w:rPr>
        <w:t xml:space="preserve"> development i</w:t>
      </w:r>
      <w:r>
        <w:rPr>
          <w:rFonts w:asciiTheme="minorHAnsi" w:hAnsiTheme="minorHAnsi"/>
          <w:color w:val="495965" w:themeColor="text2"/>
          <w:sz w:val="22"/>
          <w:szCs w:val="22"/>
        </w:rPr>
        <w:t>nto all investments (October 2019</w:t>
      </w:r>
      <w:r w:rsidR="00C660F2" w:rsidRPr="00D93D43">
        <w:rPr>
          <w:rFonts w:asciiTheme="minorHAnsi" w:hAnsiTheme="minorHAnsi"/>
          <w:color w:val="495965" w:themeColor="text2"/>
          <w:sz w:val="22"/>
          <w:szCs w:val="22"/>
        </w:rPr>
        <w:t>);</w:t>
      </w:r>
    </w:p>
    <w:p w14:paraId="60F03F8B" w14:textId="686C4DC5" w:rsidR="005A1B70" w:rsidRDefault="005C0C8B"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Adequately resource</w:t>
      </w:r>
      <w:r w:rsidR="00F86CD4">
        <w:rPr>
          <w:rFonts w:asciiTheme="minorHAnsi" w:hAnsiTheme="minorHAnsi"/>
          <w:color w:val="495965" w:themeColor="text2"/>
          <w:sz w:val="22"/>
          <w:szCs w:val="22"/>
        </w:rPr>
        <w:t xml:space="preserve"> new</w:t>
      </w:r>
      <w:r w:rsidR="00EF7359">
        <w:rPr>
          <w:rFonts w:asciiTheme="minorHAnsi" w:hAnsiTheme="minorHAnsi"/>
          <w:color w:val="495965" w:themeColor="text2"/>
          <w:sz w:val="22"/>
          <w:szCs w:val="22"/>
        </w:rPr>
        <w:t xml:space="preserve"> </w:t>
      </w:r>
      <w:r w:rsidR="005A1B70">
        <w:rPr>
          <w:rFonts w:asciiTheme="minorHAnsi" w:hAnsiTheme="minorHAnsi"/>
          <w:color w:val="495965" w:themeColor="text2"/>
          <w:sz w:val="22"/>
          <w:szCs w:val="22"/>
        </w:rPr>
        <w:t xml:space="preserve">humanitarian </w:t>
      </w:r>
      <w:r w:rsidR="00F86CD4">
        <w:rPr>
          <w:rFonts w:asciiTheme="minorHAnsi" w:hAnsiTheme="minorHAnsi"/>
          <w:color w:val="495965" w:themeColor="text2"/>
          <w:sz w:val="22"/>
          <w:szCs w:val="22"/>
        </w:rPr>
        <w:t xml:space="preserve">design and </w:t>
      </w:r>
      <w:r w:rsidR="005A1B70">
        <w:rPr>
          <w:rFonts w:asciiTheme="minorHAnsi" w:hAnsiTheme="minorHAnsi"/>
          <w:color w:val="495965" w:themeColor="text2"/>
          <w:sz w:val="22"/>
          <w:szCs w:val="22"/>
        </w:rPr>
        <w:t>implementation</w:t>
      </w:r>
      <w:r w:rsidR="00D96E43">
        <w:rPr>
          <w:rFonts w:asciiTheme="minorHAnsi" w:hAnsiTheme="minorHAnsi"/>
          <w:color w:val="495965" w:themeColor="text2"/>
          <w:sz w:val="22"/>
          <w:szCs w:val="22"/>
        </w:rPr>
        <w:t>;</w:t>
      </w:r>
    </w:p>
    <w:p w14:paraId="76F46C5F" w14:textId="3A5D2DA2" w:rsidR="00134966" w:rsidRPr="009E2716" w:rsidRDefault="00182A40" w:rsidP="00AC0B09">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Review and c</w:t>
      </w:r>
      <w:r w:rsidR="005A1B70" w:rsidRPr="009E2716">
        <w:rPr>
          <w:rFonts w:asciiTheme="minorHAnsi" w:hAnsiTheme="minorHAnsi"/>
          <w:color w:val="495965" w:themeColor="text2"/>
          <w:sz w:val="22"/>
          <w:szCs w:val="22"/>
        </w:rPr>
        <w:t>onsider additional resource</w:t>
      </w:r>
      <w:r w:rsidR="00EF7359" w:rsidRPr="009E2716">
        <w:rPr>
          <w:rFonts w:asciiTheme="minorHAnsi" w:hAnsiTheme="minorHAnsi"/>
          <w:color w:val="495965" w:themeColor="text2"/>
          <w:sz w:val="22"/>
          <w:szCs w:val="22"/>
        </w:rPr>
        <w:t>s to manage extra workload for G</w:t>
      </w:r>
      <w:r w:rsidR="005A1B70" w:rsidRPr="009E2716">
        <w:rPr>
          <w:rFonts w:asciiTheme="minorHAnsi" w:hAnsiTheme="minorHAnsi"/>
          <w:color w:val="495965" w:themeColor="text2"/>
          <w:sz w:val="22"/>
          <w:szCs w:val="22"/>
        </w:rPr>
        <w:t>ender and WPS</w:t>
      </w:r>
      <w:r w:rsidR="00D96E43" w:rsidRPr="009E2716">
        <w:rPr>
          <w:rFonts w:asciiTheme="minorHAnsi" w:hAnsiTheme="minorHAnsi"/>
          <w:color w:val="495965" w:themeColor="text2"/>
          <w:sz w:val="22"/>
          <w:szCs w:val="22"/>
        </w:rPr>
        <w:t>;</w:t>
      </w:r>
    </w:p>
    <w:p w14:paraId="19EE6622" w14:textId="7FCEA875" w:rsidR="00C660F2" w:rsidRDefault="00C77E26"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Continue to use</w:t>
      </w:r>
      <w:r w:rsidR="00C660F2" w:rsidRPr="00D93D43">
        <w:rPr>
          <w:rFonts w:asciiTheme="minorHAnsi" w:hAnsiTheme="minorHAnsi"/>
          <w:color w:val="495965" w:themeColor="text2"/>
          <w:sz w:val="22"/>
          <w:szCs w:val="22"/>
        </w:rPr>
        <w:t xml:space="preserve"> Aid Management Meetings (AMMs) to review progress against APPR management actions;</w:t>
      </w:r>
    </w:p>
    <w:p w14:paraId="36219C8C" w14:textId="660E550F" w:rsidR="00F57DE1" w:rsidRPr="00D93D43" w:rsidRDefault="00F57DE1"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Drive MEC performance through active management of this </w:t>
      </w:r>
      <w:r w:rsidRPr="00A06040">
        <w:rPr>
          <w:rFonts w:asciiTheme="minorHAnsi" w:hAnsiTheme="minorHAnsi"/>
          <w:i/>
          <w:color w:val="495965" w:themeColor="text2"/>
          <w:sz w:val="22"/>
          <w:szCs w:val="22"/>
        </w:rPr>
        <w:t>Investment Requiring Improvement</w:t>
      </w:r>
      <w:r>
        <w:rPr>
          <w:rFonts w:asciiTheme="minorHAnsi" w:hAnsiTheme="minorHAnsi"/>
          <w:color w:val="495965" w:themeColor="text2"/>
          <w:sz w:val="22"/>
          <w:szCs w:val="22"/>
        </w:rPr>
        <w:t xml:space="preserve">; </w:t>
      </w:r>
    </w:p>
    <w:p w14:paraId="69D0F64C" w14:textId="77777777" w:rsidR="00C660F2" w:rsidRPr="00D93D43" w:rsidRDefault="00EF7359" w:rsidP="00C660F2">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Continue to s</w:t>
      </w:r>
      <w:r w:rsidR="00C660F2" w:rsidRPr="00D93D43">
        <w:rPr>
          <w:rFonts w:asciiTheme="minorHAnsi" w:hAnsiTheme="minorHAnsi"/>
          <w:color w:val="495965" w:themeColor="text2"/>
          <w:sz w:val="22"/>
          <w:szCs w:val="22"/>
        </w:rPr>
        <w:t>trengthen contestability by appraisi</w:t>
      </w:r>
      <w:r w:rsidR="00C660F2">
        <w:rPr>
          <w:rFonts w:asciiTheme="minorHAnsi" w:hAnsiTheme="minorHAnsi"/>
          <w:color w:val="495965" w:themeColor="text2"/>
          <w:sz w:val="22"/>
          <w:szCs w:val="22"/>
        </w:rPr>
        <w:t>ng investment proposals at AMMs.</w:t>
      </w:r>
    </w:p>
    <w:p w14:paraId="1085BA8C" w14:textId="77777777" w:rsidR="00F76829" w:rsidRPr="00E97955" w:rsidRDefault="00F76829" w:rsidP="002A51CA">
      <w:pPr>
        <w:rPr>
          <w:color w:val="FF0000"/>
        </w:rPr>
      </w:pPr>
    </w:p>
    <w:p w14:paraId="755246C7" w14:textId="77777777" w:rsidR="00D15A00" w:rsidRDefault="00D15A00" w:rsidP="002A51CA"/>
    <w:p w14:paraId="0D909ECC" w14:textId="55A2E462" w:rsidR="00D15A00" w:rsidRDefault="00D15A00" w:rsidP="002A51CA">
      <w:pPr>
        <w:sectPr w:rsidR="00D15A00" w:rsidSect="00E03C9D">
          <w:pgSz w:w="11906" w:h="16838" w:code="9"/>
          <w:pgMar w:top="1527" w:right="1134" w:bottom="1560" w:left="1134" w:header="1418" w:footer="567" w:gutter="0"/>
          <w:cols w:space="397"/>
          <w:docGrid w:linePitch="360"/>
        </w:sectPr>
      </w:pPr>
    </w:p>
    <w:p w14:paraId="36579384" w14:textId="60C3A67C" w:rsidR="009042FA" w:rsidRPr="00C817B8" w:rsidRDefault="009042FA" w:rsidP="009042FA">
      <w:pPr>
        <w:pStyle w:val="Subtitle"/>
        <w:numPr>
          <w:ilvl w:val="0"/>
          <w:numId w:val="0"/>
        </w:numPr>
        <w:spacing w:before="0" w:after="120" w:line="300" w:lineRule="exact"/>
        <w:contextualSpacing w:val="0"/>
        <w:rPr>
          <w:rFonts w:asciiTheme="majorHAnsi" w:hAnsiTheme="majorHAnsi" w:cstheme="majorHAnsi"/>
        </w:rPr>
      </w:pPr>
      <w:r w:rsidRPr="008821C2">
        <w:rPr>
          <w:rFonts w:asciiTheme="majorHAnsi" w:hAnsiTheme="majorHAnsi" w:cstheme="majorHAnsi"/>
        </w:rPr>
        <w:lastRenderedPageBreak/>
        <w:t>Annex A - Progress in Addressing Management actions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843"/>
        <w:gridCol w:w="4597"/>
      </w:tblGrid>
      <w:tr w:rsidR="009042FA" w:rsidRPr="006C3966" w14:paraId="3F7C98A7" w14:textId="77777777" w:rsidTr="009042FA">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30053" w14:textId="77777777" w:rsidR="009042FA" w:rsidRPr="006C3966" w:rsidRDefault="009042FA" w:rsidP="009042FA">
            <w:pPr>
              <w:keepLines/>
              <w:spacing w:before="80" w:after="80" w:line="200" w:lineRule="atLeast"/>
              <w:rPr>
                <w:rFonts w:asciiTheme="minorHAnsi" w:eastAsia="Times New Roman" w:hAnsiTheme="minorHAnsi"/>
                <w:b/>
                <w:iCs/>
                <w:sz w:val="18"/>
                <w:szCs w:val="18"/>
                <w:lang w:eastAsia="en-US"/>
              </w:rPr>
            </w:pPr>
            <w:r w:rsidRPr="006C3966">
              <w:rPr>
                <w:rFonts w:asciiTheme="minorHAnsi" w:eastAsia="Times New Roman" w:hAnsiTheme="minorHAnsi"/>
                <w:b/>
                <w:iCs/>
                <w:sz w:val="18"/>
                <w:szCs w:val="18"/>
                <w:lang w:eastAsia="en-US"/>
              </w:rPr>
              <w:t>Management responses identified in 2017-18 APPR</w:t>
            </w:r>
            <w:r w:rsidRPr="006C3966">
              <w:rPr>
                <w:rFonts w:asciiTheme="minorHAnsi" w:eastAsia="Times New Roman" w:hAnsiTheme="minorHAnsi"/>
                <w:b/>
                <w:iCs/>
                <w:sz w:val="18"/>
                <w:szCs w:val="18"/>
                <w:lang w:eastAsia="en-US"/>
              </w:rPr>
              <w:tab/>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F05408" w14:textId="77777777" w:rsidR="009042FA" w:rsidRPr="006C3966" w:rsidRDefault="009042FA" w:rsidP="009042FA">
            <w:pPr>
              <w:keepLines/>
              <w:spacing w:before="80" w:after="80" w:line="200" w:lineRule="atLeast"/>
              <w:jc w:val="center"/>
              <w:rPr>
                <w:rFonts w:asciiTheme="minorHAnsi" w:eastAsia="Times New Roman" w:hAnsiTheme="minorHAnsi"/>
                <w:b/>
                <w:iCs/>
                <w:sz w:val="18"/>
                <w:szCs w:val="18"/>
                <w:lang w:eastAsia="en-US"/>
              </w:rPr>
            </w:pPr>
            <w:r w:rsidRPr="006C3966">
              <w:rPr>
                <w:rFonts w:asciiTheme="minorHAnsi" w:eastAsia="Times New Roman" w:hAnsiTheme="minorHAnsi"/>
                <w:b/>
                <w:iCs/>
                <w:sz w:val="18"/>
                <w:szCs w:val="18"/>
                <w:lang w:eastAsia="en-US"/>
              </w:rPr>
              <w:t>Rating</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D4959D" w14:textId="77777777" w:rsidR="009042FA" w:rsidRPr="006C3966" w:rsidRDefault="009042FA" w:rsidP="009042FA">
            <w:pPr>
              <w:keepLines/>
              <w:spacing w:before="80" w:after="80" w:line="200" w:lineRule="atLeast"/>
              <w:jc w:val="center"/>
              <w:rPr>
                <w:rFonts w:asciiTheme="minorHAnsi" w:eastAsia="Times New Roman" w:hAnsiTheme="minorHAnsi"/>
                <w:b/>
                <w:iCs/>
                <w:sz w:val="18"/>
                <w:szCs w:val="18"/>
                <w:lang w:eastAsia="en-US"/>
              </w:rPr>
            </w:pPr>
            <w:r w:rsidRPr="006C3966">
              <w:rPr>
                <w:rFonts w:asciiTheme="minorHAnsi" w:eastAsia="Times New Roman" w:hAnsiTheme="minorHAnsi"/>
                <w:b/>
                <w:iCs/>
                <w:sz w:val="18"/>
                <w:szCs w:val="18"/>
                <w:lang w:eastAsia="en-US"/>
              </w:rPr>
              <w:t>Progress made  in 2018-19</w:t>
            </w:r>
          </w:p>
        </w:tc>
      </w:tr>
      <w:tr w:rsidR="009042FA" w:rsidRPr="00812509" w14:paraId="5436A482" w14:textId="77777777" w:rsidTr="009042FA">
        <w:trPr>
          <w:cnfStyle w:val="000000010000" w:firstRow="0" w:lastRow="0" w:firstColumn="0" w:lastColumn="0" w:oddVBand="0" w:evenVBand="0" w:oddHBand="0" w:evenHBand="1" w:firstRowFirstColumn="0" w:firstRowLastColumn="0" w:lastRowFirstColumn="0" w:lastRowLastColumn="0"/>
          <w:trHeight w:val="198"/>
        </w:trPr>
        <w:tc>
          <w:tcPr>
            <w:tcW w:w="14317" w:type="dxa"/>
            <w:gridSpan w:val="3"/>
            <w:tcBorders>
              <w:top w:val="single" w:sz="4" w:space="0" w:color="auto"/>
              <w:bottom w:val="single" w:sz="4" w:space="0" w:color="auto"/>
            </w:tcBorders>
          </w:tcPr>
          <w:p w14:paraId="29F918BC" w14:textId="77777777" w:rsidR="009042FA" w:rsidRPr="00812509" w:rsidRDefault="009042FA" w:rsidP="009042FA">
            <w:pPr>
              <w:keepLines/>
              <w:spacing w:before="80" w:after="80" w:line="200" w:lineRule="atLeast"/>
              <w:rPr>
                <w:rFonts w:eastAsia="Times New Roman"/>
                <w:b/>
                <w:iCs/>
                <w:szCs w:val="17"/>
              </w:rPr>
            </w:pPr>
            <w:r>
              <w:rPr>
                <w:rFonts w:eastAsia="Times New Roman"/>
                <w:b/>
                <w:iCs/>
                <w:szCs w:val="17"/>
              </w:rPr>
              <w:t>Strategic</w:t>
            </w:r>
          </w:p>
        </w:tc>
      </w:tr>
      <w:tr w:rsidR="009042FA" w:rsidRPr="00812509" w14:paraId="2A85E614"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52029E" w14:textId="3411CA94"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 xml:space="preserve">Review the </w:t>
            </w:r>
            <w:r w:rsidR="00F071DE">
              <w:rPr>
                <w:rFonts w:asciiTheme="minorHAnsi" w:eastAsia="Times New Roman" w:hAnsiTheme="minorHAnsi"/>
                <w:iCs/>
                <w:szCs w:val="17"/>
                <w:lang w:eastAsia="en-US"/>
              </w:rPr>
              <w:t>AIP</w:t>
            </w:r>
            <w:r w:rsidRPr="00B4122E">
              <w:rPr>
                <w:rFonts w:asciiTheme="minorHAnsi" w:eastAsia="Times New Roman" w:hAnsiTheme="minorHAnsi"/>
                <w:iCs/>
                <w:szCs w:val="17"/>
                <w:lang w:eastAsia="en-US"/>
              </w:rPr>
              <w:t xml:space="preserve"> to guide development assistance from 2020 (January-June 2019)</w:t>
            </w:r>
            <w:r>
              <w:rPr>
                <w:rFonts w:asciiTheme="minorHAnsi" w:eastAsia="Times New Roman" w:hAnsiTheme="minorHAnsi"/>
                <w:iCs/>
                <w:szCs w:val="17"/>
                <w:lang w:eastAsia="en-US"/>
              </w:rPr>
              <w:t>.</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183B36C0"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B024F0" w14:textId="66EDA891" w:rsidR="009042FA" w:rsidRPr="00F071DE" w:rsidRDefault="009042FA" w:rsidP="00F071D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Analysis has commenced to inform development of the new AIP. </w:t>
            </w:r>
          </w:p>
        </w:tc>
      </w:tr>
      <w:tr w:rsidR="009042FA" w:rsidRPr="00812509" w14:paraId="5FF8C173"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84D67"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Shape investments to respond to emerging development and humanitarian needs, particularly in Rakhine State</w:t>
            </w:r>
            <w:r>
              <w:rPr>
                <w:rFonts w:asciiTheme="minorHAnsi" w:eastAsia="Times New Roman" w:hAnsiTheme="minorHAnsi"/>
                <w:iCs/>
                <w:szCs w:val="17"/>
                <w:lang w:eastAsia="en-US"/>
              </w:rPr>
              <w:t>.</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1E1E54D7"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A98FA7" w14:textId="77777777" w:rsidR="009042FA" w:rsidRPr="006C3966" w:rsidRDefault="009042FA" w:rsidP="009042FA">
            <w:pPr>
              <w:keepLines/>
              <w:spacing w:before="40" w:after="40" w:line="200" w:lineRule="atLeast"/>
              <w:rPr>
                <w:rFonts w:asciiTheme="minorHAnsi" w:eastAsia="Times New Roman" w:hAnsiTheme="minorHAnsi"/>
                <w:iCs/>
                <w:szCs w:val="17"/>
                <w:lang w:eastAsia="en-US"/>
              </w:rPr>
            </w:pPr>
            <w:r w:rsidRPr="00F071DE">
              <w:rPr>
                <w:rFonts w:asciiTheme="minorHAnsi" w:eastAsia="Times New Roman" w:hAnsiTheme="minorHAnsi"/>
                <w:iCs/>
                <w:szCs w:val="17"/>
                <w:lang w:eastAsia="en-US"/>
              </w:rPr>
              <w:t xml:space="preserve">Analysis work has commenced to inform design for humanitarian investments, focusing on Rakhine.  </w:t>
            </w:r>
          </w:p>
        </w:tc>
      </w:tr>
      <w:tr w:rsidR="009042FA" w:rsidRPr="00812509" w14:paraId="3B6789FA"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223310"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Strengthen mutual accountability by discussing with Myanmar government officials the performance of Australian aid and ways in which Myanmar can help remove obstacles to delivery at High Level Consultations on Development Cooperation</w:t>
            </w:r>
            <w:r>
              <w:rPr>
                <w:rFonts w:asciiTheme="minorHAnsi" w:eastAsia="Times New Roman" w:hAnsiTheme="minorHAnsi"/>
                <w:iCs/>
                <w:szCs w:val="17"/>
                <w:lang w:eastAsia="en-US"/>
              </w:rPr>
              <w:t>.</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6C0DE84B"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956C45" w14:textId="3B573709" w:rsidR="009042FA" w:rsidRPr="006C3966" w:rsidRDefault="009042FA"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An ongoing process. Partly discussed as side to Foreign Ministry Consultations conducted with Myanmar Government in May 2019. </w:t>
            </w:r>
            <w:r w:rsidR="00D75E98">
              <w:t>W</w:t>
            </w:r>
            <w:r w:rsidR="00D75E98" w:rsidRPr="00D75E98">
              <w:rPr>
                <w:rFonts w:asciiTheme="minorHAnsi" w:eastAsia="Times New Roman" w:hAnsiTheme="minorHAnsi"/>
                <w:iCs/>
                <w:szCs w:val="17"/>
                <w:lang w:eastAsia="en-US"/>
              </w:rPr>
              <w:t>e anticipate a further round in early 2020</w:t>
            </w:r>
            <w:r>
              <w:rPr>
                <w:rFonts w:asciiTheme="minorHAnsi" w:eastAsia="Times New Roman" w:hAnsiTheme="minorHAnsi"/>
                <w:iCs/>
                <w:szCs w:val="17"/>
                <w:lang w:eastAsia="en-US"/>
              </w:rPr>
              <w:t>.</w:t>
            </w:r>
          </w:p>
        </w:tc>
      </w:tr>
      <w:tr w:rsidR="009042FA" w:rsidRPr="00812509" w14:paraId="1CA84B7B"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251FDA"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Evaluate our economic governance investments to inform future programming decisions (August 20</w:t>
            </w:r>
            <w:r>
              <w:rPr>
                <w:rFonts w:asciiTheme="minorHAnsi" w:eastAsia="Times New Roman" w:hAnsiTheme="minorHAnsi"/>
                <w:iCs/>
                <w:szCs w:val="17"/>
                <w:lang w:eastAsia="en-US"/>
              </w:rPr>
              <w:t>18 – February 2019).</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4143B47A"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812509">
              <w:rPr>
                <w:rFonts w:asciiTheme="minorHAnsi" w:eastAsia="Times New Roman" w:hAnsiTheme="minorHAnsi"/>
                <w:iCs/>
                <w:color w:val="FFFFFF" w:themeColor="background1"/>
                <w:szCs w:val="17"/>
                <w:lang w:eastAsia="en-US"/>
              </w:rPr>
              <w:t>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6F94B2" w14:textId="6898F3C6" w:rsidR="009042FA" w:rsidRPr="006C3966" w:rsidRDefault="009042FA" w:rsidP="006B088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Evaluation completed April 2019, website publication available here</w:t>
            </w:r>
            <w:r w:rsidR="006B0882">
              <w:rPr>
                <w:rFonts w:asciiTheme="minorHAnsi" w:eastAsia="Times New Roman" w:hAnsiTheme="minorHAnsi"/>
                <w:iCs/>
                <w:szCs w:val="17"/>
                <w:lang w:eastAsia="en-US"/>
              </w:rPr>
              <w:t xml:space="preserve"> </w:t>
            </w:r>
            <w:hyperlink r:id="rId25" w:history="1">
              <w:r w:rsidR="006B0882" w:rsidRPr="006B0882">
                <w:rPr>
                  <w:rStyle w:val="Hyperlink"/>
                  <w:rFonts w:eastAsia="Times New Roman" w:cstheme="minorBidi"/>
                  <w:iCs/>
                  <w:szCs w:val="17"/>
                  <w:lang w:eastAsia="en-US"/>
                </w:rPr>
                <w:t>https://dfat.gov.au/about-us/publications/Pages/myanmar-economic-growth-programs-performance-evaluation.aspx</w:t>
              </w:r>
              <w:r w:rsidRPr="006B0882">
                <w:rPr>
                  <w:rStyle w:val="Hyperlink"/>
                  <w:rFonts w:eastAsia="Times New Roman" w:cstheme="minorBidi"/>
                  <w:iCs/>
                  <w:szCs w:val="17"/>
                  <w:lang w:eastAsia="en-US"/>
                </w:rPr>
                <w:t>.</w:t>
              </w:r>
            </w:hyperlink>
          </w:p>
        </w:tc>
      </w:tr>
      <w:tr w:rsidR="009042FA" w:rsidRPr="00812509" w14:paraId="3A83B88E"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6466DA"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Finalise a Gender Equality Strategy to clarify objectives for gender equality and women’s empowerment in the aid program and our diplomatic advocacy, and implement DF</w:t>
            </w:r>
            <w:r>
              <w:rPr>
                <w:rFonts w:asciiTheme="minorHAnsi" w:eastAsia="Times New Roman" w:hAnsiTheme="minorHAnsi"/>
                <w:iCs/>
                <w:szCs w:val="17"/>
                <w:lang w:eastAsia="en-US"/>
              </w:rPr>
              <w:t>AT’s Women in Leadership agenda.</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49CAA9BD"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812509">
              <w:rPr>
                <w:rFonts w:asciiTheme="minorHAnsi" w:eastAsia="Times New Roman" w:hAnsiTheme="minorHAnsi"/>
                <w:iCs/>
                <w:color w:val="FFFFFF" w:themeColor="background1"/>
                <w:szCs w:val="17"/>
                <w:lang w:eastAsia="en-US"/>
              </w:rPr>
              <w:t>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DE8AE7" w14:textId="77777777" w:rsidR="009042FA" w:rsidRPr="006C3966" w:rsidRDefault="009042FA"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Equality Strategy completed. Implementation to commence second half 2019.</w:t>
            </w:r>
          </w:p>
        </w:tc>
      </w:tr>
      <w:tr w:rsidR="009042FA" w:rsidRPr="00812509" w14:paraId="4CB44938"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4BE425"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Finalise a Myanmar Humanitarian Strategy and seek multi-year</w:t>
            </w:r>
            <w:r>
              <w:rPr>
                <w:rFonts w:asciiTheme="minorHAnsi" w:eastAsia="Times New Roman" w:hAnsiTheme="minorHAnsi"/>
                <w:iCs/>
                <w:szCs w:val="17"/>
                <w:lang w:eastAsia="en-US"/>
              </w:rPr>
              <w:t xml:space="preserve"> funding for its implementation.</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7C7C40FF"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D66382" w14:textId="69EBC879" w:rsidR="009042FA" w:rsidRPr="006C3966" w:rsidRDefault="003B34BD" w:rsidP="00BF433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concept approved by Aid Governance Board. Design and completion of strategy due end of 2019.</w:t>
            </w:r>
          </w:p>
        </w:tc>
      </w:tr>
      <w:tr w:rsidR="009042FA" w:rsidRPr="00812509" w14:paraId="70E1478D" w14:textId="77777777" w:rsidTr="000C329C">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69BEC3"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Draw on global humanitarian partnerships to encourage</w:t>
            </w:r>
            <w:r>
              <w:rPr>
                <w:rFonts w:asciiTheme="minorHAnsi" w:eastAsia="Times New Roman" w:hAnsiTheme="minorHAnsi"/>
                <w:iCs/>
                <w:szCs w:val="17"/>
                <w:lang w:eastAsia="en-US"/>
              </w:rPr>
              <w:t xml:space="preserve"> humanitarian reform in Myanmar.</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62C81B60" w14:textId="7529211B" w:rsidR="009042FA" w:rsidRPr="00812509" w:rsidRDefault="00BF4332"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CF183A" w14:textId="2952A525" w:rsidR="009042FA" w:rsidRPr="006C3966" w:rsidRDefault="00BF4332" w:rsidP="00BF4332">
            <w:pPr>
              <w:keepLines/>
              <w:spacing w:before="40" w:after="40" w:line="200" w:lineRule="atLeast"/>
              <w:rPr>
                <w:rFonts w:asciiTheme="minorHAnsi" w:eastAsia="Times New Roman" w:hAnsiTheme="minorHAnsi"/>
                <w:iCs/>
                <w:szCs w:val="17"/>
                <w:lang w:eastAsia="en-US"/>
              </w:rPr>
            </w:pPr>
            <w:r w:rsidRPr="00E67CB9">
              <w:rPr>
                <w:rFonts w:asciiTheme="minorHAnsi" w:eastAsia="Times New Roman" w:hAnsiTheme="minorHAnsi"/>
                <w:iCs/>
                <w:szCs w:val="17"/>
                <w:lang w:eastAsia="en-US"/>
              </w:rPr>
              <w:t>Some progress with localisation, cash transfers, disa</w:t>
            </w:r>
            <w:r w:rsidR="00E67CB9">
              <w:rPr>
                <w:rFonts w:asciiTheme="minorHAnsi" w:eastAsia="Times New Roman" w:hAnsiTheme="minorHAnsi"/>
                <w:iCs/>
                <w:szCs w:val="17"/>
                <w:lang w:eastAsia="en-US"/>
              </w:rPr>
              <w:t>bility and protection focus.</w:t>
            </w:r>
          </w:p>
        </w:tc>
      </w:tr>
      <w:tr w:rsidR="009042FA" w:rsidRPr="00812509" w14:paraId="2EBBD6F3" w14:textId="77777777" w:rsidTr="009042FA">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82EE4D"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Finalise a strategy to guide and consolidate democratic and economic governance investments.</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tcPr>
          <w:p w14:paraId="72FCC009"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Not achieved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FFEB8" w14:textId="1399D010" w:rsidR="009042FA" w:rsidRPr="006C3966" w:rsidRDefault="009042FA" w:rsidP="00E67CB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Strategy was not developed due to staff resourcing.  </w:t>
            </w:r>
            <w:r w:rsidRPr="00805419">
              <w:rPr>
                <w:rFonts w:asciiTheme="minorHAnsi" w:eastAsia="Times New Roman" w:hAnsiTheme="minorHAnsi"/>
                <w:iCs/>
                <w:szCs w:val="17"/>
                <w:lang w:eastAsia="en-US"/>
              </w:rPr>
              <w:t>Analytical work on economic governance</w:t>
            </w:r>
            <w:r>
              <w:rPr>
                <w:rFonts w:asciiTheme="minorHAnsi" w:eastAsia="Times New Roman" w:hAnsiTheme="minorHAnsi"/>
                <w:iCs/>
                <w:szCs w:val="17"/>
                <w:lang w:eastAsia="en-US"/>
              </w:rPr>
              <w:t xml:space="preserve"> portfolio</w:t>
            </w:r>
            <w:r w:rsidRPr="00805419">
              <w:rPr>
                <w:rFonts w:asciiTheme="minorHAnsi" w:eastAsia="Times New Roman" w:hAnsiTheme="minorHAnsi"/>
                <w:iCs/>
                <w:szCs w:val="17"/>
                <w:lang w:eastAsia="en-US"/>
              </w:rPr>
              <w:t xml:space="preserve"> is </w:t>
            </w:r>
            <w:r>
              <w:rPr>
                <w:rFonts w:asciiTheme="minorHAnsi" w:eastAsia="Times New Roman" w:hAnsiTheme="minorHAnsi"/>
                <w:iCs/>
                <w:szCs w:val="17"/>
                <w:lang w:eastAsia="en-US"/>
              </w:rPr>
              <w:t xml:space="preserve">well </w:t>
            </w:r>
            <w:r w:rsidRPr="00805419">
              <w:rPr>
                <w:rFonts w:asciiTheme="minorHAnsi" w:eastAsia="Times New Roman" w:hAnsiTheme="minorHAnsi"/>
                <w:iCs/>
                <w:szCs w:val="17"/>
                <w:lang w:eastAsia="en-US"/>
              </w:rPr>
              <w:t>underway</w:t>
            </w:r>
            <w:r w:rsidR="00E67CB9">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w:t>
            </w:r>
            <w:r w:rsidR="00E67CB9">
              <w:rPr>
                <w:rFonts w:asciiTheme="minorHAnsi" w:eastAsia="Times New Roman" w:hAnsiTheme="minorHAnsi"/>
                <w:iCs/>
                <w:szCs w:val="17"/>
                <w:lang w:eastAsia="en-US"/>
              </w:rPr>
              <w:t>This a</w:t>
            </w:r>
            <w:r>
              <w:rPr>
                <w:rFonts w:asciiTheme="minorHAnsi" w:eastAsia="Times New Roman" w:hAnsiTheme="minorHAnsi"/>
                <w:iCs/>
                <w:szCs w:val="17"/>
                <w:lang w:eastAsia="en-US"/>
              </w:rPr>
              <w:t>nalysis will also be used to inform new AIP.</w:t>
            </w:r>
          </w:p>
        </w:tc>
      </w:tr>
      <w:tr w:rsidR="00DE2561" w:rsidRPr="00812509" w14:paraId="25E34605" w14:textId="77777777" w:rsidTr="00DE2561">
        <w:trPr>
          <w:cnfStyle w:val="000000010000" w:firstRow="0" w:lastRow="0" w:firstColumn="0" w:lastColumn="0" w:oddVBand="0" w:evenVBand="0" w:oddHBand="0" w:evenHBand="1" w:firstRowFirstColumn="0" w:firstRowLastColumn="0" w:lastRowFirstColumn="0" w:lastRowLastColumn="0"/>
        </w:trPr>
        <w:tc>
          <w:tcPr>
            <w:tcW w:w="14317" w:type="dxa"/>
            <w:gridSpan w:val="3"/>
          </w:tcPr>
          <w:p w14:paraId="643D7CA2" w14:textId="7BDA490C" w:rsidR="00DE2561" w:rsidRPr="002A4BB7" w:rsidRDefault="00DE2561" w:rsidP="00DE2561">
            <w:pPr>
              <w:keepLines/>
              <w:spacing w:before="40" w:after="40" w:line="200" w:lineRule="atLeast"/>
              <w:jc w:val="right"/>
              <w:rPr>
                <w:rFonts w:eastAsia="Times New Roman"/>
                <w:b/>
                <w:i/>
                <w:iCs/>
                <w:szCs w:val="17"/>
              </w:rPr>
            </w:pPr>
            <w:r w:rsidRPr="002A4BB7">
              <w:rPr>
                <w:rFonts w:eastAsia="Times New Roman"/>
                <w:b/>
                <w:i/>
                <w:iCs/>
                <w:szCs w:val="17"/>
              </w:rPr>
              <w:t>Operational Management Actions continued over …</w:t>
            </w:r>
          </w:p>
        </w:tc>
      </w:tr>
    </w:tbl>
    <w:p w14:paraId="7ADD9189" w14:textId="77777777" w:rsidR="00EF0A26" w:rsidRPr="00812509" w:rsidRDefault="00EF0A26" w:rsidP="00EF0A26">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2125277D" w14:textId="77777777" w:rsidR="00EF0A26" w:rsidRPr="00812509" w:rsidRDefault="00EF0A26" w:rsidP="00EF0A26">
      <w:pPr>
        <w:spacing w:before="20" w:after="20" w:line="180" w:lineRule="atLeast"/>
        <w:jc w:val="both"/>
        <w:rPr>
          <w:rFonts w:eastAsia="Times New Roman"/>
          <w:b/>
          <w:sz w:val="16"/>
          <w:szCs w:val="14"/>
        </w:rPr>
      </w:pPr>
      <w:r w:rsidRPr="000C329C">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w:t>
      </w:r>
      <w:r>
        <w:rPr>
          <w:rFonts w:eastAsia="Times New Roman"/>
          <w:b/>
          <w:sz w:val="16"/>
          <w:szCs w:val="14"/>
        </w:rPr>
        <w:t xml:space="preserve">n made in addressing the issue         </w:t>
      </w: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29689D7C" w14:textId="77777777" w:rsidR="00EF0A26" w:rsidRPr="00812509" w:rsidRDefault="00EF0A26" w:rsidP="00EF0A26">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1FB1A0FF" w14:textId="77777777" w:rsidR="008671F8" w:rsidRDefault="008671F8"/>
    <w:p w14:paraId="3966582A" w14:textId="77777777" w:rsidR="008671F8" w:rsidRDefault="008671F8"/>
    <w:p w14:paraId="11C5C136" w14:textId="77777777" w:rsidR="008671F8" w:rsidRDefault="008671F8"/>
    <w:p w14:paraId="1432B3C0" w14:textId="77777777" w:rsidR="008671F8" w:rsidRDefault="008671F8"/>
    <w:p w14:paraId="190F6C5A" w14:textId="77777777" w:rsidR="008671F8" w:rsidRDefault="008671F8"/>
    <w:p w14:paraId="4A91394C" w14:textId="77777777" w:rsidR="008671F8" w:rsidRDefault="008671F8"/>
    <w:p w14:paraId="64EBDAFA" w14:textId="77777777" w:rsidR="008671F8" w:rsidRDefault="008671F8"/>
    <w:p w14:paraId="4CD4151A" w14:textId="06E8F7B3" w:rsidR="006B0882" w:rsidRDefault="00EF0A26" w:rsidP="00EF0A26">
      <w:pPr>
        <w:pStyle w:val="Subtitle"/>
        <w:numPr>
          <w:ilvl w:val="0"/>
          <w:numId w:val="0"/>
        </w:numPr>
        <w:spacing w:before="0" w:after="120" w:line="300" w:lineRule="exact"/>
        <w:contextualSpacing w:val="0"/>
      </w:pPr>
      <w:r w:rsidRPr="008821C2">
        <w:rPr>
          <w:rFonts w:asciiTheme="majorHAnsi" w:hAnsiTheme="majorHAnsi" w:cstheme="majorHAnsi"/>
        </w:rPr>
        <w:t>Annex A - Progress in Addressing Management actions</w:t>
      </w:r>
      <w:r>
        <w:rPr>
          <w:rFonts w:asciiTheme="majorHAnsi" w:hAnsiTheme="majorHAnsi" w:cstheme="majorHAnsi"/>
        </w:rPr>
        <w:t xml:space="preserve"> </w:t>
      </w:r>
      <w:r w:rsidRPr="00EF0A26">
        <w:rPr>
          <w:rFonts w:asciiTheme="majorHAnsi" w:hAnsiTheme="majorHAnsi" w:cstheme="majorHAnsi"/>
          <w:i/>
          <w:caps w:val="0"/>
          <w:sz w:val="22"/>
          <w:szCs w:val="22"/>
        </w:rPr>
        <w:t>cont’d</w:t>
      </w:r>
    </w:p>
    <w:tbl>
      <w:tblPr>
        <w:tblStyle w:val="APPR"/>
        <w:tblpPr w:leftFromText="180" w:rightFromText="180" w:vertAnchor="text" w:tblpY="1"/>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4"/>
        <w:gridCol w:w="1843"/>
        <w:gridCol w:w="4597"/>
      </w:tblGrid>
      <w:tr w:rsidR="009042FA" w:rsidRPr="00812509" w14:paraId="52D03E5B" w14:textId="77777777" w:rsidTr="008671F8">
        <w:trPr>
          <w:cnfStyle w:val="000000010000" w:firstRow="0" w:lastRow="0" w:firstColumn="0" w:lastColumn="0" w:oddVBand="0" w:evenVBand="0" w:oddHBand="0" w:evenHBand="1" w:firstRowFirstColumn="0" w:firstRowLastColumn="0" w:lastRowFirstColumn="0" w:lastRowLastColumn="0"/>
        </w:trPr>
        <w:tc>
          <w:tcPr>
            <w:tcW w:w="14317" w:type="dxa"/>
            <w:gridSpan w:val="3"/>
            <w:tcBorders>
              <w:top w:val="single" w:sz="4" w:space="0" w:color="auto"/>
              <w:bottom w:val="single" w:sz="4" w:space="0" w:color="auto"/>
            </w:tcBorders>
          </w:tcPr>
          <w:p w14:paraId="7731F6A6" w14:textId="39AA1428" w:rsidR="009042FA" w:rsidRPr="00812509" w:rsidRDefault="009042FA" w:rsidP="009042FA">
            <w:pPr>
              <w:keepLines/>
              <w:spacing w:before="80" w:after="80" w:line="200" w:lineRule="atLeast"/>
              <w:rPr>
                <w:rFonts w:eastAsia="Times New Roman"/>
                <w:b/>
                <w:iCs/>
                <w:szCs w:val="17"/>
              </w:rPr>
            </w:pPr>
            <w:r>
              <w:rPr>
                <w:rFonts w:eastAsia="Times New Roman"/>
                <w:b/>
                <w:iCs/>
                <w:szCs w:val="17"/>
              </w:rPr>
              <w:t>Operational</w:t>
            </w:r>
          </w:p>
        </w:tc>
      </w:tr>
      <w:tr w:rsidR="009042FA" w:rsidRPr="00812509" w14:paraId="3CC8464C" w14:textId="77777777" w:rsidTr="008671F8">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F5133C"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Increase technical support for monitoring, evaluation and learning, initially by expanding the scope of an exis</w:t>
            </w:r>
            <w:r>
              <w:rPr>
                <w:rFonts w:asciiTheme="minorHAnsi" w:eastAsia="Times New Roman" w:hAnsiTheme="minorHAnsi"/>
                <w:iCs/>
                <w:szCs w:val="17"/>
                <w:lang w:eastAsia="en-US"/>
              </w:rPr>
              <w:t>ting MEL contract (August 2018).</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14:paraId="69EFA708"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Partially achieved </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E7CDA0" w14:textId="77777777" w:rsidR="009042FA" w:rsidRPr="006C3966" w:rsidRDefault="009042FA" w:rsidP="009042FA">
            <w:pPr>
              <w:keepLines/>
              <w:spacing w:before="40" w:after="40" w:line="200" w:lineRule="atLeast"/>
              <w:rPr>
                <w:rFonts w:asciiTheme="minorHAnsi" w:eastAsia="Times New Roman" w:hAnsiTheme="minorHAnsi"/>
                <w:iCs/>
                <w:szCs w:val="17"/>
                <w:lang w:eastAsia="en-US"/>
              </w:rPr>
            </w:pPr>
            <w:r w:rsidRPr="0066294F">
              <w:rPr>
                <w:rFonts w:asciiTheme="minorHAnsi" w:eastAsia="Times New Roman" w:hAnsiTheme="minorHAnsi"/>
                <w:iCs/>
                <w:szCs w:val="17"/>
                <w:lang w:eastAsia="en-US"/>
              </w:rPr>
              <w:t xml:space="preserve">Engaged contractors to provide MEL support to </w:t>
            </w:r>
            <w:r>
              <w:rPr>
                <w:rFonts w:asciiTheme="minorHAnsi" w:eastAsia="Times New Roman" w:hAnsiTheme="minorHAnsi"/>
                <w:iCs/>
                <w:szCs w:val="17"/>
                <w:lang w:eastAsia="en-US"/>
              </w:rPr>
              <w:t xml:space="preserve">education investments. </w:t>
            </w:r>
            <w:r w:rsidRPr="0066294F">
              <w:rPr>
                <w:rFonts w:asciiTheme="minorHAnsi" w:eastAsia="Times New Roman" w:hAnsiTheme="minorHAnsi"/>
                <w:iCs/>
                <w:szCs w:val="17"/>
                <w:lang w:eastAsia="en-US"/>
              </w:rPr>
              <w:t>Potential to expand scope</w:t>
            </w:r>
            <w:r>
              <w:rPr>
                <w:rFonts w:asciiTheme="minorHAnsi" w:eastAsia="Times New Roman" w:hAnsiTheme="minorHAnsi"/>
                <w:iCs/>
                <w:szCs w:val="17"/>
                <w:lang w:eastAsia="en-US"/>
              </w:rPr>
              <w:t xml:space="preserve"> of contract</w:t>
            </w:r>
            <w:r w:rsidRPr="0066294F">
              <w:rPr>
                <w:rFonts w:asciiTheme="minorHAnsi" w:eastAsia="Times New Roman" w:hAnsiTheme="minorHAnsi"/>
                <w:iCs/>
                <w:szCs w:val="17"/>
                <w:lang w:eastAsia="en-US"/>
              </w:rPr>
              <w:t xml:space="preserve"> in 2019-20.</w:t>
            </w:r>
            <w:r>
              <w:t xml:space="preserve">  </w:t>
            </w:r>
          </w:p>
        </w:tc>
      </w:tr>
      <w:tr w:rsidR="009042FA" w:rsidRPr="00812509" w14:paraId="4B47A582" w14:textId="77777777" w:rsidTr="00730ED5">
        <w:trPr>
          <w:cnfStyle w:val="000000010000" w:firstRow="0" w:lastRow="0" w:firstColumn="0" w:lastColumn="0" w:oddVBand="0" w:evenVBand="0" w:oddHBand="0" w:evenHBand="1" w:firstRowFirstColumn="0" w:firstRowLastColumn="0" w:lastRowFirstColumn="0" w:lastRowLastColumn="0"/>
        </w:trPr>
        <w:tc>
          <w:tcPr>
            <w:tcW w:w="7891" w:type="dxa"/>
            <w:tcBorders>
              <w:top w:val="single" w:sz="4" w:space="0" w:color="auto"/>
              <w:bottom w:val="single" w:sz="4" w:space="0" w:color="auto"/>
              <w:right w:val="single" w:sz="4" w:space="0" w:color="auto"/>
            </w:tcBorders>
          </w:tcPr>
          <w:p w14:paraId="6A3D9CE9"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Consider developing investment-level MEL frameworks for governance, peace and humanitarian programs that</w:t>
            </w:r>
            <w:r>
              <w:rPr>
                <w:rFonts w:asciiTheme="minorHAnsi" w:eastAsia="Times New Roman" w:hAnsiTheme="minorHAnsi"/>
                <w:iCs/>
                <w:szCs w:val="17"/>
                <w:lang w:eastAsia="en-US"/>
              </w:rPr>
              <w:t xml:space="preserve"> allow for adaptive programming.</w:t>
            </w:r>
          </w:p>
        </w:tc>
        <w:tc>
          <w:tcPr>
            <w:tcW w:w="1815" w:type="dxa"/>
            <w:tcBorders>
              <w:top w:val="single" w:sz="4" w:space="0" w:color="auto"/>
              <w:left w:val="single" w:sz="4" w:space="0" w:color="auto"/>
              <w:bottom w:val="single" w:sz="4" w:space="0" w:color="auto"/>
              <w:right w:val="single" w:sz="4" w:space="0" w:color="auto"/>
            </w:tcBorders>
            <w:shd w:val="clear" w:color="auto" w:fill="E36C0A"/>
          </w:tcPr>
          <w:p w14:paraId="58B9858A" w14:textId="2E43D078" w:rsidR="009042FA" w:rsidRPr="00812509" w:rsidRDefault="00730ED5"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achieved</w:t>
            </w:r>
          </w:p>
        </w:tc>
        <w:tc>
          <w:tcPr>
            <w:tcW w:w="4555" w:type="dxa"/>
            <w:tcBorders>
              <w:top w:val="single" w:sz="4" w:space="0" w:color="auto"/>
              <w:left w:val="single" w:sz="4" w:space="0" w:color="auto"/>
              <w:bottom w:val="single" w:sz="4" w:space="0" w:color="auto"/>
            </w:tcBorders>
          </w:tcPr>
          <w:p w14:paraId="6044D260" w14:textId="4F0AAAAE" w:rsidR="009042FA" w:rsidRPr="006C3966" w:rsidRDefault="009042FA" w:rsidP="00730ED5">
            <w:pPr>
              <w:keepLines/>
              <w:spacing w:before="40" w:after="40" w:line="200" w:lineRule="atLeast"/>
              <w:rPr>
                <w:rFonts w:asciiTheme="minorHAnsi" w:eastAsia="Times New Roman" w:hAnsiTheme="minorHAnsi"/>
                <w:iCs/>
                <w:szCs w:val="17"/>
                <w:lang w:eastAsia="en-US"/>
              </w:rPr>
            </w:pPr>
            <w:r w:rsidRPr="0066294F">
              <w:rPr>
                <w:rFonts w:asciiTheme="minorHAnsi" w:eastAsia="Times New Roman" w:hAnsiTheme="minorHAnsi"/>
                <w:iCs/>
                <w:szCs w:val="17"/>
                <w:lang w:eastAsia="en-US"/>
              </w:rPr>
              <w:t>Peace (MAPS) MEL framework is partially complete. Due for completion late 201</w:t>
            </w:r>
            <w:r>
              <w:rPr>
                <w:rFonts w:asciiTheme="minorHAnsi" w:eastAsia="Times New Roman" w:hAnsiTheme="minorHAnsi"/>
                <w:iCs/>
                <w:szCs w:val="17"/>
                <w:lang w:eastAsia="en-US"/>
              </w:rPr>
              <w:t xml:space="preserve">9. </w:t>
            </w:r>
            <w:r w:rsidR="00730ED5" w:rsidRPr="00730ED5">
              <w:rPr>
                <w:rFonts w:asciiTheme="minorHAnsi" w:eastAsia="Times New Roman" w:hAnsiTheme="minorHAnsi"/>
                <w:iCs/>
                <w:szCs w:val="17"/>
                <w:lang w:eastAsia="en-US"/>
              </w:rPr>
              <w:t xml:space="preserve"> The MEL frameworks were considered and partly developed in </w:t>
            </w:r>
            <w:r w:rsidR="00730ED5">
              <w:rPr>
                <w:rFonts w:asciiTheme="minorHAnsi" w:eastAsia="Times New Roman" w:hAnsiTheme="minorHAnsi"/>
                <w:iCs/>
                <w:szCs w:val="17"/>
                <w:lang w:eastAsia="en-US"/>
              </w:rPr>
              <w:t>some</w:t>
            </w:r>
            <w:r w:rsidR="00730ED5" w:rsidRPr="00730ED5">
              <w:rPr>
                <w:rFonts w:asciiTheme="minorHAnsi" w:eastAsia="Times New Roman" w:hAnsiTheme="minorHAnsi"/>
                <w:iCs/>
                <w:szCs w:val="17"/>
                <w:lang w:eastAsia="en-US"/>
              </w:rPr>
              <w:t xml:space="preserve"> investments. </w:t>
            </w:r>
            <w:r>
              <w:rPr>
                <w:rFonts w:asciiTheme="minorHAnsi" w:eastAsia="Times New Roman" w:hAnsiTheme="minorHAnsi"/>
                <w:iCs/>
                <w:szCs w:val="17"/>
                <w:lang w:eastAsia="en-US"/>
              </w:rPr>
              <w:t>Governance MEL incomplete. Humanitarian M&amp;E framework to be developed as part of multi-year design.</w:t>
            </w:r>
          </w:p>
        </w:tc>
      </w:tr>
      <w:tr w:rsidR="009042FA" w:rsidRPr="00812509" w14:paraId="5B86AFC2" w14:textId="77777777" w:rsidTr="008671F8">
        <w:trPr>
          <w:cnfStyle w:val="000000010000" w:firstRow="0" w:lastRow="0" w:firstColumn="0" w:lastColumn="0" w:oddVBand="0" w:evenVBand="0" w:oddHBand="0" w:evenHBand="1" w:firstRowFirstColumn="0" w:firstRowLastColumn="0" w:lastRowFirstColumn="0" w:lastRowLastColumn="0"/>
        </w:trPr>
        <w:tc>
          <w:tcPr>
            <w:tcW w:w="7891" w:type="dxa"/>
            <w:tcBorders>
              <w:top w:val="single" w:sz="4" w:space="0" w:color="auto"/>
              <w:bottom w:val="single" w:sz="4" w:space="0" w:color="auto"/>
              <w:right w:val="single" w:sz="4" w:space="0" w:color="auto"/>
            </w:tcBorders>
          </w:tcPr>
          <w:p w14:paraId="16A55701"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Increase inputs from the Social Inclusion Adviser to assist program managers in mainstreaming gender and disability inclusive development int</w:t>
            </w:r>
            <w:r>
              <w:rPr>
                <w:rFonts w:asciiTheme="minorHAnsi" w:eastAsia="Times New Roman" w:hAnsiTheme="minorHAnsi"/>
                <w:iCs/>
                <w:szCs w:val="17"/>
                <w:lang w:eastAsia="en-US"/>
              </w:rPr>
              <w:t>o all investments (August 2018).</w:t>
            </w:r>
          </w:p>
        </w:tc>
        <w:tc>
          <w:tcPr>
            <w:tcW w:w="1815" w:type="dxa"/>
            <w:tcBorders>
              <w:top w:val="single" w:sz="4" w:space="0" w:color="auto"/>
              <w:left w:val="single" w:sz="4" w:space="0" w:color="auto"/>
              <w:bottom w:val="single" w:sz="4" w:space="0" w:color="auto"/>
              <w:right w:val="single" w:sz="4" w:space="0" w:color="auto"/>
            </w:tcBorders>
            <w:shd w:val="clear" w:color="auto" w:fill="72AF2F"/>
          </w:tcPr>
          <w:p w14:paraId="60076E9E"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4555" w:type="dxa"/>
            <w:tcBorders>
              <w:top w:val="single" w:sz="4" w:space="0" w:color="auto"/>
              <w:left w:val="single" w:sz="4" w:space="0" w:color="auto"/>
              <w:bottom w:val="single" w:sz="4" w:space="0" w:color="auto"/>
            </w:tcBorders>
          </w:tcPr>
          <w:p w14:paraId="182B9884" w14:textId="77777777" w:rsidR="009042FA" w:rsidRPr="006C3966" w:rsidRDefault="009042FA"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Myanmar Program increased Inclusion adviser inputs. Adviser assisted program managers to strengthen gender and inclusion mainstreaming in all investments.   </w:t>
            </w:r>
          </w:p>
        </w:tc>
      </w:tr>
      <w:tr w:rsidR="009042FA" w:rsidRPr="00812509" w14:paraId="3B74D46C" w14:textId="77777777" w:rsidTr="008671F8">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117AF8"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 xml:space="preserve">Use Aid Management Meetings (AMMs) to review progress </w:t>
            </w:r>
            <w:r>
              <w:rPr>
                <w:rFonts w:asciiTheme="minorHAnsi" w:eastAsia="Times New Roman" w:hAnsiTheme="minorHAnsi"/>
                <w:iCs/>
                <w:szCs w:val="17"/>
                <w:lang w:eastAsia="en-US"/>
              </w:rPr>
              <w:t>against APPR management actions.</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0EA75F9A"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812509">
              <w:rPr>
                <w:rFonts w:asciiTheme="minorHAnsi" w:eastAsia="Times New Roman" w:hAnsiTheme="minorHAnsi"/>
                <w:iCs/>
                <w:color w:val="FFFFFF" w:themeColor="background1"/>
                <w:szCs w:val="17"/>
                <w:lang w:eastAsia="en-US"/>
              </w:rPr>
              <w:t>chieved</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B52D0" w14:textId="7BAE54C0" w:rsidR="009042FA" w:rsidRPr="006C3966" w:rsidRDefault="00BF4332" w:rsidP="00E67CB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Two AMMs held.</w:t>
            </w:r>
          </w:p>
        </w:tc>
      </w:tr>
      <w:tr w:rsidR="009042FA" w:rsidRPr="00812509" w14:paraId="2E9C7083" w14:textId="77777777" w:rsidTr="008671F8">
        <w:trPr>
          <w:cnfStyle w:val="000000010000" w:firstRow="0" w:lastRow="0" w:firstColumn="0" w:lastColumn="0" w:oddVBand="0" w:evenVBand="0" w:oddHBand="0" w:evenHBand="1" w:firstRowFirstColumn="0" w:firstRowLastColumn="0" w:lastRowFirstColumn="0" w:lastRowLastColumn="0"/>
        </w:trPr>
        <w:tc>
          <w:tcPr>
            <w:tcW w:w="7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060B6E" w14:textId="77777777" w:rsidR="009042FA" w:rsidRPr="00812509" w:rsidRDefault="009042FA" w:rsidP="009042FA">
            <w:pPr>
              <w:keepLines/>
              <w:spacing w:before="40" w:after="40" w:line="200" w:lineRule="atLeast"/>
              <w:rPr>
                <w:rFonts w:asciiTheme="minorHAnsi" w:eastAsia="Times New Roman" w:hAnsiTheme="minorHAnsi"/>
                <w:iCs/>
                <w:szCs w:val="17"/>
                <w:lang w:eastAsia="en-US"/>
              </w:rPr>
            </w:pPr>
            <w:r w:rsidRPr="00B4122E">
              <w:rPr>
                <w:rFonts w:asciiTheme="minorHAnsi" w:eastAsia="Times New Roman" w:hAnsiTheme="minorHAnsi"/>
                <w:iCs/>
                <w:szCs w:val="17"/>
                <w:lang w:eastAsia="en-US"/>
              </w:rPr>
              <w:t>Strengthen contestability by appraising investment proposals at AMMs</w:t>
            </w:r>
            <w:r>
              <w:rPr>
                <w:rFonts w:asciiTheme="minorHAnsi" w:eastAsia="Times New Roman" w:hAnsiTheme="minorHAnsi"/>
                <w:iCs/>
                <w:szCs w:val="17"/>
                <w:lang w:eastAsia="en-US"/>
              </w:rPr>
              <w:t>.</w:t>
            </w:r>
          </w:p>
        </w:tc>
        <w:tc>
          <w:tcPr>
            <w:tcW w:w="18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14:paraId="5EF1266B" w14:textId="77777777" w:rsidR="009042FA" w:rsidRPr="00812509"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Achieved </w:t>
            </w:r>
          </w:p>
        </w:tc>
        <w:tc>
          <w:tcPr>
            <w:tcW w:w="4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5BBE32" w14:textId="77777777" w:rsidR="009042FA" w:rsidRPr="006C3966" w:rsidRDefault="009042FA"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New investment proposals put forward and reviewed at each AMM. </w:t>
            </w:r>
          </w:p>
        </w:tc>
      </w:tr>
    </w:tbl>
    <w:p w14:paraId="42951E18" w14:textId="77777777" w:rsidR="009042FA" w:rsidRPr="00812509" w:rsidRDefault="009042FA" w:rsidP="009042FA">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6DB043A6" w14:textId="77777777" w:rsidR="009042FA" w:rsidRPr="00812509" w:rsidRDefault="009042FA" w:rsidP="009042FA">
      <w:pPr>
        <w:spacing w:before="20" w:after="20" w:line="180" w:lineRule="atLeast"/>
        <w:jc w:val="both"/>
        <w:rPr>
          <w:rFonts w:eastAsia="Times New Roman"/>
          <w:b/>
          <w:sz w:val="16"/>
          <w:szCs w:val="14"/>
        </w:rPr>
      </w:pPr>
      <w:r w:rsidRPr="000C329C">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w:t>
      </w:r>
      <w:r>
        <w:rPr>
          <w:rFonts w:eastAsia="Times New Roman"/>
          <w:b/>
          <w:sz w:val="16"/>
          <w:szCs w:val="14"/>
        </w:rPr>
        <w:t xml:space="preserve">n made in addressing the issue         </w:t>
      </w: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1E203BB5" w14:textId="77777777" w:rsidR="009042FA" w:rsidRPr="00812509" w:rsidRDefault="009042FA" w:rsidP="009042FA">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294DA3A7" w14:textId="77777777" w:rsidR="006B0882" w:rsidRDefault="006B0882">
      <w:pPr>
        <w:suppressAutoHyphens w:val="0"/>
        <w:spacing w:before="0" w:after="120" w:line="440" w:lineRule="atLeast"/>
        <w:rPr>
          <w:rFonts w:asciiTheme="majorHAnsi" w:eastAsiaTheme="majorEastAsia" w:hAnsiTheme="majorHAnsi" w:cstheme="majorHAnsi"/>
          <w:bCs/>
          <w:iCs/>
          <w:caps/>
          <w:spacing w:val="-10"/>
          <w:kern w:val="28"/>
          <w:sz w:val="38"/>
          <w:szCs w:val="24"/>
        </w:rPr>
      </w:pPr>
      <w:r>
        <w:rPr>
          <w:rFonts w:asciiTheme="majorHAnsi" w:hAnsiTheme="majorHAnsi" w:cstheme="majorHAnsi"/>
        </w:rPr>
        <w:br w:type="page"/>
      </w:r>
    </w:p>
    <w:p w14:paraId="559F40BB" w14:textId="38016A09" w:rsidR="009042FA" w:rsidRPr="008821C2" w:rsidRDefault="009042FA" w:rsidP="009042FA">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lastRenderedPageBreak/>
        <w:t>Annex B – PERFORMANCE BENCHMARKS</w:t>
      </w:r>
    </w:p>
    <w:p w14:paraId="598325B1" w14:textId="77777777" w:rsidR="009042FA" w:rsidRPr="00681B09" w:rsidRDefault="009042FA" w:rsidP="009042FA">
      <w:pPr>
        <w:rPr>
          <w:rFonts w:eastAsia="Times New Roman" w:cstheme="minorHAnsi"/>
          <w:sz w:val="32"/>
          <w:szCs w:val="32"/>
        </w:rPr>
      </w:pPr>
      <w:r>
        <w:rPr>
          <w:rFonts w:eastAsia="Times New Roman" w:cstheme="minorHAnsi"/>
          <w:sz w:val="32"/>
          <w:szCs w:val="32"/>
        </w:rPr>
        <w:t xml:space="preserve">1 </w:t>
      </w:r>
      <w:r w:rsidRPr="00F8189A">
        <w:rPr>
          <w:rFonts w:eastAsia="Times New Roman" w:cstheme="minorHAnsi"/>
          <w:sz w:val="32"/>
          <w:szCs w:val="32"/>
        </w:rPr>
        <w:t>Progress towards Pe</w:t>
      </w:r>
      <w:r>
        <w:rPr>
          <w:rFonts w:eastAsia="Times New Roman" w:cstheme="minorHAnsi"/>
          <w:sz w:val="32"/>
          <w:szCs w:val="32"/>
        </w:rPr>
        <w:t>rformance Benchmarks in 2018-19</w:t>
      </w:r>
    </w:p>
    <w:tbl>
      <w:tblPr>
        <w:tblStyle w:val="DFATTable"/>
        <w:tblW w:w="5000" w:type="pct"/>
        <w:tblLook w:val="04A0" w:firstRow="1" w:lastRow="0" w:firstColumn="1" w:lastColumn="0" w:noHBand="0" w:noVBand="1"/>
      </w:tblPr>
      <w:tblGrid>
        <w:gridCol w:w="3260"/>
        <w:gridCol w:w="4677"/>
        <w:gridCol w:w="1420"/>
        <w:gridCol w:w="4816"/>
      </w:tblGrid>
      <w:tr w:rsidR="009042FA" w:rsidRPr="00C61187" w14:paraId="3D386CEC" w14:textId="77777777" w:rsidTr="009042FA">
        <w:trPr>
          <w:tblHeader/>
        </w:trPr>
        <w:tc>
          <w:tcPr>
            <w:tcW w:w="1150" w:type="pct"/>
            <w:tcMar>
              <w:top w:w="57" w:type="dxa"/>
              <w:bottom w:w="57" w:type="dxa"/>
            </w:tcMar>
          </w:tcPr>
          <w:p w14:paraId="1749D663" w14:textId="77777777" w:rsidR="009042FA" w:rsidRPr="00880004" w:rsidRDefault="009042FA" w:rsidP="009042FA">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650" w:type="pct"/>
          </w:tcPr>
          <w:p w14:paraId="06B25AB3" w14:textId="77777777" w:rsidR="009042FA" w:rsidRPr="00880004" w:rsidRDefault="009042FA" w:rsidP="009042F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501" w:type="pct"/>
          </w:tcPr>
          <w:p w14:paraId="034E4A7D" w14:textId="77777777" w:rsidR="009042FA" w:rsidRPr="00880004" w:rsidRDefault="009042FA" w:rsidP="009042F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1699" w:type="pct"/>
          </w:tcPr>
          <w:p w14:paraId="6D8C5F7F" w14:textId="77777777" w:rsidR="009042FA" w:rsidRPr="00880004" w:rsidRDefault="009042FA" w:rsidP="009042F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8-19</w:t>
            </w:r>
          </w:p>
        </w:tc>
      </w:tr>
      <w:tr w:rsidR="009042FA" w:rsidRPr="00C61187" w14:paraId="6EC8B7DE" w14:textId="77777777" w:rsidTr="009042FA">
        <w:tc>
          <w:tcPr>
            <w:tcW w:w="5000" w:type="pct"/>
            <w:gridSpan w:val="4"/>
            <w:tcMar>
              <w:top w:w="57" w:type="dxa"/>
              <w:bottom w:w="57" w:type="dxa"/>
            </w:tcMar>
          </w:tcPr>
          <w:p w14:paraId="38B765CA" w14:textId="77777777" w:rsidR="009042FA" w:rsidRPr="002822FD" w:rsidRDefault="009042FA" w:rsidP="009042FA">
            <w:pPr>
              <w:keepLines/>
              <w:spacing w:before="40" w:after="40" w:line="200" w:lineRule="atLeast"/>
              <w:jc w:val="both"/>
              <w:rPr>
                <w:rFonts w:eastAsia="Times New Roman"/>
                <w:iCs/>
                <w:color w:val="333938" w:themeColor="background2" w:themeShade="40"/>
                <w:szCs w:val="17"/>
                <w:u w:val="single"/>
              </w:rPr>
            </w:pPr>
            <w:r w:rsidRPr="002822FD">
              <w:rPr>
                <w:rFonts w:asciiTheme="minorHAnsi" w:eastAsia="Times New Roman" w:hAnsiTheme="minorHAnsi"/>
                <w:iCs/>
                <w:color w:val="333938" w:themeColor="background2" w:themeShade="40"/>
                <w:szCs w:val="17"/>
                <w:u w:val="single"/>
                <w:lang w:eastAsia="en-US"/>
              </w:rPr>
              <w:t>Pillar 1: Enhancing human development</w:t>
            </w:r>
          </w:p>
        </w:tc>
      </w:tr>
      <w:tr w:rsidR="009042FA" w:rsidRPr="00C61187" w14:paraId="7F65F574" w14:textId="77777777" w:rsidTr="00325314">
        <w:tc>
          <w:tcPr>
            <w:tcW w:w="1150" w:type="pct"/>
            <w:vMerge w:val="restart"/>
            <w:tcMar>
              <w:top w:w="57" w:type="dxa"/>
              <w:bottom w:w="57" w:type="dxa"/>
            </w:tcMar>
          </w:tcPr>
          <w:p w14:paraId="2542B669"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1B09">
              <w:rPr>
                <w:rFonts w:asciiTheme="minorHAnsi" w:eastAsia="Times New Roman" w:hAnsiTheme="minorHAnsi"/>
                <w:iCs/>
                <w:color w:val="333938" w:themeColor="background2" w:themeShade="40"/>
                <w:szCs w:val="17"/>
                <w:lang w:eastAsia="en-US"/>
              </w:rPr>
              <w:t>Improved school learning environment through expanded and strengthened government school grants program</w:t>
            </w:r>
            <w:r>
              <w:rPr>
                <w:rFonts w:asciiTheme="minorHAnsi" w:eastAsia="Times New Roman" w:hAnsiTheme="minorHAnsi"/>
                <w:iCs/>
                <w:color w:val="333938" w:themeColor="background2" w:themeShade="40"/>
                <w:szCs w:val="17"/>
                <w:lang w:eastAsia="en-US"/>
              </w:rPr>
              <w:t xml:space="preserve"> (DFSP)</w:t>
            </w:r>
          </w:p>
        </w:tc>
        <w:tc>
          <w:tcPr>
            <w:tcW w:w="1650" w:type="pct"/>
          </w:tcPr>
          <w:p w14:paraId="0B5CB03E"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1B09">
              <w:rPr>
                <w:rFonts w:asciiTheme="minorHAnsi" w:eastAsia="Times New Roman" w:hAnsiTheme="minorHAnsi"/>
                <w:iCs/>
                <w:color w:val="333938" w:themeColor="background2" w:themeShade="40"/>
                <w:szCs w:val="17"/>
                <w:lang w:eastAsia="en-US"/>
              </w:rPr>
              <w:t xml:space="preserve">Schools </w:t>
            </w:r>
            <w:r>
              <w:rPr>
                <w:rFonts w:asciiTheme="minorHAnsi" w:eastAsia="Times New Roman" w:hAnsiTheme="minorHAnsi"/>
                <w:iCs/>
                <w:color w:val="333938" w:themeColor="background2" w:themeShade="40"/>
                <w:szCs w:val="17"/>
                <w:lang w:eastAsia="en-US"/>
              </w:rPr>
              <w:t>have an</w:t>
            </w:r>
            <w:r w:rsidRPr="00681B09">
              <w:rPr>
                <w:rFonts w:asciiTheme="minorHAnsi" w:eastAsia="Times New Roman" w:hAnsiTheme="minorHAnsi"/>
                <w:iCs/>
                <w:color w:val="333938" w:themeColor="background2" w:themeShade="40"/>
                <w:szCs w:val="17"/>
                <w:lang w:eastAsia="en-US"/>
              </w:rPr>
              <w:t xml:space="preserve"> improvement plan</w:t>
            </w:r>
            <w:r>
              <w:rPr>
                <w:rFonts w:asciiTheme="minorHAnsi" w:eastAsia="Times New Roman" w:hAnsiTheme="minorHAnsi"/>
                <w:iCs/>
                <w:color w:val="333938" w:themeColor="background2" w:themeShade="40"/>
                <w:szCs w:val="17"/>
                <w:lang w:eastAsia="en-US"/>
              </w:rPr>
              <w:t xml:space="preserve"> that focuses on</w:t>
            </w:r>
            <w:r w:rsidRPr="00681B09">
              <w:rPr>
                <w:rFonts w:asciiTheme="minorHAnsi" w:eastAsia="Times New Roman" w:hAnsiTheme="minorHAnsi"/>
                <w:iCs/>
                <w:color w:val="333938" w:themeColor="background2" w:themeShade="40"/>
                <w:szCs w:val="17"/>
                <w:lang w:eastAsia="en-US"/>
              </w:rPr>
              <w:t xml:space="preserve"> learning outcomes that involved community participation</w:t>
            </w:r>
          </w:p>
        </w:tc>
        <w:tc>
          <w:tcPr>
            <w:tcW w:w="501" w:type="pct"/>
            <w:shd w:val="clear" w:color="auto" w:fill="72AF2F"/>
          </w:tcPr>
          <w:p w14:paraId="7DE1E2AE" w14:textId="77777777" w:rsidR="009042FA" w:rsidRPr="00880004"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1699" w:type="pct"/>
          </w:tcPr>
          <w:p w14:paraId="5DC23B33" w14:textId="40E2CB0E" w:rsidR="009042FA" w:rsidRPr="001770F9" w:rsidRDefault="00B53010" w:rsidP="00F03AC1">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 xml:space="preserve">Most </w:t>
            </w:r>
            <w:r w:rsidR="00F03AC1">
              <w:rPr>
                <w:rFonts w:asciiTheme="minorHAnsi" w:eastAsia="Times New Roman" w:hAnsiTheme="minorHAnsi"/>
                <w:iCs/>
                <w:color w:val="333938" w:themeColor="background2" w:themeShade="40"/>
                <w:szCs w:val="17"/>
                <w:lang w:eastAsia="en-US"/>
              </w:rPr>
              <w:t xml:space="preserve">government </w:t>
            </w:r>
            <w:r w:rsidR="009042FA" w:rsidRPr="001770F9">
              <w:rPr>
                <w:rFonts w:asciiTheme="minorHAnsi" w:eastAsia="Times New Roman" w:hAnsiTheme="minorHAnsi"/>
                <w:iCs/>
                <w:color w:val="333938" w:themeColor="background2" w:themeShade="40"/>
                <w:szCs w:val="17"/>
                <w:lang w:eastAsia="en-US"/>
              </w:rPr>
              <w:t>schools developed and adopted improvement plans</w:t>
            </w:r>
            <w:r w:rsidR="00F03AC1">
              <w:rPr>
                <w:rFonts w:asciiTheme="minorHAnsi" w:eastAsia="Times New Roman" w:hAnsiTheme="minorHAnsi"/>
                <w:iCs/>
                <w:color w:val="333938" w:themeColor="background2" w:themeShade="40"/>
                <w:szCs w:val="17"/>
                <w:lang w:eastAsia="en-US"/>
              </w:rPr>
              <w:t xml:space="preserve"> with a greater focus </w:t>
            </w:r>
            <w:r w:rsidR="00C616DB">
              <w:rPr>
                <w:rFonts w:asciiTheme="minorHAnsi" w:eastAsia="Times New Roman" w:hAnsiTheme="minorHAnsi"/>
                <w:iCs/>
                <w:color w:val="333938" w:themeColor="background2" w:themeShade="40"/>
                <w:szCs w:val="17"/>
                <w:lang w:eastAsia="en-US"/>
              </w:rPr>
              <w:t xml:space="preserve">on </w:t>
            </w:r>
            <w:r w:rsidR="00C616DB" w:rsidRPr="001770F9">
              <w:rPr>
                <w:rFonts w:asciiTheme="minorHAnsi" w:eastAsia="Times New Roman" w:hAnsiTheme="minorHAnsi"/>
                <w:iCs/>
                <w:color w:val="333938" w:themeColor="background2" w:themeShade="40"/>
                <w:szCs w:val="17"/>
                <w:lang w:eastAsia="en-US"/>
              </w:rPr>
              <w:t>learning</w:t>
            </w:r>
            <w:r w:rsidR="009042FA" w:rsidRPr="001770F9">
              <w:rPr>
                <w:rFonts w:asciiTheme="minorHAnsi" w:eastAsia="Times New Roman" w:hAnsiTheme="minorHAnsi"/>
                <w:iCs/>
                <w:color w:val="333938" w:themeColor="background2" w:themeShade="40"/>
                <w:szCs w:val="17"/>
                <w:lang w:eastAsia="en-US"/>
              </w:rPr>
              <w:t xml:space="preserve"> outcomes. </w:t>
            </w:r>
          </w:p>
        </w:tc>
      </w:tr>
      <w:tr w:rsidR="009042FA" w:rsidRPr="00C61187" w14:paraId="6EAA9754" w14:textId="77777777" w:rsidTr="00325314">
        <w:tc>
          <w:tcPr>
            <w:tcW w:w="1150" w:type="pct"/>
            <w:vMerge/>
            <w:tcMar>
              <w:top w:w="57" w:type="dxa"/>
              <w:bottom w:w="57" w:type="dxa"/>
            </w:tcMar>
          </w:tcPr>
          <w:p w14:paraId="058672DB" w14:textId="77777777" w:rsidR="009042FA" w:rsidRPr="00681B09" w:rsidRDefault="009042FA" w:rsidP="009042FA">
            <w:pPr>
              <w:keepLines/>
              <w:spacing w:before="40" w:after="40" w:line="200" w:lineRule="atLeast"/>
              <w:rPr>
                <w:rFonts w:eastAsia="Times New Roman"/>
                <w:iCs/>
                <w:color w:val="FF0000"/>
                <w:szCs w:val="17"/>
              </w:rPr>
            </w:pPr>
          </w:p>
        </w:tc>
        <w:tc>
          <w:tcPr>
            <w:tcW w:w="1650" w:type="pct"/>
          </w:tcPr>
          <w:p w14:paraId="11F0FE06" w14:textId="77777777" w:rsidR="009042FA" w:rsidRPr="00681B09" w:rsidRDefault="009042FA" w:rsidP="009042FA">
            <w:pPr>
              <w:keepLines/>
              <w:spacing w:before="40" w:after="40" w:line="200" w:lineRule="atLeast"/>
              <w:rPr>
                <w:rFonts w:eastAsia="Times New Roman"/>
                <w:iCs/>
                <w:color w:val="FF0000"/>
                <w:szCs w:val="17"/>
              </w:rPr>
            </w:pPr>
            <w:r w:rsidRPr="00681B09">
              <w:rPr>
                <w:rFonts w:asciiTheme="minorHAnsi" w:eastAsia="Times New Roman" w:hAnsiTheme="minorHAnsi"/>
                <w:iCs/>
                <w:color w:val="333938" w:themeColor="background2" w:themeShade="40"/>
                <w:szCs w:val="17"/>
                <w:lang w:eastAsia="en-US"/>
              </w:rPr>
              <w:t>Evidence that improved school infrastructure has led to better learning outcomes</w:t>
            </w:r>
          </w:p>
        </w:tc>
        <w:tc>
          <w:tcPr>
            <w:tcW w:w="501" w:type="pct"/>
            <w:shd w:val="clear" w:color="auto" w:fill="E36C0A"/>
          </w:tcPr>
          <w:p w14:paraId="654DE413" w14:textId="01993276" w:rsidR="009042FA" w:rsidRPr="00880004" w:rsidRDefault="00E67CB9" w:rsidP="009042FA">
            <w:pPr>
              <w:keepLines/>
              <w:spacing w:before="40" w:after="40" w:line="200" w:lineRule="atLeast"/>
              <w:jc w:val="center"/>
              <w:rPr>
                <w:rFonts w:eastAsia="Times New Roman"/>
                <w:iCs/>
                <w:color w:val="FFFFFF" w:themeColor="background1"/>
                <w:szCs w:val="17"/>
              </w:rPr>
            </w:pPr>
            <w:r w:rsidRPr="00371DD2">
              <w:rPr>
                <w:rFonts w:asciiTheme="minorHAnsi" w:eastAsia="Times New Roman" w:hAnsiTheme="minorHAnsi"/>
                <w:iCs/>
                <w:color w:val="FFFFFF" w:themeColor="background1"/>
                <w:szCs w:val="17"/>
                <w:lang w:eastAsia="en-US"/>
              </w:rPr>
              <w:t>Partly achieved</w:t>
            </w:r>
          </w:p>
        </w:tc>
        <w:tc>
          <w:tcPr>
            <w:tcW w:w="1699" w:type="pct"/>
          </w:tcPr>
          <w:p w14:paraId="78339A12" w14:textId="6D438E3F" w:rsidR="009042FA" w:rsidRPr="008E78EC" w:rsidRDefault="00B53010" w:rsidP="0029571C">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 xml:space="preserve">Schools are using grants </w:t>
            </w:r>
            <w:r w:rsidR="00F03AC1">
              <w:rPr>
                <w:rFonts w:asciiTheme="minorHAnsi" w:eastAsia="Times New Roman" w:hAnsiTheme="minorHAnsi"/>
                <w:iCs/>
                <w:color w:val="333938" w:themeColor="background2" w:themeShade="40"/>
                <w:szCs w:val="17"/>
                <w:lang w:eastAsia="en-US"/>
              </w:rPr>
              <w:t xml:space="preserve">for general maintenance and </w:t>
            </w:r>
            <w:r w:rsidR="00C616DB">
              <w:rPr>
                <w:rFonts w:asciiTheme="minorHAnsi" w:eastAsia="Times New Roman" w:hAnsiTheme="minorHAnsi"/>
                <w:iCs/>
                <w:color w:val="333938" w:themeColor="background2" w:themeShade="40"/>
                <w:szCs w:val="17"/>
                <w:lang w:eastAsia="en-US"/>
              </w:rPr>
              <w:t xml:space="preserve">to </w:t>
            </w:r>
            <w:r>
              <w:rPr>
                <w:rFonts w:asciiTheme="minorHAnsi" w:eastAsia="Times New Roman" w:hAnsiTheme="minorHAnsi"/>
                <w:iCs/>
                <w:color w:val="333938" w:themeColor="background2" w:themeShade="40"/>
                <w:szCs w:val="17"/>
                <w:lang w:eastAsia="en-US"/>
              </w:rPr>
              <w:t>improve infrastructure. There is an assumption that improved infra</w:t>
            </w:r>
            <w:r w:rsidR="00F03AC1">
              <w:rPr>
                <w:rFonts w:asciiTheme="minorHAnsi" w:eastAsia="Times New Roman" w:hAnsiTheme="minorHAnsi"/>
                <w:iCs/>
                <w:color w:val="333938" w:themeColor="background2" w:themeShade="40"/>
                <w:szCs w:val="17"/>
                <w:lang w:eastAsia="en-US"/>
              </w:rPr>
              <w:t xml:space="preserve">structure </w:t>
            </w:r>
            <w:r>
              <w:rPr>
                <w:rFonts w:asciiTheme="minorHAnsi" w:eastAsia="Times New Roman" w:hAnsiTheme="minorHAnsi"/>
                <w:iCs/>
                <w:color w:val="333938" w:themeColor="background2" w:themeShade="40"/>
                <w:szCs w:val="17"/>
                <w:lang w:eastAsia="en-US"/>
              </w:rPr>
              <w:t xml:space="preserve">creates a space </w:t>
            </w:r>
            <w:r w:rsidR="00F03AC1">
              <w:rPr>
                <w:rFonts w:asciiTheme="minorHAnsi" w:eastAsia="Times New Roman" w:hAnsiTheme="minorHAnsi"/>
                <w:iCs/>
                <w:color w:val="333938" w:themeColor="background2" w:themeShade="40"/>
                <w:szCs w:val="17"/>
                <w:lang w:eastAsia="en-US"/>
              </w:rPr>
              <w:t xml:space="preserve">more </w:t>
            </w:r>
            <w:r>
              <w:rPr>
                <w:rFonts w:asciiTheme="minorHAnsi" w:eastAsia="Times New Roman" w:hAnsiTheme="minorHAnsi"/>
                <w:iCs/>
                <w:color w:val="333938" w:themeColor="background2" w:themeShade="40"/>
                <w:szCs w:val="17"/>
                <w:lang w:eastAsia="en-US"/>
              </w:rPr>
              <w:t>conducive for learning, however this has not</w:t>
            </w:r>
            <w:r w:rsidR="00F03AC1">
              <w:rPr>
                <w:rFonts w:asciiTheme="minorHAnsi" w:eastAsia="Times New Roman" w:hAnsiTheme="minorHAnsi"/>
                <w:iCs/>
                <w:color w:val="333938" w:themeColor="background2" w:themeShade="40"/>
                <w:szCs w:val="17"/>
                <w:lang w:eastAsia="en-US"/>
              </w:rPr>
              <w:t xml:space="preserve"> yet</w:t>
            </w:r>
            <w:r>
              <w:rPr>
                <w:rFonts w:asciiTheme="minorHAnsi" w:eastAsia="Times New Roman" w:hAnsiTheme="minorHAnsi"/>
                <w:iCs/>
                <w:color w:val="333938" w:themeColor="background2" w:themeShade="40"/>
                <w:szCs w:val="17"/>
                <w:lang w:eastAsia="en-US"/>
              </w:rPr>
              <w:t xml:space="preserve"> </w:t>
            </w:r>
            <w:r w:rsidR="00F03AC1">
              <w:rPr>
                <w:rFonts w:asciiTheme="minorHAnsi" w:eastAsia="Times New Roman" w:hAnsiTheme="minorHAnsi"/>
                <w:iCs/>
                <w:color w:val="333938" w:themeColor="background2" w:themeShade="40"/>
                <w:szCs w:val="17"/>
                <w:lang w:eastAsia="en-US"/>
              </w:rPr>
              <w:t xml:space="preserve">been tested systematically across the Myanmar school system. </w:t>
            </w:r>
          </w:p>
        </w:tc>
      </w:tr>
      <w:tr w:rsidR="009042FA" w:rsidRPr="00C61187" w14:paraId="3D4188DA" w14:textId="77777777" w:rsidTr="00325314">
        <w:tc>
          <w:tcPr>
            <w:tcW w:w="1150" w:type="pct"/>
            <w:tcMar>
              <w:top w:w="57" w:type="dxa"/>
              <w:bottom w:w="57" w:type="dxa"/>
            </w:tcMar>
          </w:tcPr>
          <w:p w14:paraId="217C55D9"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1B09">
              <w:rPr>
                <w:rFonts w:asciiTheme="minorHAnsi" w:eastAsia="Times New Roman" w:hAnsiTheme="minorHAnsi"/>
                <w:iCs/>
                <w:color w:val="333938" w:themeColor="background2" w:themeShade="40"/>
                <w:szCs w:val="17"/>
                <w:lang w:eastAsia="en-US"/>
              </w:rPr>
              <w:t>Improved teaching and learning practices</w:t>
            </w:r>
            <w:r>
              <w:rPr>
                <w:rFonts w:asciiTheme="minorHAnsi" w:eastAsia="Times New Roman" w:hAnsiTheme="minorHAnsi"/>
                <w:iCs/>
                <w:color w:val="333938" w:themeColor="background2" w:themeShade="40"/>
                <w:szCs w:val="17"/>
                <w:lang w:eastAsia="en-US"/>
              </w:rPr>
              <w:t xml:space="preserve"> (STEM)</w:t>
            </w:r>
          </w:p>
        </w:tc>
        <w:tc>
          <w:tcPr>
            <w:tcW w:w="1650" w:type="pct"/>
          </w:tcPr>
          <w:p w14:paraId="39F621B3"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1B09">
              <w:rPr>
                <w:rFonts w:asciiTheme="minorHAnsi" w:eastAsia="Times New Roman" w:hAnsiTheme="minorHAnsi"/>
                <w:iCs/>
                <w:color w:val="333938" w:themeColor="background2" w:themeShade="40"/>
                <w:szCs w:val="17"/>
                <w:lang w:eastAsia="en-US"/>
              </w:rPr>
              <w:t xml:space="preserve">Consultation completed and final draft </w:t>
            </w:r>
            <w:r>
              <w:rPr>
                <w:rFonts w:asciiTheme="minorHAnsi" w:eastAsia="Times New Roman" w:hAnsiTheme="minorHAnsi"/>
                <w:iCs/>
                <w:color w:val="333938" w:themeColor="background2" w:themeShade="40"/>
                <w:szCs w:val="17"/>
                <w:lang w:eastAsia="en-US"/>
              </w:rPr>
              <w:t>(TCSF)</w:t>
            </w:r>
            <w:r w:rsidRPr="00681B09">
              <w:rPr>
                <w:rFonts w:asciiTheme="minorHAnsi" w:eastAsia="Times New Roman" w:hAnsiTheme="minorHAnsi"/>
                <w:iCs/>
                <w:color w:val="333938" w:themeColor="background2" w:themeShade="40"/>
                <w:szCs w:val="17"/>
                <w:lang w:eastAsia="en-US"/>
              </w:rPr>
              <w:t xml:space="preserve"> for approval</w:t>
            </w:r>
          </w:p>
        </w:tc>
        <w:tc>
          <w:tcPr>
            <w:tcW w:w="501" w:type="pct"/>
            <w:shd w:val="clear" w:color="auto" w:fill="72AF2F"/>
          </w:tcPr>
          <w:p w14:paraId="3277AEE3"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347D12A8" w14:textId="78FADB54" w:rsidR="009042FA" w:rsidRPr="008E78EC" w:rsidRDefault="009042FA" w:rsidP="00F03AC1">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 xml:space="preserve">The TCSF </w:t>
            </w:r>
            <w:r w:rsidR="00F03AC1">
              <w:rPr>
                <w:rFonts w:asciiTheme="minorHAnsi" w:eastAsia="Times New Roman" w:hAnsiTheme="minorHAnsi"/>
                <w:iCs/>
                <w:color w:val="333938" w:themeColor="background2" w:themeShade="40"/>
                <w:szCs w:val="17"/>
                <w:lang w:eastAsia="en-US"/>
              </w:rPr>
              <w:t xml:space="preserve">has defined </w:t>
            </w:r>
            <w:r>
              <w:rPr>
                <w:rFonts w:asciiTheme="minorHAnsi" w:eastAsia="Times New Roman" w:hAnsiTheme="minorHAnsi"/>
                <w:iCs/>
                <w:color w:val="333938" w:themeColor="background2" w:themeShade="40"/>
                <w:szCs w:val="17"/>
                <w:lang w:eastAsia="en-US"/>
              </w:rPr>
              <w:t>four levels of teacher</w:t>
            </w:r>
            <w:r w:rsidR="00F03AC1">
              <w:rPr>
                <w:rFonts w:asciiTheme="minorHAnsi" w:eastAsia="Times New Roman" w:hAnsiTheme="minorHAnsi"/>
                <w:iCs/>
                <w:color w:val="333938" w:themeColor="background2" w:themeShade="40"/>
                <w:szCs w:val="17"/>
                <w:lang w:eastAsia="en-US"/>
              </w:rPr>
              <w:t xml:space="preserve"> competency and the draft is under review by Government. A</w:t>
            </w:r>
            <w:r>
              <w:rPr>
                <w:rFonts w:asciiTheme="minorHAnsi" w:eastAsia="Times New Roman" w:hAnsiTheme="minorHAnsi"/>
                <w:iCs/>
                <w:color w:val="333938" w:themeColor="background2" w:themeShade="40"/>
                <w:szCs w:val="17"/>
                <w:lang w:eastAsia="en-US"/>
              </w:rPr>
              <w:t xml:space="preserve">ctivities for the validation study </w:t>
            </w:r>
            <w:r w:rsidR="00F03AC1">
              <w:rPr>
                <w:rFonts w:asciiTheme="minorHAnsi" w:eastAsia="Times New Roman" w:hAnsiTheme="minorHAnsi"/>
                <w:iCs/>
                <w:color w:val="333938" w:themeColor="background2" w:themeShade="40"/>
                <w:szCs w:val="17"/>
                <w:lang w:eastAsia="en-US"/>
              </w:rPr>
              <w:t xml:space="preserve">for the first level </w:t>
            </w:r>
            <w:r w:rsidR="00C616DB">
              <w:rPr>
                <w:rFonts w:asciiTheme="minorHAnsi" w:eastAsia="Times New Roman" w:hAnsiTheme="minorHAnsi"/>
                <w:iCs/>
                <w:color w:val="333938" w:themeColor="background2" w:themeShade="40"/>
                <w:szCs w:val="17"/>
                <w:lang w:eastAsia="en-US"/>
              </w:rPr>
              <w:t>‘</w:t>
            </w:r>
            <w:r w:rsidR="00F03AC1">
              <w:rPr>
                <w:rFonts w:asciiTheme="minorHAnsi" w:eastAsia="Times New Roman" w:hAnsiTheme="minorHAnsi"/>
                <w:iCs/>
                <w:color w:val="333938" w:themeColor="background2" w:themeShade="40"/>
                <w:szCs w:val="17"/>
                <w:lang w:eastAsia="en-US"/>
              </w:rPr>
              <w:t xml:space="preserve">beginner teacher’ </w:t>
            </w:r>
            <w:r>
              <w:rPr>
                <w:rFonts w:asciiTheme="minorHAnsi" w:eastAsia="Times New Roman" w:hAnsiTheme="minorHAnsi"/>
                <w:iCs/>
                <w:color w:val="333938" w:themeColor="background2" w:themeShade="40"/>
                <w:szCs w:val="17"/>
                <w:lang w:eastAsia="en-US"/>
              </w:rPr>
              <w:t>are on track</w:t>
            </w:r>
            <w:r w:rsidR="00F03AC1">
              <w:rPr>
                <w:rFonts w:asciiTheme="minorHAnsi" w:eastAsia="Times New Roman" w:hAnsiTheme="minorHAnsi"/>
                <w:iCs/>
                <w:color w:val="333938" w:themeColor="background2" w:themeShade="40"/>
                <w:szCs w:val="17"/>
                <w:lang w:eastAsia="en-US"/>
              </w:rPr>
              <w:t xml:space="preserve"> and will help both Government and partners improve implementation of the framework for all levels</w:t>
            </w:r>
            <w:r>
              <w:rPr>
                <w:rFonts w:asciiTheme="minorHAnsi" w:eastAsia="Times New Roman" w:hAnsiTheme="minorHAnsi"/>
                <w:iCs/>
                <w:color w:val="333938" w:themeColor="background2" w:themeShade="40"/>
                <w:szCs w:val="17"/>
                <w:lang w:eastAsia="en-US"/>
              </w:rPr>
              <w:t>.</w:t>
            </w:r>
          </w:p>
        </w:tc>
      </w:tr>
      <w:tr w:rsidR="009042FA" w:rsidRPr="00C61187" w14:paraId="0D46E078" w14:textId="77777777" w:rsidTr="00325314">
        <w:tc>
          <w:tcPr>
            <w:tcW w:w="1150" w:type="pct"/>
            <w:tcMar>
              <w:top w:w="57" w:type="dxa"/>
              <w:bottom w:w="57" w:type="dxa"/>
            </w:tcMar>
          </w:tcPr>
          <w:p w14:paraId="162BFA86"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1B09">
              <w:rPr>
                <w:rFonts w:asciiTheme="minorHAnsi" w:eastAsia="Times New Roman" w:hAnsiTheme="minorHAnsi"/>
                <w:iCs/>
                <w:color w:val="333938" w:themeColor="background2" w:themeShade="40"/>
                <w:szCs w:val="17"/>
                <w:lang w:eastAsia="en-US"/>
              </w:rPr>
              <w:t>Maintaining access to education for disadvantaged students</w:t>
            </w:r>
            <w:r>
              <w:rPr>
                <w:rFonts w:asciiTheme="minorHAnsi" w:eastAsia="Times New Roman" w:hAnsiTheme="minorHAnsi"/>
                <w:iCs/>
                <w:color w:val="333938" w:themeColor="background2" w:themeShade="40"/>
                <w:szCs w:val="17"/>
                <w:lang w:eastAsia="en-US"/>
              </w:rPr>
              <w:t xml:space="preserve"> (DFSP)</w:t>
            </w:r>
          </w:p>
        </w:tc>
        <w:tc>
          <w:tcPr>
            <w:tcW w:w="1650" w:type="pct"/>
          </w:tcPr>
          <w:p w14:paraId="3036ACAA"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8363A7">
              <w:rPr>
                <w:rFonts w:asciiTheme="minorHAnsi" w:eastAsia="Times New Roman" w:hAnsiTheme="minorHAnsi"/>
                <w:iCs/>
                <w:color w:val="333938" w:themeColor="background2" w:themeShade="40"/>
                <w:szCs w:val="17"/>
                <w:lang w:eastAsia="en-US"/>
              </w:rPr>
              <w:t>48,000 students receiving payments; MoE has selected two new townships in central/southern Rakhine for the stipends programs</w:t>
            </w:r>
          </w:p>
        </w:tc>
        <w:tc>
          <w:tcPr>
            <w:tcW w:w="501" w:type="pct"/>
            <w:shd w:val="clear" w:color="auto" w:fill="E36C0A"/>
          </w:tcPr>
          <w:p w14:paraId="3C8AC243" w14:textId="77777777" w:rsidR="009042FA" w:rsidRPr="00FD4230" w:rsidRDefault="009042FA" w:rsidP="009042FA">
            <w:pPr>
              <w:keepLines/>
              <w:spacing w:before="40" w:after="40" w:line="200" w:lineRule="atLeast"/>
              <w:jc w:val="center"/>
              <w:rPr>
                <w:rFonts w:asciiTheme="minorHAnsi" w:eastAsia="Times New Roman" w:hAnsiTheme="minorHAnsi"/>
                <w:iCs/>
                <w:color w:val="333938" w:themeColor="background2" w:themeShade="40"/>
                <w:szCs w:val="17"/>
                <w:lang w:eastAsia="en-US"/>
              </w:rPr>
            </w:pPr>
            <w:r w:rsidRPr="00371DD2">
              <w:rPr>
                <w:rFonts w:asciiTheme="minorHAnsi" w:eastAsia="Times New Roman" w:hAnsiTheme="minorHAnsi"/>
                <w:iCs/>
                <w:color w:val="FFFFFF" w:themeColor="background1"/>
                <w:szCs w:val="17"/>
                <w:lang w:eastAsia="en-US"/>
              </w:rPr>
              <w:t>Partly achieved</w:t>
            </w:r>
          </w:p>
        </w:tc>
        <w:tc>
          <w:tcPr>
            <w:tcW w:w="1699" w:type="pct"/>
          </w:tcPr>
          <w:p w14:paraId="324B4946" w14:textId="4F64C426" w:rsidR="009042FA" w:rsidRPr="00FD4230" w:rsidRDefault="009042FA" w:rsidP="00F03AC1">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 xml:space="preserve">While </w:t>
            </w:r>
            <w:r w:rsidR="002B2168">
              <w:rPr>
                <w:rFonts w:asciiTheme="minorHAnsi" w:eastAsia="Times New Roman" w:hAnsiTheme="minorHAnsi"/>
                <w:iCs/>
                <w:color w:val="333938" w:themeColor="background2" w:themeShade="40"/>
                <w:szCs w:val="17"/>
                <w:lang w:eastAsia="en-US"/>
              </w:rPr>
              <w:t>the student</w:t>
            </w:r>
            <w:r>
              <w:rPr>
                <w:rFonts w:asciiTheme="minorHAnsi" w:eastAsia="Times New Roman" w:hAnsiTheme="minorHAnsi"/>
                <w:iCs/>
                <w:color w:val="333938" w:themeColor="background2" w:themeShade="40"/>
                <w:szCs w:val="17"/>
                <w:lang w:eastAsia="en-US"/>
              </w:rPr>
              <w:t xml:space="preserve"> numbers reached with DFSP exceeded the benchmark, </w:t>
            </w:r>
            <w:r w:rsidR="00F03AC1">
              <w:rPr>
                <w:rFonts w:asciiTheme="minorHAnsi" w:eastAsia="Times New Roman" w:hAnsiTheme="minorHAnsi"/>
                <w:iCs/>
                <w:color w:val="333938" w:themeColor="background2" w:themeShade="40"/>
                <w:szCs w:val="17"/>
                <w:lang w:eastAsia="en-US"/>
              </w:rPr>
              <w:t xml:space="preserve">due to significant deterioration in security </w:t>
            </w:r>
            <w:r>
              <w:rPr>
                <w:rFonts w:asciiTheme="minorHAnsi" w:eastAsia="Times New Roman" w:hAnsiTheme="minorHAnsi"/>
                <w:iCs/>
                <w:color w:val="333938" w:themeColor="background2" w:themeShade="40"/>
                <w:szCs w:val="17"/>
                <w:lang w:eastAsia="en-US"/>
              </w:rPr>
              <w:t>t</w:t>
            </w:r>
            <w:r w:rsidRPr="00FD4230">
              <w:rPr>
                <w:rFonts w:asciiTheme="minorHAnsi" w:eastAsia="Times New Roman" w:hAnsiTheme="minorHAnsi"/>
                <w:iCs/>
                <w:color w:val="333938" w:themeColor="background2" w:themeShade="40"/>
                <w:szCs w:val="17"/>
                <w:lang w:eastAsia="en-US"/>
              </w:rPr>
              <w:t xml:space="preserve">he selection of two new townships </w:t>
            </w:r>
            <w:r>
              <w:rPr>
                <w:rFonts w:asciiTheme="minorHAnsi" w:eastAsia="Times New Roman" w:hAnsiTheme="minorHAnsi"/>
                <w:iCs/>
                <w:color w:val="333938" w:themeColor="background2" w:themeShade="40"/>
                <w:szCs w:val="17"/>
                <w:lang w:eastAsia="en-US"/>
              </w:rPr>
              <w:t>in central/southern Rakhine</w:t>
            </w:r>
            <w:r w:rsidR="00F03AC1">
              <w:rPr>
                <w:rFonts w:asciiTheme="minorHAnsi" w:eastAsia="Times New Roman" w:hAnsiTheme="minorHAnsi"/>
                <w:iCs/>
                <w:color w:val="333938" w:themeColor="background2" w:themeShade="40"/>
                <w:szCs w:val="17"/>
                <w:lang w:eastAsia="en-US"/>
              </w:rPr>
              <w:t xml:space="preserve"> remains</w:t>
            </w:r>
            <w:r>
              <w:rPr>
                <w:rFonts w:asciiTheme="minorHAnsi" w:eastAsia="Times New Roman" w:hAnsiTheme="minorHAnsi"/>
                <w:iCs/>
                <w:color w:val="333938" w:themeColor="background2" w:themeShade="40"/>
                <w:szCs w:val="17"/>
                <w:lang w:eastAsia="en-US"/>
              </w:rPr>
              <w:t xml:space="preserve"> </w:t>
            </w:r>
            <w:r w:rsidR="00F03AC1">
              <w:rPr>
                <w:rFonts w:asciiTheme="minorHAnsi" w:eastAsia="Times New Roman" w:hAnsiTheme="minorHAnsi"/>
                <w:iCs/>
                <w:color w:val="333938" w:themeColor="background2" w:themeShade="40"/>
                <w:szCs w:val="17"/>
                <w:lang w:eastAsia="en-US"/>
              </w:rPr>
              <w:t>under review</w:t>
            </w:r>
            <w:r w:rsidRPr="00FD4230">
              <w:rPr>
                <w:rFonts w:asciiTheme="minorHAnsi" w:eastAsia="Times New Roman" w:hAnsiTheme="minorHAnsi"/>
                <w:iCs/>
                <w:color w:val="333938" w:themeColor="background2" w:themeShade="40"/>
                <w:szCs w:val="17"/>
                <w:lang w:eastAsia="en-US"/>
              </w:rPr>
              <w:t xml:space="preserve"> </w:t>
            </w:r>
            <w:r w:rsidR="00F03AC1">
              <w:rPr>
                <w:rFonts w:asciiTheme="minorHAnsi" w:eastAsia="Times New Roman" w:hAnsiTheme="minorHAnsi"/>
                <w:iCs/>
                <w:color w:val="333938" w:themeColor="background2" w:themeShade="40"/>
                <w:szCs w:val="17"/>
                <w:lang w:eastAsia="en-US"/>
              </w:rPr>
              <w:t xml:space="preserve">by the </w:t>
            </w:r>
            <w:r w:rsidRPr="00FD4230">
              <w:rPr>
                <w:rFonts w:asciiTheme="minorHAnsi" w:eastAsia="Times New Roman" w:hAnsiTheme="minorHAnsi"/>
                <w:iCs/>
                <w:color w:val="333938" w:themeColor="background2" w:themeShade="40"/>
                <w:szCs w:val="17"/>
                <w:lang w:eastAsia="en-US"/>
              </w:rPr>
              <w:t>Myanmar Government</w:t>
            </w:r>
            <w:r>
              <w:rPr>
                <w:rFonts w:asciiTheme="minorHAnsi" w:eastAsia="Times New Roman" w:hAnsiTheme="minorHAnsi"/>
                <w:iCs/>
                <w:color w:val="333938" w:themeColor="background2" w:themeShade="40"/>
                <w:szCs w:val="17"/>
                <w:lang w:eastAsia="en-US"/>
              </w:rPr>
              <w:t>.</w:t>
            </w:r>
          </w:p>
        </w:tc>
      </w:tr>
      <w:tr w:rsidR="009042FA" w:rsidRPr="00C61187" w14:paraId="32439989" w14:textId="77777777" w:rsidTr="00325314">
        <w:tc>
          <w:tcPr>
            <w:tcW w:w="1150" w:type="pct"/>
            <w:vMerge w:val="restart"/>
            <w:tcMar>
              <w:top w:w="57" w:type="dxa"/>
              <w:bottom w:w="57" w:type="dxa"/>
            </w:tcMar>
          </w:tcPr>
          <w:p w14:paraId="731E0D7E"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8363A7">
              <w:rPr>
                <w:rFonts w:asciiTheme="minorHAnsi" w:eastAsia="Times New Roman" w:hAnsiTheme="minorHAnsi"/>
                <w:iCs/>
                <w:color w:val="333938" w:themeColor="background2" w:themeShade="40"/>
                <w:szCs w:val="17"/>
                <w:lang w:eastAsia="en-US"/>
              </w:rPr>
              <w:t>Strengthened educatio</w:t>
            </w:r>
            <w:r>
              <w:rPr>
                <w:rFonts w:asciiTheme="minorHAnsi" w:eastAsia="Times New Roman" w:hAnsiTheme="minorHAnsi"/>
                <w:iCs/>
                <w:color w:val="333938" w:themeColor="background2" w:themeShade="40"/>
                <w:szCs w:val="17"/>
                <w:lang w:eastAsia="en-US"/>
              </w:rPr>
              <w:t xml:space="preserve">n </w:t>
            </w:r>
            <w:r w:rsidRPr="008363A7">
              <w:rPr>
                <w:rFonts w:asciiTheme="minorHAnsi" w:eastAsia="Times New Roman" w:hAnsiTheme="minorHAnsi"/>
                <w:iCs/>
                <w:color w:val="333938" w:themeColor="background2" w:themeShade="40"/>
                <w:szCs w:val="17"/>
                <w:lang w:eastAsia="en-US"/>
              </w:rPr>
              <w:t>policy formulation and oversight</w:t>
            </w:r>
            <w:r>
              <w:rPr>
                <w:rFonts w:asciiTheme="minorHAnsi" w:eastAsia="Times New Roman" w:hAnsiTheme="minorHAnsi"/>
                <w:iCs/>
                <w:color w:val="333938" w:themeColor="background2" w:themeShade="40"/>
                <w:szCs w:val="17"/>
                <w:lang w:eastAsia="en-US"/>
              </w:rPr>
              <w:t xml:space="preserve"> (MyEQIP))</w:t>
            </w:r>
          </w:p>
        </w:tc>
        <w:tc>
          <w:tcPr>
            <w:tcW w:w="1650" w:type="pct"/>
          </w:tcPr>
          <w:p w14:paraId="62F899ED"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8363A7">
              <w:rPr>
                <w:rFonts w:asciiTheme="minorHAnsi" w:eastAsia="Times New Roman" w:hAnsiTheme="minorHAnsi"/>
                <w:iCs/>
                <w:color w:val="333938" w:themeColor="background2" w:themeShade="40"/>
                <w:szCs w:val="17"/>
                <w:lang w:eastAsia="en-US"/>
              </w:rPr>
              <w:t>Demonstrated improvements in the quality, quantity, usefulness and reach of My-EQIP products across MoE</w:t>
            </w:r>
          </w:p>
        </w:tc>
        <w:tc>
          <w:tcPr>
            <w:tcW w:w="501" w:type="pct"/>
            <w:shd w:val="clear" w:color="auto" w:fill="72AF2F"/>
          </w:tcPr>
          <w:p w14:paraId="7635FC60"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101FE291" w14:textId="5DA0164B" w:rsidR="009042FA" w:rsidRPr="002053FE" w:rsidRDefault="00072E83" w:rsidP="00072E83">
            <w:pPr>
              <w:keepLines/>
              <w:spacing w:before="40" w:after="40" w:line="200" w:lineRule="atLeast"/>
              <w:rPr>
                <w:rFonts w:asciiTheme="minorHAnsi" w:eastAsia="Times New Roman" w:hAnsiTheme="minorHAnsi"/>
                <w:iCs/>
                <w:color w:val="333938" w:themeColor="background2" w:themeShade="40"/>
                <w:szCs w:val="17"/>
                <w:highlight w:val="yellow"/>
                <w:lang w:eastAsia="en-US"/>
              </w:rPr>
            </w:pPr>
            <w:r w:rsidRPr="007C5918">
              <w:rPr>
                <w:rFonts w:asciiTheme="minorHAnsi" w:eastAsia="Times New Roman" w:hAnsiTheme="minorHAnsi"/>
                <w:iCs/>
                <w:color w:val="333938" w:themeColor="background2" w:themeShade="40"/>
                <w:szCs w:val="17"/>
                <w:lang w:eastAsia="en-US"/>
              </w:rPr>
              <w:t xml:space="preserve">All MoE Departments developed and </w:t>
            </w:r>
            <w:r w:rsidR="00C616DB">
              <w:rPr>
                <w:rFonts w:asciiTheme="minorHAnsi" w:eastAsia="Times New Roman" w:hAnsiTheme="minorHAnsi"/>
                <w:iCs/>
                <w:color w:val="333938" w:themeColor="background2" w:themeShade="40"/>
                <w:szCs w:val="17"/>
                <w:lang w:eastAsia="en-US"/>
              </w:rPr>
              <w:t xml:space="preserve">are </w:t>
            </w:r>
            <w:r w:rsidRPr="007C5918">
              <w:rPr>
                <w:rFonts w:asciiTheme="minorHAnsi" w:eastAsia="Times New Roman" w:hAnsiTheme="minorHAnsi"/>
                <w:iCs/>
                <w:color w:val="333938" w:themeColor="background2" w:themeShade="40"/>
                <w:szCs w:val="17"/>
                <w:lang w:eastAsia="en-US"/>
              </w:rPr>
              <w:t>implementing</w:t>
            </w:r>
            <w:r>
              <w:rPr>
                <w:rFonts w:asciiTheme="minorHAnsi" w:eastAsia="Times New Roman" w:hAnsiTheme="minorHAnsi"/>
                <w:iCs/>
                <w:color w:val="333938" w:themeColor="background2" w:themeShade="40"/>
                <w:szCs w:val="17"/>
                <w:lang w:eastAsia="en-US"/>
              </w:rPr>
              <w:t xml:space="preserve"> two</w:t>
            </w:r>
            <w:r w:rsidR="00C616DB">
              <w:rPr>
                <w:rFonts w:asciiTheme="minorHAnsi" w:eastAsia="Times New Roman" w:hAnsiTheme="minorHAnsi"/>
                <w:iCs/>
                <w:color w:val="333938" w:themeColor="background2" w:themeShade="40"/>
                <w:szCs w:val="17"/>
                <w:lang w:eastAsia="en-US"/>
              </w:rPr>
              <w:t>-</w:t>
            </w:r>
            <w:r w:rsidRPr="007C5918">
              <w:rPr>
                <w:rFonts w:asciiTheme="minorHAnsi" w:eastAsia="Times New Roman" w:hAnsiTheme="minorHAnsi"/>
                <w:iCs/>
                <w:color w:val="333938" w:themeColor="background2" w:themeShade="40"/>
                <w:szCs w:val="17"/>
                <w:lang w:eastAsia="en-US"/>
              </w:rPr>
              <w:t>year annual depar</w:t>
            </w:r>
            <w:r w:rsidRPr="00072E83">
              <w:rPr>
                <w:rFonts w:asciiTheme="minorHAnsi" w:eastAsia="Times New Roman" w:hAnsiTheme="minorHAnsi"/>
                <w:iCs/>
                <w:color w:val="333938" w:themeColor="background2" w:themeShade="40"/>
                <w:szCs w:val="17"/>
                <w:lang w:eastAsia="en-US"/>
              </w:rPr>
              <w:t>tmental implementation plans (D</w:t>
            </w:r>
            <w:r w:rsidRPr="007C5918">
              <w:rPr>
                <w:rFonts w:asciiTheme="minorHAnsi" w:eastAsia="Times New Roman" w:hAnsiTheme="minorHAnsi"/>
                <w:iCs/>
                <w:color w:val="333938" w:themeColor="background2" w:themeShade="40"/>
                <w:szCs w:val="17"/>
                <w:lang w:eastAsia="en-US"/>
              </w:rPr>
              <w:t>IPs). Inaugural M&amp;E plans developed and implementation commenced.</w:t>
            </w:r>
          </w:p>
        </w:tc>
      </w:tr>
      <w:tr w:rsidR="009042FA" w:rsidRPr="00C61187" w14:paraId="0C0C4768" w14:textId="77777777" w:rsidTr="00325314">
        <w:tc>
          <w:tcPr>
            <w:tcW w:w="1150" w:type="pct"/>
            <w:vMerge/>
            <w:tcMar>
              <w:top w:w="57" w:type="dxa"/>
              <w:bottom w:w="57" w:type="dxa"/>
            </w:tcMar>
          </w:tcPr>
          <w:p w14:paraId="6665F3D6"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650" w:type="pct"/>
          </w:tcPr>
          <w:p w14:paraId="70483520"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8363A7">
              <w:rPr>
                <w:rFonts w:asciiTheme="minorHAnsi" w:eastAsia="Times New Roman" w:hAnsiTheme="minorHAnsi"/>
                <w:iCs/>
                <w:color w:val="333938" w:themeColor="background2" w:themeShade="40"/>
                <w:szCs w:val="17"/>
                <w:lang w:eastAsia="en-US"/>
              </w:rPr>
              <w:t>Instances of policy influence and institutional strengthening that lead to improved education management</w:t>
            </w:r>
          </w:p>
        </w:tc>
        <w:tc>
          <w:tcPr>
            <w:tcW w:w="501" w:type="pct"/>
            <w:shd w:val="clear" w:color="auto" w:fill="72AF2F"/>
          </w:tcPr>
          <w:p w14:paraId="1D2B0B68"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17615526" w14:textId="4C8C1DD6" w:rsidR="009042FA" w:rsidRPr="002053FE" w:rsidRDefault="009042FA" w:rsidP="00F03AC1">
            <w:pPr>
              <w:keepLines/>
              <w:spacing w:before="40" w:after="40" w:line="200" w:lineRule="atLeast"/>
              <w:rPr>
                <w:rFonts w:asciiTheme="minorHAnsi" w:eastAsia="Times New Roman" w:hAnsiTheme="minorHAnsi"/>
                <w:iCs/>
                <w:color w:val="333938" w:themeColor="background2" w:themeShade="40"/>
                <w:szCs w:val="17"/>
                <w:highlight w:val="yellow"/>
                <w:lang w:eastAsia="en-US"/>
              </w:rPr>
            </w:pPr>
            <w:r>
              <w:rPr>
                <w:rFonts w:ascii="Calibri Light" w:eastAsia="Calibri Light" w:hAnsi="Calibri Light" w:cs="Times New Roman"/>
                <w:color w:val="auto"/>
                <w:lang w:val="en-AU" w:bidi="my-MM"/>
              </w:rPr>
              <w:t xml:space="preserve">In 2018-19 the </w:t>
            </w:r>
            <w:r w:rsidRPr="00BB4957">
              <w:rPr>
                <w:rFonts w:ascii="Calibri Light" w:eastAsia="Calibri Light" w:hAnsi="Calibri Light" w:cs="Times New Roman"/>
                <w:color w:val="auto"/>
                <w:lang w:val="en-AU" w:bidi="my-MM"/>
              </w:rPr>
              <w:t xml:space="preserve">Ministry </w:t>
            </w:r>
            <w:r>
              <w:rPr>
                <w:rFonts w:ascii="Calibri Light" w:eastAsia="Calibri Light" w:hAnsi="Calibri Light" w:cs="Times New Roman"/>
                <w:color w:val="auto"/>
                <w:lang w:val="en-AU" w:bidi="my-MM"/>
              </w:rPr>
              <w:t>drafted and commenced a</w:t>
            </w:r>
            <w:r w:rsidRPr="00BB4957">
              <w:rPr>
                <w:rFonts w:ascii="Calibri Light" w:eastAsia="Calibri Light" w:hAnsi="Calibri Light" w:cs="Times New Roman"/>
                <w:color w:val="auto"/>
                <w:lang w:val="en-AU" w:bidi="my-MM"/>
              </w:rPr>
              <w:t xml:space="preserve"> pilot</w:t>
            </w:r>
            <w:r>
              <w:rPr>
                <w:rFonts w:ascii="Calibri Light" w:eastAsia="Calibri Light" w:hAnsi="Calibri Light" w:cs="Times New Roman"/>
                <w:color w:val="auto"/>
                <w:lang w:val="en-AU" w:bidi="my-MM"/>
              </w:rPr>
              <w:t xml:space="preserve"> of</w:t>
            </w:r>
            <w:r w:rsidRPr="00BB4957">
              <w:rPr>
                <w:rFonts w:ascii="Calibri Light" w:eastAsia="Calibri Light" w:hAnsi="Calibri Light" w:cs="Times New Roman"/>
                <w:color w:val="auto"/>
                <w:lang w:val="en-AU" w:bidi="my-MM"/>
              </w:rPr>
              <w:t xml:space="preserve"> an inaugural School Quality Assurance </w:t>
            </w:r>
            <w:r>
              <w:rPr>
                <w:rFonts w:ascii="Calibri Light" w:eastAsia="Calibri Light" w:hAnsi="Calibri Light" w:cs="Times New Roman"/>
                <w:color w:val="auto"/>
                <w:lang w:val="en-AU" w:bidi="my-MM"/>
              </w:rPr>
              <w:t xml:space="preserve">Standards </w:t>
            </w:r>
            <w:r w:rsidRPr="00BB4957">
              <w:rPr>
                <w:rFonts w:ascii="Calibri Light" w:eastAsia="Calibri Light" w:hAnsi="Calibri Light" w:cs="Times New Roman"/>
                <w:color w:val="auto"/>
                <w:lang w:val="en-AU" w:bidi="my-MM"/>
              </w:rPr>
              <w:t>Framework (SQASF)</w:t>
            </w:r>
            <w:r>
              <w:rPr>
                <w:rFonts w:ascii="Calibri Light" w:eastAsia="Calibri Light" w:hAnsi="Calibri Light" w:cs="Times New Roman"/>
                <w:color w:val="auto"/>
                <w:lang w:val="en-AU" w:bidi="my-MM"/>
              </w:rPr>
              <w:t xml:space="preserve">. The SQASF is an important </w:t>
            </w:r>
            <w:r w:rsidR="00F03AC1">
              <w:rPr>
                <w:rFonts w:ascii="Calibri Light" w:eastAsia="Calibri Light" w:hAnsi="Calibri Light" w:cs="Times New Roman"/>
                <w:color w:val="auto"/>
                <w:lang w:val="en-AU" w:bidi="my-MM"/>
              </w:rPr>
              <w:t xml:space="preserve">framework to help schools define needs and improve </w:t>
            </w:r>
            <w:r>
              <w:rPr>
                <w:rFonts w:ascii="Calibri Light" w:eastAsia="Calibri Light" w:hAnsi="Calibri Light" w:cs="Times New Roman"/>
                <w:color w:val="auto"/>
                <w:lang w:val="en-AU" w:bidi="my-MM"/>
              </w:rPr>
              <w:t>quality</w:t>
            </w:r>
            <w:r w:rsidR="00F03AC1">
              <w:rPr>
                <w:rFonts w:ascii="Calibri Light" w:eastAsia="Calibri Light" w:hAnsi="Calibri Light" w:cs="Times New Roman"/>
                <w:color w:val="auto"/>
                <w:lang w:val="en-AU" w:bidi="my-MM"/>
              </w:rPr>
              <w:t xml:space="preserve"> of teaching and learning</w:t>
            </w:r>
            <w:r>
              <w:rPr>
                <w:rFonts w:ascii="Calibri Light" w:eastAsia="Calibri Light" w:hAnsi="Calibri Light" w:cs="Times New Roman"/>
                <w:color w:val="auto"/>
                <w:lang w:val="en-AU" w:bidi="my-MM"/>
              </w:rPr>
              <w:t xml:space="preserve"> over the long term.</w:t>
            </w:r>
          </w:p>
        </w:tc>
      </w:tr>
    </w:tbl>
    <w:p w14:paraId="745FBB7A" w14:textId="2A524656" w:rsidR="0062260E" w:rsidRPr="00880004" w:rsidRDefault="0062260E" w:rsidP="0062260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57732B50" w14:textId="77777777" w:rsidR="0062260E" w:rsidRPr="00880004" w:rsidRDefault="0062260E" w:rsidP="0062260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78517FF0" w14:textId="77777777" w:rsidR="0062260E" w:rsidRPr="00880004" w:rsidRDefault="0062260E" w:rsidP="0062260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27BC2F75" w14:textId="31AFF0F4" w:rsidR="0062260E" w:rsidRPr="0062260E" w:rsidRDefault="0062260E" w:rsidP="0062260E">
      <w:pPr>
        <w:jc w:val="right"/>
        <w:rPr>
          <w:i/>
        </w:rPr>
      </w:pPr>
      <w:r w:rsidRPr="0062260E">
        <w:rPr>
          <w:i/>
          <w:sz w:val="18"/>
          <w:szCs w:val="18"/>
        </w:rPr>
        <w:t>ANNEX B – PERFORMANCE BENCHMARKS continued over</w:t>
      </w:r>
      <w:r w:rsidRPr="0062260E">
        <w:rPr>
          <w:i/>
        </w:rPr>
        <w:t xml:space="preserve"> …</w:t>
      </w:r>
    </w:p>
    <w:p w14:paraId="463474DB" w14:textId="77777777" w:rsidR="0062260E" w:rsidRDefault="0062260E">
      <w:r>
        <w:br w:type="page"/>
      </w:r>
    </w:p>
    <w:tbl>
      <w:tblPr>
        <w:tblStyle w:val="DFATTable"/>
        <w:tblW w:w="5000" w:type="pct"/>
        <w:tblLook w:val="04A0" w:firstRow="1" w:lastRow="0" w:firstColumn="1" w:lastColumn="0" w:noHBand="0" w:noVBand="1"/>
      </w:tblPr>
      <w:tblGrid>
        <w:gridCol w:w="3260"/>
        <w:gridCol w:w="4677"/>
        <w:gridCol w:w="1420"/>
        <w:gridCol w:w="4816"/>
      </w:tblGrid>
      <w:tr w:rsidR="009042FA" w:rsidRPr="00C61187" w14:paraId="293317C4" w14:textId="77777777" w:rsidTr="009042FA">
        <w:tc>
          <w:tcPr>
            <w:tcW w:w="5000" w:type="pct"/>
            <w:gridSpan w:val="4"/>
            <w:tcMar>
              <w:top w:w="57" w:type="dxa"/>
              <w:bottom w:w="57" w:type="dxa"/>
            </w:tcMar>
          </w:tcPr>
          <w:p w14:paraId="4E1C27E3" w14:textId="52D1659F" w:rsidR="009042FA" w:rsidRPr="002822FD" w:rsidRDefault="009042FA" w:rsidP="009042FA">
            <w:pPr>
              <w:keepLines/>
              <w:spacing w:before="40" w:after="40" w:line="200" w:lineRule="atLeast"/>
              <w:jc w:val="both"/>
              <w:rPr>
                <w:rFonts w:eastAsia="Times New Roman"/>
                <w:iCs/>
                <w:color w:val="333938" w:themeColor="background2" w:themeShade="40"/>
                <w:szCs w:val="17"/>
                <w:u w:val="single"/>
              </w:rPr>
            </w:pPr>
            <w:r w:rsidRPr="002822FD">
              <w:rPr>
                <w:rFonts w:asciiTheme="minorHAnsi" w:eastAsia="Times New Roman" w:hAnsiTheme="minorHAnsi"/>
                <w:iCs/>
                <w:color w:val="333938" w:themeColor="background2" w:themeShade="40"/>
                <w:szCs w:val="17"/>
                <w:u w:val="single"/>
                <w:lang w:eastAsia="en-US"/>
              </w:rPr>
              <w:lastRenderedPageBreak/>
              <w:t>Pillar 2: Promoting peace and stability</w:t>
            </w:r>
          </w:p>
        </w:tc>
      </w:tr>
      <w:tr w:rsidR="009042FA" w:rsidRPr="00C61187" w14:paraId="32902B08" w14:textId="77777777" w:rsidTr="00325314">
        <w:tc>
          <w:tcPr>
            <w:tcW w:w="1150" w:type="pct"/>
            <w:vMerge w:val="restart"/>
            <w:tcMar>
              <w:top w:w="57" w:type="dxa"/>
              <w:bottom w:w="57" w:type="dxa"/>
            </w:tcMar>
          </w:tcPr>
          <w:p w14:paraId="28238E0D"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People in need receive effective and appropriate humanitarian assistance</w:t>
            </w:r>
            <w:r>
              <w:rPr>
                <w:rFonts w:asciiTheme="minorHAnsi" w:eastAsia="Times New Roman" w:hAnsiTheme="minorHAnsi"/>
                <w:iCs/>
                <w:color w:val="333938" w:themeColor="background2" w:themeShade="40"/>
                <w:szCs w:val="17"/>
                <w:lang w:eastAsia="en-US"/>
              </w:rPr>
              <w:t xml:space="preserve"> (SHWE)</w:t>
            </w:r>
          </w:p>
        </w:tc>
        <w:tc>
          <w:tcPr>
            <w:tcW w:w="1650" w:type="pct"/>
          </w:tcPr>
          <w:p w14:paraId="770D4603" w14:textId="77777777" w:rsidR="009042FA" w:rsidRPr="00681B0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Vulnerable women, men, girls and boys are provided with humanitarian assistance in conflict and crisis situations</w:t>
            </w:r>
          </w:p>
        </w:tc>
        <w:tc>
          <w:tcPr>
            <w:tcW w:w="501" w:type="pct"/>
            <w:shd w:val="clear" w:color="auto" w:fill="72AF2F"/>
          </w:tcPr>
          <w:p w14:paraId="5343D142" w14:textId="77777777" w:rsidR="009042FA" w:rsidRPr="00880004" w:rsidRDefault="009042FA" w:rsidP="009042FA">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Achieved</w:t>
            </w:r>
          </w:p>
        </w:tc>
        <w:tc>
          <w:tcPr>
            <w:tcW w:w="1699" w:type="pct"/>
          </w:tcPr>
          <w:p w14:paraId="6BBFA7AB" w14:textId="53B507FD" w:rsidR="009042FA" w:rsidRPr="008E78EC"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The benchmark of 250,000 people (m/f) reached was exceeded for another year (by nearly 6</w:t>
            </w:r>
            <w:r w:rsidR="0029571C">
              <w:rPr>
                <w:rFonts w:asciiTheme="minorHAnsi" w:eastAsia="Times New Roman" w:hAnsiTheme="minorHAnsi"/>
                <w:iCs/>
                <w:color w:val="333938" w:themeColor="background2" w:themeShade="40"/>
                <w:szCs w:val="17"/>
                <w:lang w:eastAsia="en-US"/>
              </w:rPr>
              <w:t xml:space="preserve"> per cent</w:t>
            </w:r>
            <w:r>
              <w:rPr>
                <w:rFonts w:asciiTheme="minorHAnsi" w:eastAsia="Times New Roman" w:hAnsiTheme="minorHAnsi"/>
                <w:iCs/>
                <w:color w:val="333938" w:themeColor="background2" w:themeShade="40"/>
                <w:szCs w:val="17"/>
                <w:lang w:eastAsia="en-US"/>
              </w:rPr>
              <w:t xml:space="preserve"> in 2018).</w:t>
            </w:r>
          </w:p>
        </w:tc>
      </w:tr>
      <w:tr w:rsidR="009042FA" w:rsidRPr="00C61187" w14:paraId="0582002C" w14:textId="77777777" w:rsidTr="00325314">
        <w:tc>
          <w:tcPr>
            <w:tcW w:w="1150" w:type="pct"/>
            <w:vMerge/>
            <w:tcMar>
              <w:top w:w="57" w:type="dxa"/>
              <w:bottom w:w="57" w:type="dxa"/>
            </w:tcMar>
          </w:tcPr>
          <w:p w14:paraId="5FCF9890"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650" w:type="pct"/>
          </w:tcPr>
          <w:p w14:paraId="3A1CB12B"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Local partners deliver humanitarian assistance through the Myanmar Humanitarian Fund</w:t>
            </w:r>
          </w:p>
        </w:tc>
        <w:tc>
          <w:tcPr>
            <w:tcW w:w="501" w:type="pct"/>
            <w:shd w:val="clear" w:color="auto" w:fill="72AF2F"/>
          </w:tcPr>
          <w:p w14:paraId="79C584D3"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29859A6D" w14:textId="77777777" w:rsidR="009042FA" w:rsidRPr="008E78EC"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C65281">
              <w:rPr>
                <w:rFonts w:asciiTheme="minorHAnsi" w:eastAsia="Times New Roman" w:hAnsiTheme="minorHAnsi"/>
                <w:iCs/>
                <w:color w:val="333938" w:themeColor="background2" w:themeShade="40"/>
                <w:szCs w:val="17"/>
                <w:lang w:eastAsia="en-US"/>
              </w:rPr>
              <w:t>Attributing directly to local partners at 30 per cent remains well ahead of the global (and PAF) target of 25 per cent.</w:t>
            </w:r>
          </w:p>
        </w:tc>
      </w:tr>
      <w:tr w:rsidR="009042FA" w:rsidRPr="00C61187" w14:paraId="20271F3C" w14:textId="77777777" w:rsidTr="00325314">
        <w:tc>
          <w:tcPr>
            <w:tcW w:w="1150" w:type="pct"/>
            <w:tcMar>
              <w:top w:w="57" w:type="dxa"/>
              <w:bottom w:w="57" w:type="dxa"/>
            </w:tcMar>
          </w:tcPr>
          <w:p w14:paraId="674D50C7"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Increased access to information, services and justice for survivors of sexual and gender-based violence in conflict-affected areas</w:t>
            </w:r>
            <w:r>
              <w:rPr>
                <w:rFonts w:asciiTheme="minorHAnsi" w:eastAsia="Times New Roman" w:hAnsiTheme="minorHAnsi"/>
                <w:iCs/>
                <w:color w:val="333938" w:themeColor="background2" w:themeShade="40"/>
                <w:szCs w:val="17"/>
                <w:lang w:eastAsia="en-US"/>
              </w:rPr>
              <w:t xml:space="preserve"> (SHWE)</w:t>
            </w:r>
          </w:p>
        </w:tc>
        <w:tc>
          <w:tcPr>
            <w:tcW w:w="1650" w:type="pct"/>
          </w:tcPr>
          <w:p w14:paraId="1C20D65C"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Women and girls have access to gender-based violence services and sexual and reproductive health services</w:t>
            </w:r>
          </w:p>
        </w:tc>
        <w:tc>
          <w:tcPr>
            <w:tcW w:w="501" w:type="pct"/>
            <w:shd w:val="clear" w:color="auto" w:fill="E36C0A"/>
          </w:tcPr>
          <w:p w14:paraId="32CC48C3"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371DD2">
              <w:rPr>
                <w:rFonts w:asciiTheme="minorHAnsi" w:eastAsia="Times New Roman" w:hAnsiTheme="minorHAnsi"/>
                <w:iCs/>
                <w:color w:val="FFFFFF" w:themeColor="background1"/>
                <w:szCs w:val="17"/>
                <w:lang w:eastAsia="en-US"/>
              </w:rPr>
              <w:t>Partly achieved</w:t>
            </w:r>
          </w:p>
        </w:tc>
        <w:tc>
          <w:tcPr>
            <w:tcW w:w="1699" w:type="pct"/>
          </w:tcPr>
          <w:p w14:paraId="6210234D" w14:textId="77777777" w:rsidR="009042FA" w:rsidRPr="008E78EC"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The 2018-19 target was set using incorrect attribution of Australian funding to pooled programs targeting women and girls. We will reassess the 2019-20 target.</w:t>
            </w:r>
          </w:p>
        </w:tc>
      </w:tr>
      <w:tr w:rsidR="009042FA" w:rsidRPr="00C61187" w14:paraId="1234D2EC" w14:textId="77777777" w:rsidTr="00325314">
        <w:tc>
          <w:tcPr>
            <w:tcW w:w="1150" w:type="pct"/>
            <w:vMerge w:val="restart"/>
            <w:tcMar>
              <w:top w:w="57" w:type="dxa"/>
              <w:bottom w:w="57" w:type="dxa"/>
            </w:tcMar>
          </w:tcPr>
          <w:p w14:paraId="17E6079B"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Governments and non-state actors are effectively engaged in peace negotiations and dialogue</w:t>
            </w:r>
            <w:r>
              <w:rPr>
                <w:rFonts w:asciiTheme="minorHAnsi" w:eastAsia="Times New Roman" w:hAnsiTheme="minorHAnsi"/>
                <w:iCs/>
                <w:color w:val="333938" w:themeColor="background2" w:themeShade="40"/>
                <w:szCs w:val="17"/>
                <w:lang w:eastAsia="en-US"/>
              </w:rPr>
              <w:t xml:space="preserve"> (MAPS)</w:t>
            </w:r>
          </w:p>
        </w:tc>
        <w:tc>
          <w:tcPr>
            <w:tcW w:w="1650" w:type="pct"/>
          </w:tcPr>
          <w:p w14:paraId="6EBE91BC"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Partners are responsive to negotiating parties’ requests for technical support</w:t>
            </w:r>
          </w:p>
        </w:tc>
        <w:tc>
          <w:tcPr>
            <w:tcW w:w="501" w:type="pct"/>
            <w:shd w:val="clear" w:color="auto" w:fill="72AF2F"/>
          </w:tcPr>
          <w:p w14:paraId="1FE9BDA1"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651C855B" w14:textId="63004D8C" w:rsidR="009042FA" w:rsidRPr="0009353F"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65F7">
              <w:rPr>
                <w:rFonts w:asciiTheme="minorHAnsi" w:eastAsia="Times New Roman" w:hAnsiTheme="minorHAnsi"/>
                <w:iCs/>
                <w:color w:val="333938" w:themeColor="background2" w:themeShade="40"/>
                <w:szCs w:val="17"/>
                <w:lang w:eastAsia="en-US"/>
              </w:rPr>
              <w:t xml:space="preserve">The Joint Peace Fund, Paung Sie Facility and Centre for Humanitarian Dialogue provided technical expertise on request throughout the reporting period. </w:t>
            </w:r>
            <w:r>
              <w:rPr>
                <w:rFonts w:asciiTheme="minorHAnsi" w:eastAsia="Times New Roman" w:hAnsiTheme="minorHAnsi"/>
                <w:iCs/>
                <w:color w:val="333938" w:themeColor="background2" w:themeShade="40"/>
                <w:szCs w:val="17"/>
                <w:lang w:eastAsia="en-US"/>
              </w:rPr>
              <w:t xml:space="preserve"> For example, t</w:t>
            </w:r>
            <w:r w:rsidRPr="006865F7">
              <w:rPr>
                <w:rFonts w:asciiTheme="minorHAnsi" w:eastAsia="Times New Roman" w:hAnsiTheme="minorHAnsi"/>
                <w:iCs/>
                <w:color w:val="333938" w:themeColor="background2" w:themeShade="40"/>
                <w:szCs w:val="17"/>
                <w:lang w:eastAsia="en-US"/>
              </w:rPr>
              <w:t xml:space="preserve">he Joint Peace Fund supported </w:t>
            </w:r>
            <w:r>
              <w:rPr>
                <w:rFonts w:asciiTheme="minorHAnsi" w:eastAsia="Times New Roman" w:hAnsiTheme="minorHAnsi"/>
                <w:iCs/>
                <w:color w:val="333938" w:themeColor="background2" w:themeShade="40"/>
                <w:szCs w:val="17"/>
                <w:lang w:eastAsia="en-US"/>
              </w:rPr>
              <w:t>565 (29</w:t>
            </w:r>
            <w:r w:rsidR="0029571C">
              <w:rPr>
                <w:rFonts w:asciiTheme="minorHAnsi" w:eastAsia="Times New Roman" w:hAnsiTheme="minorHAnsi"/>
                <w:iCs/>
                <w:color w:val="333938" w:themeColor="background2" w:themeShade="40"/>
                <w:szCs w:val="17"/>
                <w:lang w:eastAsia="en-US"/>
              </w:rPr>
              <w:t xml:space="preserve"> per cent</w:t>
            </w:r>
            <w:r>
              <w:rPr>
                <w:rFonts w:asciiTheme="minorHAnsi" w:eastAsia="Times New Roman" w:hAnsiTheme="minorHAnsi"/>
                <w:iCs/>
                <w:color w:val="333938" w:themeColor="background2" w:themeShade="40"/>
                <w:szCs w:val="17"/>
                <w:lang w:eastAsia="en-US"/>
              </w:rPr>
              <w:t xml:space="preserve"> female) peace actors from ethnic armed organisations, government and political parties involved in the peace process with technical advice, training or other support upon request. </w:t>
            </w:r>
          </w:p>
        </w:tc>
      </w:tr>
      <w:tr w:rsidR="009042FA" w:rsidRPr="00C61187" w14:paraId="4A8AFDAA" w14:textId="77777777" w:rsidTr="00325314">
        <w:tc>
          <w:tcPr>
            <w:tcW w:w="1150" w:type="pct"/>
            <w:vMerge/>
            <w:tcMar>
              <w:top w:w="57" w:type="dxa"/>
              <w:bottom w:w="57" w:type="dxa"/>
            </w:tcMar>
          </w:tcPr>
          <w:p w14:paraId="0F8C5991"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650" w:type="pct"/>
          </w:tcPr>
          <w:p w14:paraId="1654BB23"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Women supported through Australian aid are active in the peace process.</w:t>
            </w:r>
          </w:p>
        </w:tc>
        <w:tc>
          <w:tcPr>
            <w:tcW w:w="501" w:type="pct"/>
            <w:shd w:val="clear" w:color="auto" w:fill="72AF2F"/>
          </w:tcPr>
          <w:p w14:paraId="4B9BEEAD"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1699" w:type="pct"/>
          </w:tcPr>
          <w:p w14:paraId="38204F32" w14:textId="77777777" w:rsidR="009042FA" w:rsidRPr="0009353F"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6865F7">
              <w:rPr>
                <w:rFonts w:asciiTheme="minorHAnsi" w:eastAsia="Times New Roman" w:hAnsiTheme="minorHAnsi"/>
                <w:iCs/>
                <w:color w:val="333938" w:themeColor="background2" w:themeShade="40"/>
                <w:szCs w:val="17"/>
                <w:lang w:eastAsia="en-US"/>
              </w:rPr>
              <w:t xml:space="preserve">Support provided through the Myanmar Australia Peace Support program saw the </w:t>
            </w:r>
            <w:r>
              <w:rPr>
                <w:rFonts w:asciiTheme="minorHAnsi" w:eastAsia="Times New Roman" w:hAnsiTheme="minorHAnsi"/>
                <w:iCs/>
                <w:color w:val="333938" w:themeColor="background2" w:themeShade="40"/>
                <w:szCs w:val="17"/>
                <w:lang w:eastAsia="en-US"/>
              </w:rPr>
              <w:t xml:space="preserve">active </w:t>
            </w:r>
            <w:r w:rsidRPr="006865F7">
              <w:rPr>
                <w:rFonts w:asciiTheme="minorHAnsi" w:eastAsia="Times New Roman" w:hAnsiTheme="minorHAnsi"/>
                <w:iCs/>
                <w:color w:val="333938" w:themeColor="background2" w:themeShade="40"/>
                <w:szCs w:val="17"/>
                <w:lang w:eastAsia="en-US"/>
              </w:rPr>
              <w:t>participation of women in Myanmar’s national conference on peace rise from 17 per cent in 2017 to 21 per cent in 2018.</w:t>
            </w:r>
            <w:r w:rsidRPr="00B11619">
              <w:rPr>
                <w:rFonts w:eastAsia="Times New Roman"/>
                <w:iCs/>
                <w:color w:val="333938" w:themeColor="background2" w:themeShade="40"/>
                <w:szCs w:val="17"/>
              </w:rPr>
              <w:t xml:space="preserve"> </w:t>
            </w:r>
            <w:r>
              <w:rPr>
                <w:rFonts w:asciiTheme="minorHAnsi" w:eastAsia="Times New Roman" w:hAnsiTheme="minorHAnsi"/>
                <w:iCs/>
                <w:color w:val="333938" w:themeColor="background2" w:themeShade="40"/>
                <w:szCs w:val="17"/>
                <w:lang w:eastAsia="en-US"/>
              </w:rPr>
              <w:t xml:space="preserve"> </w:t>
            </w:r>
          </w:p>
        </w:tc>
      </w:tr>
      <w:tr w:rsidR="009042FA" w:rsidRPr="00C61187" w14:paraId="60BD5B95" w14:textId="77777777" w:rsidTr="00325314">
        <w:tc>
          <w:tcPr>
            <w:tcW w:w="1150" w:type="pct"/>
            <w:vMerge w:val="restart"/>
            <w:tcMar>
              <w:top w:w="57" w:type="dxa"/>
              <w:bottom w:w="57" w:type="dxa"/>
            </w:tcMar>
          </w:tcPr>
          <w:p w14:paraId="51324E0E"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Capacity of key democratic institutions strengthened</w:t>
            </w:r>
            <w:r>
              <w:rPr>
                <w:rFonts w:asciiTheme="minorHAnsi" w:eastAsia="Times New Roman" w:hAnsiTheme="minorHAnsi"/>
                <w:iCs/>
                <w:color w:val="333938" w:themeColor="background2" w:themeShade="40"/>
                <w:szCs w:val="17"/>
                <w:lang w:eastAsia="en-US"/>
              </w:rPr>
              <w:t xml:space="preserve"> (SRIG)</w:t>
            </w:r>
          </w:p>
        </w:tc>
        <w:tc>
          <w:tcPr>
            <w:tcW w:w="1650" w:type="pct"/>
          </w:tcPr>
          <w:p w14:paraId="11E94D20"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First Parliamentary Inquiry conducted</w:t>
            </w:r>
          </w:p>
        </w:tc>
        <w:tc>
          <w:tcPr>
            <w:tcW w:w="501" w:type="pct"/>
            <w:shd w:val="clear" w:color="auto" w:fill="72AF2F"/>
          </w:tcPr>
          <w:p w14:paraId="3E407687"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Achieved</w:t>
            </w:r>
          </w:p>
        </w:tc>
        <w:tc>
          <w:tcPr>
            <w:tcW w:w="1699" w:type="pct"/>
          </w:tcPr>
          <w:p w14:paraId="4A0FF1D5" w14:textId="47F53A6D" w:rsidR="009042FA" w:rsidRPr="00377866"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377866">
              <w:rPr>
                <w:rFonts w:asciiTheme="minorHAnsi" w:eastAsia="Times New Roman" w:hAnsiTheme="minorHAnsi"/>
                <w:iCs/>
                <w:color w:val="333938" w:themeColor="background2" w:themeShade="40"/>
                <w:szCs w:val="17"/>
                <w:lang w:eastAsia="en-US"/>
              </w:rPr>
              <w:t>Myanmar’s first Union Parliament inquiry</w:t>
            </w:r>
            <w:r>
              <w:rPr>
                <w:rFonts w:asciiTheme="minorHAnsi" w:eastAsia="Times New Roman" w:hAnsiTheme="minorHAnsi"/>
                <w:iCs/>
                <w:color w:val="333938" w:themeColor="background2" w:themeShade="40"/>
                <w:szCs w:val="17"/>
                <w:lang w:eastAsia="en-US"/>
              </w:rPr>
              <w:t xml:space="preserve"> conducted during the reporting period </w:t>
            </w:r>
            <w:r w:rsidRPr="00377866">
              <w:rPr>
                <w:rFonts w:asciiTheme="minorHAnsi" w:eastAsia="Times New Roman" w:hAnsiTheme="minorHAnsi"/>
                <w:iCs/>
                <w:color w:val="333938" w:themeColor="background2" w:themeShade="40"/>
                <w:szCs w:val="17"/>
                <w:lang w:eastAsia="en-US"/>
              </w:rPr>
              <w:t>into the effect of agricultural chemicals on the health and environment</w:t>
            </w:r>
            <w:r w:rsidR="00C616DB">
              <w:rPr>
                <w:rFonts w:asciiTheme="minorHAnsi" w:eastAsia="Times New Roman" w:hAnsiTheme="minorHAnsi"/>
                <w:iCs/>
                <w:color w:val="333938" w:themeColor="background2" w:themeShade="40"/>
                <w:szCs w:val="17"/>
                <w:lang w:eastAsia="en-US"/>
              </w:rPr>
              <w:t>.</w:t>
            </w:r>
          </w:p>
        </w:tc>
      </w:tr>
      <w:tr w:rsidR="009042FA" w:rsidRPr="00C61187" w14:paraId="6900DE27" w14:textId="77777777" w:rsidTr="004F7111">
        <w:tc>
          <w:tcPr>
            <w:tcW w:w="1150" w:type="pct"/>
            <w:vMerge/>
            <w:tcMar>
              <w:top w:w="57" w:type="dxa"/>
              <w:bottom w:w="57" w:type="dxa"/>
            </w:tcMar>
          </w:tcPr>
          <w:p w14:paraId="5B6F4FD9"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650" w:type="pct"/>
          </w:tcPr>
          <w:p w14:paraId="5857272D" w14:textId="77777777" w:rsidR="009042FA" w:rsidRPr="002822FD"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Evidence of progress on electoral legislative and regulatory reform.</w:t>
            </w:r>
          </w:p>
        </w:tc>
        <w:tc>
          <w:tcPr>
            <w:tcW w:w="501" w:type="pct"/>
            <w:shd w:val="clear" w:color="auto" w:fill="E36C0A"/>
          </w:tcPr>
          <w:p w14:paraId="2286C00B" w14:textId="77777777" w:rsidR="009042FA" w:rsidRPr="00880004" w:rsidRDefault="009042FA" w:rsidP="009042FA">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1699" w:type="pct"/>
          </w:tcPr>
          <w:p w14:paraId="26821F8B" w14:textId="1DABEF7E" w:rsidR="009042FA" w:rsidRPr="00377866" w:rsidRDefault="009042FA" w:rsidP="0029571C">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A mixed result, as there was progress on electoral regulatory reform but not on legislative reform. Noting the complexities and challenges in Myanmar.</w:t>
            </w:r>
          </w:p>
        </w:tc>
      </w:tr>
    </w:tbl>
    <w:p w14:paraId="77719217" w14:textId="7108188B" w:rsidR="00D02767" w:rsidRPr="00880004" w:rsidRDefault="00D02767" w:rsidP="00D02767">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5AFE8566" w14:textId="77777777" w:rsidR="00D02767" w:rsidRPr="00880004" w:rsidRDefault="00D02767" w:rsidP="00D02767">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71507C6F" w14:textId="77777777" w:rsidR="00D02767" w:rsidRPr="00880004" w:rsidRDefault="00D02767" w:rsidP="00D02767">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37C29B1F" w14:textId="77777777" w:rsidR="00D02767" w:rsidRPr="0062260E" w:rsidRDefault="00D02767" w:rsidP="00D02767">
      <w:pPr>
        <w:jc w:val="right"/>
        <w:rPr>
          <w:i/>
        </w:rPr>
      </w:pPr>
      <w:r w:rsidRPr="0062260E">
        <w:rPr>
          <w:i/>
          <w:sz w:val="18"/>
          <w:szCs w:val="18"/>
        </w:rPr>
        <w:t>ANNEX B – PERFORMANCE BENCHMARKS continued over</w:t>
      </w:r>
      <w:r w:rsidRPr="0062260E">
        <w:rPr>
          <w:i/>
        </w:rPr>
        <w:t xml:space="preserve"> …</w:t>
      </w:r>
    </w:p>
    <w:p w14:paraId="3FC5C436" w14:textId="77777777" w:rsidR="00D02767" w:rsidRDefault="00D02767" w:rsidP="00D02767">
      <w:r>
        <w:br w:type="page"/>
      </w:r>
    </w:p>
    <w:p w14:paraId="17238878" w14:textId="77777777" w:rsidR="00D02767" w:rsidRDefault="00D02767"/>
    <w:tbl>
      <w:tblPr>
        <w:tblStyle w:val="DFATTable"/>
        <w:tblW w:w="5000" w:type="pct"/>
        <w:tblLook w:val="04A0" w:firstRow="1" w:lastRow="0" w:firstColumn="1" w:lastColumn="0" w:noHBand="0" w:noVBand="1"/>
      </w:tblPr>
      <w:tblGrid>
        <w:gridCol w:w="3260"/>
        <w:gridCol w:w="4677"/>
        <w:gridCol w:w="1420"/>
        <w:gridCol w:w="4816"/>
      </w:tblGrid>
      <w:tr w:rsidR="009042FA" w:rsidRPr="00C61187" w14:paraId="707EA363" w14:textId="77777777" w:rsidTr="009042FA">
        <w:tc>
          <w:tcPr>
            <w:tcW w:w="5000" w:type="pct"/>
            <w:gridSpan w:val="4"/>
            <w:tcMar>
              <w:top w:w="57" w:type="dxa"/>
              <w:bottom w:w="57" w:type="dxa"/>
            </w:tcMar>
          </w:tcPr>
          <w:p w14:paraId="61576305" w14:textId="28DBE66C" w:rsidR="009042FA" w:rsidRPr="002822FD" w:rsidRDefault="009042FA" w:rsidP="009042FA">
            <w:pPr>
              <w:keepLines/>
              <w:spacing w:before="40" w:after="40" w:line="200" w:lineRule="atLeast"/>
              <w:jc w:val="both"/>
              <w:rPr>
                <w:rFonts w:eastAsia="Times New Roman"/>
                <w:iCs/>
                <w:color w:val="333938" w:themeColor="background2" w:themeShade="40"/>
                <w:szCs w:val="17"/>
                <w:u w:val="single"/>
              </w:rPr>
            </w:pPr>
            <w:r>
              <w:rPr>
                <w:rFonts w:asciiTheme="minorHAnsi" w:eastAsia="Times New Roman" w:hAnsiTheme="minorHAnsi"/>
                <w:iCs/>
                <w:color w:val="333938" w:themeColor="background2" w:themeShade="40"/>
                <w:szCs w:val="17"/>
                <w:u w:val="single"/>
                <w:lang w:eastAsia="en-US"/>
              </w:rPr>
              <w:t>Pillar 3</w:t>
            </w:r>
            <w:r w:rsidRPr="002822FD">
              <w:rPr>
                <w:rFonts w:asciiTheme="minorHAnsi" w:eastAsia="Times New Roman" w:hAnsiTheme="minorHAnsi"/>
                <w:iCs/>
                <w:color w:val="333938" w:themeColor="background2" w:themeShade="40"/>
                <w:szCs w:val="17"/>
                <w:u w:val="single"/>
                <w:lang w:eastAsia="en-US"/>
              </w:rPr>
              <w:t xml:space="preserve">: </w:t>
            </w:r>
            <w:r w:rsidRPr="00AA4A10">
              <w:rPr>
                <w:rFonts w:asciiTheme="minorHAnsi" w:eastAsia="Times New Roman" w:hAnsiTheme="minorHAnsi"/>
                <w:iCs/>
                <w:color w:val="333938" w:themeColor="background2" w:themeShade="40"/>
                <w:szCs w:val="17"/>
                <w:u w:val="single"/>
                <w:lang w:eastAsia="en-US"/>
              </w:rPr>
              <w:t>Promoting inclusive economic growth</w:t>
            </w:r>
          </w:p>
        </w:tc>
      </w:tr>
      <w:tr w:rsidR="009042FA" w:rsidRPr="00AA4A10" w14:paraId="22D0A589" w14:textId="77777777" w:rsidTr="004F7111">
        <w:trPr>
          <w:trHeight w:val="555"/>
        </w:trPr>
        <w:tc>
          <w:tcPr>
            <w:tcW w:w="1150" w:type="pct"/>
            <w:vMerge w:val="restart"/>
            <w:tcMar>
              <w:top w:w="57" w:type="dxa"/>
              <w:bottom w:w="57" w:type="dxa"/>
            </w:tcMar>
          </w:tcPr>
          <w:p w14:paraId="454EEE5F"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Contribute to an improved business environment</w:t>
            </w:r>
            <w:r>
              <w:rPr>
                <w:rFonts w:asciiTheme="minorHAnsi" w:eastAsia="Times New Roman" w:hAnsiTheme="minorHAnsi"/>
                <w:iCs/>
                <w:color w:val="333938" w:themeColor="background2" w:themeShade="40"/>
                <w:szCs w:val="17"/>
                <w:lang w:eastAsia="en-US"/>
              </w:rPr>
              <w:t xml:space="preserve"> (ICCP)</w:t>
            </w:r>
          </w:p>
        </w:tc>
        <w:tc>
          <w:tcPr>
            <w:tcW w:w="1650" w:type="pct"/>
          </w:tcPr>
          <w:p w14:paraId="001B9173"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 xml:space="preserve">Myanmar’s </w:t>
            </w:r>
            <w:r>
              <w:rPr>
                <w:rFonts w:asciiTheme="minorHAnsi" w:eastAsia="Times New Roman" w:hAnsiTheme="minorHAnsi"/>
                <w:iCs/>
                <w:color w:val="333938" w:themeColor="background2" w:themeShade="40"/>
                <w:szCs w:val="17"/>
                <w:lang w:eastAsia="en-US"/>
              </w:rPr>
              <w:t xml:space="preserve">improvement on 2017 ranking for </w:t>
            </w:r>
            <w:r w:rsidRPr="00AA4A10">
              <w:rPr>
                <w:rFonts w:asciiTheme="minorHAnsi" w:eastAsia="Times New Roman" w:hAnsiTheme="minorHAnsi"/>
                <w:iCs/>
                <w:color w:val="333938" w:themeColor="background2" w:themeShade="40"/>
                <w:szCs w:val="17"/>
                <w:lang w:eastAsia="en-US"/>
              </w:rPr>
              <w:t>the Doing Business Index</w:t>
            </w:r>
            <w:r>
              <w:rPr>
                <w:rFonts w:asciiTheme="minorHAnsi" w:eastAsia="Times New Roman" w:hAnsiTheme="minorHAnsi"/>
                <w:iCs/>
                <w:color w:val="333938" w:themeColor="background2" w:themeShade="40"/>
                <w:szCs w:val="17"/>
                <w:lang w:eastAsia="en-US"/>
              </w:rPr>
              <w:t>.</w:t>
            </w:r>
          </w:p>
        </w:tc>
        <w:tc>
          <w:tcPr>
            <w:tcW w:w="501" w:type="pct"/>
            <w:shd w:val="clear" w:color="auto" w:fill="E36C0A"/>
          </w:tcPr>
          <w:p w14:paraId="3CA7A193" w14:textId="77777777" w:rsidR="009042FA" w:rsidRPr="00AA4A10" w:rsidRDefault="009042FA" w:rsidP="009042FA">
            <w:pPr>
              <w:keepLines/>
              <w:spacing w:before="40" w:after="40" w:line="200" w:lineRule="atLeast"/>
              <w:jc w:val="center"/>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FFFFFF" w:themeColor="background1"/>
                <w:szCs w:val="17"/>
                <w:lang w:eastAsia="en-US"/>
              </w:rPr>
              <w:t>Partially achieved</w:t>
            </w:r>
          </w:p>
        </w:tc>
        <w:tc>
          <w:tcPr>
            <w:tcW w:w="1699" w:type="pct"/>
          </w:tcPr>
          <w:p w14:paraId="05EE521C"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Pr>
                <w:rFonts w:asciiTheme="minorHAnsi" w:eastAsia="Times New Roman" w:hAnsiTheme="minorHAnsi"/>
                <w:iCs/>
                <w:color w:val="333938" w:themeColor="background2" w:themeShade="40"/>
                <w:szCs w:val="17"/>
                <w:lang w:eastAsia="en-US"/>
              </w:rPr>
              <w:t>Myanmar’s ranking stayed at 171 for 2018.</w:t>
            </w:r>
          </w:p>
        </w:tc>
      </w:tr>
      <w:tr w:rsidR="009042FA" w:rsidRPr="00C61187" w14:paraId="34733151" w14:textId="77777777" w:rsidTr="004F7111">
        <w:tc>
          <w:tcPr>
            <w:tcW w:w="1150" w:type="pct"/>
            <w:vMerge/>
            <w:tcMar>
              <w:top w:w="57" w:type="dxa"/>
              <w:bottom w:w="57" w:type="dxa"/>
            </w:tcMar>
          </w:tcPr>
          <w:p w14:paraId="396B3670"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650" w:type="pct"/>
          </w:tcPr>
          <w:p w14:paraId="61142CF8"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Improved corporate governance</w:t>
            </w:r>
          </w:p>
        </w:tc>
        <w:tc>
          <w:tcPr>
            <w:tcW w:w="501" w:type="pct"/>
            <w:shd w:val="clear" w:color="auto" w:fill="72AF2F"/>
          </w:tcPr>
          <w:p w14:paraId="5E0E0E78" w14:textId="77777777" w:rsidR="009042FA" w:rsidRPr="00F52240"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1699" w:type="pct"/>
          </w:tcPr>
          <w:p w14:paraId="5C4DEC68" w14:textId="77777777" w:rsidR="009042FA" w:rsidRPr="00377866" w:rsidRDefault="009042FA" w:rsidP="009042FA">
            <w:pPr>
              <w:pStyle w:val="TableTextEntries"/>
              <w:keepNext/>
              <w:rPr>
                <w:rFonts w:asciiTheme="minorHAnsi" w:hAnsiTheme="minorHAnsi" w:cstheme="minorBidi"/>
                <w:color w:val="333938" w:themeColor="background2" w:themeShade="40"/>
                <w:lang w:val="en-GB" w:eastAsia="en-US"/>
              </w:rPr>
            </w:pPr>
            <w:r w:rsidRPr="00E060C8">
              <w:rPr>
                <w:rFonts w:asciiTheme="minorHAnsi" w:hAnsiTheme="minorHAnsi" w:cstheme="minorBidi"/>
                <w:color w:val="333938" w:themeColor="background2" w:themeShade="40"/>
                <w:lang w:val="en-GB" w:eastAsia="en-US"/>
              </w:rPr>
              <w:t>ICCP achievements</w:t>
            </w:r>
            <w:r>
              <w:rPr>
                <w:rFonts w:asciiTheme="minorHAnsi" w:hAnsiTheme="minorHAnsi" w:cstheme="minorBidi"/>
                <w:color w:val="333938" w:themeColor="background2" w:themeShade="40"/>
                <w:lang w:val="en-GB" w:eastAsia="en-US"/>
              </w:rPr>
              <w:t xml:space="preserve"> </w:t>
            </w:r>
            <w:r w:rsidRPr="00E060C8">
              <w:rPr>
                <w:rFonts w:asciiTheme="minorHAnsi" w:hAnsiTheme="minorHAnsi" w:cstheme="minorBidi"/>
                <w:color w:val="333938" w:themeColor="background2" w:themeShade="40"/>
                <w:lang w:val="en-GB" w:eastAsia="en-US"/>
              </w:rPr>
              <w:t>include the inauguration of the Myanmar Institute of Directors</w:t>
            </w:r>
            <w:r>
              <w:rPr>
                <w:rFonts w:asciiTheme="minorHAnsi" w:hAnsiTheme="minorHAnsi" w:cstheme="minorBidi"/>
                <w:color w:val="333938" w:themeColor="background2" w:themeShade="40"/>
                <w:lang w:val="en-GB" w:eastAsia="en-US"/>
              </w:rPr>
              <w:t>, delivery of</w:t>
            </w:r>
            <w:r w:rsidRPr="00E060C8">
              <w:rPr>
                <w:rFonts w:asciiTheme="minorHAnsi" w:hAnsiTheme="minorHAnsi" w:cstheme="minorBidi"/>
                <w:color w:val="333938" w:themeColor="background2" w:themeShade="40"/>
                <w:lang w:val="en-GB" w:eastAsia="en-US"/>
              </w:rPr>
              <w:t xml:space="preserve"> corporate governance training for company directors</w:t>
            </w:r>
            <w:r>
              <w:rPr>
                <w:rFonts w:asciiTheme="minorHAnsi" w:hAnsiTheme="minorHAnsi" w:cstheme="minorBidi"/>
                <w:color w:val="333938" w:themeColor="background2" w:themeShade="40"/>
                <w:lang w:val="en-GB" w:eastAsia="en-US"/>
              </w:rPr>
              <w:t xml:space="preserve"> and </w:t>
            </w:r>
            <w:r w:rsidRPr="00E060C8">
              <w:rPr>
                <w:rFonts w:asciiTheme="minorHAnsi" w:hAnsiTheme="minorHAnsi" w:cstheme="minorBidi"/>
                <w:color w:val="333938" w:themeColor="background2" w:themeShade="40"/>
                <w:lang w:val="en-GB" w:eastAsia="en-US"/>
              </w:rPr>
              <w:t xml:space="preserve">development and piloting of a corporate governance practices assessment tool </w:t>
            </w:r>
            <w:r>
              <w:rPr>
                <w:rFonts w:asciiTheme="minorHAnsi" w:hAnsiTheme="minorHAnsi" w:cstheme="minorBidi"/>
                <w:color w:val="333938" w:themeColor="background2" w:themeShade="40"/>
                <w:lang w:val="en-GB" w:eastAsia="en-US"/>
              </w:rPr>
              <w:t>with the Myanmar Securities and Exchange Commission.</w:t>
            </w:r>
          </w:p>
        </w:tc>
      </w:tr>
      <w:tr w:rsidR="009042FA" w:rsidRPr="00C61187" w14:paraId="0371F819" w14:textId="77777777" w:rsidTr="00AA7CE2">
        <w:tc>
          <w:tcPr>
            <w:tcW w:w="1150" w:type="pct"/>
            <w:tcMar>
              <w:top w:w="57" w:type="dxa"/>
              <w:bottom w:w="57" w:type="dxa"/>
            </w:tcMar>
          </w:tcPr>
          <w:p w14:paraId="4237BA9B"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Increased incomes of rural households</w:t>
            </w:r>
            <w:r>
              <w:rPr>
                <w:rFonts w:asciiTheme="minorHAnsi" w:eastAsia="Times New Roman" w:hAnsiTheme="minorHAnsi"/>
                <w:iCs/>
                <w:color w:val="333938" w:themeColor="background2" w:themeShade="40"/>
                <w:szCs w:val="17"/>
                <w:lang w:eastAsia="en-US"/>
              </w:rPr>
              <w:t xml:space="preserve"> (LIFT)</w:t>
            </w:r>
          </w:p>
        </w:tc>
        <w:tc>
          <w:tcPr>
            <w:tcW w:w="1650" w:type="pct"/>
          </w:tcPr>
          <w:p w14:paraId="6EFE9F67"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Households in target locations increase incomes</w:t>
            </w:r>
          </w:p>
        </w:tc>
        <w:tc>
          <w:tcPr>
            <w:tcW w:w="501" w:type="pct"/>
            <w:shd w:val="clear" w:color="auto" w:fill="E36C0A"/>
          </w:tcPr>
          <w:p w14:paraId="39361D1E" w14:textId="77777777" w:rsidR="009042FA" w:rsidRPr="00F52240"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achieved</w:t>
            </w:r>
          </w:p>
        </w:tc>
        <w:tc>
          <w:tcPr>
            <w:tcW w:w="1699" w:type="pct"/>
          </w:tcPr>
          <w:p w14:paraId="6C07D48C" w14:textId="12B161C5" w:rsidR="009042FA" w:rsidRPr="00C660F2" w:rsidRDefault="009042FA" w:rsidP="009042FA">
            <w:pPr>
              <w:pStyle w:val="TableTextEntries"/>
              <w:keepNext/>
              <w:rPr>
                <w:rFonts w:asciiTheme="minorHAnsi" w:hAnsiTheme="minorHAnsi" w:cstheme="minorBidi"/>
                <w:color w:val="333938" w:themeColor="background2" w:themeShade="40"/>
                <w:lang w:val="en-GB" w:eastAsia="en-US"/>
              </w:rPr>
            </w:pPr>
            <w:r>
              <w:rPr>
                <w:rFonts w:asciiTheme="minorHAnsi" w:hAnsiTheme="minorHAnsi" w:cstheme="minorBidi"/>
                <w:color w:val="333938" w:themeColor="background2" w:themeShade="40"/>
                <w:lang w:val="en-GB" w:eastAsia="en-US"/>
              </w:rPr>
              <w:t>This target</w:t>
            </w:r>
            <w:r w:rsidRPr="00C660F2">
              <w:rPr>
                <w:rFonts w:asciiTheme="minorHAnsi" w:hAnsiTheme="minorHAnsi" w:cstheme="minorBidi"/>
                <w:color w:val="333938" w:themeColor="background2" w:themeShade="40"/>
                <w:lang w:val="en-GB" w:eastAsia="en-US"/>
              </w:rPr>
              <w:t xml:space="preserve"> of 30,680 (attributed) households was </w:t>
            </w:r>
            <w:r>
              <w:rPr>
                <w:rFonts w:asciiTheme="minorHAnsi" w:hAnsiTheme="minorHAnsi" w:cstheme="minorBidi"/>
                <w:color w:val="333938" w:themeColor="background2" w:themeShade="40"/>
                <w:lang w:val="en-GB" w:eastAsia="en-US"/>
              </w:rPr>
              <w:t>partially achieved. The number is 22,146</w:t>
            </w:r>
            <w:r w:rsidRPr="00C660F2">
              <w:rPr>
                <w:rFonts w:asciiTheme="minorHAnsi" w:hAnsiTheme="minorHAnsi" w:cstheme="minorBidi"/>
                <w:color w:val="333938" w:themeColor="background2" w:themeShade="40"/>
                <w:lang w:val="en-GB" w:eastAsia="en-US"/>
              </w:rPr>
              <w:t xml:space="preserve"> households (attributed)</w:t>
            </w:r>
            <w:r w:rsidR="00AA7CE2">
              <w:rPr>
                <w:rFonts w:asciiTheme="minorHAnsi" w:hAnsiTheme="minorHAnsi" w:cstheme="minorBidi"/>
                <w:color w:val="333938" w:themeColor="background2" w:themeShade="40"/>
                <w:lang w:val="en-GB" w:eastAsia="en-US"/>
              </w:rPr>
              <w:t xml:space="preserve"> due to change in calculation method.</w:t>
            </w:r>
          </w:p>
        </w:tc>
      </w:tr>
      <w:tr w:rsidR="009042FA" w:rsidRPr="00C61187" w14:paraId="72303741" w14:textId="77777777" w:rsidTr="00AA7CE2">
        <w:trPr>
          <w:trHeight w:val="23"/>
        </w:trPr>
        <w:tc>
          <w:tcPr>
            <w:tcW w:w="1150" w:type="pct"/>
            <w:tcMar>
              <w:top w:w="57" w:type="dxa"/>
              <w:bottom w:w="57" w:type="dxa"/>
            </w:tcMar>
          </w:tcPr>
          <w:p w14:paraId="464786A9" w14:textId="77777777"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Increased access to adequate and affordable financial services by smallholders and landless</w:t>
            </w:r>
            <w:r>
              <w:rPr>
                <w:rFonts w:asciiTheme="minorHAnsi" w:eastAsia="Times New Roman" w:hAnsiTheme="minorHAnsi"/>
                <w:iCs/>
                <w:color w:val="333938" w:themeColor="background2" w:themeShade="40"/>
                <w:szCs w:val="17"/>
                <w:lang w:eastAsia="en-US"/>
              </w:rPr>
              <w:t xml:space="preserve"> (LIFT)</w:t>
            </w:r>
          </w:p>
        </w:tc>
        <w:tc>
          <w:tcPr>
            <w:tcW w:w="1650" w:type="pct"/>
          </w:tcPr>
          <w:p w14:paraId="4105E859" w14:textId="0253DCAE" w:rsidR="009042FA" w:rsidRPr="00AA4A10"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A4A10">
              <w:rPr>
                <w:rFonts w:asciiTheme="minorHAnsi" w:eastAsia="Times New Roman" w:hAnsiTheme="minorHAnsi"/>
                <w:iCs/>
                <w:color w:val="333938" w:themeColor="background2" w:themeShade="40"/>
                <w:szCs w:val="17"/>
                <w:lang w:eastAsia="en-US"/>
              </w:rPr>
              <w:t xml:space="preserve">Households in target locations have increased access </w:t>
            </w:r>
            <w:r w:rsidR="0029571C">
              <w:rPr>
                <w:rFonts w:asciiTheme="minorHAnsi" w:eastAsia="Times New Roman" w:hAnsiTheme="minorHAnsi"/>
                <w:iCs/>
                <w:color w:val="333938" w:themeColor="background2" w:themeShade="40"/>
                <w:szCs w:val="17"/>
                <w:lang w:eastAsia="en-US"/>
              </w:rPr>
              <w:t xml:space="preserve">to </w:t>
            </w:r>
            <w:r w:rsidRPr="00AA4A10">
              <w:rPr>
                <w:rFonts w:asciiTheme="minorHAnsi" w:eastAsia="Times New Roman" w:hAnsiTheme="minorHAnsi"/>
                <w:iCs/>
                <w:color w:val="333938" w:themeColor="background2" w:themeShade="40"/>
                <w:szCs w:val="17"/>
                <w:lang w:eastAsia="en-US"/>
              </w:rPr>
              <w:t>financial services</w:t>
            </w:r>
          </w:p>
        </w:tc>
        <w:tc>
          <w:tcPr>
            <w:tcW w:w="501" w:type="pct"/>
            <w:shd w:val="clear" w:color="auto" w:fill="E36C0A"/>
          </w:tcPr>
          <w:p w14:paraId="1AAF67D7" w14:textId="77777777" w:rsidR="009042FA" w:rsidRPr="00F52240" w:rsidRDefault="009042FA" w:rsidP="009042F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w:t>
            </w:r>
            <w:r w:rsidRPr="00880004">
              <w:rPr>
                <w:rFonts w:asciiTheme="minorHAnsi" w:eastAsia="Times New Roman" w:hAnsiTheme="minorHAnsi"/>
                <w:iCs/>
                <w:color w:val="FFFFFF" w:themeColor="background1"/>
                <w:szCs w:val="17"/>
                <w:lang w:eastAsia="en-US"/>
              </w:rPr>
              <w:t>chieved</w:t>
            </w:r>
          </w:p>
        </w:tc>
        <w:tc>
          <w:tcPr>
            <w:tcW w:w="1699" w:type="pct"/>
          </w:tcPr>
          <w:p w14:paraId="562F5DD9" w14:textId="117407F9" w:rsidR="009042FA" w:rsidRPr="00C660F2" w:rsidRDefault="009042FA" w:rsidP="009042FA">
            <w:pPr>
              <w:pStyle w:val="TableTextEntries"/>
              <w:keepNext/>
              <w:rPr>
                <w:rFonts w:asciiTheme="minorHAnsi" w:hAnsiTheme="minorHAnsi" w:cstheme="minorBidi"/>
                <w:color w:val="333938" w:themeColor="background2" w:themeShade="40"/>
                <w:lang w:val="en-GB" w:eastAsia="en-US"/>
              </w:rPr>
            </w:pPr>
            <w:r w:rsidRPr="00C660F2">
              <w:rPr>
                <w:rFonts w:asciiTheme="minorHAnsi" w:hAnsiTheme="minorHAnsi" w:cstheme="minorBidi"/>
                <w:color w:val="333938" w:themeColor="background2" w:themeShade="40"/>
                <w:lang w:val="en-GB" w:eastAsia="en-US"/>
              </w:rPr>
              <w:t xml:space="preserve">This target of 118,000 households (attributed) was </w:t>
            </w:r>
            <w:r>
              <w:rPr>
                <w:rFonts w:asciiTheme="minorHAnsi" w:hAnsiTheme="minorHAnsi" w:cstheme="minorBidi"/>
                <w:color w:val="333938" w:themeColor="background2" w:themeShade="40"/>
                <w:lang w:val="en-GB" w:eastAsia="en-US"/>
              </w:rPr>
              <w:t>partially achieved. 41,981 new clients had access to financial services</w:t>
            </w:r>
            <w:r w:rsidRPr="00C660F2">
              <w:rPr>
                <w:rFonts w:asciiTheme="minorHAnsi" w:hAnsiTheme="minorHAnsi" w:cstheme="minorBidi"/>
                <w:color w:val="333938" w:themeColor="background2" w:themeShade="40"/>
                <w:lang w:val="en-GB" w:eastAsia="en-US"/>
              </w:rPr>
              <w:t xml:space="preserve"> (attributed)</w:t>
            </w:r>
            <w:r w:rsidR="00E67A7C">
              <w:rPr>
                <w:rFonts w:asciiTheme="minorHAnsi" w:hAnsiTheme="minorHAnsi" w:cstheme="minorBidi"/>
                <w:color w:val="333938" w:themeColor="background2" w:themeShade="40"/>
                <w:lang w:val="en-GB" w:eastAsia="en-US"/>
              </w:rPr>
              <w:t xml:space="preserve"> due to change in calculation method</w:t>
            </w:r>
            <w:r w:rsidRPr="00C660F2">
              <w:rPr>
                <w:rFonts w:asciiTheme="minorHAnsi" w:hAnsiTheme="minorHAnsi" w:cstheme="minorBidi"/>
                <w:color w:val="333938" w:themeColor="background2" w:themeShade="40"/>
                <w:lang w:val="en-GB" w:eastAsia="en-US"/>
              </w:rPr>
              <w:t>.</w:t>
            </w:r>
          </w:p>
        </w:tc>
      </w:tr>
    </w:tbl>
    <w:p w14:paraId="3EC4A842" w14:textId="77777777" w:rsidR="009042FA" w:rsidRPr="00880004" w:rsidRDefault="009042FA" w:rsidP="009042FA">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1977B855" w14:textId="6F2172D4" w:rsidR="009042FA" w:rsidRPr="00880004" w:rsidRDefault="009042FA" w:rsidP="009042FA">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0E74BE1" w14:textId="77777777" w:rsidR="009042FA" w:rsidRPr="00880004" w:rsidRDefault="009042FA" w:rsidP="009042FA">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6DA9FC2F" w14:textId="1006FC38" w:rsidR="009042FA" w:rsidRDefault="009042FA" w:rsidP="00183543">
      <w:pPr>
        <w:spacing w:before="20" w:after="20" w:line="180" w:lineRule="atLeast"/>
        <w:jc w:val="both"/>
        <w:rPr>
          <w:rFonts w:ascii="Franklin Gothic Book" w:eastAsia="Times New Roman" w:hAnsi="Franklin Gothic Book"/>
          <w:b/>
          <w:sz w:val="24"/>
          <w:szCs w:val="2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03AA886A" w14:textId="074DC0A1" w:rsidR="009042FA" w:rsidRPr="00F8189A" w:rsidRDefault="009042FA" w:rsidP="009042FA">
      <w:pPr>
        <w:rPr>
          <w:rFonts w:eastAsia="Times New Roman" w:cstheme="minorHAnsi"/>
          <w:sz w:val="32"/>
          <w:szCs w:val="32"/>
        </w:rPr>
      </w:pPr>
      <w:r w:rsidRPr="00F8189A">
        <w:rPr>
          <w:rFonts w:eastAsia="Times New Roman" w:cstheme="minorHAnsi"/>
          <w:sz w:val="32"/>
          <w:szCs w:val="32"/>
        </w:rPr>
        <w:t xml:space="preserve">2 Performance Benchmarks for </w:t>
      </w:r>
      <w:r>
        <w:rPr>
          <w:rFonts w:eastAsia="Times New Roman" w:cstheme="minorHAnsi"/>
          <w:sz w:val="32"/>
          <w:szCs w:val="32"/>
        </w:rPr>
        <w:t>2019-20</w:t>
      </w:r>
    </w:p>
    <w:tbl>
      <w:tblPr>
        <w:tblStyle w:val="DFATTable"/>
        <w:tblW w:w="5000" w:type="pct"/>
        <w:tblLook w:val="04A0" w:firstRow="1" w:lastRow="0" w:firstColumn="1" w:lastColumn="0" w:noHBand="0" w:noVBand="1"/>
      </w:tblPr>
      <w:tblGrid>
        <w:gridCol w:w="3260"/>
        <w:gridCol w:w="3543"/>
        <w:gridCol w:w="3830"/>
        <w:gridCol w:w="3540"/>
      </w:tblGrid>
      <w:tr w:rsidR="009042FA" w14:paraId="12EC7E70" w14:textId="77777777" w:rsidTr="009042FA">
        <w:trPr>
          <w:trHeight w:val="245"/>
        </w:trPr>
        <w:tc>
          <w:tcPr>
            <w:tcW w:w="1150" w:type="pct"/>
            <w:tcBorders>
              <w:top w:val="single" w:sz="12" w:space="0" w:color="auto"/>
              <w:left w:val="nil"/>
              <w:bottom w:val="nil"/>
              <w:right w:val="nil"/>
            </w:tcBorders>
          </w:tcPr>
          <w:p w14:paraId="403FEDB9" w14:textId="77777777" w:rsidR="009042FA" w:rsidRPr="00BE6C6D" w:rsidRDefault="009042FA" w:rsidP="009042FA">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250" w:type="pct"/>
            <w:tcBorders>
              <w:top w:val="single" w:sz="12" w:space="0" w:color="auto"/>
              <w:left w:val="nil"/>
              <w:bottom w:val="nil"/>
              <w:right w:val="nil"/>
            </w:tcBorders>
          </w:tcPr>
          <w:p w14:paraId="6F8FBA48" w14:textId="77777777" w:rsidR="009042FA" w:rsidRPr="00BE6C6D" w:rsidRDefault="009042FA" w:rsidP="009042FA">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351" w:type="pct"/>
            <w:tcBorders>
              <w:top w:val="single" w:sz="12" w:space="0" w:color="auto"/>
              <w:left w:val="nil"/>
              <w:bottom w:val="nil"/>
              <w:right w:val="nil"/>
            </w:tcBorders>
            <w:hideMark/>
          </w:tcPr>
          <w:p w14:paraId="77EA4175" w14:textId="77777777" w:rsidR="009042FA" w:rsidRPr="00BE6C6D" w:rsidRDefault="009042FA" w:rsidP="009042FA">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249" w:type="pct"/>
            <w:tcBorders>
              <w:top w:val="single" w:sz="12" w:space="0" w:color="auto"/>
              <w:left w:val="nil"/>
              <w:bottom w:val="nil"/>
              <w:right w:val="nil"/>
            </w:tcBorders>
            <w:hideMark/>
          </w:tcPr>
          <w:p w14:paraId="70DE1585" w14:textId="77777777" w:rsidR="009042FA" w:rsidRPr="00BE6C6D" w:rsidRDefault="009042FA" w:rsidP="009042FA">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9042FA" w14:paraId="78B5BFD5" w14:textId="77777777" w:rsidTr="009042FA">
        <w:trPr>
          <w:trHeight w:val="730"/>
        </w:trPr>
        <w:tc>
          <w:tcPr>
            <w:tcW w:w="1150" w:type="pct"/>
            <w:vMerge w:val="restart"/>
            <w:tcBorders>
              <w:top w:val="nil"/>
              <w:left w:val="nil"/>
              <w:right w:val="nil"/>
            </w:tcBorders>
          </w:tcPr>
          <w:p w14:paraId="15BB508D" w14:textId="77777777" w:rsidR="009042FA" w:rsidRPr="00141C3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1A6E0A">
              <w:rPr>
                <w:rFonts w:asciiTheme="minorHAnsi" w:eastAsia="Times New Roman" w:hAnsiTheme="minorHAnsi"/>
                <w:iCs/>
                <w:color w:val="333938" w:themeColor="background2" w:themeShade="40"/>
                <w:szCs w:val="17"/>
                <w:lang w:eastAsia="en-US"/>
              </w:rPr>
              <w:t>Enhancing human development</w:t>
            </w:r>
          </w:p>
        </w:tc>
        <w:tc>
          <w:tcPr>
            <w:tcW w:w="1250" w:type="pct"/>
            <w:tcBorders>
              <w:top w:val="nil"/>
              <w:left w:val="nil"/>
              <w:bottom w:val="nil"/>
              <w:right w:val="nil"/>
            </w:tcBorders>
          </w:tcPr>
          <w:p w14:paraId="4E0DFE19" w14:textId="77777777" w:rsidR="009042FA" w:rsidRPr="00141C3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7E4733">
              <w:rPr>
                <w:rFonts w:asciiTheme="minorHAnsi" w:eastAsia="Times New Roman" w:hAnsiTheme="minorHAnsi"/>
                <w:iCs/>
                <w:color w:val="333938" w:themeColor="background2" w:themeShade="40"/>
                <w:szCs w:val="17"/>
                <w:lang w:eastAsia="en-US"/>
              </w:rPr>
              <w:t>Reduced drop outs and repetition of disadvantaged students</w:t>
            </w:r>
          </w:p>
        </w:tc>
        <w:tc>
          <w:tcPr>
            <w:tcW w:w="1351" w:type="pct"/>
            <w:tcBorders>
              <w:top w:val="nil"/>
              <w:left w:val="nil"/>
              <w:bottom w:val="nil"/>
              <w:right w:val="nil"/>
            </w:tcBorders>
            <w:hideMark/>
          </w:tcPr>
          <w:p w14:paraId="09D9ECDD" w14:textId="77777777" w:rsidR="009042FA" w:rsidRPr="00510F9B" w:rsidRDefault="009042FA" w:rsidP="00D02767">
            <w:pPr>
              <w:pStyle w:val="NormalIndented"/>
              <w:spacing w:before="0" w:after="0"/>
              <w:ind w:left="33"/>
              <w:jc w:val="center"/>
              <w:rPr>
                <w:rFonts w:asciiTheme="minorHAnsi" w:eastAsia="Times New Roman" w:hAnsiTheme="minorHAnsi"/>
                <w:i/>
                <w:iCs/>
                <w:color w:val="333938" w:themeColor="background2" w:themeShade="40"/>
                <w:szCs w:val="17"/>
                <w:lang w:eastAsia="en-US"/>
              </w:rPr>
            </w:pPr>
            <w:r w:rsidRPr="007E4733">
              <w:rPr>
                <w:rFonts w:asciiTheme="minorHAnsi" w:eastAsia="Times New Roman" w:hAnsiTheme="minorHAnsi"/>
                <w:i/>
                <w:iCs/>
                <w:color w:val="333938" w:themeColor="background2" w:themeShade="40"/>
                <w:szCs w:val="17"/>
                <w:lang w:eastAsia="en-US"/>
              </w:rPr>
              <w:t>48,000 students receiving payments; Ministry of Education (MoE) has selected two new townships in central/southern Rakhine for the stipends programs</w:t>
            </w:r>
          </w:p>
        </w:tc>
        <w:tc>
          <w:tcPr>
            <w:tcW w:w="1249" w:type="pct"/>
            <w:tcBorders>
              <w:top w:val="nil"/>
              <w:left w:val="nil"/>
              <w:bottom w:val="nil"/>
              <w:right w:val="nil"/>
            </w:tcBorders>
            <w:hideMark/>
          </w:tcPr>
          <w:p w14:paraId="08607D5B" w14:textId="26DEB687" w:rsidR="009042FA" w:rsidRPr="00510F9B" w:rsidRDefault="004E0F5D" w:rsidP="00D02767">
            <w:pPr>
              <w:pStyle w:val="NormalIndented"/>
              <w:spacing w:before="0" w:after="0"/>
              <w:jc w:val="center"/>
              <w:rPr>
                <w:rFonts w:asciiTheme="minorHAnsi" w:eastAsia="Times New Roman" w:hAnsiTheme="minorHAnsi"/>
                <w:i/>
                <w:iCs/>
                <w:color w:val="333938" w:themeColor="background2" w:themeShade="40"/>
                <w:szCs w:val="17"/>
                <w:lang w:eastAsia="en-US"/>
              </w:rPr>
            </w:pPr>
            <w:r>
              <w:rPr>
                <w:rFonts w:asciiTheme="minorHAnsi" w:eastAsia="Times New Roman" w:hAnsiTheme="minorHAnsi"/>
                <w:i/>
                <w:iCs/>
                <w:color w:val="333938" w:themeColor="background2" w:themeShade="40"/>
                <w:szCs w:val="17"/>
                <w:lang w:eastAsia="en-US"/>
              </w:rPr>
              <w:t xml:space="preserve">The </w:t>
            </w:r>
            <w:r w:rsidRPr="004E0F5D">
              <w:rPr>
                <w:rFonts w:asciiTheme="minorHAnsi" w:eastAsia="Times New Roman" w:hAnsiTheme="minorHAnsi"/>
                <w:i/>
                <w:iCs/>
                <w:color w:val="333938" w:themeColor="background2" w:themeShade="40"/>
                <w:szCs w:val="17"/>
                <w:lang w:eastAsia="en-US"/>
              </w:rPr>
              <w:t>stipends program has been expanded to include two new townships in Rakhine’</w:t>
            </w:r>
            <w:r w:rsidR="009042FA" w:rsidRPr="007E4733">
              <w:rPr>
                <w:rFonts w:asciiTheme="minorHAnsi" w:eastAsia="Times New Roman" w:hAnsiTheme="minorHAnsi"/>
                <w:i/>
                <w:iCs/>
                <w:color w:val="333938" w:themeColor="background2" w:themeShade="40"/>
                <w:szCs w:val="17"/>
                <w:lang w:eastAsia="en-US"/>
              </w:rPr>
              <w:t>; 48,000 students in other townships</w:t>
            </w:r>
          </w:p>
        </w:tc>
      </w:tr>
      <w:tr w:rsidR="009042FA" w14:paraId="24DCF8C3" w14:textId="77777777" w:rsidTr="009042FA">
        <w:trPr>
          <w:trHeight w:val="730"/>
        </w:trPr>
        <w:tc>
          <w:tcPr>
            <w:tcW w:w="1150" w:type="pct"/>
            <w:vMerge/>
            <w:tcBorders>
              <w:left w:val="nil"/>
              <w:right w:val="nil"/>
            </w:tcBorders>
          </w:tcPr>
          <w:p w14:paraId="6F8D3BEC" w14:textId="77777777" w:rsidR="009042FA" w:rsidRPr="00AE0E1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250" w:type="pct"/>
            <w:tcBorders>
              <w:top w:val="nil"/>
              <w:left w:val="nil"/>
              <w:bottom w:val="nil"/>
              <w:right w:val="nil"/>
            </w:tcBorders>
          </w:tcPr>
          <w:p w14:paraId="1840BC28" w14:textId="77777777" w:rsidR="009042FA" w:rsidRPr="00AE0E1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7E4733">
              <w:rPr>
                <w:rFonts w:asciiTheme="minorHAnsi" w:eastAsia="Times New Roman" w:hAnsiTheme="minorHAnsi"/>
                <w:iCs/>
                <w:color w:val="333938" w:themeColor="background2" w:themeShade="40"/>
                <w:szCs w:val="17"/>
                <w:lang w:eastAsia="en-US"/>
              </w:rPr>
              <w:t>Strengthened policy formulation and oversight</w:t>
            </w:r>
          </w:p>
        </w:tc>
        <w:tc>
          <w:tcPr>
            <w:tcW w:w="1351" w:type="pct"/>
            <w:tcBorders>
              <w:top w:val="nil"/>
              <w:left w:val="nil"/>
              <w:bottom w:val="nil"/>
              <w:right w:val="nil"/>
            </w:tcBorders>
          </w:tcPr>
          <w:p w14:paraId="067F01E8" w14:textId="77777777" w:rsidR="009042FA" w:rsidRPr="00510F9B" w:rsidRDefault="009042FA" w:rsidP="00D02767">
            <w:pPr>
              <w:pStyle w:val="NormalIndented"/>
              <w:spacing w:before="0" w:after="0"/>
              <w:ind w:left="33"/>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Demonstrated improvements in the quality, quantity, usefulness and reach of My-EQIP products across MoE</w:t>
            </w:r>
          </w:p>
        </w:tc>
        <w:tc>
          <w:tcPr>
            <w:tcW w:w="1249" w:type="pct"/>
            <w:tcBorders>
              <w:top w:val="nil"/>
              <w:left w:val="nil"/>
              <w:bottom w:val="nil"/>
              <w:right w:val="nil"/>
            </w:tcBorders>
          </w:tcPr>
          <w:p w14:paraId="5178DDAC" w14:textId="77777777" w:rsidR="009042FA" w:rsidRPr="00510F9B" w:rsidRDefault="009042FA" w:rsidP="00D02767">
            <w:pPr>
              <w:pStyle w:val="NormalIndented"/>
              <w:spacing w:before="0" w:after="0"/>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At least three instances of improved education quality outcomes contributed by the supply and demand of My-EQIP</w:t>
            </w:r>
          </w:p>
        </w:tc>
      </w:tr>
      <w:tr w:rsidR="009042FA" w14:paraId="29CDC10B" w14:textId="77777777" w:rsidTr="009042FA">
        <w:trPr>
          <w:trHeight w:val="730"/>
        </w:trPr>
        <w:tc>
          <w:tcPr>
            <w:tcW w:w="1150" w:type="pct"/>
            <w:vMerge w:val="restart"/>
            <w:tcBorders>
              <w:top w:val="nil"/>
              <w:left w:val="nil"/>
              <w:right w:val="nil"/>
            </w:tcBorders>
          </w:tcPr>
          <w:p w14:paraId="4C400C2F" w14:textId="77777777" w:rsidR="009042FA" w:rsidRPr="00AD762E"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D762E">
              <w:rPr>
                <w:rFonts w:asciiTheme="minorHAnsi" w:eastAsia="Times New Roman" w:hAnsiTheme="minorHAnsi"/>
                <w:iCs/>
                <w:color w:val="333938" w:themeColor="background2" w:themeShade="40"/>
                <w:szCs w:val="17"/>
                <w:lang w:eastAsia="en-US"/>
              </w:rPr>
              <w:t xml:space="preserve">Promoting peace and stability </w:t>
            </w:r>
          </w:p>
          <w:p w14:paraId="50203B85" w14:textId="77777777" w:rsidR="009042FA" w:rsidRPr="00AE0E1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250" w:type="pct"/>
            <w:tcBorders>
              <w:top w:val="nil"/>
              <w:left w:val="nil"/>
              <w:bottom w:val="nil"/>
              <w:right w:val="nil"/>
            </w:tcBorders>
          </w:tcPr>
          <w:p w14:paraId="7F982BFD" w14:textId="77777777" w:rsidR="009042FA" w:rsidRPr="00AE0E11"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2822FD">
              <w:rPr>
                <w:rFonts w:asciiTheme="minorHAnsi" w:eastAsia="Times New Roman" w:hAnsiTheme="minorHAnsi"/>
                <w:iCs/>
                <w:color w:val="333938" w:themeColor="background2" w:themeShade="40"/>
                <w:szCs w:val="17"/>
                <w:lang w:eastAsia="en-US"/>
              </w:rPr>
              <w:t>People in need receive effective and appropriate humanitarian assistance</w:t>
            </w:r>
            <w:r>
              <w:rPr>
                <w:rFonts w:asciiTheme="minorHAnsi" w:eastAsia="Times New Roman" w:hAnsiTheme="minorHAnsi"/>
                <w:iCs/>
                <w:color w:val="333938" w:themeColor="background2" w:themeShade="40"/>
                <w:szCs w:val="17"/>
                <w:lang w:eastAsia="en-US"/>
              </w:rPr>
              <w:t xml:space="preserve"> (SHWE)</w:t>
            </w:r>
          </w:p>
        </w:tc>
        <w:tc>
          <w:tcPr>
            <w:tcW w:w="1351" w:type="pct"/>
            <w:tcBorders>
              <w:top w:val="nil"/>
              <w:left w:val="nil"/>
              <w:bottom w:val="nil"/>
              <w:right w:val="nil"/>
            </w:tcBorders>
          </w:tcPr>
          <w:p w14:paraId="0BDC7E7A" w14:textId="77777777" w:rsidR="009042FA" w:rsidRPr="00510F9B" w:rsidRDefault="009042FA" w:rsidP="00D02767">
            <w:pPr>
              <w:pStyle w:val="NormalIndented"/>
              <w:spacing w:before="0" w:after="0"/>
              <w:ind w:left="33"/>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250,000 vulnerable women, men, girls and boys provided with humanitarian assistance in conflict and crisis situations (M/F)</w:t>
            </w:r>
          </w:p>
        </w:tc>
        <w:tc>
          <w:tcPr>
            <w:tcW w:w="1249" w:type="pct"/>
            <w:tcBorders>
              <w:top w:val="nil"/>
              <w:left w:val="nil"/>
              <w:bottom w:val="nil"/>
              <w:right w:val="nil"/>
            </w:tcBorders>
          </w:tcPr>
          <w:p w14:paraId="24ECC1A6" w14:textId="77777777" w:rsidR="009042FA" w:rsidRPr="00510F9B" w:rsidRDefault="009042FA" w:rsidP="00D02767">
            <w:pPr>
              <w:pStyle w:val="NormalIndented"/>
              <w:spacing w:before="0" w:after="0"/>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250,000 vulnerable women, men, girls and boys provided with humanitarian assistance in conflict and crisis situations (M/F)</w:t>
            </w:r>
          </w:p>
        </w:tc>
      </w:tr>
      <w:tr w:rsidR="009042FA" w:rsidRPr="001629C3" w14:paraId="6D3A34DB" w14:textId="77777777" w:rsidTr="00D02767">
        <w:trPr>
          <w:trHeight w:val="508"/>
        </w:trPr>
        <w:tc>
          <w:tcPr>
            <w:tcW w:w="1150" w:type="pct"/>
            <w:vMerge/>
            <w:tcBorders>
              <w:left w:val="nil"/>
              <w:bottom w:val="nil"/>
              <w:right w:val="nil"/>
            </w:tcBorders>
          </w:tcPr>
          <w:p w14:paraId="55737E43" w14:textId="77777777" w:rsidR="009042FA" w:rsidRPr="00AE0E11" w:rsidRDefault="009042FA" w:rsidP="009042FA">
            <w:pPr>
              <w:keepLines/>
              <w:spacing w:before="40" w:after="40" w:line="200" w:lineRule="atLeast"/>
              <w:rPr>
                <w:rFonts w:eastAsia="Times New Roman"/>
                <w:iCs/>
                <w:color w:val="333938" w:themeColor="background2" w:themeShade="40"/>
                <w:szCs w:val="17"/>
              </w:rPr>
            </w:pPr>
          </w:p>
        </w:tc>
        <w:tc>
          <w:tcPr>
            <w:tcW w:w="1250" w:type="pct"/>
            <w:tcBorders>
              <w:top w:val="nil"/>
              <w:left w:val="nil"/>
              <w:bottom w:val="nil"/>
              <w:right w:val="nil"/>
            </w:tcBorders>
          </w:tcPr>
          <w:p w14:paraId="4ABFC42E" w14:textId="77777777" w:rsidR="009042FA" w:rsidRPr="00AE0E11" w:rsidRDefault="009042FA" w:rsidP="009042FA">
            <w:pPr>
              <w:keepLines/>
              <w:spacing w:before="40" w:after="40" w:line="200" w:lineRule="atLeast"/>
              <w:rPr>
                <w:rFonts w:eastAsia="Times New Roman"/>
                <w:iCs/>
                <w:color w:val="333938" w:themeColor="background2" w:themeShade="40"/>
                <w:szCs w:val="17"/>
              </w:rPr>
            </w:pPr>
            <w:r w:rsidRPr="00AD762E">
              <w:rPr>
                <w:rFonts w:asciiTheme="minorHAnsi" w:eastAsia="Times New Roman" w:hAnsiTheme="minorHAnsi"/>
                <w:iCs/>
                <w:color w:val="333938" w:themeColor="background2" w:themeShade="40"/>
                <w:szCs w:val="17"/>
                <w:lang w:eastAsia="en-US"/>
              </w:rPr>
              <w:t>Women are effectively engaged in peace negotiations and dialogue</w:t>
            </w:r>
            <w:r w:rsidRPr="00AD762E" w:rsidDel="00AD762E">
              <w:rPr>
                <w:rFonts w:asciiTheme="minorHAnsi" w:eastAsia="Times New Roman" w:hAnsiTheme="minorHAnsi"/>
                <w:iCs/>
                <w:color w:val="333938" w:themeColor="background2" w:themeShade="40"/>
                <w:szCs w:val="17"/>
                <w:lang w:eastAsia="en-US"/>
              </w:rPr>
              <w:t xml:space="preserve"> </w:t>
            </w:r>
          </w:p>
        </w:tc>
        <w:tc>
          <w:tcPr>
            <w:tcW w:w="1351" w:type="pct"/>
            <w:tcBorders>
              <w:top w:val="nil"/>
              <w:left w:val="nil"/>
              <w:bottom w:val="nil"/>
              <w:right w:val="nil"/>
            </w:tcBorders>
          </w:tcPr>
          <w:p w14:paraId="39D5EB82" w14:textId="77777777" w:rsidR="009042FA" w:rsidRPr="001049F1" w:rsidRDefault="009042FA" w:rsidP="00D02767">
            <w:pPr>
              <w:pStyle w:val="NormalIndented"/>
              <w:spacing w:before="0" w:after="0"/>
              <w:ind w:left="33"/>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Women supported through Australian aid are active in the peace process</w:t>
            </w:r>
            <w:r w:rsidRPr="00AD762E" w:rsidDel="00AD762E">
              <w:rPr>
                <w:rFonts w:asciiTheme="minorHAnsi" w:eastAsia="Times New Roman" w:hAnsiTheme="minorHAnsi"/>
                <w:i/>
                <w:iCs/>
                <w:color w:val="333938" w:themeColor="background2" w:themeShade="40"/>
                <w:szCs w:val="17"/>
                <w:lang w:eastAsia="en-US"/>
              </w:rPr>
              <w:t xml:space="preserve"> </w:t>
            </w:r>
          </w:p>
        </w:tc>
        <w:tc>
          <w:tcPr>
            <w:tcW w:w="1249" w:type="pct"/>
            <w:tcBorders>
              <w:top w:val="nil"/>
              <w:left w:val="nil"/>
              <w:bottom w:val="nil"/>
              <w:right w:val="nil"/>
            </w:tcBorders>
          </w:tcPr>
          <w:p w14:paraId="5EB8A90D" w14:textId="77777777" w:rsidR="009042FA" w:rsidRPr="001629C3" w:rsidRDefault="009042FA" w:rsidP="00D02767">
            <w:pPr>
              <w:pStyle w:val="NormalIndented"/>
              <w:spacing w:before="0" w:after="0"/>
              <w:jc w:val="center"/>
              <w:rPr>
                <w:rFonts w:asciiTheme="minorHAnsi" w:eastAsia="Times New Roman" w:hAnsiTheme="minorHAnsi"/>
                <w:i/>
                <w:iCs/>
                <w:color w:val="333938" w:themeColor="background2" w:themeShade="40"/>
                <w:szCs w:val="17"/>
                <w:lang w:eastAsia="en-US"/>
              </w:rPr>
            </w:pPr>
            <w:r w:rsidRPr="001159B1">
              <w:rPr>
                <w:rFonts w:asciiTheme="minorHAnsi" w:eastAsia="Times New Roman" w:hAnsiTheme="minorHAnsi"/>
                <w:i/>
                <w:iCs/>
                <w:color w:val="333938" w:themeColor="background2" w:themeShade="40"/>
                <w:szCs w:val="17"/>
                <w:lang w:eastAsia="en-US"/>
              </w:rPr>
              <w:t>Women supported through Australian aid are active in the peace process</w:t>
            </w:r>
            <w:r w:rsidRPr="001629C3" w:rsidDel="00AD762E">
              <w:rPr>
                <w:i/>
                <w:color w:val="333938" w:themeColor="background2" w:themeShade="40"/>
              </w:rPr>
              <w:t xml:space="preserve"> </w:t>
            </w:r>
          </w:p>
        </w:tc>
      </w:tr>
      <w:tr w:rsidR="009042FA" w:rsidRPr="000548F9" w14:paraId="5EF4217F" w14:textId="77777777" w:rsidTr="00D02767">
        <w:trPr>
          <w:trHeight w:val="482"/>
        </w:trPr>
        <w:tc>
          <w:tcPr>
            <w:tcW w:w="1150" w:type="pct"/>
            <w:vMerge w:val="restart"/>
            <w:tcBorders>
              <w:left w:val="nil"/>
              <w:right w:val="nil"/>
            </w:tcBorders>
          </w:tcPr>
          <w:p w14:paraId="6D0AAD4B" w14:textId="77777777" w:rsidR="009042FA" w:rsidRPr="000548F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D762E">
              <w:rPr>
                <w:rFonts w:asciiTheme="minorHAnsi" w:eastAsia="Times New Roman" w:hAnsiTheme="minorHAnsi"/>
                <w:iCs/>
                <w:color w:val="333938" w:themeColor="background2" w:themeShade="40"/>
                <w:szCs w:val="17"/>
                <w:u w:val="single"/>
                <w:lang w:eastAsia="en-US"/>
              </w:rPr>
              <w:t>Promoting inclusive economic growth</w:t>
            </w:r>
            <w:r w:rsidRPr="00AD762E">
              <w:rPr>
                <w:rFonts w:asciiTheme="minorHAnsi" w:eastAsia="Times New Roman" w:hAnsiTheme="minorHAnsi"/>
                <w:iCs/>
                <w:color w:val="333938" w:themeColor="background2" w:themeShade="40"/>
                <w:szCs w:val="17"/>
                <w:lang w:eastAsia="en-US"/>
              </w:rPr>
              <w:t xml:space="preserve"> </w:t>
            </w:r>
          </w:p>
        </w:tc>
        <w:tc>
          <w:tcPr>
            <w:tcW w:w="1250" w:type="pct"/>
            <w:tcBorders>
              <w:top w:val="nil"/>
              <w:left w:val="nil"/>
              <w:bottom w:val="nil"/>
              <w:right w:val="nil"/>
            </w:tcBorders>
          </w:tcPr>
          <w:p w14:paraId="4DA6FA46" w14:textId="77777777" w:rsidR="009042FA" w:rsidRPr="000548F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D762E">
              <w:rPr>
                <w:rFonts w:asciiTheme="minorHAnsi" w:eastAsia="Times New Roman" w:hAnsiTheme="minorHAnsi"/>
                <w:iCs/>
                <w:color w:val="333938" w:themeColor="background2" w:themeShade="40"/>
                <w:szCs w:val="17"/>
                <w:lang w:eastAsia="en-US"/>
              </w:rPr>
              <w:t>Contribute to an improved business environment</w:t>
            </w:r>
          </w:p>
        </w:tc>
        <w:tc>
          <w:tcPr>
            <w:tcW w:w="1351" w:type="pct"/>
            <w:tcBorders>
              <w:top w:val="nil"/>
              <w:left w:val="nil"/>
              <w:bottom w:val="nil"/>
              <w:right w:val="nil"/>
            </w:tcBorders>
          </w:tcPr>
          <w:p w14:paraId="19DC3C27"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Improvement in Myanmar’s Doing Business Index ranking (171 in 2017)</w:t>
            </w:r>
          </w:p>
        </w:tc>
        <w:tc>
          <w:tcPr>
            <w:tcW w:w="1249" w:type="pct"/>
            <w:tcBorders>
              <w:top w:val="nil"/>
              <w:left w:val="nil"/>
              <w:bottom w:val="nil"/>
              <w:right w:val="nil"/>
            </w:tcBorders>
          </w:tcPr>
          <w:p w14:paraId="30FC6D26"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Improvement in Myanmar’s Doing Business Index ranking from 2018</w:t>
            </w:r>
          </w:p>
        </w:tc>
      </w:tr>
      <w:tr w:rsidR="009042FA" w:rsidRPr="000548F9" w14:paraId="6A33BB3E" w14:textId="77777777" w:rsidTr="00D02767">
        <w:trPr>
          <w:trHeight w:val="561"/>
        </w:trPr>
        <w:tc>
          <w:tcPr>
            <w:tcW w:w="1150" w:type="pct"/>
            <w:vMerge/>
            <w:tcBorders>
              <w:left w:val="nil"/>
              <w:bottom w:val="nil"/>
              <w:right w:val="nil"/>
            </w:tcBorders>
          </w:tcPr>
          <w:p w14:paraId="56B5E50B" w14:textId="77777777" w:rsidR="009042FA" w:rsidRPr="000548F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p>
        </w:tc>
        <w:tc>
          <w:tcPr>
            <w:tcW w:w="1250" w:type="pct"/>
            <w:tcBorders>
              <w:top w:val="nil"/>
              <w:left w:val="nil"/>
              <w:bottom w:val="nil"/>
              <w:right w:val="nil"/>
            </w:tcBorders>
          </w:tcPr>
          <w:p w14:paraId="1B20C405" w14:textId="77777777" w:rsidR="009042FA" w:rsidRPr="000548F9" w:rsidRDefault="009042FA" w:rsidP="009042FA">
            <w:pPr>
              <w:keepLines/>
              <w:spacing w:before="40" w:after="40" w:line="200" w:lineRule="atLeast"/>
              <w:rPr>
                <w:rFonts w:asciiTheme="minorHAnsi" w:eastAsia="Times New Roman" w:hAnsiTheme="minorHAnsi"/>
                <w:iCs/>
                <w:color w:val="333938" w:themeColor="background2" w:themeShade="40"/>
                <w:szCs w:val="17"/>
                <w:lang w:eastAsia="en-US"/>
              </w:rPr>
            </w:pPr>
            <w:r w:rsidRPr="00AD762E">
              <w:rPr>
                <w:rFonts w:asciiTheme="minorHAnsi" w:eastAsia="Times New Roman" w:hAnsiTheme="minorHAnsi"/>
                <w:iCs/>
                <w:color w:val="333938" w:themeColor="background2" w:themeShade="40"/>
                <w:szCs w:val="17"/>
                <w:lang w:eastAsia="en-US"/>
              </w:rPr>
              <w:t>Increased incomes of rural households</w:t>
            </w:r>
          </w:p>
        </w:tc>
        <w:tc>
          <w:tcPr>
            <w:tcW w:w="1351" w:type="pct"/>
            <w:tcBorders>
              <w:top w:val="nil"/>
              <w:left w:val="nil"/>
              <w:bottom w:val="nil"/>
              <w:right w:val="nil"/>
            </w:tcBorders>
          </w:tcPr>
          <w:p w14:paraId="530CB24E"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30,680 households</w:t>
            </w:r>
          </w:p>
          <w:p w14:paraId="292146E9"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(attributed)</w:t>
            </w:r>
          </w:p>
        </w:tc>
        <w:tc>
          <w:tcPr>
            <w:tcW w:w="1249" w:type="pct"/>
            <w:tcBorders>
              <w:top w:val="nil"/>
              <w:left w:val="nil"/>
              <w:bottom w:val="nil"/>
              <w:right w:val="nil"/>
            </w:tcBorders>
          </w:tcPr>
          <w:p w14:paraId="7CAA13AF"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31,860 households</w:t>
            </w:r>
          </w:p>
          <w:p w14:paraId="23C225E0" w14:textId="77777777" w:rsidR="009042FA" w:rsidRPr="00AD762E" w:rsidRDefault="009042FA" w:rsidP="00D02767">
            <w:pPr>
              <w:keepLines/>
              <w:spacing w:before="0" w:after="0" w:line="200" w:lineRule="atLeast"/>
              <w:jc w:val="center"/>
              <w:rPr>
                <w:rFonts w:asciiTheme="minorHAnsi" w:eastAsia="Times New Roman" w:hAnsiTheme="minorHAnsi"/>
                <w:i/>
                <w:iCs/>
                <w:color w:val="333938" w:themeColor="background2" w:themeShade="40"/>
                <w:szCs w:val="17"/>
                <w:lang w:eastAsia="en-US"/>
              </w:rPr>
            </w:pPr>
            <w:r w:rsidRPr="00AD762E">
              <w:rPr>
                <w:rFonts w:asciiTheme="minorHAnsi" w:eastAsia="Times New Roman" w:hAnsiTheme="minorHAnsi"/>
                <w:i/>
                <w:iCs/>
                <w:color w:val="333938" w:themeColor="background2" w:themeShade="40"/>
                <w:szCs w:val="17"/>
                <w:lang w:eastAsia="en-US"/>
              </w:rPr>
              <w:t>(attributed)</w:t>
            </w:r>
          </w:p>
        </w:tc>
      </w:tr>
    </w:tbl>
    <w:p w14:paraId="5DA3348E" w14:textId="77777777" w:rsidR="009042FA" w:rsidRPr="008821C2" w:rsidRDefault="009042FA" w:rsidP="00183543">
      <w:pPr>
        <w:pStyle w:val="Subtitle"/>
        <w:numPr>
          <w:ilvl w:val="0"/>
          <w:numId w:val="0"/>
        </w:numPr>
        <w:spacing w:before="360" w:after="120" w:line="300" w:lineRule="exact"/>
        <w:rPr>
          <w:rFonts w:asciiTheme="majorHAnsi" w:hAnsiTheme="majorHAnsi" w:cstheme="majorHAnsi"/>
          <w:szCs w:val="38"/>
        </w:rPr>
      </w:pPr>
      <w:r>
        <w:rPr>
          <w:rFonts w:ascii="Franklin Gothic Book" w:eastAsia="Times New Roman" w:hAnsi="Franklin Gothic Book"/>
          <w:sz w:val="21"/>
        </w:rPr>
        <w:br w:type="page"/>
      </w:r>
      <w:r w:rsidRPr="00D02767">
        <w:rPr>
          <w:rFonts w:asciiTheme="majorHAnsi" w:hAnsiTheme="majorHAnsi" w:cstheme="majorHAnsi"/>
        </w:rPr>
        <w:lastRenderedPageBreak/>
        <w:t>Annex C - Evaluation Planning</w:t>
      </w:r>
    </w:p>
    <w:p w14:paraId="59240F2A" w14:textId="77777777" w:rsidR="009042FA" w:rsidRPr="00EF26B5" w:rsidRDefault="009042FA" w:rsidP="009042FA">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9042FA" w:rsidRPr="00C61187" w14:paraId="5AA427E5" w14:textId="77777777" w:rsidTr="009042FA">
        <w:trPr>
          <w:cnfStyle w:val="100000000000" w:firstRow="1" w:lastRow="0" w:firstColumn="0" w:lastColumn="0" w:oddVBand="0" w:evenVBand="0" w:oddHBand="0" w:evenHBand="0" w:firstRowFirstColumn="0" w:firstRowLastColumn="0" w:lastRowFirstColumn="0" w:lastRowLastColumn="0"/>
        </w:trPr>
        <w:tc>
          <w:tcPr>
            <w:tcW w:w="3064" w:type="dxa"/>
          </w:tcPr>
          <w:p w14:paraId="5766A775"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18330E3F" w14:textId="77777777" w:rsidR="009042FA" w:rsidRPr="00812509" w:rsidRDefault="009042FA" w:rsidP="009042FA">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79B63916"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5EB8F5A7"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78B500D3"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52ED93D7"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7F4D7C3D" w14:textId="77777777" w:rsidR="009042FA" w:rsidRPr="00812509" w:rsidRDefault="009042FA" w:rsidP="009042FA">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9042FA" w:rsidRPr="003B5EE5" w14:paraId="2FFE0CE5" w14:textId="77777777" w:rsidTr="009042FA">
        <w:trPr>
          <w:cnfStyle w:val="100000000000" w:firstRow="1" w:lastRow="0" w:firstColumn="0" w:lastColumn="0" w:oddVBand="0" w:evenVBand="0" w:oddHBand="0" w:evenHBand="0" w:firstRowFirstColumn="0" w:firstRowLastColumn="0" w:lastRowFirstColumn="0" w:lastRowLastColumn="0"/>
          <w:trHeight w:val="1542"/>
        </w:trPr>
        <w:tc>
          <w:tcPr>
            <w:tcW w:w="3064" w:type="dxa"/>
          </w:tcPr>
          <w:p w14:paraId="669B6038" w14:textId="77777777" w:rsidR="009042FA" w:rsidRPr="006653D0"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6653D0">
              <w:rPr>
                <w:rFonts w:asciiTheme="minorHAnsi" w:eastAsia="Times New Roman" w:hAnsiTheme="minorHAnsi"/>
                <w:b w:val="0"/>
                <w:iCs/>
                <w:color w:val="000000" w:themeColor="text1"/>
                <w:szCs w:val="17"/>
                <w:lang w:eastAsia="en-US"/>
              </w:rPr>
              <w:t>INL739</w:t>
            </w:r>
            <w:r w:rsidRPr="006653D0">
              <w:rPr>
                <w:rFonts w:asciiTheme="minorHAnsi" w:eastAsia="Times New Roman" w:hAnsiTheme="minorHAnsi"/>
                <w:b w:val="0"/>
                <w:iCs/>
                <w:color w:val="000000" w:themeColor="text1"/>
                <w:szCs w:val="17"/>
                <w:lang w:eastAsia="en-US"/>
              </w:rPr>
              <w:br/>
              <w:t>Myanmar (Burma) Investment Climate and Private Sector</w:t>
            </w:r>
            <w:r>
              <w:rPr>
                <w:rFonts w:asciiTheme="minorHAnsi" w:eastAsia="Times New Roman" w:hAnsiTheme="minorHAnsi"/>
                <w:b w:val="0"/>
                <w:iCs/>
                <w:color w:val="000000" w:themeColor="text1"/>
                <w:szCs w:val="17"/>
                <w:lang w:eastAsia="en-US"/>
              </w:rPr>
              <w:t xml:space="preserve"> (ICCP)</w:t>
            </w:r>
          </w:p>
          <w:p w14:paraId="71C730FD" w14:textId="77777777" w:rsidR="009042FA" w:rsidRPr="006653D0"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6653D0">
              <w:rPr>
                <w:rFonts w:asciiTheme="minorHAnsi" w:eastAsia="Times New Roman" w:hAnsiTheme="minorHAnsi"/>
                <w:b w:val="0"/>
                <w:iCs/>
                <w:color w:val="000000" w:themeColor="text1"/>
                <w:szCs w:val="17"/>
                <w:lang w:eastAsia="en-US"/>
              </w:rPr>
              <w:t>And</w:t>
            </w:r>
          </w:p>
          <w:p w14:paraId="01AF424A" w14:textId="77777777" w:rsidR="009042FA" w:rsidRPr="006653D0"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6653D0">
              <w:rPr>
                <w:rFonts w:asciiTheme="minorHAnsi" w:eastAsia="Times New Roman" w:hAnsiTheme="minorHAnsi"/>
                <w:b w:val="0"/>
                <w:iCs/>
                <w:color w:val="000000" w:themeColor="text1"/>
                <w:szCs w:val="17"/>
                <w:lang w:eastAsia="en-US"/>
              </w:rPr>
              <w:t>INL603</w:t>
            </w:r>
            <w:r w:rsidRPr="006653D0">
              <w:rPr>
                <w:rFonts w:asciiTheme="minorHAnsi" w:eastAsia="Times New Roman" w:hAnsiTheme="minorHAnsi"/>
                <w:b w:val="0"/>
                <w:iCs/>
                <w:color w:val="000000" w:themeColor="text1"/>
                <w:szCs w:val="17"/>
                <w:lang w:eastAsia="en-US"/>
              </w:rPr>
              <w:br/>
              <w:t>Supporting Reform, Improving Governance</w:t>
            </w:r>
            <w:r>
              <w:rPr>
                <w:rFonts w:asciiTheme="minorHAnsi" w:eastAsia="Times New Roman" w:hAnsiTheme="minorHAnsi"/>
                <w:b w:val="0"/>
                <w:iCs/>
                <w:color w:val="000000" w:themeColor="text1"/>
                <w:szCs w:val="17"/>
                <w:lang w:eastAsia="en-US"/>
              </w:rPr>
              <w:t xml:space="preserve"> (SRIG)</w:t>
            </w:r>
          </w:p>
        </w:tc>
        <w:tc>
          <w:tcPr>
            <w:tcW w:w="3665" w:type="dxa"/>
          </w:tcPr>
          <w:p w14:paraId="3B8EC568" w14:textId="77777777" w:rsidR="009042FA" w:rsidRPr="006653D0"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6653D0">
              <w:rPr>
                <w:rFonts w:asciiTheme="minorHAnsi" w:eastAsia="Times New Roman" w:hAnsiTheme="minorHAnsi"/>
                <w:b w:val="0"/>
                <w:iCs/>
                <w:color w:val="000000" w:themeColor="text1"/>
                <w:szCs w:val="17"/>
                <w:lang w:eastAsia="en-US"/>
              </w:rPr>
              <w:t>Performance Evaluation of Australia’s Key Economic Growth Programs in Myanmar</w:t>
            </w:r>
          </w:p>
        </w:tc>
        <w:tc>
          <w:tcPr>
            <w:tcW w:w="1397" w:type="dxa"/>
          </w:tcPr>
          <w:p w14:paraId="6F380D48" w14:textId="77777777" w:rsidR="009042FA" w:rsidRPr="00B915CE"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B915CE">
              <w:rPr>
                <w:rFonts w:asciiTheme="minorHAnsi" w:eastAsia="Times New Roman" w:hAnsiTheme="minorHAnsi"/>
                <w:b w:val="0"/>
                <w:iCs/>
                <w:color w:val="000000" w:themeColor="text1"/>
                <w:szCs w:val="17"/>
                <w:lang w:eastAsia="en-US"/>
              </w:rPr>
              <w:t>24 April 2019</w:t>
            </w:r>
          </w:p>
        </w:tc>
        <w:tc>
          <w:tcPr>
            <w:tcW w:w="1953" w:type="dxa"/>
          </w:tcPr>
          <w:p w14:paraId="54628694" w14:textId="77777777" w:rsidR="009042FA" w:rsidRPr="009B573C" w:rsidRDefault="009042FA" w:rsidP="009042FA">
            <w:pPr>
              <w:keepLines/>
              <w:spacing w:before="40" w:after="40" w:line="200" w:lineRule="atLeast"/>
              <w:rPr>
                <w:rFonts w:asciiTheme="minorHAnsi" w:hAnsiTheme="minorHAnsi"/>
                <w:b w:val="0"/>
                <w:color w:val="000000" w:themeColor="text1"/>
              </w:rPr>
            </w:pPr>
            <w:r w:rsidRPr="00AC0B09">
              <w:rPr>
                <w:rFonts w:asciiTheme="minorHAnsi" w:hAnsiTheme="minorHAnsi"/>
                <w:b w:val="0"/>
                <w:color w:val="000000" w:themeColor="text1"/>
              </w:rPr>
              <w:t xml:space="preserve">26 August 2019 </w:t>
            </w:r>
          </w:p>
        </w:tc>
        <w:tc>
          <w:tcPr>
            <w:tcW w:w="1671" w:type="dxa"/>
          </w:tcPr>
          <w:p w14:paraId="62D1CCAE" w14:textId="77777777" w:rsidR="009042FA" w:rsidRPr="009B573C" w:rsidRDefault="009042FA" w:rsidP="009042FA">
            <w:pPr>
              <w:keepLines/>
              <w:spacing w:before="40" w:after="40" w:line="200" w:lineRule="atLeast"/>
              <w:rPr>
                <w:rFonts w:asciiTheme="minorHAnsi" w:hAnsiTheme="minorHAnsi"/>
                <w:b w:val="0"/>
                <w:color w:val="000000" w:themeColor="text1"/>
              </w:rPr>
            </w:pPr>
            <w:r w:rsidRPr="00AC0B09">
              <w:rPr>
                <w:rFonts w:asciiTheme="minorHAnsi" w:hAnsiTheme="minorHAnsi"/>
                <w:b w:val="0"/>
                <w:color w:val="000000" w:themeColor="text1"/>
              </w:rPr>
              <w:t>26 August 2019</w:t>
            </w:r>
          </w:p>
        </w:tc>
        <w:tc>
          <w:tcPr>
            <w:tcW w:w="2365" w:type="dxa"/>
          </w:tcPr>
          <w:p w14:paraId="25A62526" w14:textId="77777777" w:rsidR="009042FA" w:rsidRPr="006653D0"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Pr>
                <w:rFonts w:asciiTheme="minorHAnsi" w:eastAsia="Times New Roman" w:hAnsiTheme="minorHAnsi"/>
                <w:b w:val="0"/>
                <w:iCs/>
                <w:color w:val="000000" w:themeColor="text1"/>
                <w:szCs w:val="17"/>
                <w:lang w:eastAsia="en-US"/>
              </w:rPr>
              <w:t>26 June  2019</w:t>
            </w:r>
          </w:p>
          <w:p w14:paraId="71EBF8E5" w14:textId="77777777" w:rsidR="009042FA" w:rsidRDefault="009042FA" w:rsidP="009042FA">
            <w:pPr>
              <w:keepLines/>
              <w:spacing w:before="40" w:after="40" w:line="200" w:lineRule="atLeast"/>
              <w:rPr>
                <w:rFonts w:asciiTheme="minorHAnsi" w:eastAsia="Times New Roman" w:hAnsiTheme="minorHAnsi"/>
                <w:b w:val="0"/>
                <w:iCs/>
                <w:color w:val="FF0000"/>
                <w:szCs w:val="17"/>
                <w:lang w:eastAsia="en-US"/>
              </w:rPr>
            </w:pPr>
          </w:p>
          <w:p w14:paraId="04B85E15" w14:textId="77777777" w:rsidR="009042FA" w:rsidRPr="00085E5F" w:rsidRDefault="009042FA" w:rsidP="009042FA">
            <w:pPr>
              <w:keepLines/>
              <w:spacing w:before="40" w:after="40" w:line="200" w:lineRule="atLeast"/>
              <w:rPr>
                <w:rFonts w:asciiTheme="minorHAnsi" w:eastAsia="Times New Roman" w:hAnsiTheme="minorHAnsi"/>
                <w:b w:val="0"/>
                <w:iCs/>
                <w:color w:val="FF0000"/>
                <w:szCs w:val="17"/>
                <w:lang w:eastAsia="en-US"/>
              </w:rPr>
            </w:pPr>
          </w:p>
        </w:tc>
      </w:tr>
      <w:tr w:rsidR="009042FA" w:rsidRPr="00423904" w14:paraId="7AAF5BB5" w14:textId="77777777" w:rsidTr="009042FA">
        <w:trPr>
          <w:cnfStyle w:val="100000000000" w:firstRow="1" w:lastRow="0" w:firstColumn="0" w:lastColumn="0" w:oddVBand="0" w:evenVBand="0" w:oddHBand="0" w:evenHBand="0" w:firstRowFirstColumn="0" w:firstRowLastColumn="0" w:lastRowFirstColumn="0" w:lastRowLastColumn="0"/>
        </w:trPr>
        <w:tc>
          <w:tcPr>
            <w:tcW w:w="3064" w:type="dxa"/>
          </w:tcPr>
          <w:p w14:paraId="642F2734" w14:textId="77777777" w:rsidR="009042FA" w:rsidRPr="00423904"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423904">
              <w:rPr>
                <w:rFonts w:asciiTheme="minorHAnsi" w:eastAsia="Times New Roman" w:hAnsiTheme="minorHAnsi"/>
                <w:b w:val="0"/>
                <w:iCs/>
                <w:color w:val="000000" w:themeColor="text1"/>
                <w:szCs w:val="17"/>
                <w:lang w:eastAsia="en-US"/>
              </w:rPr>
              <w:t>INL</w:t>
            </w:r>
            <w:r>
              <w:rPr>
                <w:rFonts w:asciiTheme="minorHAnsi" w:eastAsia="Times New Roman" w:hAnsiTheme="minorHAnsi"/>
                <w:b w:val="0"/>
                <w:iCs/>
                <w:color w:val="000000" w:themeColor="text1"/>
                <w:szCs w:val="17"/>
                <w:lang w:eastAsia="en-US"/>
              </w:rPr>
              <w:t>347</w:t>
            </w:r>
            <w:r>
              <w:rPr>
                <w:rFonts w:asciiTheme="minorHAnsi" w:eastAsia="Times New Roman" w:hAnsiTheme="minorHAnsi"/>
                <w:b w:val="0"/>
                <w:iCs/>
                <w:color w:val="000000" w:themeColor="text1"/>
                <w:szCs w:val="17"/>
                <w:lang w:eastAsia="en-US"/>
              </w:rPr>
              <w:br/>
              <w:t>Decentralising Funding to Schools Project (DFSP)</w:t>
            </w:r>
          </w:p>
        </w:tc>
        <w:tc>
          <w:tcPr>
            <w:tcW w:w="3665" w:type="dxa"/>
          </w:tcPr>
          <w:p w14:paraId="7FFFE468" w14:textId="77777777" w:rsidR="009042FA" w:rsidRPr="00423904"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550D71">
              <w:rPr>
                <w:rFonts w:asciiTheme="minorHAnsi" w:eastAsia="Times New Roman" w:hAnsiTheme="minorHAnsi"/>
                <w:b w:val="0"/>
                <w:iCs/>
                <w:color w:val="000000" w:themeColor="text1"/>
                <w:szCs w:val="17"/>
                <w:lang w:eastAsia="en-US"/>
              </w:rPr>
              <w:t>Independent Evaluation Report – Decentralizing Funding to Schools Project</w:t>
            </w:r>
          </w:p>
        </w:tc>
        <w:tc>
          <w:tcPr>
            <w:tcW w:w="1397" w:type="dxa"/>
          </w:tcPr>
          <w:p w14:paraId="16EA66EA" w14:textId="77777777" w:rsidR="009042FA" w:rsidRPr="00423904"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Pr>
                <w:rFonts w:asciiTheme="minorHAnsi" w:eastAsia="Times New Roman" w:hAnsiTheme="minorHAnsi"/>
                <w:b w:val="0"/>
                <w:iCs/>
                <w:color w:val="000000" w:themeColor="text1"/>
                <w:szCs w:val="17"/>
                <w:lang w:eastAsia="en-US"/>
              </w:rPr>
              <w:t>February 2019</w:t>
            </w:r>
          </w:p>
        </w:tc>
        <w:tc>
          <w:tcPr>
            <w:tcW w:w="1953" w:type="dxa"/>
          </w:tcPr>
          <w:p w14:paraId="397ADFAC" w14:textId="77777777" w:rsidR="009042FA" w:rsidRPr="00497305"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497305">
              <w:rPr>
                <w:rFonts w:asciiTheme="minorHAnsi" w:eastAsia="Times New Roman" w:hAnsiTheme="minorHAnsi"/>
                <w:b w:val="0"/>
                <w:iCs/>
                <w:color w:val="000000" w:themeColor="text1"/>
                <w:szCs w:val="17"/>
                <w:lang w:eastAsia="en-US"/>
              </w:rPr>
              <w:t>12 September 2019</w:t>
            </w:r>
          </w:p>
        </w:tc>
        <w:tc>
          <w:tcPr>
            <w:tcW w:w="1671" w:type="dxa"/>
          </w:tcPr>
          <w:p w14:paraId="39E399F5" w14:textId="77777777" w:rsidR="009042FA" w:rsidRPr="00497305"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497305">
              <w:rPr>
                <w:rFonts w:asciiTheme="minorHAnsi" w:eastAsia="Times New Roman" w:hAnsiTheme="minorHAnsi"/>
                <w:b w:val="0"/>
                <w:iCs/>
                <w:color w:val="000000" w:themeColor="text1"/>
                <w:szCs w:val="17"/>
                <w:lang w:eastAsia="en-US"/>
              </w:rPr>
              <w:t>12 September 2019</w:t>
            </w:r>
          </w:p>
        </w:tc>
        <w:tc>
          <w:tcPr>
            <w:tcW w:w="2365" w:type="dxa"/>
          </w:tcPr>
          <w:p w14:paraId="6B9628FD" w14:textId="77777777" w:rsidR="009042FA" w:rsidRPr="00497305" w:rsidRDefault="009042FA" w:rsidP="009042FA">
            <w:pPr>
              <w:keepLines/>
              <w:spacing w:before="40" w:after="40" w:line="200" w:lineRule="atLeast"/>
              <w:rPr>
                <w:rFonts w:asciiTheme="minorHAnsi" w:eastAsia="Times New Roman" w:hAnsiTheme="minorHAnsi"/>
                <w:b w:val="0"/>
                <w:iCs/>
                <w:color w:val="000000" w:themeColor="text1"/>
                <w:szCs w:val="17"/>
                <w:lang w:eastAsia="en-US"/>
              </w:rPr>
            </w:pPr>
            <w:r w:rsidRPr="00497305">
              <w:rPr>
                <w:rFonts w:asciiTheme="minorHAnsi" w:eastAsia="Times New Roman" w:hAnsiTheme="minorHAnsi"/>
                <w:b w:val="0"/>
                <w:iCs/>
                <w:color w:val="000000" w:themeColor="text1"/>
                <w:szCs w:val="17"/>
                <w:lang w:eastAsia="en-US"/>
              </w:rPr>
              <w:t>Not for public release</w:t>
            </w:r>
          </w:p>
        </w:tc>
      </w:tr>
    </w:tbl>
    <w:p w14:paraId="345E1AE0" w14:textId="77777777" w:rsidR="009042FA" w:rsidRPr="00EF26B5" w:rsidRDefault="009042FA" w:rsidP="009042FA">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9042FA" w:rsidRPr="00C61187" w14:paraId="54535B44" w14:textId="77777777" w:rsidTr="009042FA">
        <w:tc>
          <w:tcPr>
            <w:tcW w:w="2444" w:type="dxa"/>
          </w:tcPr>
          <w:p w14:paraId="1939E16A"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C895169"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B0501F0"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2A281108"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5E222643"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5F22C7AF" w14:textId="77777777" w:rsidR="009042FA" w:rsidRPr="00812509" w:rsidRDefault="009042FA"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9042FA" w:rsidRPr="00C61187" w14:paraId="1996BEFD" w14:textId="77777777" w:rsidTr="009042FA">
        <w:tc>
          <w:tcPr>
            <w:tcW w:w="2444" w:type="dxa"/>
          </w:tcPr>
          <w:p w14:paraId="70E69235" w14:textId="5B203120" w:rsidR="009042FA" w:rsidRPr="00497305" w:rsidDel="00D96E43" w:rsidRDefault="009042FA" w:rsidP="009042FA">
            <w:pPr>
              <w:keepLines/>
              <w:spacing w:before="40" w:after="40" w:line="200" w:lineRule="atLeast"/>
              <w:rPr>
                <w:color w:val="auto"/>
              </w:rPr>
            </w:pPr>
            <w:r w:rsidRPr="00497305">
              <w:rPr>
                <w:color w:val="auto"/>
              </w:rPr>
              <w:t>STEM</w:t>
            </w:r>
          </w:p>
        </w:tc>
        <w:tc>
          <w:tcPr>
            <w:tcW w:w="2356" w:type="dxa"/>
          </w:tcPr>
          <w:p w14:paraId="5883DBFC" w14:textId="77777777" w:rsidR="009042FA" w:rsidRPr="00497305" w:rsidDel="00D96E43" w:rsidRDefault="009042FA" w:rsidP="009042FA">
            <w:pPr>
              <w:keepLines/>
              <w:spacing w:before="40" w:after="40" w:line="200" w:lineRule="atLeast"/>
              <w:rPr>
                <w:color w:val="auto"/>
              </w:rPr>
            </w:pPr>
            <w:r w:rsidRPr="00497305">
              <w:rPr>
                <w:color w:val="auto"/>
              </w:rPr>
              <w:t>INM 493</w:t>
            </w:r>
          </w:p>
        </w:tc>
        <w:tc>
          <w:tcPr>
            <w:tcW w:w="2042" w:type="dxa"/>
          </w:tcPr>
          <w:p w14:paraId="559B3F91" w14:textId="77777777" w:rsidR="009042FA" w:rsidRPr="00497305" w:rsidDel="00D96E43" w:rsidRDefault="009042FA" w:rsidP="009042FA">
            <w:pPr>
              <w:keepLines/>
              <w:spacing w:before="40" w:after="40" w:line="200" w:lineRule="atLeast"/>
              <w:rPr>
                <w:color w:val="auto"/>
              </w:rPr>
            </w:pPr>
            <w:r w:rsidRPr="00497305">
              <w:rPr>
                <w:color w:val="auto"/>
              </w:rPr>
              <w:t>March 2020</w:t>
            </w:r>
          </w:p>
        </w:tc>
        <w:tc>
          <w:tcPr>
            <w:tcW w:w="2208" w:type="dxa"/>
          </w:tcPr>
          <w:p w14:paraId="3FE28288" w14:textId="77777777" w:rsidR="009042FA" w:rsidRPr="00497305" w:rsidDel="00D96E43" w:rsidRDefault="009042FA" w:rsidP="009042FA">
            <w:pPr>
              <w:keepLines/>
              <w:spacing w:before="40" w:after="40" w:line="200" w:lineRule="atLeast"/>
              <w:rPr>
                <w:color w:val="auto"/>
              </w:rPr>
            </w:pPr>
            <w:r w:rsidRPr="00497305">
              <w:rPr>
                <w:color w:val="auto"/>
              </w:rPr>
              <w:t>August 2020</w:t>
            </w:r>
          </w:p>
        </w:tc>
        <w:tc>
          <w:tcPr>
            <w:tcW w:w="2325" w:type="dxa"/>
          </w:tcPr>
          <w:p w14:paraId="6FB6619D" w14:textId="77777777" w:rsidR="009042FA" w:rsidRPr="00497305" w:rsidDel="00D96E43" w:rsidRDefault="009042FA" w:rsidP="009042FA">
            <w:pPr>
              <w:keepLines/>
              <w:spacing w:before="40" w:after="40" w:line="200" w:lineRule="atLeast"/>
              <w:rPr>
                <w:color w:val="auto"/>
              </w:rPr>
            </w:pPr>
            <w:r w:rsidRPr="00497305">
              <w:rPr>
                <w:color w:val="auto"/>
              </w:rPr>
              <w:t>To inform future funding decision</w:t>
            </w:r>
          </w:p>
        </w:tc>
        <w:tc>
          <w:tcPr>
            <w:tcW w:w="2740" w:type="dxa"/>
          </w:tcPr>
          <w:p w14:paraId="42CBA571" w14:textId="77777777" w:rsidR="009042FA" w:rsidRPr="00497305" w:rsidDel="00D96E43" w:rsidRDefault="009042FA" w:rsidP="009042FA">
            <w:pPr>
              <w:keepLines/>
              <w:spacing w:before="40" w:after="40" w:line="200" w:lineRule="atLeast"/>
              <w:rPr>
                <w:color w:val="auto"/>
              </w:rPr>
            </w:pPr>
            <w:r w:rsidRPr="00497305">
              <w:rPr>
                <w:color w:val="auto"/>
              </w:rPr>
              <w:t>Partner led</w:t>
            </w:r>
          </w:p>
        </w:tc>
      </w:tr>
    </w:tbl>
    <w:p w14:paraId="442BEAD9" w14:textId="77777777" w:rsidR="009042FA" w:rsidRPr="00C61187" w:rsidRDefault="009042FA" w:rsidP="009042FA">
      <w:pPr>
        <w:rPr>
          <w:b/>
        </w:rPr>
        <w:sectPr w:rsidR="009042FA" w:rsidRPr="00C61187" w:rsidSect="00D835FD">
          <w:headerReference w:type="even" r:id="rId26"/>
          <w:headerReference w:type="default" r:id="rId27"/>
          <w:headerReference w:type="first" r:id="rId28"/>
          <w:footerReference w:type="first" r:id="rId29"/>
          <w:footnotePr>
            <w:numRestart w:val="eachPage"/>
          </w:footnotePr>
          <w:type w:val="continuous"/>
          <w:pgSz w:w="16838" w:h="11906" w:orient="landscape" w:code="9"/>
          <w:pgMar w:top="568" w:right="1814" w:bottom="851" w:left="851" w:header="709" w:footer="230" w:gutter="0"/>
          <w:cols w:space="708"/>
          <w:titlePg/>
          <w:docGrid w:linePitch="360"/>
        </w:sectPr>
      </w:pPr>
    </w:p>
    <w:p w14:paraId="63DD69BC" w14:textId="77777777" w:rsidR="009042FA" w:rsidRPr="00901B73" w:rsidRDefault="009042FA" w:rsidP="009042FA">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p w14:paraId="402E4882" w14:textId="77777777" w:rsidR="009042FA" w:rsidRPr="00EF26B5" w:rsidRDefault="009042FA" w:rsidP="009042FA">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1 AQC ratings</w:t>
      </w:r>
    </w:p>
    <w:tbl>
      <w:tblPr>
        <w:tblStyle w:val="APPR"/>
        <w:tblW w:w="4537" w:type="pct"/>
        <w:tblLook w:val="0000" w:firstRow="0" w:lastRow="0" w:firstColumn="0" w:lastColumn="0" w:noHBand="0" w:noVBand="0"/>
      </w:tblPr>
      <w:tblGrid>
        <w:gridCol w:w="3116"/>
        <w:gridCol w:w="967"/>
        <w:gridCol w:w="800"/>
        <w:gridCol w:w="619"/>
        <w:gridCol w:w="619"/>
        <w:gridCol w:w="641"/>
        <w:gridCol w:w="697"/>
        <w:gridCol w:w="619"/>
        <w:gridCol w:w="668"/>
      </w:tblGrid>
      <w:tr w:rsidR="009C3586" w:rsidRPr="00812509" w14:paraId="7357EC7B" w14:textId="77777777" w:rsidTr="009C3586">
        <w:trPr>
          <w:cnfStyle w:val="000000010000" w:firstRow="0" w:lastRow="0" w:firstColumn="0" w:lastColumn="0" w:oddVBand="0" w:evenVBand="0" w:oddHBand="0" w:evenHBand="1" w:firstRowFirstColumn="0" w:firstRowLastColumn="0" w:lastRowFirstColumn="0" w:lastRowLastColumn="0"/>
          <w:trHeight w:val="1413"/>
        </w:trPr>
        <w:tc>
          <w:tcPr>
            <w:tcW w:w="1758" w:type="pct"/>
          </w:tcPr>
          <w:p w14:paraId="4AA07CB1"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7936" behindDoc="0" locked="0" layoutInCell="1" allowOverlap="1" wp14:anchorId="636C866B" wp14:editId="556D961B">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37" w:type="pct"/>
            <w:textDirection w:val="btLr"/>
          </w:tcPr>
          <w:p w14:paraId="09DC677F"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41" w:type="pct"/>
            <w:textDirection w:val="btLr"/>
          </w:tcPr>
          <w:p w14:paraId="677B3AC4"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38" w:type="pct"/>
            <w:textDirection w:val="btLr"/>
          </w:tcPr>
          <w:p w14:paraId="7D8A63EA"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38" w:type="pct"/>
            <w:textDirection w:val="btLr"/>
          </w:tcPr>
          <w:p w14:paraId="41280BBB"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50" w:type="pct"/>
            <w:textDirection w:val="btLr"/>
          </w:tcPr>
          <w:p w14:paraId="3856EB5D"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82" w:type="pct"/>
            <w:textDirection w:val="btLr"/>
          </w:tcPr>
          <w:p w14:paraId="79900DDF"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textDirection w:val="btLr"/>
          </w:tcPr>
          <w:p w14:paraId="267121F8"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58" w:type="pct"/>
            <w:textDirection w:val="btLr"/>
          </w:tcPr>
          <w:p w14:paraId="5D30E79B"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9C3586" w:rsidRPr="00812509" w14:paraId="74924A56"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Borders>
              <w:top w:val="single" w:sz="4" w:space="0" w:color="auto"/>
            </w:tcBorders>
          </w:tcPr>
          <w:p w14:paraId="0F1813BD"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782D7C">
              <w:rPr>
                <w:rFonts w:asciiTheme="minorHAnsi" w:eastAsia="Times New Roman" w:hAnsiTheme="minorHAnsi"/>
                <w:iCs/>
                <w:szCs w:val="17"/>
                <w:lang w:eastAsia="en-US"/>
              </w:rPr>
              <w:t>INJ135</w:t>
            </w:r>
            <w:r w:rsidRPr="00782D7C">
              <w:rPr>
                <w:rFonts w:asciiTheme="minorHAnsi" w:eastAsia="Times New Roman" w:hAnsiTheme="minorHAnsi"/>
                <w:iCs/>
                <w:szCs w:val="17"/>
                <w:lang w:eastAsia="en-US"/>
              </w:rPr>
              <w:br/>
              <w:t>Livelihoods and Food Security Trust Fund</w:t>
            </w:r>
          </w:p>
        </w:tc>
        <w:tc>
          <w:tcPr>
            <w:tcW w:w="537" w:type="pct"/>
            <w:vMerge w:val="restart"/>
            <w:tcBorders>
              <w:top w:val="single" w:sz="4" w:space="0" w:color="auto"/>
            </w:tcBorders>
          </w:tcPr>
          <w:p w14:paraId="29B9E040" w14:textId="77777777" w:rsidR="009C3586" w:rsidRPr="00256631" w:rsidRDefault="009C3586" w:rsidP="009042FA">
            <w:pPr>
              <w:autoSpaceDE w:val="0"/>
              <w:autoSpaceDN w:val="0"/>
              <w:adjustRightInd w:val="0"/>
              <w:rPr>
                <w:rFonts w:asciiTheme="minorHAnsi" w:hAnsiTheme="minorHAnsi" w:cs="Franklin Gothic Book"/>
                <w:szCs w:val="17"/>
              </w:rPr>
            </w:pPr>
            <w:r w:rsidRPr="00256631">
              <w:rPr>
                <w:rFonts w:asciiTheme="minorHAnsi" w:hAnsiTheme="minorHAnsi" w:cs="Franklin Gothic Book"/>
                <w:szCs w:val="17"/>
              </w:rPr>
              <w:t>$</w:t>
            </w:r>
            <w:r>
              <w:rPr>
                <w:rFonts w:asciiTheme="minorHAnsi" w:hAnsiTheme="minorHAnsi" w:cs="Franklin Gothic Book"/>
                <w:szCs w:val="17"/>
              </w:rPr>
              <w:t>42.25</w:t>
            </w:r>
            <w:r w:rsidRPr="00256631">
              <w:rPr>
                <w:rFonts w:asciiTheme="minorHAnsi" w:hAnsiTheme="minorHAnsi" w:cs="Franklin Gothic Book"/>
                <w:szCs w:val="17"/>
              </w:rPr>
              <w:t xml:space="preserve">m </w:t>
            </w:r>
          </w:p>
          <w:p w14:paraId="5ADCBFA1"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2009-</w:t>
            </w:r>
            <w:r>
              <w:rPr>
                <w:rFonts w:asciiTheme="minorHAnsi" w:eastAsia="Times New Roman" w:hAnsiTheme="minorHAnsi"/>
                <w:iCs/>
                <w:szCs w:val="17"/>
                <w:lang w:eastAsia="en-US"/>
              </w:rPr>
              <w:t>24</w:t>
            </w:r>
            <w:r w:rsidRPr="00812509">
              <w:rPr>
                <w:rFonts w:asciiTheme="minorHAnsi" w:eastAsia="Times New Roman" w:hAnsiTheme="minorHAnsi"/>
                <w:iCs/>
                <w:szCs w:val="17"/>
                <w:lang w:eastAsia="en-US"/>
              </w:rPr>
              <w:t xml:space="preserve"> </w:t>
            </w:r>
          </w:p>
        </w:tc>
        <w:tc>
          <w:tcPr>
            <w:tcW w:w="441" w:type="pct"/>
            <w:tcBorders>
              <w:top w:val="single" w:sz="4" w:space="0" w:color="auto"/>
            </w:tcBorders>
          </w:tcPr>
          <w:p w14:paraId="61B06F29"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tcBorders>
              <w:top w:val="single" w:sz="4" w:space="0" w:color="auto"/>
            </w:tcBorders>
            <w:shd w:val="clear" w:color="auto" w:fill="auto"/>
            <w:noWrap/>
          </w:tcPr>
          <w:p w14:paraId="48A55268"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38" w:type="pct"/>
            <w:tcBorders>
              <w:top w:val="single" w:sz="4" w:space="0" w:color="auto"/>
            </w:tcBorders>
            <w:shd w:val="clear" w:color="auto" w:fill="92D050"/>
            <w:noWrap/>
          </w:tcPr>
          <w:p w14:paraId="095749CF"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0" w:type="pct"/>
            <w:tcBorders>
              <w:top w:val="single" w:sz="4" w:space="0" w:color="auto"/>
            </w:tcBorders>
            <w:shd w:val="clear" w:color="auto" w:fill="92D050"/>
            <w:noWrap/>
          </w:tcPr>
          <w:p w14:paraId="74B73E7F"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2" w:type="pct"/>
            <w:tcBorders>
              <w:top w:val="single" w:sz="4" w:space="0" w:color="auto"/>
            </w:tcBorders>
            <w:shd w:val="clear" w:color="auto" w:fill="auto"/>
            <w:noWrap/>
          </w:tcPr>
          <w:p w14:paraId="34E58619"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38" w:type="pct"/>
            <w:tcBorders>
              <w:top w:val="single" w:sz="4" w:space="0" w:color="auto"/>
            </w:tcBorders>
            <w:shd w:val="clear" w:color="auto" w:fill="auto"/>
            <w:noWrap/>
          </w:tcPr>
          <w:p w14:paraId="64563F94"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8" w:type="pct"/>
            <w:tcBorders>
              <w:top w:val="single" w:sz="4" w:space="0" w:color="auto"/>
            </w:tcBorders>
            <w:shd w:val="clear" w:color="auto" w:fill="FFFF00"/>
            <w:noWrap/>
          </w:tcPr>
          <w:p w14:paraId="5BD1EA14"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9C3586" w:rsidRPr="00812509" w14:paraId="28C12113"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2B3AB736"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537" w:type="pct"/>
            <w:vMerge/>
            <w:tcBorders>
              <w:bottom w:val="single" w:sz="4" w:space="0" w:color="auto"/>
            </w:tcBorders>
          </w:tcPr>
          <w:p w14:paraId="069350BD"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441" w:type="pct"/>
            <w:tcBorders>
              <w:bottom w:val="single" w:sz="4" w:space="0" w:color="auto"/>
            </w:tcBorders>
          </w:tcPr>
          <w:p w14:paraId="5C8D0606"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92D050"/>
            <w:noWrap/>
          </w:tcPr>
          <w:p w14:paraId="292D0A32"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38" w:type="pct"/>
            <w:tcBorders>
              <w:bottom w:val="single" w:sz="4" w:space="0" w:color="auto"/>
            </w:tcBorders>
            <w:shd w:val="clear" w:color="auto" w:fill="92D050"/>
            <w:noWrap/>
          </w:tcPr>
          <w:p w14:paraId="3FECD6DD"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0" w:type="pct"/>
            <w:tcBorders>
              <w:bottom w:val="single" w:sz="4" w:space="0" w:color="auto"/>
            </w:tcBorders>
            <w:shd w:val="clear" w:color="auto" w:fill="92D050"/>
            <w:noWrap/>
          </w:tcPr>
          <w:p w14:paraId="7BFBA6B0"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2" w:type="pct"/>
            <w:tcBorders>
              <w:bottom w:val="single" w:sz="4" w:space="0" w:color="auto"/>
            </w:tcBorders>
            <w:shd w:val="clear" w:color="auto" w:fill="92D050"/>
            <w:noWrap/>
          </w:tcPr>
          <w:p w14:paraId="003695F1"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FFFF00"/>
            <w:noWrap/>
          </w:tcPr>
          <w:p w14:paraId="4922F686"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8" w:type="pct"/>
            <w:tcBorders>
              <w:bottom w:val="single" w:sz="4" w:space="0" w:color="auto"/>
            </w:tcBorders>
            <w:shd w:val="clear" w:color="auto" w:fill="FFFF00"/>
            <w:noWrap/>
          </w:tcPr>
          <w:p w14:paraId="5D584075"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9C3586" w:rsidRPr="00812509" w14:paraId="23206BD1"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141E9C90" w14:textId="77777777" w:rsidR="009C3586" w:rsidRDefault="009C3586"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INK256</w:t>
            </w:r>
          </w:p>
          <w:p w14:paraId="7568FECD"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CARE Supporting Partnerships and Resilience of Communities (SPARC)</w:t>
            </w:r>
          </w:p>
        </w:tc>
        <w:tc>
          <w:tcPr>
            <w:tcW w:w="537" w:type="pct"/>
            <w:vMerge w:val="restart"/>
          </w:tcPr>
          <w:p w14:paraId="5803EB0B" w14:textId="77777777" w:rsidR="009C3586" w:rsidRPr="00256631"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$9.75m</w:t>
            </w:r>
          </w:p>
          <w:p w14:paraId="295CE67B"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2011-18</w:t>
            </w:r>
          </w:p>
        </w:tc>
        <w:tc>
          <w:tcPr>
            <w:tcW w:w="441" w:type="pct"/>
          </w:tcPr>
          <w:p w14:paraId="6C02BC38"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shd w:val="clear" w:color="auto" w:fill="FFFFFF" w:themeFill="background1"/>
            <w:noWrap/>
          </w:tcPr>
          <w:p w14:paraId="3FFBB1BF"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38" w:type="pct"/>
            <w:shd w:val="clear" w:color="auto" w:fill="FF0000"/>
            <w:noWrap/>
          </w:tcPr>
          <w:p w14:paraId="35DEBA8A"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50" w:type="pct"/>
            <w:shd w:val="clear" w:color="auto" w:fill="FFC000"/>
            <w:noWrap/>
          </w:tcPr>
          <w:p w14:paraId="3CA704E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82" w:type="pct"/>
            <w:shd w:val="clear" w:color="auto" w:fill="FFFFFF" w:themeFill="background1"/>
            <w:noWrap/>
          </w:tcPr>
          <w:p w14:paraId="6E747B78"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38" w:type="pct"/>
            <w:shd w:val="clear" w:color="auto" w:fill="FFFFFF" w:themeFill="background1"/>
            <w:noWrap/>
          </w:tcPr>
          <w:p w14:paraId="05B18B1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8" w:type="pct"/>
            <w:shd w:val="clear" w:color="auto" w:fill="FFFF00"/>
            <w:noWrap/>
          </w:tcPr>
          <w:p w14:paraId="07323C7D"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9C3586" w:rsidRPr="00812509" w14:paraId="3315AE5D"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2DD4F629"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537" w:type="pct"/>
            <w:vMerge/>
            <w:tcBorders>
              <w:bottom w:val="single" w:sz="4" w:space="0" w:color="auto"/>
            </w:tcBorders>
          </w:tcPr>
          <w:p w14:paraId="5DF45670"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441" w:type="pct"/>
            <w:tcBorders>
              <w:bottom w:val="single" w:sz="4" w:space="0" w:color="auto"/>
            </w:tcBorders>
          </w:tcPr>
          <w:p w14:paraId="01A4F4D6"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92D050"/>
            <w:noWrap/>
          </w:tcPr>
          <w:p w14:paraId="305169A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FF0000"/>
            <w:noWrap/>
          </w:tcPr>
          <w:p w14:paraId="3E4F9A3E"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50" w:type="pct"/>
            <w:tcBorders>
              <w:bottom w:val="single" w:sz="4" w:space="0" w:color="auto"/>
            </w:tcBorders>
            <w:shd w:val="clear" w:color="auto" w:fill="FFFF00"/>
            <w:noWrap/>
          </w:tcPr>
          <w:p w14:paraId="0EDD08B1"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2" w:type="pct"/>
            <w:tcBorders>
              <w:bottom w:val="single" w:sz="4" w:space="0" w:color="auto"/>
            </w:tcBorders>
            <w:shd w:val="clear" w:color="auto" w:fill="FFC000"/>
            <w:noWrap/>
          </w:tcPr>
          <w:p w14:paraId="50A32719"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38" w:type="pct"/>
            <w:tcBorders>
              <w:bottom w:val="single" w:sz="4" w:space="0" w:color="auto"/>
            </w:tcBorders>
            <w:shd w:val="clear" w:color="auto" w:fill="FFC000"/>
            <w:noWrap/>
          </w:tcPr>
          <w:p w14:paraId="1E1FB7C9"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8" w:type="pct"/>
            <w:tcBorders>
              <w:bottom w:val="single" w:sz="4" w:space="0" w:color="auto"/>
            </w:tcBorders>
            <w:shd w:val="clear" w:color="auto" w:fill="FFFF00"/>
            <w:noWrap/>
          </w:tcPr>
          <w:p w14:paraId="41DA5B5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9C3586" w:rsidRPr="00812509" w14:paraId="3ECDAFA0"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61CEECBE" w14:textId="77777777" w:rsidR="009C3586" w:rsidRDefault="009C3586"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INL347</w:t>
            </w:r>
          </w:p>
          <w:p w14:paraId="5A5D0F63"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Decentralising Funding to Schools Project</w:t>
            </w:r>
          </w:p>
        </w:tc>
        <w:tc>
          <w:tcPr>
            <w:tcW w:w="537" w:type="pct"/>
          </w:tcPr>
          <w:p w14:paraId="3F24250D" w14:textId="77777777" w:rsidR="009C3586" w:rsidRPr="00256631"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$84.00m</w:t>
            </w:r>
          </w:p>
          <w:p w14:paraId="68AE46A0"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2014-21</w:t>
            </w:r>
          </w:p>
        </w:tc>
        <w:tc>
          <w:tcPr>
            <w:tcW w:w="441" w:type="pct"/>
          </w:tcPr>
          <w:p w14:paraId="00D85F57"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07CE3FB6"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92D050"/>
            <w:noWrap/>
          </w:tcPr>
          <w:p w14:paraId="0E6ED7F4"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350" w:type="pct"/>
            <w:shd w:val="clear" w:color="auto" w:fill="92D050"/>
            <w:noWrap/>
          </w:tcPr>
          <w:p w14:paraId="4D5F5869"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82" w:type="pct"/>
            <w:noWrap/>
          </w:tcPr>
          <w:p w14:paraId="5DCF8F25"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7EB35C4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FF00"/>
            <w:noWrap/>
          </w:tcPr>
          <w:p w14:paraId="41E6ECF9"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381CB85B"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73D759EC"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27A1B9E8"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0265C6D6"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00B050"/>
            <w:noWrap/>
          </w:tcPr>
          <w:p w14:paraId="1589B325"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6</w:t>
            </w:r>
          </w:p>
        </w:tc>
        <w:tc>
          <w:tcPr>
            <w:tcW w:w="338" w:type="pct"/>
            <w:tcBorders>
              <w:bottom w:val="single" w:sz="4" w:space="0" w:color="auto"/>
            </w:tcBorders>
            <w:shd w:val="clear" w:color="auto" w:fill="92D050"/>
            <w:noWrap/>
          </w:tcPr>
          <w:p w14:paraId="5EAA5D25"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50" w:type="pct"/>
            <w:tcBorders>
              <w:bottom w:val="single" w:sz="4" w:space="0" w:color="auto"/>
            </w:tcBorders>
            <w:shd w:val="clear" w:color="auto" w:fill="92D050"/>
            <w:noWrap/>
          </w:tcPr>
          <w:p w14:paraId="48C448F4"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82" w:type="pct"/>
            <w:tcBorders>
              <w:bottom w:val="single" w:sz="4" w:space="0" w:color="auto"/>
            </w:tcBorders>
            <w:shd w:val="clear" w:color="auto" w:fill="92D050"/>
            <w:noWrap/>
          </w:tcPr>
          <w:p w14:paraId="2D2FA3CA"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92D050"/>
            <w:noWrap/>
          </w:tcPr>
          <w:p w14:paraId="17AB4C7C"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58" w:type="pct"/>
            <w:tcBorders>
              <w:bottom w:val="single" w:sz="4" w:space="0" w:color="auto"/>
            </w:tcBorders>
            <w:shd w:val="clear" w:color="auto" w:fill="FFC000"/>
            <w:noWrap/>
          </w:tcPr>
          <w:p w14:paraId="21A1EB32"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r w:rsidR="009C3586" w:rsidRPr="00812509" w14:paraId="4BCD3465"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40D94444" w14:textId="77777777" w:rsidR="009C3586" w:rsidRDefault="009C3586" w:rsidP="009042FA">
            <w:pPr>
              <w:keepLines/>
              <w:spacing w:before="40" w:after="40" w:line="200" w:lineRule="atLeast"/>
              <w:ind w:right="-131"/>
              <w:rPr>
                <w:rFonts w:asciiTheme="minorHAnsi" w:eastAsia="Times New Roman" w:hAnsiTheme="minorHAnsi"/>
                <w:iCs/>
                <w:szCs w:val="17"/>
                <w:lang w:eastAsia="en-US"/>
              </w:rPr>
            </w:pPr>
            <w:r>
              <w:rPr>
                <w:rFonts w:asciiTheme="minorHAnsi" w:eastAsia="Times New Roman" w:hAnsiTheme="minorHAnsi"/>
                <w:iCs/>
                <w:szCs w:val="17"/>
                <w:lang w:eastAsia="en-US"/>
              </w:rPr>
              <w:t>INL603</w:t>
            </w:r>
          </w:p>
          <w:p w14:paraId="6A1CA9EF" w14:textId="77777777" w:rsidR="009C3586" w:rsidRPr="00812509" w:rsidRDefault="009C3586" w:rsidP="009042FA">
            <w:pPr>
              <w:keepLines/>
              <w:spacing w:before="40" w:after="40" w:line="200" w:lineRule="atLeast"/>
              <w:ind w:right="-131"/>
              <w:rPr>
                <w:rFonts w:eastAsia="Times New Roman"/>
                <w:iCs/>
                <w:szCs w:val="17"/>
              </w:rPr>
            </w:pPr>
            <w:r w:rsidRPr="00256631">
              <w:rPr>
                <w:rFonts w:asciiTheme="minorHAnsi" w:eastAsia="Times New Roman" w:hAnsiTheme="minorHAnsi"/>
                <w:iCs/>
                <w:szCs w:val="17"/>
                <w:lang w:eastAsia="en-US"/>
              </w:rPr>
              <w:t xml:space="preserve">Supporting Reform, Improving </w:t>
            </w:r>
            <w:r>
              <w:rPr>
                <w:rFonts w:asciiTheme="minorHAnsi" w:eastAsia="Times New Roman" w:hAnsiTheme="minorHAnsi"/>
                <w:iCs/>
                <w:szCs w:val="17"/>
                <w:lang w:eastAsia="en-US"/>
              </w:rPr>
              <w:br/>
            </w:r>
            <w:r w:rsidRPr="00256631">
              <w:rPr>
                <w:rFonts w:asciiTheme="minorHAnsi" w:eastAsia="Times New Roman" w:hAnsiTheme="minorHAnsi"/>
                <w:iCs/>
                <w:szCs w:val="17"/>
                <w:lang w:eastAsia="en-US"/>
              </w:rPr>
              <w:t>Governance</w:t>
            </w:r>
          </w:p>
        </w:tc>
        <w:tc>
          <w:tcPr>
            <w:tcW w:w="537" w:type="pct"/>
          </w:tcPr>
          <w:p w14:paraId="68B02FBB" w14:textId="77777777" w:rsidR="009C3586" w:rsidRPr="00256631"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$21.19m</w:t>
            </w:r>
          </w:p>
          <w:p w14:paraId="4A240714"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2014-19</w:t>
            </w:r>
          </w:p>
        </w:tc>
        <w:tc>
          <w:tcPr>
            <w:tcW w:w="441" w:type="pct"/>
          </w:tcPr>
          <w:p w14:paraId="6330648D"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528E70B4"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FFFF00"/>
            <w:noWrap/>
          </w:tcPr>
          <w:p w14:paraId="3D86906B"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shd w:val="clear" w:color="auto" w:fill="FFFF00"/>
            <w:noWrap/>
          </w:tcPr>
          <w:p w14:paraId="6E5F2957"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382" w:type="pct"/>
            <w:noWrap/>
          </w:tcPr>
          <w:p w14:paraId="53C1F1F4"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526C0783"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FF00"/>
            <w:noWrap/>
          </w:tcPr>
          <w:p w14:paraId="15691FAF"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6719CEFA"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1A5FE03C"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6B2A1398"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483E9818"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92D050"/>
            <w:noWrap/>
          </w:tcPr>
          <w:p w14:paraId="245D9D86"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FFFF00"/>
            <w:noWrap/>
          </w:tcPr>
          <w:p w14:paraId="3670D82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tcBorders>
              <w:bottom w:val="single" w:sz="4" w:space="0" w:color="auto"/>
            </w:tcBorders>
            <w:shd w:val="clear" w:color="auto" w:fill="FFC000"/>
            <w:noWrap/>
          </w:tcPr>
          <w:p w14:paraId="2220112E"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82" w:type="pct"/>
            <w:tcBorders>
              <w:bottom w:val="single" w:sz="4" w:space="0" w:color="auto"/>
            </w:tcBorders>
            <w:shd w:val="clear" w:color="auto" w:fill="FFC000"/>
            <w:noWrap/>
          </w:tcPr>
          <w:p w14:paraId="433FC51D"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38" w:type="pct"/>
            <w:tcBorders>
              <w:bottom w:val="single" w:sz="4" w:space="0" w:color="auto"/>
            </w:tcBorders>
            <w:shd w:val="clear" w:color="auto" w:fill="FFFF00"/>
            <w:noWrap/>
          </w:tcPr>
          <w:p w14:paraId="0079B43E"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8" w:type="pct"/>
            <w:tcBorders>
              <w:bottom w:val="single" w:sz="4" w:space="0" w:color="auto"/>
            </w:tcBorders>
            <w:shd w:val="clear" w:color="auto" w:fill="FFC000"/>
            <w:noWrap/>
          </w:tcPr>
          <w:p w14:paraId="580465AB"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r w:rsidR="009C3586" w:rsidRPr="00812509" w14:paraId="6FCDB28C"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64264BBF"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INL739</w:t>
            </w:r>
          </w:p>
          <w:p w14:paraId="2C34D30D"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Myanmar (Burma) Investment Climate and Private Sector</w:t>
            </w:r>
          </w:p>
        </w:tc>
        <w:tc>
          <w:tcPr>
            <w:tcW w:w="537" w:type="pct"/>
          </w:tcPr>
          <w:p w14:paraId="01916C73" w14:textId="77777777" w:rsidR="009C3586" w:rsidRPr="00304DED" w:rsidRDefault="009C3586" w:rsidP="009042FA">
            <w:pPr>
              <w:keepLines/>
              <w:spacing w:before="40" w:after="40" w:line="200" w:lineRule="atLeast"/>
              <w:rPr>
                <w:rFonts w:asciiTheme="minorHAnsi" w:eastAsia="Times New Roman" w:hAnsiTheme="minorHAnsi"/>
                <w:iCs/>
                <w:szCs w:val="17"/>
                <w:lang w:eastAsia="en-US"/>
              </w:rPr>
            </w:pPr>
            <w:r w:rsidRPr="00304DED">
              <w:rPr>
                <w:rFonts w:asciiTheme="minorHAnsi" w:eastAsia="Times New Roman" w:hAnsiTheme="minorHAnsi"/>
                <w:iCs/>
                <w:szCs w:val="17"/>
                <w:lang w:eastAsia="en-US"/>
              </w:rPr>
              <w:t xml:space="preserve">$20.67m </w:t>
            </w:r>
          </w:p>
          <w:p w14:paraId="42FA1945" w14:textId="77777777" w:rsidR="009C3586" w:rsidRPr="00812509" w:rsidRDefault="009C3586" w:rsidP="009042FA">
            <w:pPr>
              <w:keepLines/>
              <w:spacing w:before="40" w:after="40" w:line="200" w:lineRule="atLeast"/>
              <w:rPr>
                <w:rFonts w:eastAsia="Times New Roman"/>
                <w:iCs/>
                <w:szCs w:val="17"/>
              </w:rPr>
            </w:pPr>
            <w:r w:rsidRPr="00304DED">
              <w:rPr>
                <w:rFonts w:asciiTheme="minorHAnsi" w:eastAsia="Times New Roman" w:hAnsiTheme="minorHAnsi"/>
                <w:iCs/>
                <w:szCs w:val="17"/>
                <w:lang w:eastAsia="en-US"/>
              </w:rPr>
              <w:t>2015-20</w:t>
            </w:r>
          </w:p>
        </w:tc>
        <w:tc>
          <w:tcPr>
            <w:tcW w:w="441" w:type="pct"/>
          </w:tcPr>
          <w:p w14:paraId="0FA84D54"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46AB459D"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FFFF00"/>
            <w:noWrap/>
          </w:tcPr>
          <w:p w14:paraId="339A776C"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shd w:val="clear" w:color="auto" w:fill="FFFF00"/>
            <w:noWrap/>
          </w:tcPr>
          <w:p w14:paraId="47E4267A"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382" w:type="pct"/>
            <w:noWrap/>
          </w:tcPr>
          <w:p w14:paraId="16A4F1A9"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50D7A3FB"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FF00"/>
            <w:noWrap/>
          </w:tcPr>
          <w:p w14:paraId="7BBAA7E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5669B3DF"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4147A117"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73FBCF7C"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1E53C9FA"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FFFF00"/>
            <w:noWrap/>
          </w:tcPr>
          <w:p w14:paraId="0F782E1A"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38" w:type="pct"/>
            <w:tcBorders>
              <w:bottom w:val="single" w:sz="4" w:space="0" w:color="auto"/>
            </w:tcBorders>
            <w:shd w:val="clear" w:color="auto" w:fill="FFFF00"/>
            <w:noWrap/>
          </w:tcPr>
          <w:p w14:paraId="108D4A5B"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tcBorders>
              <w:bottom w:val="single" w:sz="4" w:space="0" w:color="auto"/>
            </w:tcBorders>
            <w:shd w:val="clear" w:color="auto" w:fill="FFC000"/>
            <w:noWrap/>
          </w:tcPr>
          <w:p w14:paraId="176A2D4C"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82" w:type="pct"/>
            <w:tcBorders>
              <w:bottom w:val="single" w:sz="4" w:space="0" w:color="auto"/>
            </w:tcBorders>
            <w:shd w:val="clear" w:color="auto" w:fill="FFC000"/>
            <w:noWrap/>
          </w:tcPr>
          <w:p w14:paraId="5F5884D7"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38" w:type="pct"/>
            <w:tcBorders>
              <w:bottom w:val="single" w:sz="4" w:space="0" w:color="auto"/>
            </w:tcBorders>
            <w:shd w:val="clear" w:color="auto" w:fill="FFC000"/>
            <w:noWrap/>
          </w:tcPr>
          <w:p w14:paraId="61ED09D7"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58" w:type="pct"/>
            <w:tcBorders>
              <w:bottom w:val="single" w:sz="4" w:space="0" w:color="auto"/>
            </w:tcBorders>
            <w:shd w:val="clear" w:color="auto" w:fill="FFC000"/>
            <w:noWrap/>
          </w:tcPr>
          <w:p w14:paraId="5D9F5FDC"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r w:rsidR="009C3586" w:rsidRPr="00812509" w14:paraId="05791E4E"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30264675" w14:textId="77777777" w:rsidR="009C3586" w:rsidRDefault="009C3586" w:rsidP="009042FA">
            <w:pPr>
              <w:keepLines/>
              <w:spacing w:before="40" w:after="40" w:line="200" w:lineRule="atLeast"/>
              <w:ind w:right="-131"/>
              <w:rPr>
                <w:rFonts w:asciiTheme="minorHAnsi" w:eastAsia="Times New Roman" w:hAnsiTheme="minorHAnsi"/>
                <w:iCs/>
                <w:szCs w:val="17"/>
                <w:lang w:eastAsia="en-US"/>
              </w:rPr>
            </w:pPr>
            <w:r>
              <w:rPr>
                <w:rFonts w:asciiTheme="minorHAnsi" w:eastAsia="Times New Roman" w:hAnsiTheme="minorHAnsi"/>
                <w:iCs/>
                <w:szCs w:val="17"/>
                <w:lang w:eastAsia="en-US"/>
              </w:rPr>
              <w:t>INL920</w:t>
            </w:r>
          </w:p>
          <w:p w14:paraId="4769C52E" w14:textId="77777777" w:rsidR="009C3586" w:rsidRPr="00812509" w:rsidRDefault="009C3586" w:rsidP="009042FA">
            <w:pPr>
              <w:keepLines/>
              <w:spacing w:before="40" w:after="40" w:line="200" w:lineRule="atLeast"/>
              <w:ind w:right="-131"/>
              <w:rPr>
                <w:rFonts w:eastAsia="Times New Roman"/>
                <w:iCs/>
                <w:szCs w:val="17"/>
              </w:rPr>
            </w:pPr>
            <w:r w:rsidRPr="00256631">
              <w:rPr>
                <w:rFonts w:asciiTheme="minorHAnsi" w:eastAsia="Times New Roman" w:hAnsiTheme="minorHAnsi"/>
                <w:iCs/>
                <w:szCs w:val="17"/>
                <w:lang w:eastAsia="en-US"/>
              </w:rPr>
              <w:t xml:space="preserve">Myanmar-Australia Peace Support </w:t>
            </w:r>
            <w:r>
              <w:rPr>
                <w:rFonts w:asciiTheme="minorHAnsi" w:eastAsia="Times New Roman" w:hAnsiTheme="minorHAnsi"/>
                <w:iCs/>
                <w:szCs w:val="17"/>
                <w:lang w:eastAsia="en-US"/>
              </w:rPr>
              <w:br/>
            </w:r>
            <w:r w:rsidRPr="00256631">
              <w:rPr>
                <w:rFonts w:asciiTheme="minorHAnsi" w:eastAsia="Times New Roman" w:hAnsiTheme="minorHAnsi"/>
                <w:iCs/>
                <w:szCs w:val="17"/>
                <w:lang w:eastAsia="en-US"/>
              </w:rPr>
              <w:t>program</w:t>
            </w:r>
          </w:p>
        </w:tc>
        <w:tc>
          <w:tcPr>
            <w:tcW w:w="537" w:type="pct"/>
          </w:tcPr>
          <w:p w14:paraId="3FBE44E9" w14:textId="77777777" w:rsidR="009C3586" w:rsidRPr="00304DED" w:rsidRDefault="009C3586" w:rsidP="009042FA">
            <w:pPr>
              <w:keepLines/>
              <w:spacing w:before="40" w:after="40" w:line="200" w:lineRule="atLeast"/>
              <w:rPr>
                <w:rFonts w:asciiTheme="minorHAnsi" w:eastAsia="Times New Roman" w:hAnsiTheme="minorHAnsi"/>
                <w:iCs/>
                <w:szCs w:val="17"/>
                <w:lang w:eastAsia="en-US"/>
              </w:rPr>
            </w:pPr>
            <w:r w:rsidRPr="00304DED">
              <w:rPr>
                <w:rFonts w:asciiTheme="minorHAnsi" w:eastAsia="Times New Roman" w:hAnsiTheme="minorHAnsi"/>
                <w:iCs/>
                <w:szCs w:val="17"/>
                <w:lang w:eastAsia="en-US"/>
              </w:rPr>
              <w:t xml:space="preserve">$29.23m </w:t>
            </w:r>
          </w:p>
          <w:p w14:paraId="01667843" w14:textId="77777777" w:rsidR="009C3586" w:rsidRPr="00812509" w:rsidRDefault="009C3586" w:rsidP="009042FA">
            <w:pPr>
              <w:keepLines/>
              <w:spacing w:before="40" w:after="40" w:line="200" w:lineRule="atLeast"/>
              <w:rPr>
                <w:rFonts w:eastAsia="Times New Roman"/>
                <w:iCs/>
                <w:szCs w:val="17"/>
              </w:rPr>
            </w:pPr>
            <w:r w:rsidRPr="00304DED">
              <w:rPr>
                <w:rFonts w:asciiTheme="minorHAnsi" w:eastAsia="Times New Roman" w:hAnsiTheme="minorHAnsi"/>
                <w:iCs/>
                <w:szCs w:val="17"/>
                <w:lang w:eastAsia="en-US"/>
              </w:rPr>
              <w:t>2016-19</w:t>
            </w:r>
          </w:p>
        </w:tc>
        <w:tc>
          <w:tcPr>
            <w:tcW w:w="441" w:type="pct"/>
          </w:tcPr>
          <w:p w14:paraId="53205F1B"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1BED7491"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FFC000"/>
            <w:noWrap/>
          </w:tcPr>
          <w:p w14:paraId="7F9D90E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50" w:type="pct"/>
            <w:shd w:val="clear" w:color="auto" w:fill="FFFF00"/>
            <w:noWrap/>
          </w:tcPr>
          <w:p w14:paraId="5ACBD609"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382" w:type="pct"/>
            <w:noWrap/>
          </w:tcPr>
          <w:p w14:paraId="58DF106D"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00861ACA"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FF00"/>
            <w:noWrap/>
          </w:tcPr>
          <w:p w14:paraId="33BE6E28"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6056702E"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128C36F8"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282592C3"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447C09AF"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92D050"/>
            <w:noWrap/>
          </w:tcPr>
          <w:p w14:paraId="658C61AA"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FFC000"/>
            <w:noWrap/>
          </w:tcPr>
          <w:p w14:paraId="558BAC3F"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50" w:type="pct"/>
            <w:tcBorders>
              <w:bottom w:val="single" w:sz="4" w:space="0" w:color="auto"/>
            </w:tcBorders>
            <w:shd w:val="clear" w:color="auto" w:fill="FFFF00"/>
            <w:noWrap/>
          </w:tcPr>
          <w:p w14:paraId="6A5BBF88"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82" w:type="pct"/>
            <w:tcBorders>
              <w:bottom w:val="single" w:sz="4" w:space="0" w:color="auto"/>
            </w:tcBorders>
            <w:shd w:val="clear" w:color="auto" w:fill="FFC000"/>
            <w:noWrap/>
          </w:tcPr>
          <w:p w14:paraId="5CCFABA8"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38" w:type="pct"/>
            <w:tcBorders>
              <w:bottom w:val="single" w:sz="4" w:space="0" w:color="auto"/>
            </w:tcBorders>
            <w:shd w:val="clear" w:color="auto" w:fill="FFFF00"/>
            <w:noWrap/>
          </w:tcPr>
          <w:p w14:paraId="25F93169"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8" w:type="pct"/>
            <w:tcBorders>
              <w:bottom w:val="single" w:sz="4" w:space="0" w:color="auto"/>
            </w:tcBorders>
            <w:shd w:val="clear" w:color="auto" w:fill="FFFF00"/>
            <w:noWrap/>
          </w:tcPr>
          <w:p w14:paraId="63E959C4"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7BBF0D34"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6F1A8194" w14:textId="77777777" w:rsidR="009C3586" w:rsidRPr="00812509" w:rsidRDefault="009C3586" w:rsidP="009042FA">
            <w:pPr>
              <w:keepLines/>
              <w:spacing w:before="40" w:after="40" w:line="200" w:lineRule="atLeast"/>
              <w:rPr>
                <w:rFonts w:eastAsia="Times New Roman"/>
                <w:iCs/>
                <w:szCs w:val="17"/>
              </w:rPr>
            </w:pPr>
            <w:r w:rsidRPr="00F75B75">
              <w:rPr>
                <w:rFonts w:asciiTheme="minorHAnsi" w:eastAsia="Times New Roman" w:hAnsiTheme="minorHAnsi"/>
                <w:iCs/>
                <w:szCs w:val="17"/>
                <w:lang w:eastAsia="en-US"/>
              </w:rPr>
              <w:t>INM088</w:t>
            </w:r>
            <w:r>
              <w:rPr>
                <w:rFonts w:asciiTheme="minorHAnsi" w:eastAsia="Times New Roman" w:hAnsiTheme="minorHAnsi"/>
                <w:iCs/>
                <w:szCs w:val="17"/>
                <w:lang w:eastAsia="en-US"/>
              </w:rPr>
              <w:br/>
              <w:t>Myanmar Education Quality Improvement Program</w:t>
            </w:r>
          </w:p>
        </w:tc>
        <w:tc>
          <w:tcPr>
            <w:tcW w:w="537" w:type="pct"/>
          </w:tcPr>
          <w:p w14:paraId="66EA080B" w14:textId="77777777" w:rsidR="009C3586" w:rsidRDefault="009C3586" w:rsidP="009042FA">
            <w:pPr>
              <w:keepLines/>
              <w:spacing w:before="40" w:after="40" w:line="200" w:lineRule="atLeast"/>
              <w:rPr>
                <w:rFonts w:asciiTheme="minorHAnsi" w:eastAsia="Times New Roman" w:hAnsiTheme="minorHAnsi"/>
                <w:iCs/>
                <w:szCs w:val="17"/>
                <w:lang w:eastAsia="en-US"/>
              </w:rPr>
            </w:pPr>
            <w:r w:rsidRPr="00304DED">
              <w:rPr>
                <w:rFonts w:asciiTheme="minorHAnsi" w:eastAsia="Times New Roman" w:hAnsiTheme="minorHAnsi"/>
                <w:iCs/>
                <w:szCs w:val="17"/>
                <w:lang w:eastAsia="en-US"/>
              </w:rPr>
              <w:t>$21.01m</w:t>
            </w:r>
          </w:p>
          <w:p w14:paraId="3B4382CF" w14:textId="77777777" w:rsidR="009C3586" w:rsidRPr="00304DED" w:rsidRDefault="009C3586" w:rsidP="009042FA">
            <w:pPr>
              <w:keepLines/>
              <w:spacing w:before="40" w:after="40" w:line="200" w:lineRule="atLeast"/>
              <w:rPr>
                <w:rFonts w:asciiTheme="minorHAnsi" w:eastAsia="Times New Roman" w:hAnsiTheme="minorHAnsi"/>
                <w:iCs/>
                <w:szCs w:val="17"/>
                <w:lang w:eastAsia="en-US"/>
              </w:rPr>
            </w:pPr>
            <w:r w:rsidRPr="00304DED">
              <w:rPr>
                <w:rFonts w:asciiTheme="minorHAnsi" w:eastAsia="Times New Roman" w:hAnsiTheme="minorHAnsi"/>
                <w:iCs/>
                <w:szCs w:val="17"/>
                <w:lang w:eastAsia="en-US"/>
              </w:rPr>
              <w:t>2016-21</w:t>
            </w:r>
          </w:p>
        </w:tc>
        <w:tc>
          <w:tcPr>
            <w:tcW w:w="441" w:type="pct"/>
          </w:tcPr>
          <w:p w14:paraId="27FE1FDC"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5B18FA89"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FFFF00"/>
            <w:noWrap/>
          </w:tcPr>
          <w:p w14:paraId="68503BC6"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shd w:val="clear" w:color="auto" w:fill="FFFF00"/>
            <w:noWrap/>
          </w:tcPr>
          <w:p w14:paraId="69120B3F"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382" w:type="pct"/>
            <w:noWrap/>
          </w:tcPr>
          <w:p w14:paraId="7446547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492243C0"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FF00"/>
            <w:noWrap/>
          </w:tcPr>
          <w:p w14:paraId="428DE85A"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r w:rsidR="009C3586" w:rsidRPr="00812509" w14:paraId="2AEEE653"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6B6A7E05"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6F718903"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71A23A63"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noWrap/>
          </w:tcPr>
          <w:p w14:paraId="77A6E35E"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tcBorders>
              <w:bottom w:val="single" w:sz="4" w:space="0" w:color="auto"/>
            </w:tcBorders>
            <w:noWrap/>
          </w:tcPr>
          <w:p w14:paraId="586D93A5"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50" w:type="pct"/>
            <w:tcBorders>
              <w:bottom w:val="single" w:sz="4" w:space="0" w:color="auto"/>
            </w:tcBorders>
            <w:noWrap/>
          </w:tcPr>
          <w:p w14:paraId="7EC5FC93"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82" w:type="pct"/>
            <w:tcBorders>
              <w:bottom w:val="single" w:sz="4" w:space="0" w:color="auto"/>
            </w:tcBorders>
            <w:noWrap/>
          </w:tcPr>
          <w:p w14:paraId="0C77993A"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tcBorders>
              <w:bottom w:val="single" w:sz="4" w:space="0" w:color="auto"/>
            </w:tcBorders>
            <w:noWrap/>
          </w:tcPr>
          <w:p w14:paraId="633E096E"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58" w:type="pct"/>
            <w:tcBorders>
              <w:bottom w:val="single" w:sz="4" w:space="0" w:color="auto"/>
            </w:tcBorders>
            <w:noWrap/>
          </w:tcPr>
          <w:p w14:paraId="5DFCA61D"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r>
      <w:tr w:rsidR="009C3586" w:rsidRPr="00812509" w14:paraId="35B816B2"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2A06B839" w14:textId="77777777" w:rsidR="009C3586" w:rsidRPr="00812509" w:rsidRDefault="009C3586" w:rsidP="009042FA">
            <w:pPr>
              <w:keepLines/>
              <w:spacing w:before="40" w:after="40" w:line="200" w:lineRule="atLeast"/>
              <w:rPr>
                <w:rFonts w:eastAsia="Times New Roman"/>
                <w:iCs/>
                <w:szCs w:val="17"/>
              </w:rPr>
            </w:pPr>
            <w:r w:rsidRPr="00256631">
              <w:rPr>
                <w:rFonts w:asciiTheme="minorHAnsi" w:eastAsia="Times New Roman" w:hAnsiTheme="minorHAnsi"/>
                <w:iCs/>
                <w:szCs w:val="17"/>
                <w:lang w:eastAsia="en-US"/>
              </w:rPr>
              <w:t>INM211</w:t>
            </w:r>
            <w:r w:rsidRPr="00256631">
              <w:rPr>
                <w:rFonts w:asciiTheme="minorHAnsi" w:eastAsia="Times New Roman" w:hAnsiTheme="minorHAnsi"/>
                <w:iCs/>
                <w:szCs w:val="17"/>
                <w:lang w:eastAsia="en-US"/>
              </w:rPr>
              <w:br/>
              <w:t>Myanmar Education Consortium (MEC) Phase II</w:t>
            </w:r>
          </w:p>
        </w:tc>
        <w:tc>
          <w:tcPr>
            <w:tcW w:w="537" w:type="pct"/>
          </w:tcPr>
          <w:p w14:paraId="5ED633C7" w14:textId="77777777" w:rsidR="009C3586" w:rsidRPr="00256631"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$35.50m</w:t>
            </w:r>
          </w:p>
          <w:p w14:paraId="5A8D47A9" w14:textId="77777777" w:rsidR="009C3586" w:rsidRPr="00812509" w:rsidRDefault="009C3586" w:rsidP="009042FA">
            <w:pPr>
              <w:keepLines/>
              <w:spacing w:before="40" w:after="40" w:line="200" w:lineRule="atLeast"/>
              <w:rPr>
                <w:rFonts w:eastAsia="Times New Roman"/>
                <w:iCs/>
                <w:szCs w:val="17"/>
              </w:rPr>
            </w:pPr>
            <w:r>
              <w:rPr>
                <w:rFonts w:asciiTheme="minorHAnsi" w:eastAsia="Times New Roman" w:hAnsiTheme="minorHAnsi"/>
                <w:iCs/>
                <w:szCs w:val="17"/>
                <w:lang w:eastAsia="en-US"/>
              </w:rPr>
              <w:t>2017-20</w:t>
            </w:r>
          </w:p>
        </w:tc>
        <w:tc>
          <w:tcPr>
            <w:tcW w:w="441" w:type="pct"/>
          </w:tcPr>
          <w:p w14:paraId="79030D96"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052D229D" w14:textId="77777777" w:rsidR="009C3586" w:rsidRPr="00812509" w:rsidRDefault="009C3586" w:rsidP="009042F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c>
          <w:tcPr>
            <w:tcW w:w="338" w:type="pct"/>
            <w:shd w:val="clear" w:color="auto" w:fill="FFC000"/>
            <w:noWrap/>
          </w:tcPr>
          <w:p w14:paraId="2F95A2E6"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50" w:type="pct"/>
            <w:shd w:val="clear" w:color="auto" w:fill="FFC000"/>
            <w:noWrap/>
          </w:tcPr>
          <w:p w14:paraId="1A971E6F"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82" w:type="pct"/>
            <w:noWrap/>
          </w:tcPr>
          <w:p w14:paraId="327749BD"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38" w:type="pct"/>
            <w:noWrap/>
          </w:tcPr>
          <w:p w14:paraId="2554A118"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58" w:type="pct"/>
            <w:shd w:val="clear" w:color="auto" w:fill="FFC000"/>
            <w:noWrap/>
          </w:tcPr>
          <w:p w14:paraId="3AB4C97F"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r w:rsidR="009C3586" w:rsidRPr="00812509" w14:paraId="18D0E080"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Borders>
              <w:bottom w:val="single" w:sz="4" w:space="0" w:color="auto"/>
            </w:tcBorders>
          </w:tcPr>
          <w:p w14:paraId="724B7A63" w14:textId="77777777" w:rsidR="009C3586" w:rsidRPr="00812509" w:rsidRDefault="009C3586" w:rsidP="009042FA">
            <w:pPr>
              <w:keepLines/>
              <w:spacing w:before="40" w:after="40" w:line="200" w:lineRule="atLeast"/>
              <w:rPr>
                <w:rFonts w:eastAsia="Times New Roman"/>
                <w:iCs/>
                <w:szCs w:val="17"/>
              </w:rPr>
            </w:pPr>
          </w:p>
        </w:tc>
        <w:tc>
          <w:tcPr>
            <w:tcW w:w="537" w:type="pct"/>
            <w:tcBorders>
              <w:bottom w:val="single" w:sz="4" w:space="0" w:color="auto"/>
            </w:tcBorders>
          </w:tcPr>
          <w:p w14:paraId="54A30BFE" w14:textId="77777777" w:rsidR="009C3586" w:rsidRPr="00812509" w:rsidRDefault="009C3586" w:rsidP="009042FA">
            <w:pPr>
              <w:keepLines/>
              <w:spacing w:before="40" w:after="40" w:line="200" w:lineRule="atLeast"/>
              <w:rPr>
                <w:rFonts w:eastAsia="Times New Roman"/>
                <w:iCs/>
                <w:szCs w:val="17"/>
              </w:rPr>
            </w:pPr>
          </w:p>
        </w:tc>
        <w:tc>
          <w:tcPr>
            <w:tcW w:w="441" w:type="pct"/>
            <w:tcBorders>
              <w:bottom w:val="single" w:sz="4" w:space="0" w:color="auto"/>
            </w:tcBorders>
          </w:tcPr>
          <w:p w14:paraId="0E0FFBFF" w14:textId="77777777" w:rsidR="009C3586" w:rsidRPr="00812509" w:rsidRDefault="009C3586" w:rsidP="009042FA">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tcBorders>
              <w:bottom w:val="single" w:sz="4" w:space="0" w:color="auto"/>
            </w:tcBorders>
            <w:shd w:val="clear" w:color="auto" w:fill="92D050"/>
            <w:noWrap/>
          </w:tcPr>
          <w:p w14:paraId="16432E9F"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5</w:t>
            </w:r>
          </w:p>
        </w:tc>
        <w:tc>
          <w:tcPr>
            <w:tcW w:w="338" w:type="pct"/>
            <w:tcBorders>
              <w:bottom w:val="single" w:sz="4" w:space="0" w:color="auto"/>
            </w:tcBorders>
            <w:shd w:val="clear" w:color="auto" w:fill="FFFF00"/>
            <w:noWrap/>
          </w:tcPr>
          <w:p w14:paraId="2A603A18"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0" w:type="pct"/>
            <w:tcBorders>
              <w:bottom w:val="single" w:sz="4" w:space="0" w:color="auto"/>
            </w:tcBorders>
            <w:shd w:val="clear" w:color="auto" w:fill="FFC000"/>
            <w:noWrap/>
          </w:tcPr>
          <w:p w14:paraId="48A16443"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82" w:type="pct"/>
            <w:tcBorders>
              <w:bottom w:val="single" w:sz="4" w:space="0" w:color="auto"/>
            </w:tcBorders>
            <w:shd w:val="clear" w:color="auto" w:fill="FFC000"/>
            <w:noWrap/>
          </w:tcPr>
          <w:p w14:paraId="72904B5C"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38" w:type="pct"/>
            <w:tcBorders>
              <w:bottom w:val="single" w:sz="4" w:space="0" w:color="auto"/>
            </w:tcBorders>
            <w:shd w:val="clear" w:color="auto" w:fill="FFFF00"/>
            <w:noWrap/>
          </w:tcPr>
          <w:p w14:paraId="24A7ED47"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58" w:type="pct"/>
            <w:tcBorders>
              <w:bottom w:val="single" w:sz="4" w:space="0" w:color="auto"/>
            </w:tcBorders>
            <w:shd w:val="clear" w:color="auto" w:fill="FFC000"/>
            <w:noWrap/>
          </w:tcPr>
          <w:p w14:paraId="59468326" w14:textId="77777777" w:rsidR="009C3586" w:rsidRPr="00812509" w:rsidRDefault="009C3586" w:rsidP="009042FA">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r w:rsidR="009C3586" w:rsidRPr="00812509" w14:paraId="1E20677E"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val="restart"/>
          </w:tcPr>
          <w:p w14:paraId="2041480C" w14:textId="77777777" w:rsidR="009C3586" w:rsidRPr="00F223B5" w:rsidRDefault="009C3586" w:rsidP="009042FA">
            <w:pPr>
              <w:keepLines/>
              <w:spacing w:before="40" w:after="40" w:line="200" w:lineRule="atLeast"/>
              <w:rPr>
                <w:rFonts w:asciiTheme="minorHAnsi" w:eastAsia="Times New Roman" w:hAnsiTheme="minorHAnsi"/>
                <w:iCs/>
                <w:szCs w:val="17"/>
                <w:lang w:eastAsia="en-US"/>
              </w:rPr>
            </w:pPr>
            <w:r w:rsidRPr="00F223B5">
              <w:rPr>
                <w:rFonts w:asciiTheme="minorHAnsi" w:eastAsia="Times New Roman" w:hAnsiTheme="minorHAnsi"/>
                <w:iCs/>
                <w:szCs w:val="17"/>
                <w:lang w:eastAsia="en-US"/>
              </w:rPr>
              <w:t>INM493</w:t>
            </w:r>
          </w:p>
          <w:p w14:paraId="0375C686"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F223B5">
              <w:rPr>
                <w:rFonts w:asciiTheme="minorHAnsi" w:eastAsia="Times New Roman" w:hAnsiTheme="minorHAnsi"/>
                <w:iCs/>
                <w:szCs w:val="17"/>
                <w:lang w:eastAsia="en-US"/>
              </w:rPr>
              <w:t>STEM Phase II</w:t>
            </w:r>
          </w:p>
        </w:tc>
        <w:tc>
          <w:tcPr>
            <w:tcW w:w="537" w:type="pct"/>
            <w:vMerge w:val="restart"/>
          </w:tcPr>
          <w:p w14:paraId="584DA974" w14:textId="77777777" w:rsidR="009C3586" w:rsidRDefault="009C3586"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$2.94m</w:t>
            </w:r>
          </w:p>
          <w:p w14:paraId="366AB420"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2018-20</w:t>
            </w:r>
          </w:p>
        </w:tc>
        <w:tc>
          <w:tcPr>
            <w:tcW w:w="441" w:type="pct"/>
          </w:tcPr>
          <w:p w14:paraId="368CFDDA"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38" w:type="pct"/>
            <w:noWrap/>
          </w:tcPr>
          <w:p w14:paraId="59F35FF2"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38" w:type="pct"/>
            <w:shd w:val="clear" w:color="auto" w:fill="FFFF00"/>
            <w:noWrap/>
          </w:tcPr>
          <w:p w14:paraId="68B4B941"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0" w:type="pct"/>
            <w:shd w:val="clear" w:color="auto" w:fill="FFFF00"/>
            <w:noWrap/>
          </w:tcPr>
          <w:p w14:paraId="7833D37E"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82" w:type="pct"/>
            <w:noWrap/>
          </w:tcPr>
          <w:p w14:paraId="774583A7"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38" w:type="pct"/>
            <w:noWrap/>
          </w:tcPr>
          <w:p w14:paraId="40D899AD"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8" w:type="pct"/>
            <w:shd w:val="clear" w:color="auto" w:fill="FFFF00"/>
            <w:noWrap/>
          </w:tcPr>
          <w:p w14:paraId="508C4D00"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9C3586" w:rsidRPr="00812509" w14:paraId="1695908D"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758" w:type="pct"/>
            <w:vMerge/>
          </w:tcPr>
          <w:p w14:paraId="5C2F1E4B"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537" w:type="pct"/>
            <w:vMerge/>
          </w:tcPr>
          <w:p w14:paraId="16AA1511"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p>
        </w:tc>
        <w:tc>
          <w:tcPr>
            <w:tcW w:w="441" w:type="pct"/>
          </w:tcPr>
          <w:p w14:paraId="15F6DD48"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38" w:type="pct"/>
            <w:noWrap/>
          </w:tcPr>
          <w:p w14:paraId="3A93DE29"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38" w:type="pct"/>
            <w:noWrap/>
          </w:tcPr>
          <w:p w14:paraId="55BE9DEA"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0" w:type="pct"/>
            <w:noWrap/>
          </w:tcPr>
          <w:p w14:paraId="0CBCFDBE"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82" w:type="pct"/>
            <w:noWrap/>
          </w:tcPr>
          <w:p w14:paraId="495F0C6F"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38" w:type="pct"/>
            <w:noWrap/>
          </w:tcPr>
          <w:p w14:paraId="5E6CD0D2"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8" w:type="pct"/>
            <w:noWrap/>
          </w:tcPr>
          <w:p w14:paraId="0F93E19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bl>
    <w:p w14:paraId="02D73CD4" w14:textId="77777777" w:rsidR="009042FA" w:rsidRPr="00C61187" w:rsidRDefault="009042FA" w:rsidP="009042FA">
      <w:pPr>
        <w:rPr>
          <w:iCs/>
        </w:rPr>
      </w:pPr>
    </w:p>
    <w:p w14:paraId="16454F0F" w14:textId="77777777" w:rsidR="009042FA" w:rsidRDefault="009042FA" w:rsidP="009042FA">
      <w:pPr>
        <w:suppressAutoHyphens w:val="0"/>
        <w:spacing w:before="0" w:after="120" w:line="440" w:lineRule="atLeast"/>
        <w:rPr>
          <w:rFonts w:eastAsiaTheme="majorEastAsia" w:cstheme="minorHAnsi"/>
          <w:caps/>
          <w:sz w:val="36"/>
          <w:szCs w:val="36"/>
        </w:rPr>
      </w:pPr>
      <w:r>
        <w:rPr>
          <w:rFonts w:eastAsiaTheme="majorEastAsia" w:cstheme="minorHAnsi"/>
          <w:caps/>
          <w:sz w:val="36"/>
          <w:szCs w:val="36"/>
        </w:rPr>
        <w:br w:type="page"/>
      </w:r>
    </w:p>
    <w:p w14:paraId="7BF6B536" w14:textId="77777777" w:rsidR="009042FA" w:rsidRPr="00A8197B" w:rsidRDefault="009042FA" w:rsidP="009042FA">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lastRenderedPageBreak/>
        <w:t>2 HAQC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516" w:type="pct"/>
        <w:tblLook w:val="0000" w:firstRow="0" w:lastRow="0" w:firstColumn="0" w:lastColumn="0" w:noHBand="0" w:noVBand="0"/>
      </w:tblPr>
      <w:tblGrid>
        <w:gridCol w:w="2978"/>
        <w:gridCol w:w="1099"/>
        <w:gridCol w:w="619"/>
        <w:gridCol w:w="641"/>
        <w:gridCol w:w="628"/>
        <w:gridCol w:w="657"/>
        <w:gridCol w:w="717"/>
        <w:gridCol w:w="655"/>
        <w:gridCol w:w="711"/>
      </w:tblGrid>
      <w:tr w:rsidR="009C3586" w:rsidRPr="00812509" w14:paraId="41DBEBB0" w14:textId="77777777" w:rsidTr="009C3586">
        <w:trPr>
          <w:cnfStyle w:val="000000010000" w:firstRow="0" w:lastRow="0" w:firstColumn="0" w:lastColumn="0" w:oddVBand="0" w:evenVBand="0" w:oddHBand="0" w:evenHBand="1" w:firstRowFirstColumn="0" w:firstRowLastColumn="0" w:lastRowFirstColumn="0" w:lastRowLastColumn="0"/>
          <w:trHeight w:val="1505"/>
        </w:trPr>
        <w:tc>
          <w:tcPr>
            <w:tcW w:w="1686" w:type="pct"/>
          </w:tcPr>
          <w:p w14:paraId="4292C364"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9984" behindDoc="0" locked="0" layoutInCell="1" allowOverlap="1" wp14:anchorId="68245E7A" wp14:editId="564951E6">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15" w:type="pct"/>
            <w:textDirection w:val="btLr"/>
          </w:tcPr>
          <w:p w14:paraId="135EA707"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40" w:type="pct"/>
            <w:noWrap/>
            <w:textDirection w:val="btLr"/>
          </w:tcPr>
          <w:p w14:paraId="313A66E6"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52" w:type="pct"/>
            <w:noWrap/>
            <w:textDirection w:val="btLr"/>
          </w:tcPr>
          <w:p w14:paraId="288A579A"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45" w:type="pct"/>
            <w:noWrap/>
            <w:textDirection w:val="btLr"/>
          </w:tcPr>
          <w:p w14:paraId="5E4F84D0"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61" w:type="pct"/>
            <w:noWrap/>
            <w:textDirection w:val="btLr"/>
          </w:tcPr>
          <w:p w14:paraId="2BA6FF8C"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96" w:type="pct"/>
            <w:noWrap/>
            <w:textDirection w:val="btLr"/>
          </w:tcPr>
          <w:p w14:paraId="40A66B7C"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60" w:type="pct"/>
            <w:noWrap/>
            <w:textDirection w:val="btLr"/>
          </w:tcPr>
          <w:p w14:paraId="4B7654C7"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84" w:type="pct"/>
            <w:textDirection w:val="btLr"/>
          </w:tcPr>
          <w:p w14:paraId="159F433E"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9C3586" w:rsidRPr="00812509" w14:paraId="24B19E70"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686" w:type="pct"/>
          </w:tcPr>
          <w:p w14:paraId="2CED9FF9"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A368EE">
              <w:rPr>
                <w:rFonts w:asciiTheme="minorHAnsi" w:eastAsia="Times New Roman" w:hAnsiTheme="minorHAnsi"/>
                <w:iCs/>
                <w:szCs w:val="17"/>
                <w:lang w:eastAsia="en-US"/>
              </w:rPr>
              <w:t>INM027</w:t>
            </w:r>
            <w:r w:rsidRPr="00A368EE">
              <w:rPr>
                <w:rFonts w:asciiTheme="minorHAnsi" w:eastAsia="Times New Roman" w:hAnsiTheme="minorHAnsi"/>
                <w:iCs/>
                <w:szCs w:val="17"/>
                <w:lang w:eastAsia="en-US"/>
              </w:rPr>
              <w:br/>
              <w:t>Safety, Humanitarian &amp; Women’s Empowerment (SHWE)</w:t>
            </w:r>
          </w:p>
        </w:tc>
        <w:tc>
          <w:tcPr>
            <w:tcW w:w="615" w:type="pct"/>
          </w:tcPr>
          <w:p w14:paraId="331ECF8D" w14:textId="77777777" w:rsidR="009C3586" w:rsidRPr="00A368EE" w:rsidRDefault="009C3586" w:rsidP="009042FA">
            <w:pPr>
              <w:keepLines/>
              <w:spacing w:before="40" w:after="40" w:line="200" w:lineRule="atLeast"/>
              <w:rPr>
                <w:rFonts w:asciiTheme="minorHAnsi" w:eastAsia="Times New Roman" w:hAnsiTheme="minorHAnsi"/>
                <w:iCs/>
                <w:szCs w:val="17"/>
                <w:lang w:eastAsia="en-US"/>
              </w:rPr>
            </w:pPr>
            <w:r w:rsidRPr="00A368EE">
              <w:rPr>
                <w:rFonts w:asciiTheme="minorHAnsi" w:eastAsia="Times New Roman" w:hAnsiTheme="minorHAnsi"/>
                <w:iCs/>
                <w:szCs w:val="17"/>
                <w:lang w:eastAsia="en-US"/>
              </w:rPr>
              <w:t>$44.03m</w:t>
            </w:r>
          </w:p>
          <w:p w14:paraId="400D21A0"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A368EE">
              <w:rPr>
                <w:rFonts w:asciiTheme="minorHAnsi" w:eastAsia="Times New Roman" w:hAnsiTheme="minorHAnsi"/>
                <w:iCs/>
                <w:szCs w:val="17"/>
                <w:lang w:eastAsia="en-US"/>
              </w:rPr>
              <w:t>2016-19</w:t>
            </w:r>
          </w:p>
        </w:tc>
        <w:tc>
          <w:tcPr>
            <w:tcW w:w="340" w:type="pct"/>
            <w:shd w:val="clear" w:color="auto" w:fill="FFFFFF" w:themeFill="background1"/>
            <w:noWrap/>
          </w:tcPr>
          <w:p w14:paraId="52CFC2F4"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52" w:type="pct"/>
            <w:shd w:val="clear" w:color="auto" w:fill="00B050"/>
            <w:noWrap/>
          </w:tcPr>
          <w:p w14:paraId="0776DD97" w14:textId="77777777" w:rsidR="009C3586" w:rsidRPr="00A368EE" w:rsidRDefault="009C3586" w:rsidP="009042FA">
            <w:pPr>
              <w:keepLines/>
              <w:spacing w:before="40" w:after="40" w:line="200" w:lineRule="atLeast"/>
              <w:jc w:val="center"/>
              <w:rPr>
                <w:rFonts w:asciiTheme="minorHAnsi" w:eastAsia="Times New Roman" w:hAnsiTheme="minorHAnsi"/>
                <w:b/>
                <w:iCs/>
                <w:szCs w:val="17"/>
                <w:lang w:eastAsia="en-US"/>
              </w:rPr>
            </w:pPr>
            <w:r w:rsidRPr="00A368EE">
              <w:rPr>
                <w:rFonts w:asciiTheme="minorHAnsi" w:eastAsia="Times New Roman" w:hAnsiTheme="minorHAnsi"/>
                <w:b/>
                <w:iCs/>
                <w:szCs w:val="17"/>
                <w:lang w:eastAsia="en-US"/>
              </w:rPr>
              <w:t>6</w:t>
            </w:r>
          </w:p>
        </w:tc>
        <w:tc>
          <w:tcPr>
            <w:tcW w:w="345" w:type="pct"/>
            <w:shd w:val="clear" w:color="auto" w:fill="FFFF00"/>
            <w:noWrap/>
          </w:tcPr>
          <w:p w14:paraId="761FA040"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61" w:type="pct"/>
            <w:shd w:val="clear" w:color="auto" w:fill="FFFF00"/>
            <w:noWrap/>
          </w:tcPr>
          <w:p w14:paraId="3653B282"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6" w:type="pct"/>
            <w:shd w:val="clear" w:color="auto" w:fill="FFFF00"/>
            <w:noWrap/>
          </w:tcPr>
          <w:p w14:paraId="43F3F76C"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0" w:type="pct"/>
            <w:shd w:val="clear" w:color="auto" w:fill="FFFF00"/>
            <w:noWrap/>
          </w:tcPr>
          <w:p w14:paraId="0167CE0B"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4" w:type="pct"/>
            <w:shd w:val="clear" w:color="auto" w:fill="FFFF00"/>
          </w:tcPr>
          <w:p w14:paraId="06582D61"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4D17F98A" w14:textId="77777777" w:rsidR="009042FA" w:rsidRDefault="009042FA" w:rsidP="009042FA">
      <w:pPr>
        <w:rPr>
          <w:iCs/>
        </w:rPr>
      </w:pPr>
    </w:p>
    <w:p w14:paraId="2BCD0E95" w14:textId="77777777" w:rsidR="009042FA" w:rsidRPr="004527D9" w:rsidRDefault="009042FA" w:rsidP="009042FA">
      <w:pPr>
        <w:spacing w:after="120"/>
        <w:rPr>
          <w:color w:val="FF0000"/>
        </w:rPr>
      </w:pPr>
      <w:r w:rsidRPr="00EF26B5">
        <w:rPr>
          <w:rFonts w:eastAsiaTheme="majorEastAsia" w:cstheme="minorHAnsi"/>
          <w:caps/>
          <w:sz w:val="36"/>
          <w:szCs w:val="36"/>
        </w:rPr>
        <w:t>3 FAQC ratings</w:t>
      </w:r>
      <w:r w:rsidRPr="00A8197B">
        <w:rPr>
          <w:rFonts w:asciiTheme="majorHAnsi" w:eastAsiaTheme="majorEastAsia" w:hAnsiTheme="majorHAnsi" w:cstheme="majorBidi"/>
          <w:caps/>
          <w:sz w:val="38"/>
          <w:szCs w:val="26"/>
        </w:rPr>
        <w:t xml:space="preserve"> </w:t>
      </w:r>
    </w:p>
    <w:tbl>
      <w:tblPr>
        <w:tblStyle w:val="APPR"/>
        <w:tblW w:w="4443" w:type="pct"/>
        <w:tblLook w:val="0000" w:firstRow="0" w:lastRow="0" w:firstColumn="0" w:lastColumn="0" w:noHBand="0" w:noVBand="0"/>
      </w:tblPr>
      <w:tblGrid>
        <w:gridCol w:w="2836"/>
        <w:gridCol w:w="1101"/>
        <w:gridCol w:w="621"/>
        <w:gridCol w:w="639"/>
        <w:gridCol w:w="629"/>
        <w:gridCol w:w="656"/>
        <w:gridCol w:w="717"/>
        <w:gridCol w:w="654"/>
        <w:gridCol w:w="711"/>
      </w:tblGrid>
      <w:tr w:rsidR="009C3586" w:rsidRPr="00812509" w14:paraId="722587AD" w14:textId="77777777" w:rsidTr="009C3586">
        <w:trPr>
          <w:cnfStyle w:val="000000010000" w:firstRow="0" w:lastRow="0" w:firstColumn="0" w:lastColumn="0" w:oddVBand="0" w:evenVBand="0" w:oddHBand="0" w:evenHBand="1" w:firstRowFirstColumn="0" w:firstRowLastColumn="0" w:lastRowFirstColumn="0" w:lastRowLastColumn="0"/>
          <w:trHeight w:val="1505"/>
        </w:trPr>
        <w:tc>
          <w:tcPr>
            <w:tcW w:w="1631" w:type="pct"/>
          </w:tcPr>
          <w:p w14:paraId="74B52FBC"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92032" behindDoc="0" locked="0" layoutInCell="1" allowOverlap="1" wp14:anchorId="55D7CDC1" wp14:editId="52FD3FDA">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26" w:type="pct"/>
            <w:textDirection w:val="btLr"/>
          </w:tcPr>
          <w:p w14:paraId="65F535AE"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46" w:type="pct"/>
            <w:noWrap/>
            <w:textDirection w:val="btLr"/>
          </w:tcPr>
          <w:p w14:paraId="0B19541E"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57" w:type="pct"/>
            <w:noWrap/>
            <w:textDirection w:val="btLr"/>
          </w:tcPr>
          <w:p w14:paraId="65BCB8B2"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51" w:type="pct"/>
            <w:noWrap/>
            <w:textDirection w:val="btLr"/>
          </w:tcPr>
          <w:p w14:paraId="14066E8A"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67" w:type="pct"/>
            <w:noWrap/>
            <w:textDirection w:val="btLr"/>
          </w:tcPr>
          <w:p w14:paraId="55CB70DC"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03" w:type="pct"/>
            <w:noWrap/>
            <w:textDirection w:val="btLr"/>
          </w:tcPr>
          <w:p w14:paraId="78B581C2"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66" w:type="pct"/>
            <w:noWrap/>
            <w:textDirection w:val="btLr"/>
          </w:tcPr>
          <w:p w14:paraId="663FE782"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91" w:type="pct"/>
            <w:textDirection w:val="btLr"/>
          </w:tcPr>
          <w:p w14:paraId="3CA16621" w14:textId="77777777" w:rsidR="009C3586" w:rsidRPr="00812509" w:rsidRDefault="009C3586" w:rsidP="009042FA">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9C3586" w:rsidRPr="00812509" w14:paraId="41842AA2" w14:textId="77777777" w:rsidTr="009C3586">
        <w:trPr>
          <w:cnfStyle w:val="000000010000" w:firstRow="0" w:lastRow="0" w:firstColumn="0" w:lastColumn="0" w:oddVBand="0" w:evenVBand="0" w:oddHBand="0" w:evenHBand="1" w:firstRowFirstColumn="0" w:firstRowLastColumn="0" w:lastRowFirstColumn="0" w:lastRowLastColumn="0"/>
          <w:trHeight w:val="284"/>
        </w:trPr>
        <w:tc>
          <w:tcPr>
            <w:tcW w:w="1631" w:type="pct"/>
          </w:tcPr>
          <w:p w14:paraId="24D2EAF1"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INK588</w:t>
            </w:r>
            <w:r w:rsidRPr="00256631">
              <w:rPr>
                <w:rFonts w:asciiTheme="minorHAnsi" w:eastAsia="Times New Roman" w:hAnsiTheme="minorHAnsi"/>
                <w:iCs/>
                <w:szCs w:val="17"/>
                <w:lang w:eastAsia="en-US"/>
              </w:rPr>
              <w:br/>
              <w:t>UNICEF Child Protection Program</w:t>
            </w:r>
          </w:p>
        </w:tc>
        <w:tc>
          <w:tcPr>
            <w:tcW w:w="626" w:type="pct"/>
          </w:tcPr>
          <w:p w14:paraId="4A8BD307" w14:textId="77777777" w:rsidR="009C3586" w:rsidRPr="00A368EE" w:rsidRDefault="009C3586" w:rsidP="009042FA">
            <w:pPr>
              <w:keepLines/>
              <w:spacing w:before="40" w:after="40" w:line="200" w:lineRule="atLeast"/>
              <w:rPr>
                <w:rFonts w:asciiTheme="minorHAnsi" w:eastAsia="Times New Roman" w:hAnsiTheme="minorHAnsi"/>
                <w:iCs/>
                <w:szCs w:val="17"/>
                <w:lang w:eastAsia="en-US"/>
              </w:rPr>
            </w:pPr>
            <w:r w:rsidRPr="00A368EE">
              <w:rPr>
                <w:rFonts w:asciiTheme="minorHAnsi" w:eastAsia="Times New Roman" w:hAnsiTheme="minorHAnsi"/>
                <w:iCs/>
                <w:szCs w:val="17"/>
                <w:lang w:eastAsia="en-US"/>
              </w:rPr>
              <w:t>$8.20m</w:t>
            </w:r>
          </w:p>
          <w:p w14:paraId="712B8536" w14:textId="77777777" w:rsidR="009C3586" w:rsidRPr="00812509" w:rsidRDefault="009C3586" w:rsidP="009042FA">
            <w:pPr>
              <w:keepLines/>
              <w:spacing w:before="40" w:after="40" w:line="200" w:lineRule="atLeast"/>
              <w:rPr>
                <w:rFonts w:asciiTheme="minorHAnsi" w:eastAsia="Times New Roman" w:hAnsiTheme="minorHAnsi"/>
                <w:iCs/>
                <w:szCs w:val="17"/>
                <w:lang w:eastAsia="en-US"/>
              </w:rPr>
            </w:pPr>
            <w:r w:rsidRPr="00A368EE">
              <w:rPr>
                <w:rFonts w:asciiTheme="minorHAnsi" w:eastAsia="Times New Roman" w:hAnsiTheme="minorHAnsi"/>
                <w:iCs/>
                <w:szCs w:val="17"/>
                <w:lang w:eastAsia="en-US"/>
              </w:rPr>
              <w:t>2012-18</w:t>
            </w:r>
          </w:p>
        </w:tc>
        <w:tc>
          <w:tcPr>
            <w:tcW w:w="346" w:type="pct"/>
            <w:shd w:val="clear" w:color="auto" w:fill="FFFF00"/>
            <w:noWrap/>
          </w:tcPr>
          <w:p w14:paraId="2DA2685F"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7" w:type="pct"/>
            <w:shd w:val="clear" w:color="auto" w:fill="FFFF00"/>
            <w:noWrap/>
          </w:tcPr>
          <w:p w14:paraId="4A8AD2D0"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1" w:type="pct"/>
            <w:shd w:val="clear" w:color="auto" w:fill="FFC000"/>
            <w:noWrap/>
          </w:tcPr>
          <w:p w14:paraId="4AC64848"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67" w:type="pct"/>
            <w:shd w:val="clear" w:color="auto" w:fill="FFFF00"/>
            <w:noWrap/>
          </w:tcPr>
          <w:p w14:paraId="33CFE060"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3" w:type="pct"/>
            <w:shd w:val="clear" w:color="auto" w:fill="FFC000"/>
            <w:noWrap/>
          </w:tcPr>
          <w:p w14:paraId="48DFA422"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66" w:type="pct"/>
            <w:shd w:val="clear" w:color="auto" w:fill="FFFF00"/>
            <w:noWrap/>
          </w:tcPr>
          <w:p w14:paraId="46A87D59"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1" w:type="pct"/>
            <w:shd w:val="clear" w:color="auto" w:fill="FF0000"/>
          </w:tcPr>
          <w:p w14:paraId="48DDA6BC" w14:textId="77777777" w:rsidR="009C3586" w:rsidRPr="00812509" w:rsidRDefault="009C3586" w:rsidP="009042F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r>
    </w:tbl>
    <w:p w14:paraId="06644E50" w14:textId="77777777" w:rsidR="009042FA" w:rsidRPr="00812509" w:rsidRDefault="009042FA" w:rsidP="009042FA">
      <w:pPr>
        <w:spacing w:before="20" w:after="20" w:line="180" w:lineRule="atLeast"/>
        <w:jc w:val="both"/>
        <w:rPr>
          <w:rFonts w:eastAsia="Times New Roman"/>
          <w:b/>
          <w:sz w:val="14"/>
          <w:szCs w:val="14"/>
        </w:rPr>
      </w:pPr>
    </w:p>
    <w:p w14:paraId="511D1526" w14:textId="77777777" w:rsidR="009042FA" w:rsidRPr="00812509" w:rsidRDefault="009042FA" w:rsidP="009042FA">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63C13496" w14:textId="77777777" w:rsidR="009042FA" w:rsidRPr="00812509" w:rsidRDefault="009042FA" w:rsidP="009042FA">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060B39E9" w14:textId="77777777" w:rsidR="009042FA" w:rsidRPr="00812509" w:rsidRDefault="009042FA" w:rsidP="009042FA">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7B943D5" w14:textId="77777777" w:rsidR="009042FA" w:rsidRPr="00812509" w:rsidRDefault="009042FA" w:rsidP="009042FA">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196C3852" w14:textId="77777777" w:rsidR="009042FA" w:rsidRPr="00812509" w:rsidRDefault="009042FA" w:rsidP="009042FA">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67B951AB" w14:textId="77777777" w:rsidR="009042FA" w:rsidRPr="00812509" w:rsidRDefault="009042FA" w:rsidP="009042FA">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4B7EE995" w14:textId="77777777" w:rsidR="009042FA" w:rsidRPr="00812509" w:rsidRDefault="009042FA" w:rsidP="009042FA">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5ED3D883" w14:textId="77777777" w:rsidR="009042FA" w:rsidRDefault="009042FA" w:rsidP="009042FA">
      <w:pPr>
        <w:tabs>
          <w:tab w:val="left" w:pos="1560"/>
        </w:tabs>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0025FC33" w14:textId="77777777" w:rsidR="009042FA" w:rsidRPr="00EF26B5" w:rsidRDefault="009042FA" w:rsidP="009042FA">
      <w:pPr>
        <w:pStyle w:val="Subtitle"/>
        <w:spacing w:before="360" w:after="120" w:line="300" w:lineRule="exact"/>
      </w:pPr>
      <w:r w:rsidRPr="00EF26B5">
        <w:rPr>
          <w:rFonts w:asciiTheme="majorHAnsi" w:hAnsiTheme="majorHAnsi" w:cstheme="majorHAnsi"/>
        </w:rPr>
        <w:lastRenderedPageBreak/>
        <w:t>Annex E – Performance Assessment Framework</w:t>
      </w:r>
    </w:p>
    <w:tbl>
      <w:tblPr>
        <w:tblStyle w:val="TableGrid"/>
        <w:tblW w:w="10632" w:type="dxa"/>
        <w:tblInd w:w="-572" w:type="dxa"/>
        <w:tblLook w:val="04A0" w:firstRow="1" w:lastRow="0" w:firstColumn="1" w:lastColumn="0" w:noHBand="0" w:noVBand="1"/>
      </w:tblPr>
      <w:tblGrid>
        <w:gridCol w:w="1771"/>
        <w:gridCol w:w="2907"/>
        <w:gridCol w:w="2030"/>
        <w:gridCol w:w="2097"/>
        <w:gridCol w:w="1827"/>
      </w:tblGrid>
      <w:tr w:rsidR="009042FA" w:rsidRPr="00A2577D" w14:paraId="23994974" w14:textId="77777777" w:rsidTr="009042FA">
        <w:trPr>
          <w:trHeight w:val="253"/>
        </w:trPr>
        <w:tc>
          <w:tcPr>
            <w:tcW w:w="10632" w:type="dxa"/>
            <w:gridSpan w:val="5"/>
            <w:shd w:val="clear" w:color="auto" w:fill="EDCEBE" w:themeFill="accent2" w:themeFillTint="66"/>
          </w:tcPr>
          <w:p w14:paraId="4C48E580" w14:textId="77777777" w:rsidR="009042FA" w:rsidRPr="00A2577D" w:rsidRDefault="009042FA" w:rsidP="009042FA">
            <w:pPr>
              <w:rPr>
                <w:sz w:val="20"/>
                <w:szCs w:val="20"/>
              </w:rPr>
            </w:pPr>
            <w:r w:rsidRPr="00A2577D">
              <w:rPr>
                <w:b/>
                <w:i/>
                <w:sz w:val="20"/>
                <w:szCs w:val="20"/>
              </w:rPr>
              <w:t>Pillar 1: Enhancing human develop</w:t>
            </w:r>
            <w:r w:rsidRPr="00A06040">
              <w:rPr>
                <w:b/>
                <w:i/>
                <w:sz w:val="20"/>
                <w:szCs w:val="20"/>
              </w:rPr>
              <w:t>ment</w:t>
            </w:r>
          </w:p>
        </w:tc>
      </w:tr>
      <w:tr w:rsidR="009042FA" w:rsidRPr="00A2577D" w14:paraId="2EF7BD49" w14:textId="77777777" w:rsidTr="009042FA">
        <w:trPr>
          <w:trHeight w:val="253"/>
        </w:trPr>
        <w:tc>
          <w:tcPr>
            <w:tcW w:w="1771" w:type="dxa"/>
            <w:vMerge w:val="restart"/>
            <w:shd w:val="clear" w:color="auto" w:fill="auto"/>
            <w:vAlign w:val="bottom"/>
          </w:tcPr>
          <w:p w14:paraId="4AA3A2DC" w14:textId="77777777" w:rsidR="009042FA" w:rsidRPr="00A2577D" w:rsidRDefault="009042FA" w:rsidP="009042FA">
            <w:pPr>
              <w:rPr>
                <w:b/>
                <w:sz w:val="20"/>
                <w:szCs w:val="20"/>
              </w:rPr>
            </w:pPr>
            <w:r w:rsidRPr="00A2577D">
              <w:rPr>
                <w:b/>
                <w:sz w:val="20"/>
                <w:szCs w:val="20"/>
              </w:rPr>
              <w:t>Sub-objective</w:t>
            </w:r>
          </w:p>
        </w:tc>
        <w:tc>
          <w:tcPr>
            <w:tcW w:w="2907" w:type="dxa"/>
            <w:vMerge w:val="restart"/>
            <w:shd w:val="clear" w:color="auto" w:fill="auto"/>
            <w:vAlign w:val="bottom"/>
          </w:tcPr>
          <w:p w14:paraId="02ABA2D9" w14:textId="77777777" w:rsidR="009042FA" w:rsidRPr="00A2577D" w:rsidRDefault="009042FA" w:rsidP="009042FA">
            <w:pPr>
              <w:rPr>
                <w:b/>
                <w:sz w:val="20"/>
                <w:szCs w:val="20"/>
              </w:rPr>
            </w:pPr>
            <w:r w:rsidRPr="00A2577D">
              <w:rPr>
                <w:b/>
                <w:sz w:val="20"/>
                <w:szCs w:val="20"/>
              </w:rPr>
              <w:t>Outcome</w:t>
            </w:r>
          </w:p>
        </w:tc>
        <w:tc>
          <w:tcPr>
            <w:tcW w:w="4127" w:type="dxa"/>
            <w:gridSpan w:val="2"/>
            <w:shd w:val="clear" w:color="auto" w:fill="auto"/>
            <w:vAlign w:val="bottom"/>
          </w:tcPr>
          <w:p w14:paraId="0D9318E8" w14:textId="77777777" w:rsidR="009042FA" w:rsidRPr="00A2577D" w:rsidRDefault="009042FA" w:rsidP="009042FA">
            <w:pPr>
              <w:jc w:val="center"/>
              <w:rPr>
                <w:b/>
                <w:sz w:val="20"/>
                <w:szCs w:val="20"/>
              </w:rPr>
            </w:pPr>
            <w:r w:rsidRPr="00A2577D">
              <w:rPr>
                <w:b/>
                <w:sz w:val="20"/>
                <w:szCs w:val="20"/>
              </w:rPr>
              <w:t>Targets</w:t>
            </w:r>
          </w:p>
        </w:tc>
        <w:tc>
          <w:tcPr>
            <w:tcW w:w="1827" w:type="dxa"/>
            <w:shd w:val="clear" w:color="auto" w:fill="auto"/>
            <w:vAlign w:val="bottom"/>
          </w:tcPr>
          <w:p w14:paraId="5F2F26FE" w14:textId="77777777" w:rsidR="009042FA" w:rsidRPr="00A2577D" w:rsidRDefault="009042FA" w:rsidP="009042FA">
            <w:pPr>
              <w:rPr>
                <w:b/>
                <w:sz w:val="20"/>
                <w:szCs w:val="20"/>
              </w:rPr>
            </w:pPr>
            <w:r w:rsidRPr="00A2577D">
              <w:rPr>
                <w:b/>
                <w:sz w:val="20"/>
                <w:szCs w:val="20"/>
              </w:rPr>
              <w:t>Data source/s</w:t>
            </w:r>
          </w:p>
        </w:tc>
      </w:tr>
      <w:tr w:rsidR="009042FA" w:rsidRPr="00A2577D" w14:paraId="7DDCFE23" w14:textId="77777777" w:rsidTr="009042FA">
        <w:trPr>
          <w:trHeight w:val="253"/>
        </w:trPr>
        <w:tc>
          <w:tcPr>
            <w:tcW w:w="1771" w:type="dxa"/>
            <w:vMerge/>
            <w:shd w:val="clear" w:color="auto" w:fill="69F0FF" w:themeFill="accent4" w:themeFillTint="66"/>
          </w:tcPr>
          <w:p w14:paraId="71255948" w14:textId="77777777" w:rsidR="009042FA" w:rsidRPr="00A2577D" w:rsidRDefault="009042FA" w:rsidP="009042FA">
            <w:pPr>
              <w:rPr>
                <w:b/>
                <w:sz w:val="20"/>
                <w:szCs w:val="20"/>
              </w:rPr>
            </w:pPr>
          </w:p>
        </w:tc>
        <w:tc>
          <w:tcPr>
            <w:tcW w:w="2907" w:type="dxa"/>
            <w:vMerge/>
            <w:shd w:val="clear" w:color="auto" w:fill="69F0FF" w:themeFill="accent4" w:themeFillTint="66"/>
          </w:tcPr>
          <w:p w14:paraId="40DF0F19" w14:textId="77777777" w:rsidR="009042FA" w:rsidRPr="00A2577D" w:rsidRDefault="009042FA" w:rsidP="009042FA">
            <w:pPr>
              <w:rPr>
                <w:b/>
                <w:sz w:val="20"/>
                <w:szCs w:val="20"/>
              </w:rPr>
            </w:pPr>
          </w:p>
        </w:tc>
        <w:tc>
          <w:tcPr>
            <w:tcW w:w="2030" w:type="dxa"/>
            <w:shd w:val="clear" w:color="auto" w:fill="auto"/>
          </w:tcPr>
          <w:p w14:paraId="48531A4F" w14:textId="77777777" w:rsidR="009042FA" w:rsidRPr="00A2577D" w:rsidRDefault="009042FA" w:rsidP="009042FA">
            <w:pPr>
              <w:jc w:val="center"/>
              <w:rPr>
                <w:b/>
                <w:sz w:val="20"/>
                <w:szCs w:val="20"/>
              </w:rPr>
            </w:pPr>
            <w:r w:rsidRPr="00A2577D">
              <w:rPr>
                <w:b/>
                <w:sz w:val="20"/>
                <w:szCs w:val="20"/>
              </w:rPr>
              <w:t>2019-20</w:t>
            </w:r>
          </w:p>
        </w:tc>
        <w:tc>
          <w:tcPr>
            <w:tcW w:w="2097" w:type="dxa"/>
            <w:shd w:val="clear" w:color="auto" w:fill="auto"/>
          </w:tcPr>
          <w:p w14:paraId="37251594" w14:textId="77777777" w:rsidR="009042FA" w:rsidRPr="00A2577D" w:rsidRDefault="009042FA" w:rsidP="009042FA">
            <w:pPr>
              <w:rPr>
                <w:b/>
                <w:sz w:val="20"/>
                <w:szCs w:val="20"/>
              </w:rPr>
            </w:pPr>
            <w:r w:rsidRPr="00A2577D">
              <w:rPr>
                <w:b/>
                <w:sz w:val="20"/>
                <w:szCs w:val="20"/>
              </w:rPr>
              <w:t>Baseline</w:t>
            </w:r>
          </w:p>
        </w:tc>
        <w:tc>
          <w:tcPr>
            <w:tcW w:w="1827" w:type="dxa"/>
            <w:shd w:val="clear" w:color="auto" w:fill="auto"/>
          </w:tcPr>
          <w:p w14:paraId="24B9902E" w14:textId="77777777" w:rsidR="009042FA" w:rsidRPr="00A2577D" w:rsidRDefault="009042FA" w:rsidP="009042FA">
            <w:pPr>
              <w:rPr>
                <w:b/>
                <w:sz w:val="20"/>
                <w:szCs w:val="20"/>
              </w:rPr>
            </w:pPr>
          </w:p>
        </w:tc>
      </w:tr>
      <w:tr w:rsidR="009042FA" w:rsidRPr="00A2577D" w14:paraId="395D798F" w14:textId="77777777" w:rsidTr="009042FA">
        <w:trPr>
          <w:trHeight w:val="498"/>
        </w:trPr>
        <w:tc>
          <w:tcPr>
            <w:tcW w:w="1771" w:type="dxa"/>
            <w:vMerge w:val="restart"/>
          </w:tcPr>
          <w:p w14:paraId="220E8538" w14:textId="77777777" w:rsidR="009042FA" w:rsidRPr="00A2577D" w:rsidRDefault="009042FA" w:rsidP="009042FA">
            <w:pPr>
              <w:rPr>
                <w:sz w:val="20"/>
                <w:szCs w:val="20"/>
              </w:rPr>
            </w:pPr>
            <w:r w:rsidRPr="00A2577D">
              <w:rPr>
                <w:sz w:val="20"/>
                <w:szCs w:val="20"/>
              </w:rPr>
              <w:t>Improved school learning environment through expanded and strengthened government school grants program</w:t>
            </w:r>
          </w:p>
        </w:tc>
        <w:tc>
          <w:tcPr>
            <w:tcW w:w="2907" w:type="dxa"/>
          </w:tcPr>
          <w:p w14:paraId="22197C9A" w14:textId="77777777" w:rsidR="009042FA" w:rsidRPr="00A2577D" w:rsidRDefault="009042FA" w:rsidP="009042FA">
            <w:pPr>
              <w:rPr>
                <w:sz w:val="20"/>
                <w:szCs w:val="20"/>
              </w:rPr>
            </w:pPr>
            <w:r w:rsidRPr="00A2577D">
              <w:rPr>
                <w:sz w:val="20"/>
                <w:szCs w:val="20"/>
              </w:rPr>
              <w:t>Schools with school improvement plan aimed at learning outcomes that involved community participation</w:t>
            </w:r>
          </w:p>
        </w:tc>
        <w:tc>
          <w:tcPr>
            <w:tcW w:w="2030" w:type="dxa"/>
            <w:shd w:val="clear" w:color="auto" w:fill="auto"/>
          </w:tcPr>
          <w:p w14:paraId="46CDEFD2" w14:textId="77777777" w:rsidR="009042FA" w:rsidRPr="00A2577D" w:rsidRDefault="009042FA" w:rsidP="009042FA">
            <w:pPr>
              <w:jc w:val="center"/>
              <w:rPr>
                <w:sz w:val="20"/>
                <w:szCs w:val="20"/>
              </w:rPr>
            </w:pPr>
            <w:r w:rsidRPr="00A2577D">
              <w:rPr>
                <w:sz w:val="20"/>
                <w:szCs w:val="20"/>
              </w:rPr>
              <w:t>95 %</w:t>
            </w:r>
          </w:p>
        </w:tc>
        <w:tc>
          <w:tcPr>
            <w:tcW w:w="2097" w:type="dxa"/>
            <w:shd w:val="clear" w:color="auto" w:fill="auto"/>
          </w:tcPr>
          <w:p w14:paraId="657616E4" w14:textId="77777777" w:rsidR="009042FA" w:rsidRPr="00A2577D" w:rsidRDefault="009042FA" w:rsidP="009042FA">
            <w:pPr>
              <w:rPr>
                <w:sz w:val="20"/>
                <w:szCs w:val="20"/>
              </w:rPr>
            </w:pPr>
            <w:r w:rsidRPr="00A2577D">
              <w:rPr>
                <w:sz w:val="20"/>
                <w:szCs w:val="20"/>
              </w:rPr>
              <w:t>5 per cent had a school improvement plan (2014)</w:t>
            </w:r>
          </w:p>
        </w:tc>
        <w:tc>
          <w:tcPr>
            <w:tcW w:w="1827" w:type="dxa"/>
            <w:shd w:val="clear" w:color="auto" w:fill="auto"/>
          </w:tcPr>
          <w:p w14:paraId="7E590D3B" w14:textId="77777777" w:rsidR="009042FA" w:rsidRPr="00A2577D" w:rsidRDefault="009042FA" w:rsidP="009042FA">
            <w:pPr>
              <w:rPr>
                <w:sz w:val="20"/>
                <w:szCs w:val="20"/>
              </w:rPr>
            </w:pPr>
            <w:r w:rsidRPr="00A2577D">
              <w:rPr>
                <w:sz w:val="20"/>
                <w:szCs w:val="20"/>
              </w:rPr>
              <w:t>DFSP reporting, DLI 12</w:t>
            </w:r>
          </w:p>
        </w:tc>
      </w:tr>
      <w:tr w:rsidR="009042FA" w:rsidRPr="00A2577D" w14:paraId="4C94E817" w14:textId="77777777" w:rsidTr="009042FA">
        <w:trPr>
          <w:trHeight w:val="498"/>
        </w:trPr>
        <w:tc>
          <w:tcPr>
            <w:tcW w:w="1771" w:type="dxa"/>
            <w:vMerge/>
          </w:tcPr>
          <w:p w14:paraId="520D36CB" w14:textId="77777777" w:rsidR="009042FA" w:rsidRPr="00A2577D" w:rsidRDefault="009042FA" w:rsidP="009042FA">
            <w:pPr>
              <w:rPr>
                <w:sz w:val="20"/>
                <w:szCs w:val="20"/>
              </w:rPr>
            </w:pPr>
          </w:p>
        </w:tc>
        <w:tc>
          <w:tcPr>
            <w:tcW w:w="4937" w:type="dxa"/>
            <w:gridSpan w:val="2"/>
          </w:tcPr>
          <w:p w14:paraId="5FFBED66" w14:textId="77777777" w:rsidR="009042FA" w:rsidRPr="00A2577D" w:rsidRDefault="009042FA" w:rsidP="009042FA">
            <w:pPr>
              <w:rPr>
                <w:sz w:val="20"/>
                <w:szCs w:val="20"/>
              </w:rPr>
            </w:pPr>
            <w:r w:rsidRPr="00A2577D">
              <w:rPr>
                <w:sz w:val="20"/>
                <w:szCs w:val="20"/>
              </w:rPr>
              <w:t xml:space="preserve">Evidence that improved school infrastructure has led to better learning outcomes </w:t>
            </w:r>
          </w:p>
        </w:tc>
        <w:tc>
          <w:tcPr>
            <w:tcW w:w="2097" w:type="dxa"/>
            <w:shd w:val="clear" w:color="auto" w:fill="auto"/>
          </w:tcPr>
          <w:p w14:paraId="5ECF5239" w14:textId="77777777" w:rsidR="009042FA" w:rsidRPr="00A2577D" w:rsidRDefault="009042FA" w:rsidP="009042FA">
            <w:pPr>
              <w:rPr>
                <w:sz w:val="20"/>
                <w:szCs w:val="20"/>
              </w:rPr>
            </w:pPr>
            <w:r w:rsidRPr="00A2577D">
              <w:rPr>
                <w:sz w:val="20"/>
                <w:szCs w:val="20"/>
              </w:rPr>
              <w:t>N/A</w:t>
            </w:r>
          </w:p>
        </w:tc>
        <w:tc>
          <w:tcPr>
            <w:tcW w:w="1827" w:type="dxa"/>
            <w:shd w:val="clear" w:color="auto" w:fill="auto"/>
          </w:tcPr>
          <w:p w14:paraId="52922B53" w14:textId="77777777" w:rsidR="009042FA" w:rsidRPr="00A2577D" w:rsidRDefault="009042FA" w:rsidP="009042FA">
            <w:pPr>
              <w:rPr>
                <w:sz w:val="20"/>
                <w:szCs w:val="20"/>
              </w:rPr>
            </w:pPr>
            <w:r w:rsidRPr="00A2577D">
              <w:rPr>
                <w:sz w:val="20"/>
                <w:szCs w:val="20"/>
              </w:rPr>
              <w:t>DFSP reporting, program monitoring</w:t>
            </w:r>
          </w:p>
        </w:tc>
      </w:tr>
      <w:tr w:rsidR="009042FA" w:rsidRPr="00A2577D" w14:paraId="52AC0711" w14:textId="77777777" w:rsidTr="009042FA">
        <w:trPr>
          <w:trHeight w:val="1416"/>
        </w:trPr>
        <w:tc>
          <w:tcPr>
            <w:tcW w:w="1771" w:type="dxa"/>
          </w:tcPr>
          <w:p w14:paraId="0798AB80" w14:textId="77777777" w:rsidR="009042FA" w:rsidRPr="00A2577D" w:rsidRDefault="009042FA" w:rsidP="009042FA">
            <w:pPr>
              <w:rPr>
                <w:sz w:val="20"/>
                <w:szCs w:val="20"/>
              </w:rPr>
            </w:pPr>
            <w:r w:rsidRPr="00A2577D">
              <w:rPr>
                <w:sz w:val="20"/>
                <w:szCs w:val="20"/>
              </w:rPr>
              <w:t>Improved teaching and learning practices</w:t>
            </w:r>
          </w:p>
        </w:tc>
        <w:tc>
          <w:tcPr>
            <w:tcW w:w="2907" w:type="dxa"/>
          </w:tcPr>
          <w:p w14:paraId="06F80B9F" w14:textId="77777777" w:rsidR="009042FA" w:rsidRPr="00A2577D" w:rsidRDefault="009042FA" w:rsidP="009042FA">
            <w:pPr>
              <w:rPr>
                <w:sz w:val="20"/>
                <w:szCs w:val="20"/>
              </w:rPr>
            </w:pPr>
            <w:r w:rsidRPr="00A2577D">
              <w:rPr>
                <w:sz w:val="20"/>
                <w:szCs w:val="20"/>
              </w:rPr>
              <w:t>Development of Myanmar Teacher Competency Standards Framework (TCSF)</w:t>
            </w:r>
          </w:p>
        </w:tc>
        <w:tc>
          <w:tcPr>
            <w:tcW w:w="2030" w:type="dxa"/>
          </w:tcPr>
          <w:p w14:paraId="74E27620" w14:textId="77777777" w:rsidR="009042FA" w:rsidRPr="00A2577D" w:rsidRDefault="009042FA" w:rsidP="009042FA">
            <w:pPr>
              <w:rPr>
                <w:sz w:val="20"/>
                <w:szCs w:val="20"/>
              </w:rPr>
            </w:pPr>
            <w:r w:rsidRPr="00A2577D">
              <w:rPr>
                <w:sz w:val="20"/>
                <w:szCs w:val="20"/>
              </w:rPr>
              <w:t>TCSF approved and support provided for implementation</w:t>
            </w:r>
          </w:p>
        </w:tc>
        <w:tc>
          <w:tcPr>
            <w:tcW w:w="2097" w:type="dxa"/>
          </w:tcPr>
          <w:p w14:paraId="2EDA9FA3" w14:textId="77777777" w:rsidR="009042FA" w:rsidRPr="00A2577D" w:rsidRDefault="009042FA" w:rsidP="009042FA">
            <w:pPr>
              <w:rPr>
                <w:sz w:val="20"/>
                <w:szCs w:val="20"/>
              </w:rPr>
            </w:pPr>
            <w:r w:rsidRPr="00A2577D">
              <w:rPr>
                <w:sz w:val="20"/>
                <w:szCs w:val="20"/>
              </w:rPr>
              <w:t>Myanmar has no TCSF (2017)</w:t>
            </w:r>
          </w:p>
        </w:tc>
        <w:tc>
          <w:tcPr>
            <w:tcW w:w="1827" w:type="dxa"/>
          </w:tcPr>
          <w:p w14:paraId="142B0D5B" w14:textId="77777777" w:rsidR="009042FA" w:rsidRPr="00A2577D" w:rsidRDefault="009042FA" w:rsidP="009042FA">
            <w:pPr>
              <w:rPr>
                <w:sz w:val="20"/>
                <w:szCs w:val="20"/>
              </w:rPr>
            </w:pPr>
            <w:r w:rsidRPr="00A2577D">
              <w:rPr>
                <w:sz w:val="20"/>
                <w:szCs w:val="20"/>
              </w:rPr>
              <w:t>STEM reporting</w:t>
            </w:r>
          </w:p>
        </w:tc>
      </w:tr>
      <w:tr w:rsidR="009042FA" w:rsidRPr="00A2577D" w14:paraId="4E704634" w14:textId="77777777" w:rsidTr="009042FA">
        <w:trPr>
          <w:trHeight w:val="2029"/>
        </w:trPr>
        <w:tc>
          <w:tcPr>
            <w:tcW w:w="1771" w:type="dxa"/>
            <w:shd w:val="clear" w:color="auto" w:fill="auto"/>
          </w:tcPr>
          <w:p w14:paraId="2C97FB0F" w14:textId="77777777" w:rsidR="009042FA" w:rsidRPr="00A2577D" w:rsidRDefault="009042FA" w:rsidP="009042FA">
            <w:pPr>
              <w:rPr>
                <w:sz w:val="20"/>
                <w:szCs w:val="20"/>
              </w:rPr>
            </w:pPr>
            <w:r w:rsidRPr="00A2577D">
              <w:rPr>
                <w:sz w:val="20"/>
                <w:szCs w:val="20"/>
              </w:rPr>
              <w:t>Maintaining access to education for disadvantaged students</w:t>
            </w:r>
          </w:p>
        </w:tc>
        <w:tc>
          <w:tcPr>
            <w:tcW w:w="2907" w:type="dxa"/>
            <w:shd w:val="clear" w:color="auto" w:fill="FFFFFF" w:themeFill="background1"/>
          </w:tcPr>
          <w:p w14:paraId="5D8726CB" w14:textId="77777777" w:rsidR="009042FA" w:rsidRPr="00A2577D" w:rsidRDefault="009042FA" w:rsidP="009042FA">
            <w:pPr>
              <w:rPr>
                <w:sz w:val="20"/>
                <w:szCs w:val="20"/>
              </w:rPr>
            </w:pPr>
            <w:r w:rsidRPr="00A2577D">
              <w:rPr>
                <w:sz w:val="20"/>
                <w:szCs w:val="20"/>
              </w:rPr>
              <w:t>Increased numbers of students receiving stipends, with 50/50 gender split</w:t>
            </w:r>
          </w:p>
        </w:tc>
        <w:tc>
          <w:tcPr>
            <w:tcW w:w="2030" w:type="dxa"/>
            <w:shd w:val="clear" w:color="auto" w:fill="FFFFFF" w:themeFill="background1"/>
          </w:tcPr>
          <w:p w14:paraId="24E82A5E" w14:textId="77777777" w:rsidR="009042FA" w:rsidRPr="00A2577D" w:rsidRDefault="009042FA" w:rsidP="009042FA">
            <w:pPr>
              <w:rPr>
                <w:sz w:val="20"/>
                <w:szCs w:val="20"/>
              </w:rPr>
            </w:pPr>
            <w:r w:rsidRPr="00A2577D">
              <w:rPr>
                <w:sz w:val="20"/>
                <w:szCs w:val="20"/>
              </w:rPr>
              <w:t xml:space="preserve">7,200 basic education students in two new Rakhine townships receive stipends; 48,000 students in other townships </w:t>
            </w:r>
          </w:p>
        </w:tc>
        <w:tc>
          <w:tcPr>
            <w:tcW w:w="2097" w:type="dxa"/>
            <w:shd w:val="clear" w:color="auto" w:fill="FFFFFF" w:themeFill="background1"/>
          </w:tcPr>
          <w:p w14:paraId="79AE0BD9" w14:textId="77777777" w:rsidR="009042FA" w:rsidRPr="00A2577D" w:rsidRDefault="009042FA" w:rsidP="009042FA">
            <w:pPr>
              <w:rPr>
                <w:sz w:val="20"/>
                <w:szCs w:val="20"/>
              </w:rPr>
            </w:pPr>
            <w:r w:rsidRPr="00A2577D">
              <w:rPr>
                <w:sz w:val="20"/>
                <w:szCs w:val="20"/>
              </w:rPr>
              <w:t>0 (2014)</w:t>
            </w:r>
          </w:p>
        </w:tc>
        <w:tc>
          <w:tcPr>
            <w:tcW w:w="1827" w:type="dxa"/>
            <w:shd w:val="clear" w:color="auto" w:fill="FFFFFF" w:themeFill="background1"/>
          </w:tcPr>
          <w:p w14:paraId="25096A69" w14:textId="77777777" w:rsidR="009042FA" w:rsidRPr="00A2577D" w:rsidRDefault="009042FA" w:rsidP="009042FA">
            <w:pPr>
              <w:rPr>
                <w:sz w:val="20"/>
                <w:szCs w:val="20"/>
              </w:rPr>
            </w:pPr>
            <w:r w:rsidRPr="00A2577D">
              <w:rPr>
                <w:sz w:val="20"/>
                <w:szCs w:val="20"/>
              </w:rPr>
              <w:t>DFSP Results Area 1 DLI 13 and DLI 17</w:t>
            </w:r>
          </w:p>
          <w:p w14:paraId="75440B3E" w14:textId="77777777" w:rsidR="009042FA" w:rsidRPr="00A2577D" w:rsidRDefault="009042FA" w:rsidP="009042FA">
            <w:pPr>
              <w:rPr>
                <w:sz w:val="20"/>
                <w:szCs w:val="20"/>
              </w:rPr>
            </w:pPr>
            <w:r w:rsidRPr="00A2577D">
              <w:rPr>
                <w:sz w:val="20"/>
                <w:szCs w:val="20"/>
              </w:rPr>
              <w:t>Australian attribution is 24 per cent of total</w:t>
            </w:r>
          </w:p>
        </w:tc>
      </w:tr>
      <w:tr w:rsidR="009042FA" w:rsidRPr="00A2577D" w14:paraId="7D841426" w14:textId="77777777" w:rsidTr="009042FA">
        <w:trPr>
          <w:trHeight w:val="2129"/>
        </w:trPr>
        <w:tc>
          <w:tcPr>
            <w:tcW w:w="1771" w:type="dxa"/>
            <w:vMerge w:val="restart"/>
            <w:shd w:val="clear" w:color="auto" w:fill="auto"/>
          </w:tcPr>
          <w:p w14:paraId="44421C52" w14:textId="77777777" w:rsidR="009042FA" w:rsidRPr="00A2577D" w:rsidRDefault="009042FA" w:rsidP="009042FA">
            <w:pPr>
              <w:rPr>
                <w:sz w:val="20"/>
                <w:szCs w:val="20"/>
              </w:rPr>
            </w:pPr>
            <w:r w:rsidRPr="00A2577D">
              <w:rPr>
                <w:sz w:val="20"/>
                <w:szCs w:val="20"/>
              </w:rPr>
              <w:t>Strengthened education  policy formulation and oversight</w:t>
            </w:r>
          </w:p>
        </w:tc>
        <w:tc>
          <w:tcPr>
            <w:tcW w:w="2907" w:type="dxa"/>
            <w:shd w:val="clear" w:color="auto" w:fill="FFFFFF" w:themeFill="background1"/>
          </w:tcPr>
          <w:p w14:paraId="3745510D" w14:textId="77777777" w:rsidR="009042FA" w:rsidRPr="00A2577D" w:rsidRDefault="009042FA" w:rsidP="009042FA">
            <w:pPr>
              <w:rPr>
                <w:sz w:val="20"/>
                <w:szCs w:val="20"/>
              </w:rPr>
            </w:pPr>
            <w:r w:rsidRPr="00A2577D">
              <w:rPr>
                <w:sz w:val="20"/>
                <w:szCs w:val="20"/>
              </w:rPr>
              <w:t>Improved education quality systems in Myanmar’s Ministry of Education (MoE)</w:t>
            </w:r>
          </w:p>
        </w:tc>
        <w:tc>
          <w:tcPr>
            <w:tcW w:w="2030" w:type="dxa"/>
            <w:shd w:val="clear" w:color="auto" w:fill="FFFFFF" w:themeFill="background1"/>
          </w:tcPr>
          <w:p w14:paraId="794342B3" w14:textId="77777777" w:rsidR="009042FA" w:rsidRPr="00A2577D" w:rsidRDefault="009042FA" w:rsidP="009042FA">
            <w:pPr>
              <w:rPr>
                <w:sz w:val="20"/>
                <w:szCs w:val="20"/>
              </w:rPr>
            </w:pPr>
            <w:r w:rsidRPr="00A2577D">
              <w:rPr>
                <w:sz w:val="20"/>
                <w:szCs w:val="20"/>
              </w:rPr>
              <w:t>At least three instances of improved education quality outcomes contributed by the supply and demand of My-EQIP</w:t>
            </w:r>
          </w:p>
        </w:tc>
        <w:tc>
          <w:tcPr>
            <w:tcW w:w="2097" w:type="dxa"/>
            <w:shd w:val="clear" w:color="auto" w:fill="FFFFFF" w:themeFill="background1"/>
          </w:tcPr>
          <w:p w14:paraId="2462CB35" w14:textId="77777777" w:rsidR="009042FA" w:rsidRPr="00A2577D" w:rsidRDefault="009042FA" w:rsidP="009042FA">
            <w:pPr>
              <w:rPr>
                <w:sz w:val="20"/>
                <w:szCs w:val="20"/>
              </w:rPr>
            </w:pPr>
            <w:r w:rsidRPr="00A2577D">
              <w:rPr>
                <w:sz w:val="20"/>
                <w:szCs w:val="20"/>
              </w:rPr>
              <w:t>Limited knowledge of M&amp;E and how to generate information to shape policy (My-EQIP diagnostics)</w:t>
            </w:r>
          </w:p>
        </w:tc>
        <w:tc>
          <w:tcPr>
            <w:tcW w:w="1827" w:type="dxa"/>
            <w:shd w:val="clear" w:color="auto" w:fill="FFFFFF" w:themeFill="background1"/>
          </w:tcPr>
          <w:p w14:paraId="7D1A8598" w14:textId="77777777" w:rsidR="009042FA" w:rsidRPr="00A2577D" w:rsidRDefault="009042FA" w:rsidP="009042FA">
            <w:pPr>
              <w:rPr>
                <w:sz w:val="20"/>
                <w:szCs w:val="20"/>
              </w:rPr>
            </w:pPr>
            <w:r w:rsidRPr="00A2577D">
              <w:rPr>
                <w:sz w:val="20"/>
                <w:szCs w:val="20"/>
              </w:rPr>
              <w:t>My-EQIP reporting</w:t>
            </w:r>
          </w:p>
        </w:tc>
      </w:tr>
      <w:tr w:rsidR="009042FA" w:rsidRPr="00A2577D" w14:paraId="09C6FA44" w14:textId="77777777" w:rsidTr="009042FA">
        <w:trPr>
          <w:trHeight w:val="253"/>
        </w:trPr>
        <w:tc>
          <w:tcPr>
            <w:tcW w:w="1771" w:type="dxa"/>
            <w:vMerge/>
          </w:tcPr>
          <w:p w14:paraId="4F05E06D" w14:textId="77777777" w:rsidR="009042FA" w:rsidRPr="00A2577D" w:rsidRDefault="009042FA" w:rsidP="009042FA">
            <w:pPr>
              <w:rPr>
                <w:sz w:val="20"/>
                <w:szCs w:val="20"/>
              </w:rPr>
            </w:pPr>
          </w:p>
        </w:tc>
        <w:tc>
          <w:tcPr>
            <w:tcW w:w="4937" w:type="dxa"/>
            <w:gridSpan w:val="2"/>
          </w:tcPr>
          <w:p w14:paraId="2F7FA1B8" w14:textId="77777777" w:rsidR="009042FA" w:rsidRPr="00A2577D" w:rsidRDefault="009042FA" w:rsidP="009042FA">
            <w:pPr>
              <w:rPr>
                <w:sz w:val="20"/>
                <w:szCs w:val="20"/>
              </w:rPr>
            </w:pPr>
            <w:r w:rsidRPr="00A2577D">
              <w:rPr>
                <w:sz w:val="20"/>
                <w:szCs w:val="20"/>
              </w:rPr>
              <w:t>Instances of policy influence and institutional strengthening that lead to improved education management</w:t>
            </w:r>
          </w:p>
        </w:tc>
        <w:tc>
          <w:tcPr>
            <w:tcW w:w="2097" w:type="dxa"/>
          </w:tcPr>
          <w:p w14:paraId="4E6BEDCE" w14:textId="77777777" w:rsidR="009042FA" w:rsidRPr="00A2577D" w:rsidRDefault="009042FA" w:rsidP="009042FA">
            <w:pPr>
              <w:rPr>
                <w:sz w:val="20"/>
                <w:szCs w:val="20"/>
              </w:rPr>
            </w:pPr>
            <w:r>
              <w:rPr>
                <w:sz w:val="20"/>
                <w:szCs w:val="20"/>
              </w:rPr>
              <w:t>n/a</w:t>
            </w:r>
          </w:p>
        </w:tc>
        <w:tc>
          <w:tcPr>
            <w:tcW w:w="1827" w:type="dxa"/>
          </w:tcPr>
          <w:p w14:paraId="1D8EC923" w14:textId="77777777" w:rsidR="009042FA" w:rsidRPr="00A2577D" w:rsidRDefault="009042FA" w:rsidP="009042FA">
            <w:pPr>
              <w:rPr>
                <w:sz w:val="20"/>
                <w:szCs w:val="20"/>
              </w:rPr>
            </w:pPr>
            <w:r w:rsidRPr="00A2577D">
              <w:rPr>
                <w:sz w:val="20"/>
                <w:szCs w:val="20"/>
              </w:rPr>
              <w:t>Interviews with program managers</w:t>
            </w:r>
          </w:p>
        </w:tc>
      </w:tr>
    </w:tbl>
    <w:p w14:paraId="317BBF2C" w14:textId="77777777" w:rsidR="009042FA" w:rsidRDefault="009042FA" w:rsidP="009042FA">
      <w:pPr>
        <w:ind w:left="-546"/>
        <w:rPr>
          <w:sz w:val="20"/>
          <w:szCs w:val="20"/>
        </w:rPr>
      </w:pPr>
    </w:p>
    <w:p w14:paraId="7361C4DC" w14:textId="77777777" w:rsidR="009042FA" w:rsidRDefault="009042FA" w:rsidP="009042FA">
      <w:pPr>
        <w:jc w:val="right"/>
        <w:rPr>
          <w:i/>
          <w:sz w:val="20"/>
          <w:szCs w:val="20"/>
        </w:rPr>
      </w:pPr>
      <w:r w:rsidRPr="003E6247">
        <w:rPr>
          <w:i/>
          <w:sz w:val="20"/>
          <w:szCs w:val="20"/>
        </w:rPr>
        <w:t>continued over …</w:t>
      </w:r>
    </w:p>
    <w:p w14:paraId="08CA2FE0" w14:textId="77777777" w:rsidR="009042FA" w:rsidRPr="009D115D" w:rsidRDefault="009042FA" w:rsidP="009042FA">
      <w:pPr>
        <w:jc w:val="right"/>
        <w:rPr>
          <w:i/>
          <w:sz w:val="20"/>
          <w:szCs w:val="20"/>
        </w:rPr>
      </w:pPr>
    </w:p>
    <w:p w14:paraId="4F9B52E8" w14:textId="77777777" w:rsidR="009042FA" w:rsidRDefault="009042FA" w:rsidP="009042FA">
      <w:r>
        <w:br w:type="page"/>
      </w:r>
    </w:p>
    <w:tbl>
      <w:tblPr>
        <w:tblStyle w:val="TableGrid"/>
        <w:tblW w:w="10632" w:type="dxa"/>
        <w:tblInd w:w="-572" w:type="dxa"/>
        <w:tblLook w:val="04A0" w:firstRow="1" w:lastRow="0" w:firstColumn="1" w:lastColumn="0" w:noHBand="0" w:noVBand="1"/>
      </w:tblPr>
      <w:tblGrid>
        <w:gridCol w:w="2249"/>
        <w:gridCol w:w="2695"/>
        <w:gridCol w:w="1937"/>
        <w:gridCol w:w="1995"/>
        <w:gridCol w:w="1756"/>
      </w:tblGrid>
      <w:tr w:rsidR="009042FA" w:rsidRPr="00A2577D" w14:paraId="66272C41" w14:textId="77777777" w:rsidTr="009042FA">
        <w:trPr>
          <w:trHeight w:val="253"/>
        </w:trPr>
        <w:tc>
          <w:tcPr>
            <w:tcW w:w="10632" w:type="dxa"/>
            <w:gridSpan w:val="5"/>
            <w:shd w:val="clear" w:color="auto" w:fill="EDCEBE" w:themeFill="accent2" w:themeFillTint="66"/>
          </w:tcPr>
          <w:p w14:paraId="14C86068" w14:textId="77777777" w:rsidR="009042FA" w:rsidRPr="00A2577D" w:rsidRDefault="009042FA" w:rsidP="009042FA">
            <w:pPr>
              <w:rPr>
                <w:sz w:val="20"/>
                <w:szCs w:val="20"/>
              </w:rPr>
            </w:pPr>
            <w:r w:rsidRPr="00F93FA6">
              <w:rPr>
                <w:b/>
                <w:i/>
                <w:sz w:val="20"/>
                <w:szCs w:val="20"/>
              </w:rPr>
              <w:lastRenderedPageBreak/>
              <w:t>Pillar 2: Promoting peace and stability</w:t>
            </w:r>
          </w:p>
        </w:tc>
      </w:tr>
      <w:tr w:rsidR="009042FA" w:rsidRPr="00A2577D" w14:paraId="4EC0135D" w14:textId="77777777" w:rsidTr="009042FA">
        <w:trPr>
          <w:trHeight w:val="253"/>
        </w:trPr>
        <w:tc>
          <w:tcPr>
            <w:tcW w:w="2249" w:type="dxa"/>
            <w:vMerge w:val="restart"/>
            <w:shd w:val="clear" w:color="auto" w:fill="auto"/>
            <w:vAlign w:val="bottom"/>
          </w:tcPr>
          <w:p w14:paraId="07D9957B" w14:textId="77777777" w:rsidR="009042FA" w:rsidRPr="00A2577D" w:rsidRDefault="009042FA" w:rsidP="009042FA">
            <w:pPr>
              <w:rPr>
                <w:b/>
                <w:sz w:val="20"/>
                <w:szCs w:val="20"/>
              </w:rPr>
            </w:pPr>
            <w:r w:rsidRPr="00A2577D">
              <w:rPr>
                <w:b/>
                <w:sz w:val="20"/>
                <w:szCs w:val="20"/>
              </w:rPr>
              <w:t>Sub-objective</w:t>
            </w:r>
          </w:p>
        </w:tc>
        <w:tc>
          <w:tcPr>
            <w:tcW w:w="2695" w:type="dxa"/>
            <w:vMerge w:val="restart"/>
            <w:shd w:val="clear" w:color="auto" w:fill="auto"/>
            <w:vAlign w:val="bottom"/>
          </w:tcPr>
          <w:p w14:paraId="41483752" w14:textId="77777777" w:rsidR="009042FA" w:rsidRPr="00A2577D" w:rsidRDefault="009042FA" w:rsidP="009042FA">
            <w:pPr>
              <w:rPr>
                <w:b/>
                <w:sz w:val="20"/>
                <w:szCs w:val="20"/>
              </w:rPr>
            </w:pPr>
            <w:r w:rsidRPr="00A2577D">
              <w:rPr>
                <w:b/>
                <w:sz w:val="20"/>
                <w:szCs w:val="20"/>
              </w:rPr>
              <w:t>Outcome</w:t>
            </w:r>
          </w:p>
        </w:tc>
        <w:tc>
          <w:tcPr>
            <w:tcW w:w="3932" w:type="dxa"/>
            <w:gridSpan w:val="2"/>
            <w:shd w:val="clear" w:color="auto" w:fill="auto"/>
            <w:vAlign w:val="bottom"/>
          </w:tcPr>
          <w:p w14:paraId="0A7F2201" w14:textId="77777777" w:rsidR="009042FA" w:rsidRPr="00A2577D" w:rsidRDefault="009042FA" w:rsidP="009042FA">
            <w:pPr>
              <w:jc w:val="center"/>
              <w:rPr>
                <w:b/>
                <w:sz w:val="20"/>
                <w:szCs w:val="20"/>
              </w:rPr>
            </w:pPr>
            <w:r w:rsidRPr="00A2577D">
              <w:rPr>
                <w:b/>
                <w:sz w:val="20"/>
                <w:szCs w:val="20"/>
              </w:rPr>
              <w:t>Targets</w:t>
            </w:r>
          </w:p>
        </w:tc>
        <w:tc>
          <w:tcPr>
            <w:tcW w:w="1756" w:type="dxa"/>
            <w:shd w:val="clear" w:color="auto" w:fill="auto"/>
            <w:vAlign w:val="bottom"/>
          </w:tcPr>
          <w:p w14:paraId="4A483257" w14:textId="77777777" w:rsidR="009042FA" w:rsidRPr="00A2577D" w:rsidRDefault="009042FA" w:rsidP="009042FA">
            <w:pPr>
              <w:rPr>
                <w:b/>
                <w:sz w:val="20"/>
                <w:szCs w:val="20"/>
              </w:rPr>
            </w:pPr>
            <w:r w:rsidRPr="00A2577D">
              <w:rPr>
                <w:b/>
                <w:sz w:val="20"/>
                <w:szCs w:val="20"/>
              </w:rPr>
              <w:t>Data source/s</w:t>
            </w:r>
          </w:p>
        </w:tc>
      </w:tr>
      <w:tr w:rsidR="009042FA" w:rsidRPr="00A2577D" w14:paraId="37224495" w14:textId="77777777" w:rsidTr="009042FA">
        <w:trPr>
          <w:trHeight w:val="253"/>
        </w:trPr>
        <w:tc>
          <w:tcPr>
            <w:tcW w:w="2249" w:type="dxa"/>
            <w:vMerge/>
            <w:shd w:val="clear" w:color="auto" w:fill="69F0FF" w:themeFill="accent4" w:themeFillTint="66"/>
          </w:tcPr>
          <w:p w14:paraId="39B3B5DF" w14:textId="77777777" w:rsidR="009042FA" w:rsidRPr="00A2577D" w:rsidRDefault="009042FA" w:rsidP="009042FA">
            <w:pPr>
              <w:rPr>
                <w:b/>
                <w:sz w:val="20"/>
                <w:szCs w:val="20"/>
              </w:rPr>
            </w:pPr>
          </w:p>
        </w:tc>
        <w:tc>
          <w:tcPr>
            <w:tcW w:w="2695" w:type="dxa"/>
            <w:vMerge/>
            <w:shd w:val="clear" w:color="auto" w:fill="69F0FF" w:themeFill="accent4" w:themeFillTint="66"/>
          </w:tcPr>
          <w:p w14:paraId="3E54F2BF" w14:textId="77777777" w:rsidR="009042FA" w:rsidRPr="00A2577D" w:rsidRDefault="009042FA" w:rsidP="009042FA">
            <w:pPr>
              <w:rPr>
                <w:b/>
                <w:sz w:val="20"/>
                <w:szCs w:val="20"/>
              </w:rPr>
            </w:pPr>
          </w:p>
        </w:tc>
        <w:tc>
          <w:tcPr>
            <w:tcW w:w="1937" w:type="dxa"/>
            <w:shd w:val="clear" w:color="auto" w:fill="auto"/>
          </w:tcPr>
          <w:p w14:paraId="5BF14ED8" w14:textId="77777777" w:rsidR="009042FA" w:rsidRPr="00A2577D" w:rsidRDefault="009042FA" w:rsidP="009042FA">
            <w:pPr>
              <w:jc w:val="center"/>
              <w:rPr>
                <w:b/>
                <w:sz w:val="20"/>
                <w:szCs w:val="20"/>
              </w:rPr>
            </w:pPr>
            <w:r w:rsidRPr="00A2577D">
              <w:rPr>
                <w:b/>
                <w:sz w:val="20"/>
                <w:szCs w:val="20"/>
              </w:rPr>
              <w:t>2019-20</w:t>
            </w:r>
          </w:p>
        </w:tc>
        <w:tc>
          <w:tcPr>
            <w:tcW w:w="1995" w:type="dxa"/>
            <w:shd w:val="clear" w:color="auto" w:fill="auto"/>
          </w:tcPr>
          <w:p w14:paraId="536A9CEB" w14:textId="77777777" w:rsidR="009042FA" w:rsidRPr="00A2577D" w:rsidRDefault="009042FA" w:rsidP="009042FA">
            <w:pPr>
              <w:rPr>
                <w:b/>
                <w:sz w:val="20"/>
                <w:szCs w:val="20"/>
              </w:rPr>
            </w:pPr>
            <w:r w:rsidRPr="00A2577D">
              <w:rPr>
                <w:b/>
                <w:sz w:val="20"/>
                <w:szCs w:val="20"/>
              </w:rPr>
              <w:t>Baseline</w:t>
            </w:r>
          </w:p>
        </w:tc>
        <w:tc>
          <w:tcPr>
            <w:tcW w:w="1756" w:type="dxa"/>
            <w:shd w:val="clear" w:color="auto" w:fill="auto"/>
          </w:tcPr>
          <w:p w14:paraId="3C12C527" w14:textId="77777777" w:rsidR="009042FA" w:rsidRPr="00A2577D" w:rsidRDefault="009042FA" w:rsidP="009042FA">
            <w:pPr>
              <w:rPr>
                <w:b/>
                <w:sz w:val="20"/>
                <w:szCs w:val="20"/>
              </w:rPr>
            </w:pPr>
          </w:p>
        </w:tc>
      </w:tr>
      <w:tr w:rsidR="009042FA" w:rsidRPr="00A2577D" w14:paraId="7102CA28" w14:textId="77777777" w:rsidTr="009042FA">
        <w:trPr>
          <w:trHeight w:val="498"/>
        </w:trPr>
        <w:tc>
          <w:tcPr>
            <w:tcW w:w="2249" w:type="dxa"/>
            <w:vMerge w:val="restart"/>
          </w:tcPr>
          <w:p w14:paraId="38ADD2AF" w14:textId="77777777" w:rsidR="009042FA" w:rsidRPr="00A2577D" w:rsidRDefault="009042FA" w:rsidP="009042FA">
            <w:pPr>
              <w:rPr>
                <w:sz w:val="20"/>
                <w:szCs w:val="20"/>
              </w:rPr>
            </w:pPr>
            <w:r w:rsidRPr="00F93FA6">
              <w:rPr>
                <w:sz w:val="20"/>
                <w:szCs w:val="20"/>
              </w:rPr>
              <w:t>People in need receive effective and appropriate humanitarian assistance</w:t>
            </w:r>
          </w:p>
        </w:tc>
        <w:tc>
          <w:tcPr>
            <w:tcW w:w="2695" w:type="dxa"/>
            <w:shd w:val="clear" w:color="auto" w:fill="FFFFFF" w:themeFill="background1"/>
          </w:tcPr>
          <w:p w14:paraId="7F785325" w14:textId="77777777" w:rsidR="009042FA" w:rsidRPr="00A2577D" w:rsidRDefault="009042FA" w:rsidP="009042FA">
            <w:pPr>
              <w:rPr>
                <w:sz w:val="20"/>
                <w:szCs w:val="20"/>
              </w:rPr>
            </w:pPr>
            <w:r w:rsidRPr="00F93FA6">
              <w:rPr>
                <w:sz w:val="20"/>
                <w:szCs w:val="20"/>
              </w:rPr>
              <w:t>Vulnerable women, men, girls and boys are provided with humanitarian assistance in conflict and crisis situations</w:t>
            </w:r>
          </w:p>
        </w:tc>
        <w:tc>
          <w:tcPr>
            <w:tcW w:w="1937" w:type="dxa"/>
            <w:shd w:val="clear" w:color="auto" w:fill="FFFFFF" w:themeFill="background1"/>
          </w:tcPr>
          <w:p w14:paraId="461AAEE6" w14:textId="77777777" w:rsidR="009042FA" w:rsidRPr="00A2577D" w:rsidRDefault="009042FA" w:rsidP="009042FA">
            <w:pPr>
              <w:jc w:val="center"/>
              <w:rPr>
                <w:sz w:val="20"/>
                <w:szCs w:val="20"/>
              </w:rPr>
            </w:pPr>
            <w:r>
              <w:rPr>
                <w:sz w:val="20"/>
                <w:szCs w:val="20"/>
              </w:rPr>
              <w:t>250,000 people</w:t>
            </w:r>
            <w:r>
              <w:rPr>
                <w:sz w:val="20"/>
                <w:szCs w:val="20"/>
              </w:rPr>
              <w:br/>
            </w:r>
            <w:r w:rsidRPr="00F93FA6">
              <w:rPr>
                <w:sz w:val="20"/>
                <w:szCs w:val="20"/>
              </w:rPr>
              <w:t>(M/F)</w:t>
            </w:r>
          </w:p>
        </w:tc>
        <w:tc>
          <w:tcPr>
            <w:tcW w:w="1995" w:type="dxa"/>
            <w:shd w:val="clear" w:color="auto" w:fill="FFFFFF" w:themeFill="background1"/>
          </w:tcPr>
          <w:p w14:paraId="08B47C28" w14:textId="77777777" w:rsidR="009042FA" w:rsidRPr="00F93FA6" w:rsidRDefault="009042FA" w:rsidP="009042FA">
            <w:pPr>
              <w:jc w:val="center"/>
              <w:rPr>
                <w:sz w:val="20"/>
                <w:szCs w:val="20"/>
              </w:rPr>
            </w:pPr>
            <w:r w:rsidRPr="00F93FA6">
              <w:rPr>
                <w:sz w:val="20"/>
                <w:szCs w:val="20"/>
              </w:rPr>
              <w:t>235,313</w:t>
            </w:r>
            <w:r>
              <w:rPr>
                <w:sz w:val="20"/>
                <w:szCs w:val="20"/>
              </w:rPr>
              <w:br/>
            </w:r>
            <w:r w:rsidRPr="00F93FA6">
              <w:rPr>
                <w:sz w:val="20"/>
                <w:szCs w:val="20"/>
              </w:rPr>
              <w:t>(M/F)</w:t>
            </w:r>
          </w:p>
          <w:p w14:paraId="0F0BD2C4" w14:textId="77777777" w:rsidR="009042FA" w:rsidRPr="00A2577D" w:rsidRDefault="009042FA" w:rsidP="009042FA">
            <w:pPr>
              <w:jc w:val="center"/>
              <w:rPr>
                <w:sz w:val="20"/>
                <w:szCs w:val="20"/>
              </w:rPr>
            </w:pPr>
            <w:r w:rsidRPr="00F93FA6">
              <w:rPr>
                <w:sz w:val="20"/>
                <w:szCs w:val="20"/>
              </w:rPr>
              <w:t>(2014-15)</w:t>
            </w:r>
          </w:p>
        </w:tc>
        <w:tc>
          <w:tcPr>
            <w:tcW w:w="1756" w:type="dxa"/>
            <w:shd w:val="clear" w:color="auto" w:fill="FFFFFF" w:themeFill="background1"/>
          </w:tcPr>
          <w:p w14:paraId="53A16093" w14:textId="77777777" w:rsidR="009042FA" w:rsidRPr="00A2577D" w:rsidRDefault="009042FA" w:rsidP="009042FA">
            <w:pPr>
              <w:rPr>
                <w:sz w:val="20"/>
                <w:szCs w:val="20"/>
              </w:rPr>
            </w:pPr>
            <w:r w:rsidRPr="00F93FA6">
              <w:rPr>
                <w:sz w:val="20"/>
                <w:szCs w:val="20"/>
              </w:rPr>
              <w:t>Aggregate Development Results reporting, drawn from humanitarian partner reports</w:t>
            </w:r>
          </w:p>
        </w:tc>
      </w:tr>
      <w:tr w:rsidR="009042FA" w:rsidRPr="00A2577D" w14:paraId="7C96710C" w14:textId="77777777" w:rsidTr="009042FA">
        <w:trPr>
          <w:trHeight w:val="498"/>
        </w:trPr>
        <w:tc>
          <w:tcPr>
            <w:tcW w:w="2249" w:type="dxa"/>
            <w:vMerge/>
          </w:tcPr>
          <w:p w14:paraId="131249CF" w14:textId="77777777" w:rsidR="009042FA" w:rsidRPr="00A2577D" w:rsidRDefault="009042FA" w:rsidP="009042FA">
            <w:pPr>
              <w:rPr>
                <w:sz w:val="20"/>
                <w:szCs w:val="20"/>
              </w:rPr>
            </w:pPr>
          </w:p>
        </w:tc>
        <w:tc>
          <w:tcPr>
            <w:tcW w:w="2695" w:type="dxa"/>
            <w:shd w:val="clear" w:color="auto" w:fill="auto"/>
          </w:tcPr>
          <w:p w14:paraId="3FA6459E" w14:textId="77777777" w:rsidR="009042FA" w:rsidRPr="00A2577D" w:rsidRDefault="009042FA" w:rsidP="009042FA">
            <w:pPr>
              <w:rPr>
                <w:sz w:val="20"/>
                <w:szCs w:val="20"/>
              </w:rPr>
            </w:pPr>
            <w:r w:rsidRPr="00F93FA6">
              <w:rPr>
                <w:sz w:val="20"/>
                <w:szCs w:val="20"/>
              </w:rPr>
              <w:t>Local partners deliver humanitarian assistance through the Myanmar Humanitarian Fund</w:t>
            </w:r>
          </w:p>
        </w:tc>
        <w:tc>
          <w:tcPr>
            <w:tcW w:w="1937" w:type="dxa"/>
            <w:shd w:val="clear" w:color="auto" w:fill="auto"/>
          </w:tcPr>
          <w:p w14:paraId="68C999CF" w14:textId="77777777" w:rsidR="009042FA" w:rsidRPr="00A2577D" w:rsidRDefault="009042FA" w:rsidP="009042FA">
            <w:pPr>
              <w:jc w:val="center"/>
              <w:rPr>
                <w:sz w:val="20"/>
                <w:szCs w:val="20"/>
              </w:rPr>
            </w:pPr>
            <w:r>
              <w:rPr>
                <w:sz w:val="20"/>
                <w:szCs w:val="20"/>
              </w:rPr>
              <w:t>25%</w:t>
            </w:r>
          </w:p>
        </w:tc>
        <w:tc>
          <w:tcPr>
            <w:tcW w:w="1995" w:type="dxa"/>
            <w:shd w:val="clear" w:color="auto" w:fill="auto"/>
          </w:tcPr>
          <w:p w14:paraId="191E8B1E" w14:textId="77777777" w:rsidR="009042FA" w:rsidRPr="00A2577D" w:rsidRDefault="009042FA" w:rsidP="009042FA">
            <w:pPr>
              <w:jc w:val="center"/>
              <w:rPr>
                <w:sz w:val="20"/>
                <w:szCs w:val="20"/>
              </w:rPr>
            </w:pPr>
            <w:r>
              <w:rPr>
                <w:sz w:val="20"/>
                <w:szCs w:val="20"/>
              </w:rPr>
              <w:t>zero</w:t>
            </w:r>
          </w:p>
        </w:tc>
        <w:tc>
          <w:tcPr>
            <w:tcW w:w="1756" w:type="dxa"/>
            <w:shd w:val="clear" w:color="auto" w:fill="auto"/>
          </w:tcPr>
          <w:p w14:paraId="43CBCD79" w14:textId="77777777" w:rsidR="009042FA" w:rsidRPr="00A2577D" w:rsidRDefault="009042FA" w:rsidP="009042FA">
            <w:pPr>
              <w:rPr>
                <w:sz w:val="20"/>
                <w:szCs w:val="20"/>
              </w:rPr>
            </w:pPr>
            <w:r w:rsidRPr="00F93FA6">
              <w:rPr>
                <w:sz w:val="20"/>
                <w:szCs w:val="20"/>
              </w:rPr>
              <w:t>MHF reporting</w:t>
            </w:r>
          </w:p>
        </w:tc>
      </w:tr>
      <w:tr w:rsidR="009042FA" w:rsidRPr="00A2577D" w14:paraId="578959E0" w14:textId="77777777" w:rsidTr="009042FA">
        <w:trPr>
          <w:trHeight w:val="1416"/>
        </w:trPr>
        <w:tc>
          <w:tcPr>
            <w:tcW w:w="2249" w:type="dxa"/>
          </w:tcPr>
          <w:p w14:paraId="327BCE40" w14:textId="77777777" w:rsidR="009042FA" w:rsidRPr="00A2577D" w:rsidRDefault="009042FA" w:rsidP="009042FA">
            <w:pPr>
              <w:rPr>
                <w:sz w:val="20"/>
                <w:szCs w:val="20"/>
              </w:rPr>
            </w:pPr>
            <w:r w:rsidRPr="006C2BAB">
              <w:rPr>
                <w:sz w:val="20"/>
                <w:szCs w:val="20"/>
              </w:rPr>
              <w:t>Increased access to information, services and justice for survivors of sexual and gender-based violence in conflict-affected areas.</w:t>
            </w:r>
          </w:p>
        </w:tc>
        <w:tc>
          <w:tcPr>
            <w:tcW w:w="2695" w:type="dxa"/>
            <w:shd w:val="clear" w:color="auto" w:fill="auto"/>
          </w:tcPr>
          <w:p w14:paraId="52A42E83" w14:textId="77777777" w:rsidR="009042FA" w:rsidRPr="00A2577D" w:rsidRDefault="009042FA" w:rsidP="009042FA">
            <w:pPr>
              <w:rPr>
                <w:sz w:val="20"/>
                <w:szCs w:val="20"/>
              </w:rPr>
            </w:pPr>
            <w:r w:rsidRPr="006C2BAB">
              <w:rPr>
                <w:sz w:val="20"/>
                <w:szCs w:val="20"/>
              </w:rPr>
              <w:t>Women and girls have access to gender-based violence services and sexual and reproductive health services.</w:t>
            </w:r>
          </w:p>
        </w:tc>
        <w:tc>
          <w:tcPr>
            <w:tcW w:w="1937" w:type="dxa"/>
            <w:shd w:val="clear" w:color="auto" w:fill="auto"/>
          </w:tcPr>
          <w:p w14:paraId="7F993971" w14:textId="64477CBC" w:rsidR="009042FA" w:rsidRPr="00A2577D" w:rsidRDefault="000D73BA" w:rsidP="009042FA">
            <w:pPr>
              <w:jc w:val="center"/>
              <w:rPr>
                <w:sz w:val="20"/>
                <w:szCs w:val="20"/>
              </w:rPr>
            </w:pPr>
            <w:r>
              <w:rPr>
                <w:sz w:val="20"/>
                <w:szCs w:val="20"/>
              </w:rPr>
              <w:t>42,300</w:t>
            </w:r>
            <w:r w:rsidR="009042FA" w:rsidRPr="006C2BAB">
              <w:rPr>
                <w:sz w:val="20"/>
                <w:szCs w:val="20"/>
              </w:rPr>
              <w:t xml:space="preserve">* </w:t>
            </w:r>
            <w:r w:rsidR="009042FA">
              <w:rPr>
                <w:sz w:val="20"/>
                <w:szCs w:val="20"/>
              </w:rPr>
              <w:br/>
            </w:r>
            <w:r w:rsidR="009042FA" w:rsidRPr="006C2BAB">
              <w:rPr>
                <w:sz w:val="20"/>
                <w:szCs w:val="20"/>
              </w:rPr>
              <w:t>women and girls</w:t>
            </w:r>
          </w:p>
        </w:tc>
        <w:tc>
          <w:tcPr>
            <w:tcW w:w="1995" w:type="dxa"/>
            <w:shd w:val="clear" w:color="auto" w:fill="auto"/>
          </w:tcPr>
          <w:p w14:paraId="343DACCC" w14:textId="66E2F342" w:rsidR="009042FA" w:rsidRPr="006C2BAB" w:rsidRDefault="009042FA" w:rsidP="009042FA">
            <w:pPr>
              <w:jc w:val="center"/>
              <w:rPr>
                <w:sz w:val="20"/>
                <w:szCs w:val="20"/>
              </w:rPr>
            </w:pPr>
            <w:r w:rsidRPr="006C2BAB">
              <w:rPr>
                <w:sz w:val="20"/>
                <w:szCs w:val="20"/>
              </w:rPr>
              <w:t>8,500 total</w:t>
            </w:r>
            <w:r>
              <w:rPr>
                <w:sz w:val="20"/>
                <w:szCs w:val="20"/>
              </w:rPr>
              <w:br/>
            </w:r>
            <w:r w:rsidRPr="006C2BAB">
              <w:rPr>
                <w:sz w:val="20"/>
                <w:szCs w:val="20"/>
              </w:rPr>
              <w:t xml:space="preserve">women and girls </w:t>
            </w:r>
          </w:p>
          <w:p w14:paraId="3D1AD49E" w14:textId="77777777" w:rsidR="009042FA" w:rsidRPr="00A2577D" w:rsidRDefault="009042FA" w:rsidP="009042FA">
            <w:pPr>
              <w:jc w:val="center"/>
              <w:rPr>
                <w:sz w:val="20"/>
                <w:szCs w:val="20"/>
              </w:rPr>
            </w:pPr>
            <w:r w:rsidRPr="006C2BAB">
              <w:rPr>
                <w:sz w:val="20"/>
                <w:szCs w:val="20"/>
              </w:rPr>
              <w:t>(May 2017)</w:t>
            </w:r>
          </w:p>
        </w:tc>
        <w:tc>
          <w:tcPr>
            <w:tcW w:w="1756" w:type="dxa"/>
            <w:shd w:val="clear" w:color="auto" w:fill="auto"/>
          </w:tcPr>
          <w:p w14:paraId="495B8851" w14:textId="77777777" w:rsidR="009042FA" w:rsidRPr="00A2577D" w:rsidRDefault="009042FA" w:rsidP="009042FA">
            <w:pPr>
              <w:rPr>
                <w:sz w:val="20"/>
                <w:szCs w:val="20"/>
              </w:rPr>
            </w:pPr>
            <w:r w:rsidRPr="006C2BAB">
              <w:rPr>
                <w:sz w:val="20"/>
                <w:szCs w:val="20"/>
              </w:rPr>
              <w:t xml:space="preserve">UNFPA Women and Girls First program reporting (*Australian attribution currently </w:t>
            </w:r>
            <w:r>
              <w:rPr>
                <w:sz w:val="20"/>
                <w:szCs w:val="20"/>
              </w:rPr>
              <w:t>23.5</w:t>
            </w:r>
            <w:r w:rsidRPr="006C2BAB">
              <w:rPr>
                <w:sz w:val="20"/>
                <w:szCs w:val="20"/>
              </w:rPr>
              <w:t xml:space="preserve"> per cent of total)</w:t>
            </w:r>
          </w:p>
        </w:tc>
      </w:tr>
      <w:tr w:rsidR="009042FA" w:rsidRPr="00A2577D" w14:paraId="12871469" w14:textId="77777777" w:rsidTr="009042FA">
        <w:trPr>
          <w:trHeight w:val="1194"/>
        </w:trPr>
        <w:tc>
          <w:tcPr>
            <w:tcW w:w="2249" w:type="dxa"/>
            <w:vMerge w:val="restart"/>
            <w:shd w:val="clear" w:color="auto" w:fill="auto"/>
          </w:tcPr>
          <w:p w14:paraId="4B49C708" w14:textId="77777777" w:rsidR="009042FA" w:rsidRPr="00A2577D" w:rsidRDefault="009042FA" w:rsidP="009042FA">
            <w:pPr>
              <w:rPr>
                <w:sz w:val="20"/>
                <w:szCs w:val="20"/>
              </w:rPr>
            </w:pPr>
            <w:r w:rsidRPr="00F305E9">
              <w:rPr>
                <w:sz w:val="20"/>
                <w:szCs w:val="20"/>
              </w:rPr>
              <w:t>Governments and non-state actors are effectively engaged in peace negotiations and dialogue</w:t>
            </w:r>
          </w:p>
        </w:tc>
        <w:tc>
          <w:tcPr>
            <w:tcW w:w="2695" w:type="dxa"/>
            <w:shd w:val="clear" w:color="auto" w:fill="auto"/>
          </w:tcPr>
          <w:p w14:paraId="686563E2" w14:textId="77777777" w:rsidR="009042FA" w:rsidRPr="00A2577D" w:rsidRDefault="009042FA" w:rsidP="009042FA">
            <w:pPr>
              <w:rPr>
                <w:sz w:val="20"/>
                <w:szCs w:val="20"/>
              </w:rPr>
            </w:pPr>
            <w:r w:rsidRPr="00F305E9">
              <w:rPr>
                <w:sz w:val="20"/>
                <w:szCs w:val="20"/>
              </w:rPr>
              <w:t>Partners are responsive to negotiating parties’ requests for technical support</w:t>
            </w:r>
          </w:p>
        </w:tc>
        <w:tc>
          <w:tcPr>
            <w:tcW w:w="1937" w:type="dxa"/>
            <w:shd w:val="clear" w:color="auto" w:fill="auto"/>
          </w:tcPr>
          <w:p w14:paraId="14B5B71C" w14:textId="77777777" w:rsidR="009042FA" w:rsidRPr="00F608F7" w:rsidRDefault="009042FA" w:rsidP="009042FA">
            <w:pPr>
              <w:jc w:val="center"/>
              <w:rPr>
                <w:sz w:val="20"/>
              </w:rPr>
            </w:pPr>
            <w:r>
              <w:rPr>
                <w:sz w:val="20"/>
              </w:rPr>
              <w:t>N/A</w:t>
            </w:r>
          </w:p>
        </w:tc>
        <w:tc>
          <w:tcPr>
            <w:tcW w:w="1995" w:type="dxa"/>
            <w:shd w:val="clear" w:color="auto" w:fill="auto"/>
          </w:tcPr>
          <w:p w14:paraId="1A3E7721" w14:textId="77777777" w:rsidR="009042FA" w:rsidRPr="00A2577D" w:rsidRDefault="009042FA" w:rsidP="009042FA">
            <w:pPr>
              <w:jc w:val="center"/>
              <w:rPr>
                <w:sz w:val="20"/>
                <w:szCs w:val="20"/>
              </w:rPr>
            </w:pPr>
            <w:r>
              <w:rPr>
                <w:sz w:val="20"/>
                <w:szCs w:val="20"/>
              </w:rPr>
              <w:t>N/A</w:t>
            </w:r>
          </w:p>
        </w:tc>
        <w:tc>
          <w:tcPr>
            <w:tcW w:w="1756" w:type="dxa"/>
            <w:shd w:val="clear" w:color="auto" w:fill="auto"/>
          </w:tcPr>
          <w:p w14:paraId="696CEB2D" w14:textId="77777777" w:rsidR="009042FA" w:rsidRPr="00A2577D" w:rsidRDefault="009042FA" w:rsidP="009042FA">
            <w:pPr>
              <w:rPr>
                <w:sz w:val="20"/>
                <w:szCs w:val="20"/>
              </w:rPr>
            </w:pPr>
            <w:r w:rsidRPr="00F305E9">
              <w:rPr>
                <w:sz w:val="20"/>
                <w:szCs w:val="20"/>
              </w:rPr>
              <w:t>JPF, HD, PSF</w:t>
            </w:r>
          </w:p>
        </w:tc>
      </w:tr>
      <w:tr w:rsidR="009042FA" w:rsidRPr="00A2577D" w14:paraId="5164E82C" w14:textId="77777777" w:rsidTr="009042FA">
        <w:trPr>
          <w:trHeight w:val="1194"/>
        </w:trPr>
        <w:tc>
          <w:tcPr>
            <w:tcW w:w="2249" w:type="dxa"/>
            <w:vMerge/>
            <w:shd w:val="clear" w:color="auto" w:fill="auto"/>
          </w:tcPr>
          <w:p w14:paraId="6326CBAC" w14:textId="77777777" w:rsidR="009042FA" w:rsidRPr="00F305E9" w:rsidRDefault="009042FA" w:rsidP="009042FA">
            <w:pPr>
              <w:rPr>
                <w:sz w:val="20"/>
                <w:szCs w:val="20"/>
              </w:rPr>
            </w:pPr>
          </w:p>
        </w:tc>
        <w:tc>
          <w:tcPr>
            <w:tcW w:w="2695" w:type="dxa"/>
            <w:shd w:val="clear" w:color="auto" w:fill="FFFFFF" w:themeFill="background1"/>
          </w:tcPr>
          <w:p w14:paraId="626062EB" w14:textId="77777777" w:rsidR="009042FA" w:rsidRPr="00F305E9" w:rsidRDefault="009042FA" w:rsidP="009042FA">
            <w:pPr>
              <w:rPr>
                <w:sz w:val="20"/>
                <w:szCs w:val="20"/>
              </w:rPr>
            </w:pPr>
            <w:r w:rsidRPr="00A2577D">
              <w:rPr>
                <w:rFonts w:eastAsia="Times New Roman"/>
                <w:sz w:val="20"/>
                <w:szCs w:val="20"/>
              </w:rPr>
              <w:t>Women supported through Australian aid are active in the peace process.</w:t>
            </w:r>
          </w:p>
        </w:tc>
        <w:tc>
          <w:tcPr>
            <w:tcW w:w="1937" w:type="dxa"/>
            <w:shd w:val="clear" w:color="auto" w:fill="FFFFFF" w:themeFill="background1"/>
          </w:tcPr>
          <w:p w14:paraId="26BFBE9E" w14:textId="77777777" w:rsidR="009042FA" w:rsidRPr="003E6482" w:rsidRDefault="009042FA" w:rsidP="009042FA">
            <w:pPr>
              <w:jc w:val="center"/>
              <w:rPr>
                <w:sz w:val="20"/>
                <w:highlight w:val="yellow"/>
              </w:rPr>
            </w:pPr>
            <w:r>
              <w:rPr>
                <w:sz w:val="20"/>
              </w:rPr>
              <w:t>25%</w:t>
            </w:r>
          </w:p>
        </w:tc>
        <w:tc>
          <w:tcPr>
            <w:tcW w:w="1995" w:type="dxa"/>
            <w:shd w:val="clear" w:color="auto" w:fill="FFFFFF" w:themeFill="background1"/>
          </w:tcPr>
          <w:p w14:paraId="250086CC" w14:textId="77777777" w:rsidR="009042FA" w:rsidRDefault="009042FA" w:rsidP="009042FA">
            <w:pPr>
              <w:jc w:val="center"/>
              <w:rPr>
                <w:sz w:val="20"/>
                <w:szCs w:val="20"/>
              </w:rPr>
            </w:pPr>
            <w:r>
              <w:rPr>
                <w:sz w:val="20"/>
                <w:szCs w:val="20"/>
              </w:rPr>
              <w:t>21% (2018)</w:t>
            </w:r>
          </w:p>
        </w:tc>
        <w:tc>
          <w:tcPr>
            <w:tcW w:w="1756" w:type="dxa"/>
            <w:shd w:val="clear" w:color="auto" w:fill="FFFFFF" w:themeFill="background1"/>
          </w:tcPr>
          <w:p w14:paraId="203FF9F5" w14:textId="77777777" w:rsidR="009042FA" w:rsidRPr="00F305E9" w:rsidRDefault="009042FA" w:rsidP="009042FA">
            <w:pPr>
              <w:rPr>
                <w:sz w:val="20"/>
                <w:szCs w:val="20"/>
              </w:rPr>
            </w:pPr>
            <w:r w:rsidRPr="00A2577D">
              <w:rPr>
                <w:sz w:val="20"/>
                <w:szCs w:val="20"/>
              </w:rPr>
              <w:t>PSF Gender, Peace and Security Window</w:t>
            </w:r>
          </w:p>
        </w:tc>
      </w:tr>
      <w:tr w:rsidR="009042FA" w:rsidRPr="00A2577D" w14:paraId="788EDD2C" w14:textId="77777777" w:rsidTr="009042FA">
        <w:trPr>
          <w:trHeight w:val="2129"/>
        </w:trPr>
        <w:tc>
          <w:tcPr>
            <w:tcW w:w="2249" w:type="dxa"/>
            <w:vMerge w:val="restart"/>
            <w:shd w:val="clear" w:color="auto" w:fill="auto"/>
          </w:tcPr>
          <w:p w14:paraId="272BB45B" w14:textId="77777777" w:rsidR="009042FA" w:rsidRPr="00A2577D" w:rsidRDefault="009042FA" w:rsidP="009042FA">
            <w:pPr>
              <w:rPr>
                <w:sz w:val="20"/>
                <w:szCs w:val="20"/>
              </w:rPr>
            </w:pPr>
            <w:r w:rsidRPr="00F305E9">
              <w:rPr>
                <w:sz w:val="20"/>
                <w:szCs w:val="20"/>
              </w:rPr>
              <w:t>Capacity of key democratic institutions strengthened</w:t>
            </w:r>
          </w:p>
        </w:tc>
        <w:tc>
          <w:tcPr>
            <w:tcW w:w="2695" w:type="dxa"/>
            <w:shd w:val="clear" w:color="auto" w:fill="auto"/>
          </w:tcPr>
          <w:p w14:paraId="52B2CEC4" w14:textId="77777777" w:rsidR="009042FA" w:rsidRPr="00A2577D" w:rsidRDefault="009042FA" w:rsidP="009042FA">
            <w:pPr>
              <w:rPr>
                <w:sz w:val="20"/>
                <w:szCs w:val="20"/>
              </w:rPr>
            </w:pPr>
            <w:r w:rsidRPr="00F305E9">
              <w:rPr>
                <w:sz w:val="20"/>
                <w:szCs w:val="20"/>
              </w:rPr>
              <w:t>Strengthened Parliamentary committee processes</w:t>
            </w:r>
          </w:p>
        </w:tc>
        <w:tc>
          <w:tcPr>
            <w:tcW w:w="1937" w:type="dxa"/>
            <w:shd w:val="clear" w:color="auto" w:fill="auto"/>
          </w:tcPr>
          <w:p w14:paraId="30B30886" w14:textId="77777777" w:rsidR="009042FA" w:rsidRPr="00A2577D" w:rsidRDefault="009042FA" w:rsidP="009042FA">
            <w:pPr>
              <w:jc w:val="center"/>
              <w:rPr>
                <w:sz w:val="20"/>
                <w:szCs w:val="20"/>
              </w:rPr>
            </w:pPr>
            <w:r w:rsidRPr="00F305E9">
              <w:rPr>
                <w:sz w:val="20"/>
                <w:szCs w:val="20"/>
              </w:rPr>
              <w:t>Increased MP competencies and confidence to undertake a committee inquiry</w:t>
            </w:r>
          </w:p>
        </w:tc>
        <w:tc>
          <w:tcPr>
            <w:tcW w:w="1995" w:type="dxa"/>
            <w:shd w:val="clear" w:color="auto" w:fill="auto"/>
          </w:tcPr>
          <w:p w14:paraId="5F5AD5EB" w14:textId="77777777" w:rsidR="009042FA" w:rsidRPr="00A2577D" w:rsidRDefault="009042FA" w:rsidP="009042FA">
            <w:pPr>
              <w:jc w:val="center"/>
              <w:rPr>
                <w:sz w:val="20"/>
                <w:szCs w:val="20"/>
              </w:rPr>
            </w:pPr>
            <w:r w:rsidRPr="00F305E9">
              <w:rPr>
                <w:sz w:val="20"/>
                <w:szCs w:val="20"/>
              </w:rPr>
              <w:t>No parliamentary inquiries conducted (2017)</w:t>
            </w:r>
          </w:p>
        </w:tc>
        <w:tc>
          <w:tcPr>
            <w:tcW w:w="1756" w:type="dxa"/>
            <w:shd w:val="clear" w:color="auto" w:fill="auto"/>
          </w:tcPr>
          <w:p w14:paraId="3ACD7F06" w14:textId="77777777" w:rsidR="009042FA" w:rsidRPr="00A2577D" w:rsidRDefault="009042FA" w:rsidP="009042FA">
            <w:pPr>
              <w:rPr>
                <w:sz w:val="20"/>
                <w:szCs w:val="20"/>
              </w:rPr>
            </w:pPr>
            <w:r w:rsidRPr="00F305E9">
              <w:rPr>
                <w:sz w:val="20"/>
                <w:szCs w:val="20"/>
              </w:rPr>
              <w:t>UNDP country project reporting</w:t>
            </w:r>
          </w:p>
        </w:tc>
      </w:tr>
      <w:tr w:rsidR="009042FA" w:rsidRPr="00A2577D" w14:paraId="7781B7AF" w14:textId="77777777" w:rsidTr="009042FA">
        <w:trPr>
          <w:trHeight w:val="253"/>
        </w:trPr>
        <w:tc>
          <w:tcPr>
            <w:tcW w:w="2249" w:type="dxa"/>
            <w:vMerge/>
          </w:tcPr>
          <w:p w14:paraId="1BC7D294" w14:textId="77777777" w:rsidR="009042FA" w:rsidRPr="00A2577D" w:rsidRDefault="009042FA" w:rsidP="009042FA">
            <w:pPr>
              <w:rPr>
                <w:sz w:val="20"/>
                <w:szCs w:val="20"/>
              </w:rPr>
            </w:pPr>
          </w:p>
        </w:tc>
        <w:tc>
          <w:tcPr>
            <w:tcW w:w="2695" w:type="dxa"/>
            <w:shd w:val="clear" w:color="auto" w:fill="auto"/>
          </w:tcPr>
          <w:p w14:paraId="5BE63954" w14:textId="77777777" w:rsidR="009042FA" w:rsidRPr="00A2577D" w:rsidRDefault="009042FA" w:rsidP="009042FA">
            <w:pPr>
              <w:rPr>
                <w:sz w:val="20"/>
                <w:szCs w:val="20"/>
              </w:rPr>
            </w:pPr>
            <w:r w:rsidRPr="00983DC8">
              <w:rPr>
                <w:sz w:val="20"/>
                <w:szCs w:val="20"/>
              </w:rPr>
              <w:t>Strengthened Union Electoral Commission (UEC) capabilities</w:t>
            </w:r>
            <w:r w:rsidRPr="00983DC8" w:rsidDel="00983DC8">
              <w:rPr>
                <w:sz w:val="20"/>
                <w:szCs w:val="20"/>
              </w:rPr>
              <w:t xml:space="preserve"> </w:t>
            </w:r>
          </w:p>
        </w:tc>
        <w:tc>
          <w:tcPr>
            <w:tcW w:w="1937" w:type="dxa"/>
            <w:shd w:val="clear" w:color="auto" w:fill="auto"/>
          </w:tcPr>
          <w:p w14:paraId="2A3222E2" w14:textId="77777777" w:rsidR="009042FA" w:rsidRPr="00A2577D" w:rsidRDefault="009042FA" w:rsidP="009042FA">
            <w:pPr>
              <w:rPr>
                <w:sz w:val="20"/>
                <w:szCs w:val="20"/>
              </w:rPr>
            </w:pPr>
            <w:r>
              <w:rPr>
                <w:sz w:val="20"/>
                <w:szCs w:val="20"/>
              </w:rPr>
              <w:t xml:space="preserve">Improved election policies and procedures in line with international standards </w:t>
            </w:r>
          </w:p>
        </w:tc>
        <w:tc>
          <w:tcPr>
            <w:tcW w:w="1995" w:type="dxa"/>
            <w:shd w:val="clear" w:color="auto" w:fill="auto"/>
          </w:tcPr>
          <w:p w14:paraId="607109FF" w14:textId="77777777" w:rsidR="009042FA" w:rsidRPr="00A2577D" w:rsidRDefault="009042FA" w:rsidP="009042FA">
            <w:pPr>
              <w:rPr>
                <w:sz w:val="20"/>
                <w:szCs w:val="20"/>
              </w:rPr>
            </w:pPr>
            <w:r w:rsidRPr="00F305E9">
              <w:rPr>
                <w:sz w:val="20"/>
                <w:szCs w:val="20"/>
              </w:rPr>
              <w:t>Electoral legislation and regulation is generally weak</w:t>
            </w:r>
          </w:p>
        </w:tc>
        <w:tc>
          <w:tcPr>
            <w:tcW w:w="1756" w:type="dxa"/>
            <w:shd w:val="clear" w:color="auto" w:fill="auto"/>
          </w:tcPr>
          <w:p w14:paraId="6B9969EE" w14:textId="77777777" w:rsidR="009042FA" w:rsidRPr="00A2577D" w:rsidRDefault="009042FA" w:rsidP="009042FA">
            <w:pPr>
              <w:rPr>
                <w:sz w:val="20"/>
                <w:szCs w:val="20"/>
              </w:rPr>
            </w:pPr>
            <w:r w:rsidRPr="00F305E9">
              <w:rPr>
                <w:sz w:val="20"/>
                <w:szCs w:val="20"/>
              </w:rPr>
              <w:t>IFES reporting, program</w:t>
            </w:r>
            <w:r>
              <w:rPr>
                <w:sz w:val="20"/>
                <w:szCs w:val="20"/>
              </w:rPr>
              <w:t xml:space="preserve"> and observer reports</w:t>
            </w:r>
            <w:r w:rsidRPr="00F305E9">
              <w:rPr>
                <w:sz w:val="20"/>
                <w:szCs w:val="20"/>
              </w:rPr>
              <w:t xml:space="preserve"> </w:t>
            </w:r>
          </w:p>
        </w:tc>
      </w:tr>
    </w:tbl>
    <w:p w14:paraId="4670A7E4" w14:textId="77777777" w:rsidR="009042FA" w:rsidRDefault="009042FA" w:rsidP="009042FA">
      <w:pPr>
        <w:ind w:left="-546"/>
        <w:rPr>
          <w:sz w:val="20"/>
          <w:szCs w:val="20"/>
        </w:rPr>
      </w:pPr>
    </w:p>
    <w:p w14:paraId="6AE59E48" w14:textId="77777777" w:rsidR="009042FA" w:rsidRDefault="009042FA" w:rsidP="009042FA">
      <w:pPr>
        <w:jc w:val="right"/>
        <w:rPr>
          <w:i/>
          <w:sz w:val="20"/>
          <w:szCs w:val="20"/>
        </w:rPr>
      </w:pPr>
      <w:r w:rsidRPr="003E6247">
        <w:rPr>
          <w:i/>
          <w:sz w:val="20"/>
          <w:szCs w:val="20"/>
        </w:rPr>
        <w:t>continued over …</w:t>
      </w:r>
    </w:p>
    <w:p w14:paraId="05F622CD" w14:textId="77777777" w:rsidR="009042FA" w:rsidRPr="009D115D" w:rsidRDefault="009042FA" w:rsidP="009042FA">
      <w:pPr>
        <w:jc w:val="right"/>
        <w:rPr>
          <w:i/>
          <w:sz w:val="20"/>
          <w:szCs w:val="20"/>
        </w:rPr>
      </w:pPr>
    </w:p>
    <w:p w14:paraId="4EA1C2A7" w14:textId="77777777" w:rsidR="009042FA" w:rsidRDefault="009042FA" w:rsidP="009042FA">
      <w:r>
        <w:br w:type="page"/>
      </w:r>
    </w:p>
    <w:p w14:paraId="2EB552A4" w14:textId="77777777" w:rsidR="009042FA" w:rsidRDefault="009042FA" w:rsidP="009042FA">
      <w:pPr>
        <w:ind w:left="-546"/>
        <w:rPr>
          <w:sz w:val="20"/>
          <w:szCs w:val="20"/>
        </w:rPr>
      </w:pPr>
    </w:p>
    <w:tbl>
      <w:tblPr>
        <w:tblStyle w:val="TableGrid"/>
        <w:tblW w:w="10632" w:type="dxa"/>
        <w:tblInd w:w="-572" w:type="dxa"/>
        <w:tblLook w:val="04A0" w:firstRow="1" w:lastRow="0" w:firstColumn="1" w:lastColumn="0" w:noHBand="0" w:noVBand="1"/>
      </w:tblPr>
      <w:tblGrid>
        <w:gridCol w:w="1913"/>
        <w:gridCol w:w="2855"/>
        <w:gridCol w:w="2004"/>
        <w:gridCol w:w="2058"/>
        <w:gridCol w:w="1802"/>
      </w:tblGrid>
      <w:tr w:rsidR="009042FA" w:rsidRPr="00A2577D" w14:paraId="3C27286D" w14:textId="77777777" w:rsidTr="009042FA">
        <w:trPr>
          <w:trHeight w:val="253"/>
        </w:trPr>
        <w:tc>
          <w:tcPr>
            <w:tcW w:w="10632" w:type="dxa"/>
            <w:gridSpan w:val="5"/>
            <w:shd w:val="clear" w:color="auto" w:fill="EDCEBE" w:themeFill="accent2" w:themeFillTint="66"/>
          </w:tcPr>
          <w:p w14:paraId="7D302C79" w14:textId="77777777" w:rsidR="009042FA" w:rsidRPr="00A2577D" w:rsidRDefault="009042FA" w:rsidP="009042FA">
            <w:pPr>
              <w:rPr>
                <w:sz w:val="20"/>
                <w:szCs w:val="20"/>
              </w:rPr>
            </w:pPr>
            <w:r w:rsidRPr="009A4701">
              <w:rPr>
                <w:b/>
                <w:i/>
                <w:sz w:val="20"/>
                <w:szCs w:val="20"/>
              </w:rPr>
              <w:t>Pillar 3: Promoting inclusive economic growth</w:t>
            </w:r>
          </w:p>
        </w:tc>
      </w:tr>
      <w:tr w:rsidR="009042FA" w:rsidRPr="00A2577D" w14:paraId="6F50CB24" w14:textId="77777777" w:rsidTr="009042FA">
        <w:trPr>
          <w:trHeight w:val="253"/>
        </w:trPr>
        <w:tc>
          <w:tcPr>
            <w:tcW w:w="1913" w:type="dxa"/>
            <w:vMerge w:val="restart"/>
            <w:shd w:val="clear" w:color="auto" w:fill="auto"/>
            <w:vAlign w:val="bottom"/>
          </w:tcPr>
          <w:p w14:paraId="4546AAD9" w14:textId="77777777" w:rsidR="009042FA" w:rsidRPr="00A2577D" w:rsidRDefault="009042FA" w:rsidP="009042FA">
            <w:pPr>
              <w:rPr>
                <w:b/>
                <w:sz w:val="20"/>
                <w:szCs w:val="20"/>
              </w:rPr>
            </w:pPr>
            <w:r w:rsidRPr="00A2577D">
              <w:rPr>
                <w:b/>
                <w:sz w:val="20"/>
                <w:szCs w:val="20"/>
              </w:rPr>
              <w:t>Sub-objective</w:t>
            </w:r>
          </w:p>
        </w:tc>
        <w:tc>
          <w:tcPr>
            <w:tcW w:w="2855" w:type="dxa"/>
            <w:vMerge w:val="restart"/>
            <w:shd w:val="clear" w:color="auto" w:fill="auto"/>
            <w:vAlign w:val="bottom"/>
          </w:tcPr>
          <w:p w14:paraId="43152B16" w14:textId="77777777" w:rsidR="009042FA" w:rsidRPr="00A2577D" w:rsidRDefault="009042FA" w:rsidP="009042FA">
            <w:pPr>
              <w:rPr>
                <w:b/>
                <w:sz w:val="20"/>
                <w:szCs w:val="20"/>
              </w:rPr>
            </w:pPr>
            <w:r w:rsidRPr="00A2577D">
              <w:rPr>
                <w:b/>
                <w:sz w:val="20"/>
                <w:szCs w:val="20"/>
              </w:rPr>
              <w:t>Outcome</w:t>
            </w:r>
          </w:p>
        </w:tc>
        <w:tc>
          <w:tcPr>
            <w:tcW w:w="4062" w:type="dxa"/>
            <w:gridSpan w:val="2"/>
            <w:shd w:val="clear" w:color="auto" w:fill="auto"/>
            <w:vAlign w:val="bottom"/>
          </w:tcPr>
          <w:p w14:paraId="1E22C62F" w14:textId="77777777" w:rsidR="009042FA" w:rsidRPr="00A2577D" w:rsidRDefault="009042FA" w:rsidP="009042FA">
            <w:pPr>
              <w:jc w:val="center"/>
              <w:rPr>
                <w:b/>
                <w:sz w:val="20"/>
                <w:szCs w:val="20"/>
              </w:rPr>
            </w:pPr>
            <w:r w:rsidRPr="00A2577D">
              <w:rPr>
                <w:b/>
                <w:sz w:val="20"/>
                <w:szCs w:val="20"/>
              </w:rPr>
              <w:t>Targets</w:t>
            </w:r>
          </w:p>
        </w:tc>
        <w:tc>
          <w:tcPr>
            <w:tcW w:w="1802" w:type="dxa"/>
            <w:shd w:val="clear" w:color="auto" w:fill="auto"/>
            <w:vAlign w:val="bottom"/>
          </w:tcPr>
          <w:p w14:paraId="3719AEB9" w14:textId="77777777" w:rsidR="009042FA" w:rsidRPr="00A2577D" w:rsidRDefault="009042FA" w:rsidP="009042FA">
            <w:pPr>
              <w:rPr>
                <w:b/>
                <w:sz w:val="20"/>
                <w:szCs w:val="20"/>
              </w:rPr>
            </w:pPr>
            <w:r w:rsidRPr="00A2577D">
              <w:rPr>
                <w:b/>
                <w:sz w:val="20"/>
                <w:szCs w:val="20"/>
              </w:rPr>
              <w:t>Data source/s</w:t>
            </w:r>
          </w:p>
        </w:tc>
      </w:tr>
      <w:tr w:rsidR="009042FA" w:rsidRPr="00A2577D" w14:paraId="34D31D7B" w14:textId="77777777" w:rsidTr="009042FA">
        <w:trPr>
          <w:trHeight w:val="253"/>
        </w:trPr>
        <w:tc>
          <w:tcPr>
            <w:tcW w:w="1913" w:type="dxa"/>
            <w:vMerge/>
            <w:shd w:val="clear" w:color="auto" w:fill="69F0FF" w:themeFill="accent4" w:themeFillTint="66"/>
          </w:tcPr>
          <w:p w14:paraId="098E1F6A" w14:textId="77777777" w:rsidR="009042FA" w:rsidRPr="00A2577D" w:rsidRDefault="009042FA" w:rsidP="009042FA">
            <w:pPr>
              <w:rPr>
                <w:b/>
                <w:sz w:val="20"/>
                <w:szCs w:val="20"/>
              </w:rPr>
            </w:pPr>
          </w:p>
        </w:tc>
        <w:tc>
          <w:tcPr>
            <w:tcW w:w="2855" w:type="dxa"/>
            <w:vMerge/>
            <w:shd w:val="clear" w:color="auto" w:fill="69F0FF" w:themeFill="accent4" w:themeFillTint="66"/>
          </w:tcPr>
          <w:p w14:paraId="2C57D863" w14:textId="77777777" w:rsidR="009042FA" w:rsidRPr="00A2577D" w:rsidRDefault="009042FA" w:rsidP="009042FA">
            <w:pPr>
              <w:rPr>
                <w:b/>
                <w:sz w:val="20"/>
                <w:szCs w:val="20"/>
              </w:rPr>
            </w:pPr>
          </w:p>
        </w:tc>
        <w:tc>
          <w:tcPr>
            <w:tcW w:w="2004" w:type="dxa"/>
            <w:shd w:val="clear" w:color="auto" w:fill="auto"/>
          </w:tcPr>
          <w:p w14:paraId="41150E41" w14:textId="77777777" w:rsidR="009042FA" w:rsidRPr="00A2577D" w:rsidRDefault="009042FA" w:rsidP="009042FA">
            <w:pPr>
              <w:jc w:val="center"/>
              <w:rPr>
                <w:b/>
                <w:sz w:val="20"/>
                <w:szCs w:val="20"/>
              </w:rPr>
            </w:pPr>
            <w:r w:rsidRPr="00A2577D">
              <w:rPr>
                <w:b/>
                <w:sz w:val="20"/>
                <w:szCs w:val="20"/>
              </w:rPr>
              <w:t>2019-20</w:t>
            </w:r>
          </w:p>
        </w:tc>
        <w:tc>
          <w:tcPr>
            <w:tcW w:w="2058" w:type="dxa"/>
            <w:shd w:val="clear" w:color="auto" w:fill="auto"/>
          </w:tcPr>
          <w:p w14:paraId="5FD0A79B" w14:textId="77777777" w:rsidR="009042FA" w:rsidRPr="00A2577D" w:rsidRDefault="009042FA" w:rsidP="009042FA">
            <w:pPr>
              <w:jc w:val="center"/>
              <w:rPr>
                <w:b/>
                <w:sz w:val="20"/>
                <w:szCs w:val="20"/>
              </w:rPr>
            </w:pPr>
            <w:r w:rsidRPr="00A2577D">
              <w:rPr>
                <w:b/>
                <w:sz w:val="20"/>
                <w:szCs w:val="20"/>
              </w:rPr>
              <w:t>Baseline</w:t>
            </w:r>
          </w:p>
        </w:tc>
        <w:tc>
          <w:tcPr>
            <w:tcW w:w="1802" w:type="dxa"/>
            <w:shd w:val="clear" w:color="auto" w:fill="auto"/>
          </w:tcPr>
          <w:p w14:paraId="62BAD6E6" w14:textId="77777777" w:rsidR="009042FA" w:rsidRPr="00A2577D" w:rsidRDefault="009042FA" w:rsidP="009042FA">
            <w:pPr>
              <w:rPr>
                <w:b/>
                <w:sz w:val="20"/>
                <w:szCs w:val="20"/>
              </w:rPr>
            </w:pPr>
          </w:p>
        </w:tc>
      </w:tr>
      <w:tr w:rsidR="009042FA" w:rsidRPr="00A2577D" w14:paraId="2FA7B626" w14:textId="77777777" w:rsidTr="009042FA">
        <w:trPr>
          <w:trHeight w:val="498"/>
        </w:trPr>
        <w:tc>
          <w:tcPr>
            <w:tcW w:w="1913" w:type="dxa"/>
            <w:vMerge w:val="restart"/>
          </w:tcPr>
          <w:p w14:paraId="221ECF0D" w14:textId="77777777" w:rsidR="009042FA" w:rsidRPr="00A2577D" w:rsidRDefault="009042FA" w:rsidP="009042FA">
            <w:pPr>
              <w:rPr>
                <w:sz w:val="20"/>
                <w:szCs w:val="20"/>
              </w:rPr>
            </w:pPr>
            <w:r w:rsidRPr="00A2577D">
              <w:rPr>
                <w:sz w:val="20"/>
                <w:szCs w:val="20"/>
              </w:rPr>
              <w:t>Contribute to an improved business environment</w:t>
            </w:r>
          </w:p>
        </w:tc>
        <w:tc>
          <w:tcPr>
            <w:tcW w:w="2855" w:type="dxa"/>
            <w:shd w:val="clear" w:color="auto" w:fill="FFFFFF" w:themeFill="background1"/>
          </w:tcPr>
          <w:p w14:paraId="12F9F79F" w14:textId="77777777" w:rsidR="009042FA" w:rsidRPr="00A2577D" w:rsidRDefault="009042FA" w:rsidP="009042FA">
            <w:pPr>
              <w:rPr>
                <w:sz w:val="20"/>
                <w:szCs w:val="20"/>
              </w:rPr>
            </w:pPr>
            <w:r w:rsidRPr="00A2577D">
              <w:rPr>
                <w:sz w:val="20"/>
                <w:szCs w:val="20"/>
              </w:rPr>
              <w:t>Myanmar’s improved ranking in the Doing Business Index</w:t>
            </w:r>
          </w:p>
        </w:tc>
        <w:tc>
          <w:tcPr>
            <w:tcW w:w="2004" w:type="dxa"/>
            <w:shd w:val="clear" w:color="auto" w:fill="FFFFFF" w:themeFill="background1"/>
          </w:tcPr>
          <w:p w14:paraId="1A9D56B2" w14:textId="77777777" w:rsidR="009042FA" w:rsidRPr="00A2577D" w:rsidRDefault="009042FA" w:rsidP="009042FA">
            <w:pPr>
              <w:jc w:val="center"/>
              <w:rPr>
                <w:sz w:val="20"/>
                <w:szCs w:val="20"/>
              </w:rPr>
            </w:pPr>
            <w:r w:rsidRPr="00A2577D">
              <w:rPr>
                <w:sz w:val="20"/>
                <w:szCs w:val="20"/>
              </w:rPr>
              <w:t>Improvement on 2018 ranking</w:t>
            </w:r>
          </w:p>
        </w:tc>
        <w:tc>
          <w:tcPr>
            <w:tcW w:w="2058" w:type="dxa"/>
            <w:shd w:val="clear" w:color="auto" w:fill="FFFFFF" w:themeFill="background1"/>
          </w:tcPr>
          <w:p w14:paraId="2113AC87" w14:textId="77777777" w:rsidR="009042FA" w:rsidRPr="00A2577D" w:rsidRDefault="009042FA" w:rsidP="009042FA">
            <w:pPr>
              <w:jc w:val="center"/>
              <w:rPr>
                <w:sz w:val="20"/>
                <w:szCs w:val="20"/>
              </w:rPr>
            </w:pPr>
            <w:r w:rsidRPr="00A2577D">
              <w:rPr>
                <w:sz w:val="20"/>
                <w:szCs w:val="20"/>
              </w:rPr>
              <w:t>177 out of 190 (2015)</w:t>
            </w:r>
          </w:p>
        </w:tc>
        <w:tc>
          <w:tcPr>
            <w:tcW w:w="1802" w:type="dxa"/>
            <w:shd w:val="clear" w:color="auto" w:fill="FFFFFF" w:themeFill="background1"/>
          </w:tcPr>
          <w:p w14:paraId="0ACE83EC" w14:textId="77777777" w:rsidR="009042FA" w:rsidRPr="00A2577D" w:rsidRDefault="009042FA" w:rsidP="009042FA">
            <w:pPr>
              <w:rPr>
                <w:sz w:val="20"/>
                <w:szCs w:val="20"/>
              </w:rPr>
            </w:pPr>
            <w:r w:rsidRPr="00A2577D">
              <w:rPr>
                <w:sz w:val="20"/>
                <w:szCs w:val="20"/>
              </w:rPr>
              <w:t>World Bank Group annual DBI</w:t>
            </w:r>
          </w:p>
        </w:tc>
      </w:tr>
      <w:tr w:rsidR="009042FA" w:rsidRPr="00A2577D" w14:paraId="64FFF23F" w14:textId="77777777" w:rsidTr="009042FA">
        <w:trPr>
          <w:trHeight w:val="498"/>
        </w:trPr>
        <w:tc>
          <w:tcPr>
            <w:tcW w:w="1913" w:type="dxa"/>
            <w:vMerge/>
          </w:tcPr>
          <w:p w14:paraId="5003993C" w14:textId="77777777" w:rsidR="009042FA" w:rsidRPr="00A2577D" w:rsidRDefault="009042FA" w:rsidP="009042FA">
            <w:pPr>
              <w:rPr>
                <w:sz w:val="20"/>
                <w:szCs w:val="20"/>
              </w:rPr>
            </w:pPr>
          </w:p>
        </w:tc>
        <w:tc>
          <w:tcPr>
            <w:tcW w:w="2855" w:type="dxa"/>
          </w:tcPr>
          <w:p w14:paraId="351A6CF0" w14:textId="77777777" w:rsidR="009042FA" w:rsidRPr="00A2577D" w:rsidRDefault="009042FA" w:rsidP="009042FA">
            <w:pPr>
              <w:rPr>
                <w:sz w:val="20"/>
                <w:szCs w:val="20"/>
              </w:rPr>
            </w:pPr>
            <w:r w:rsidRPr="00A2577D">
              <w:rPr>
                <w:sz w:val="20"/>
                <w:szCs w:val="20"/>
              </w:rPr>
              <w:t>Improved corporate governance</w:t>
            </w:r>
          </w:p>
        </w:tc>
        <w:tc>
          <w:tcPr>
            <w:tcW w:w="2004" w:type="dxa"/>
          </w:tcPr>
          <w:p w14:paraId="51D1FA5E" w14:textId="77777777" w:rsidR="009042FA" w:rsidRPr="00A2577D" w:rsidRDefault="009042FA" w:rsidP="009042FA">
            <w:pPr>
              <w:jc w:val="center"/>
              <w:rPr>
                <w:sz w:val="20"/>
                <w:szCs w:val="20"/>
              </w:rPr>
            </w:pPr>
            <w:r w:rsidRPr="00A2577D">
              <w:rPr>
                <w:sz w:val="20"/>
                <w:szCs w:val="20"/>
              </w:rPr>
              <w:t>Myanmar Directors training program rolled out</w:t>
            </w:r>
          </w:p>
        </w:tc>
        <w:tc>
          <w:tcPr>
            <w:tcW w:w="2058" w:type="dxa"/>
            <w:shd w:val="clear" w:color="auto" w:fill="auto"/>
          </w:tcPr>
          <w:p w14:paraId="7F7ED76A" w14:textId="77777777" w:rsidR="009042FA" w:rsidRPr="00A2577D" w:rsidRDefault="009042FA" w:rsidP="009042FA">
            <w:pPr>
              <w:jc w:val="center"/>
              <w:rPr>
                <w:sz w:val="20"/>
                <w:szCs w:val="20"/>
              </w:rPr>
            </w:pPr>
            <w:r w:rsidRPr="00A2577D">
              <w:rPr>
                <w:sz w:val="20"/>
                <w:szCs w:val="20"/>
              </w:rPr>
              <w:t>0</w:t>
            </w:r>
          </w:p>
        </w:tc>
        <w:tc>
          <w:tcPr>
            <w:tcW w:w="1802" w:type="dxa"/>
            <w:shd w:val="clear" w:color="auto" w:fill="auto"/>
          </w:tcPr>
          <w:p w14:paraId="401AF398" w14:textId="77777777" w:rsidR="009042FA" w:rsidRPr="00A2577D" w:rsidRDefault="009042FA" w:rsidP="009042FA">
            <w:pPr>
              <w:rPr>
                <w:sz w:val="20"/>
                <w:szCs w:val="20"/>
              </w:rPr>
            </w:pPr>
            <w:r w:rsidRPr="00A2577D">
              <w:rPr>
                <w:sz w:val="20"/>
                <w:szCs w:val="20"/>
              </w:rPr>
              <w:t>ICCP reporting (DFID BSP output indicator 1.4)</w:t>
            </w:r>
          </w:p>
        </w:tc>
      </w:tr>
      <w:tr w:rsidR="009042FA" w:rsidRPr="00A2577D" w14:paraId="58A53612" w14:textId="77777777" w:rsidTr="009042FA">
        <w:trPr>
          <w:trHeight w:val="1416"/>
        </w:trPr>
        <w:tc>
          <w:tcPr>
            <w:tcW w:w="1913" w:type="dxa"/>
          </w:tcPr>
          <w:p w14:paraId="49FD4788" w14:textId="77777777" w:rsidR="009042FA" w:rsidRPr="00A2577D" w:rsidRDefault="009042FA" w:rsidP="009042FA">
            <w:pPr>
              <w:rPr>
                <w:sz w:val="20"/>
                <w:szCs w:val="20"/>
              </w:rPr>
            </w:pPr>
            <w:r w:rsidRPr="00A2577D">
              <w:rPr>
                <w:sz w:val="20"/>
                <w:szCs w:val="20"/>
              </w:rPr>
              <w:t>Increased incomes of rural households</w:t>
            </w:r>
          </w:p>
        </w:tc>
        <w:tc>
          <w:tcPr>
            <w:tcW w:w="2855" w:type="dxa"/>
          </w:tcPr>
          <w:p w14:paraId="14AE14C9" w14:textId="77777777" w:rsidR="009042FA" w:rsidRPr="00A2577D" w:rsidRDefault="009042FA" w:rsidP="009042FA">
            <w:pPr>
              <w:rPr>
                <w:sz w:val="20"/>
                <w:szCs w:val="20"/>
              </w:rPr>
            </w:pPr>
            <w:r w:rsidRPr="00A2577D">
              <w:rPr>
                <w:sz w:val="20"/>
                <w:szCs w:val="20"/>
              </w:rPr>
              <w:t>Households in target locations increase incomes</w:t>
            </w:r>
          </w:p>
        </w:tc>
        <w:tc>
          <w:tcPr>
            <w:tcW w:w="2004" w:type="dxa"/>
          </w:tcPr>
          <w:p w14:paraId="75601777" w14:textId="77777777" w:rsidR="009042FA" w:rsidRPr="00A2577D" w:rsidRDefault="009042FA" w:rsidP="009042FA">
            <w:pPr>
              <w:rPr>
                <w:sz w:val="20"/>
                <w:szCs w:val="20"/>
              </w:rPr>
            </w:pPr>
            <w:r w:rsidRPr="00A2577D">
              <w:rPr>
                <w:sz w:val="20"/>
                <w:szCs w:val="20"/>
              </w:rPr>
              <w:t>31,860* households</w:t>
            </w:r>
          </w:p>
        </w:tc>
        <w:tc>
          <w:tcPr>
            <w:tcW w:w="2058" w:type="dxa"/>
          </w:tcPr>
          <w:p w14:paraId="02713622" w14:textId="77777777" w:rsidR="009042FA" w:rsidRPr="00A2577D" w:rsidRDefault="009042FA" w:rsidP="009042FA">
            <w:pPr>
              <w:jc w:val="center"/>
              <w:rPr>
                <w:sz w:val="20"/>
                <w:szCs w:val="20"/>
              </w:rPr>
            </w:pPr>
            <w:r w:rsidRPr="00A2577D">
              <w:rPr>
                <w:sz w:val="20"/>
                <w:szCs w:val="20"/>
              </w:rPr>
              <w:t xml:space="preserve">9,086* households </w:t>
            </w:r>
            <w:r w:rsidRPr="00A2577D">
              <w:rPr>
                <w:sz w:val="20"/>
                <w:szCs w:val="20"/>
              </w:rPr>
              <w:br/>
              <w:t>(2015)</w:t>
            </w:r>
          </w:p>
        </w:tc>
        <w:tc>
          <w:tcPr>
            <w:tcW w:w="1802" w:type="dxa"/>
          </w:tcPr>
          <w:p w14:paraId="4C365A3E" w14:textId="77777777" w:rsidR="009042FA" w:rsidRPr="00A2577D" w:rsidRDefault="009042FA" w:rsidP="009042FA">
            <w:pPr>
              <w:rPr>
                <w:sz w:val="20"/>
                <w:szCs w:val="20"/>
              </w:rPr>
            </w:pPr>
            <w:r w:rsidRPr="00A2577D">
              <w:rPr>
                <w:sz w:val="20"/>
                <w:szCs w:val="20"/>
              </w:rPr>
              <w:t>LIFT PO 1.1 LIFT Household Survey</w:t>
            </w:r>
          </w:p>
          <w:p w14:paraId="5C30D697" w14:textId="77777777" w:rsidR="009042FA" w:rsidRPr="00A2577D" w:rsidRDefault="009042FA" w:rsidP="009042FA">
            <w:pPr>
              <w:rPr>
                <w:sz w:val="20"/>
                <w:szCs w:val="20"/>
              </w:rPr>
            </w:pPr>
            <w:r w:rsidRPr="00A2577D">
              <w:rPr>
                <w:sz w:val="20"/>
                <w:szCs w:val="20"/>
              </w:rPr>
              <w:t>(*Australian aid attribution = 5.9 per cent of total)</w:t>
            </w:r>
          </w:p>
        </w:tc>
      </w:tr>
      <w:tr w:rsidR="009042FA" w:rsidRPr="00A2577D" w14:paraId="04F83173" w14:textId="77777777" w:rsidTr="009042FA">
        <w:trPr>
          <w:trHeight w:val="2029"/>
        </w:trPr>
        <w:tc>
          <w:tcPr>
            <w:tcW w:w="1913" w:type="dxa"/>
            <w:shd w:val="clear" w:color="auto" w:fill="auto"/>
          </w:tcPr>
          <w:p w14:paraId="55183ADD" w14:textId="77777777" w:rsidR="009042FA" w:rsidRPr="00A2577D" w:rsidRDefault="009042FA" w:rsidP="009042FA">
            <w:pPr>
              <w:rPr>
                <w:sz w:val="20"/>
                <w:szCs w:val="20"/>
              </w:rPr>
            </w:pPr>
            <w:r w:rsidRPr="00A2577D">
              <w:rPr>
                <w:sz w:val="20"/>
                <w:szCs w:val="20"/>
              </w:rPr>
              <w:t>Increased access to adequate and affordable financial services by smallholders and landless</w:t>
            </w:r>
          </w:p>
        </w:tc>
        <w:tc>
          <w:tcPr>
            <w:tcW w:w="2855" w:type="dxa"/>
            <w:shd w:val="clear" w:color="auto" w:fill="FFFFFF" w:themeFill="background1"/>
          </w:tcPr>
          <w:p w14:paraId="1D970076" w14:textId="6645B801" w:rsidR="009042FA" w:rsidRPr="00A2577D" w:rsidRDefault="009042FA" w:rsidP="009042FA">
            <w:pPr>
              <w:rPr>
                <w:sz w:val="20"/>
                <w:szCs w:val="20"/>
              </w:rPr>
            </w:pPr>
            <w:r w:rsidRPr="00A2577D">
              <w:rPr>
                <w:sz w:val="20"/>
                <w:szCs w:val="20"/>
              </w:rPr>
              <w:t xml:space="preserve">Households in target locations have increased access </w:t>
            </w:r>
            <w:r w:rsidR="0029571C">
              <w:rPr>
                <w:sz w:val="20"/>
                <w:szCs w:val="20"/>
              </w:rPr>
              <w:t xml:space="preserve">to </w:t>
            </w:r>
            <w:r w:rsidRPr="00A2577D">
              <w:rPr>
                <w:sz w:val="20"/>
                <w:szCs w:val="20"/>
              </w:rPr>
              <w:t xml:space="preserve">financial services </w:t>
            </w:r>
          </w:p>
        </w:tc>
        <w:tc>
          <w:tcPr>
            <w:tcW w:w="2004" w:type="dxa"/>
            <w:shd w:val="clear" w:color="auto" w:fill="FFFFFF" w:themeFill="background1"/>
          </w:tcPr>
          <w:p w14:paraId="44F96FFB" w14:textId="77777777" w:rsidR="009042FA" w:rsidRPr="00A2577D" w:rsidRDefault="009042FA" w:rsidP="009042FA">
            <w:pPr>
              <w:rPr>
                <w:sz w:val="20"/>
                <w:szCs w:val="20"/>
              </w:rPr>
            </w:pPr>
            <w:r w:rsidRPr="00A2577D">
              <w:rPr>
                <w:sz w:val="20"/>
                <w:szCs w:val="20"/>
              </w:rPr>
              <w:t>129,800* households</w:t>
            </w:r>
            <w:r w:rsidRPr="00A2577D">
              <w:rPr>
                <w:sz w:val="20"/>
                <w:szCs w:val="20"/>
              </w:rPr>
              <w:br/>
              <w:t>(M/F head of household)</w:t>
            </w:r>
          </w:p>
        </w:tc>
        <w:tc>
          <w:tcPr>
            <w:tcW w:w="2058" w:type="dxa"/>
            <w:shd w:val="clear" w:color="auto" w:fill="FFFFFF" w:themeFill="background1"/>
          </w:tcPr>
          <w:p w14:paraId="3049C41B" w14:textId="77777777" w:rsidR="009042FA" w:rsidRPr="00A2577D" w:rsidRDefault="009042FA" w:rsidP="009042FA">
            <w:pPr>
              <w:jc w:val="center"/>
              <w:rPr>
                <w:sz w:val="20"/>
                <w:szCs w:val="20"/>
              </w:rPr>
            </w:pPr>
            <w:r w:rsidRPr="00A2577D">
              <w:rPr>
                <w:sz w:val="20"/>
                <w:szCs w:val="20"/>
              </w:rPr>
              <w:t>74,930* households</w:t>
            </w:r>
            <w:r w:rsidRPr="00A2577D">
              <w:rPr>
                <w:sz w:val="20"/>
                <w:szCs w:val="20"/>
              </w:rPr>
              <w:br/>
              <w:t>(M/F head of household) (2015)</w:t>
            </w:r>
          </w:p>
        </w:tc>
        <w:tc>
          <w:tcPr>
            <w:tcW w:w="1802" w:type="dxa"/>
            <w:shd w:val="clear" w:color="auto" w:fill="FFFFFF" w:themeFill="background1"/>
          </w:tcPr>
          <w:p w14:paraId="18F50412" w14:textId="77777777" w:rsidR="009042FA" w:rsidRPr="00A2577D" w:rsidRDefault="009042FA" w:rsidP="009042FA">
            <w:pPr>
              <w:rPr>
                <w:sz w:val="20"/>
                <w:szCs w:val="20"/>
              </w:rPr>
            </w:pPr>
            <w:r w:rsidRPr="00A2577D">
              <w:rPr>
                <w:sz w:val="20"/>
                <w:szCs w:val="20"/>
              </w:rPr>
              <w:t>LIFT Pr 4.2</w:t>
            </w:r>
          </w:p>
          <w:p w14:paraId="0AA9EC3A" w14:textId="77777777" w:rsidR="009042FA" w:rsidRPr="00A2577D" w:rsidRDefault="009042FA" w:rsidP="009042FA">
            <w:pPr>
              <w:rPr>
                <w:sz w:val="20"/>
                <w:szCs w:val="20"/>
              </w:rPr>
            </w:pPr>
            <w:r w:rsidRPr="00A2577D">
              <w:rPr>
                <w:sz w:val="20"/>
                <w:szCs w:val="20"/>
              </w:rPr>
              <w:t>LIFT Annual Reports</w:t>
            </w:r>
          </w:p>
          <w:p w14:paraId="33D81DB3" w14:textId="77777777" w:rsidR="009042FA" w:rsidRPr="00A2577D" w:rsidRDefault="009042FA" w:rsidP="009042FA">
            <w:pPr>
              <w:rPr>
                <w:sz w:val="20"/>
                <w:szCs w:val="20"/>
              </w:rPr>
            </w:pPr>
            <w:r w:rsidRPr="00A2577D">
              <w:rPr>
                <w:sz w:val="20"/>
                <w:szCs w:val="20"/>
              </w:rPr>
              <w:t>(*Australian aid attribution = 5.9 per cent of total)</w:t>
            </w:r>
          </w:p>
        </w:tc>
      </w:tr>
    </w:tbl>
    <w:p w14:paraId="408DBEF3" w14:textId="77777777" w:rsidR="009042FA" w:rsidRDefault="009042FA" w:rsidP="009042FA">
      <w:pPr>
        <w:ind w:left="-546"/>
        <w:rPr>
          <w:sz w:val="20"/>
          <w:szCs w:val="20"/>
        </w:rPr>
      </w:pPr>
    </w:p>
    <w:p w14:paraId="18E356A2" w14:textId="77777777" w:rsidR="009042FA" w:rsidRDefault="009042FA" w:rsidP="009042FA">
      <w:pPr>
        <w:suppressAutoHyphens w:val="0"/>
        <w:spacing w:before="0" w:after="120" w:line="440" w:lineRule="atLeast"/>
        <w:rPr>
          <w:rFonts w:asciiTheme="majorHAnsi" w:eastAsiaTheme="majorEastAsia" w:hAnsiTheme="majorHAnsi" w:cstheme="majorHAnsi"/>
          <w:bCs/>
          <w:iCs/>
          <w:caps/>
          <w:spacing w:val="-10"/>
          <w:kern w:val="28"/>
          <w:sz w:val="38"/>
          <w:szCs w:val="24"/>
        </w:rPr>
      </w:pPr>
      <w:r>
        <w:rPr>
          <w:rFonts w:asciiTheme="majorHAnsi" w:eastAsiaTheme="majorEastAsia" w:hAnsiTheme="majorHAnsi" w:cstheme="majorHAnsi"/>
          <w:bCs/>
          <w:iCs/>
          <w:caps/>
          <w:spacing w:val="-10"/>
          <w:kern w:val="28"/>
          <w:sz w:val="38"/>
          <w:szCs w:val="24"/>
        </w:rPr>
        <w:br w:type="page"/>
      </w:r>
    </w:p>
    <w:p w14:paraId="647F3CF9" w14:textId="77777777" w:rsidR="009042FA" w:rsidRPr="00EF26B5" w:rsidRDefault="009042FA" w:rsidP="009042FA">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9042FA" w14:paraId="03B3DBD9" w14:textId="77777777" w:rsidTr="009042FA">
        <w:trPr>
          <w:trHeight w:val="1156"/>
        </w:trPr>
        <w:tc>
          <w:tcPr>
            <w:tcW w:w="1271" w:type="dxa"/>
            <w:shd w:val="clear" w:color="auto" w:fill="D7DEE2" w:themeFill="text2" w:themeFillTint="33"/>
          </w:tcPr>
          <w:p w14:paraId="0052F82C" w14:textId="77777777" w:rsidR="009042FA" w:rsidRDefault="009042FA" w:rsidP="009042FA">
            <w:pPr>
              <w:spacing w:before="80" w:after="80"/>
            </w:pPr>
            <w:r w:rsidRPr="00F75380">
              <w:rPr>
                <w:noProof/>
                <w:lang w:val="en-AU" w:eastAsia="en-AU"/>
              </w:rPr>
              <w:drawing>
                <wp:inline distT="0" distB="0" distL="0" distR="0" wp14:anchorId="588766C2" wp14:editId="5D7E1523">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A07700D" w14:textId="77777777" w:rsidR="009042FA" w:rsidRPr="00AB289B" w:rsidRDefault="009042FA" w:rsidP="009042FA">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5A6261D0" w14:textId="77777777" w:rsidR="009042FA" w:rsidRDefault="009042FA" w:rsidP="009042FA"/>
        </w:tc>
        <w:tc>
          <w:tcPr>
            <w:tcW w:w="1276" w:type="dxa"/>
            <w:shd w:val="clear" w:color="auto" w:fill="D7DEE2" w:themeFill="text2" w:themeFillTint="33"/>
          </w:tcPr>
          <w:p w14:paraId="0B4F4E89" w14:textId="77777777" w:rsidR="009042FA" w:rsidRDefault="009042FA" w:rsidP="009042FA">
            <w:pPr>
              <w:spacing w:before="80" w:after="80"/>
            </w:pPr>
            <w:r>
              <w:rPr>
                <w:noProof/>
                <w:lang w:val="en-AU" w:eastAsia="en-AU"/>
              </w:rPr>
              <w:drawing>
                <wp:inline distT="0" distB="0" distL="0" distR="0" wp14:anchorId="48FDD8CC" wp14:editId="4D72F854">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C848A20" w14:textId="77777777" w:rsidR="009042FA" w:rsidRPr="00AB289B" w:rsidRDefault="009042FA" w:rsidP="009042FA">
            <w:pPr>
              <w:spacing w:before="80" w:after="80"/>
              <w:rPr>
                <w:sz w:val="16"/>
              </w:rPr>
            </w:pPr>
            <w:r w:rsidRPr="00AB289B">
              <w:rPr>
                <w:sz w:val="16"/>
              </w:rPr>
              <w:t>Reduce inequality within</w:t>
            </w:r>
            <w:r>
              <w:rPr>
                <w:sz w:val="16"/>
              </w:rPr>
              <w:t xml:space="preserve"> </w:t>
            </w:r>
            <w:r w:rsidRPr="00AB289B">
              <w:rPr>
                <w:sz w:val="16"/>
              </w:rPr>
              <w:t>and among countries</w:t>
            </w:r>
          </w:p>
        </w:tc>
      </w:tr>
      <w:tr w:rsidR="009042FA" w14:paraId="1DB79FCA" w14:textId="77777777" w:rsidTr="009042FA">
        <w:tc>
          <w:tcPr>
            <w:tcW w:w="1271" w:type="dxa"/>
            <w:shd w:val="clear" w:color="auto" w:fill="D7DEE2" w:themeFill="text2" w:themeFillTint="33"/>
          </w:tcPr>
          <w:p w14:paraId="2605CECD" w14:textId="77777777" w:rsidR="009042FA" w:rsidRDefault="009042FA" w:rsidP="009042FA">
            <w:pPr>
              <w:spacing w:before="80" w:after="80"/>
            </w:pPr>
            <w:r>
              <w:rPr>
                <w:noProof/>
                <w:lang w:val="en-AU" w:eastAsia="en-AU"/>
              </w:rPr>
              <w:drawing>
                <wp:inline distT="0" distB="0" distL="0" distR="0" wp14:anchorId="4EAD8FC6" wp14:editId="73716FED">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7DB6670" w14:textId="77777777" w:rsidR="009042FA" w:rsidRPr="00AB289B" w:rsidRDefault="009042FA" w:rsidP="009042FA">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46F5B9F8" w14:textId="77777777" w:rsidR="009042FA" w:rsidRDefault="009042FA" w:rsidP="009042FA"/>
        </w:tc>
        <w:tc>
          <w:tcPr>
            <w:tcW w:w="1276" w:type="dxa"/>
            <w:shd w:val="clear" w:color="auto" w:fill="D7DEE2" w:themeFill="text2" w:themeFillTint="33"/>
          </w:tcPr>
          <w:p w14:paraId="5BEC2C6B" w14:textId="77777777" w:rsidR="009042FA" w:rsidRDefault="009042FA" w:rsidP="009042FA">
            <w:pPr>
              <w:spacing w:before="80" w:after="80"/>
            </w:pPr>
            <w:r>
              <w:rPr>
                <w:noProof/>
                <w:lang w:val="en-AU" w:eastAsia="en-AU"/>
              </w:rPr>
              <w:drawing>
                <wp:inline distT="0" distB="0" distL="0" distR="0" wp14:anchorId="61DFBE7F" wp14:editId="5F9C0173">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E70F019" w14:textId="77777777" w:rsidR="009042FA" w:rsidRPr="00AB289B" w:rsidRDefault="009042FA" w:rsidP="009042FA">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9042FA" w14:paraId="6521527E" w14:textId="77777777" w:rsidTr="009042FA">
        <w:tc>
          <w:tcPr>
            <w:tcW w:w="1271" w:type="dxa"/>
            <w:shd w:val="clear" w:color="auto" w:fill="D7DEE2" w:themeFill="text2" w:themeFillTint="33"/>
          </w:tcPr>
          <w:p w14:paraId="2879BE68" w14:textId="77777777" w:rsidR="009042FA" w:rsidRDefault="009042FA" w:rsidP="009042FA">
            <w:pPr>
              <w:spacing w:before="80" w:after="80"/>
            </w:pPr>
            <w:r>
              <w:rPr>
                <w:noProof/>
                <w:lang w:val="en-AU" w:eastAsia="en-AU"/>
              </w:rPr>
              <w:drawing>
                <wp:inline distT="0" distB="0" distL="0" distR="0" wp14:anchorId="7EF08785" wp14:editId="6C8BE4FC">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18A7432" w14:textId="77777777" w:rsidR="009042FA" w:rsidRPr="00AB289B" w:rsidRDefault="009042FA" w:rsidP="009042FA">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179888E5" w14:textId="77777777" w:rsidR="009042FA" w:rsidRDefault="009042FA" w:rsidP="009042FA"/>
        </w:tc>
        <w:tc>
          <w:tcPr>
            <w:tcW w:w="1276" w:type="dxa"/>
            <w:shd w:val="clear" w:color="auto" w:fill="D7DEE2" w:themeFill="text2" w:themeFillTint="33"/>
          </w:tcPr>
          <w:p w14:paraId="51C86DCA" w14:textId="77777777" w:rsidR="009042FA" w:rsidRDefault="009042FA" w:rsidP="009042FA">
            <w:pPr>
              <w:spacing w:before="80" w:after="80"/>
            </w:pPr>
            <w:r>
              <w:rPr>
                <w:noProof/>
                <w:lang w:val="en-AU" w:eastAsia="en-AU"/>
              </w:rPr>
              <w:drawing>
                <wp:inline distT="0" distB="0" distL="0" distR="0" wp14:anchorId="4DDC987F" wp14:editId="22D33135">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128CBDB" w14:textId="77777777" w:rsidR="009042FA" w:rsidRPr="00AB289B" w:rsidRDefault="009042FA" w:rsidP="009042FA">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9042FA" w14:paraId="62ABDB02" w14:textId="77777777" w:rsidTr="009042FA">
        <w:tc>
          <w:tcPr>
            <w:tcW w:w="1271" w:type="dxa"/>
            <w:shd w:val="clear" w:color="auto" w:fill="D7DEE2" w:themeFill="text2" w:themeFillTint="33"/>
          </w:tcPr>
          <w:p w14:paraId="4A66A5FB" w14:textId="77777777" w:rsidR="009042FA" w:rsidRDefault="009042FA" w:rsidP="009042FA">
            <w:pPr>
              <w:spacing w:before="80" w:after="80"/>
            </w:pPr>
            <w:r>
              <w:rPr>
                <w:noProof/>
                <w:lang w:val="en-AU" w:eastAsia="en-AU"/>
              </w:rPr>
              <w:drawing>
                <wp:inline distT="0" distB="0" distL="0" distR="0" wp14:anchorId="1B137567" wp14:editId="548BBE44">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EFA71D6" w14:textId="77777777" w:rsidR="009042FA" w:rsidRPr="00AB289B" w:rsidRDefault="009042FA" w:rsidP="009042FA">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48EE0EE9" w14:textId="77777777" w:rsidR="009042FA" w:rsidRDefault="009042FA" w:rsidP="009042FA"/>
        </w:tc>
        <w:tc>
          <w:tcPr>
            <w:tcW w:w="1276" w:type="dxa"/>
            <w:shd w:val="clear" w:color="auto" w:fill="D7DEE2" w:themeFill="text2" w:themeFillTint="33"/>
          </w:tcPr>
          <w:p w14:paraId="6FBED742" w14:textId="77777777" w:rsidR="009042FA" w:rsidRDefault="009042FA" w:rsidP="009042FA">
            <w:pPr>
              <w:spacing w:before="80" w:after="80"/>
            </w:pPr>
            <w:r>
              <w:rPr>
                <w:noProof/>
                <w:lang w:val="en-AU" w:eastAsia="en-AU"/>
              </w:rPr>
              <w:drawing>
                <wp:inline distT="0" distB="0" distL="0" distR="0" wp14:anchorId="100F2C58" wp14:editId="3124E630">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754FE49" w14:textId="77777777" w:rsidR="009042FA" w:rsidRPr="00AB289B" w:rsidRDefault="009042FA" w:rsidP="009042FA">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9042FA" w14:paraId="1D4D4376" w14:textId="77777777" w:rsidTr="009042FA">
        <w:tc>
          <w:tcPr>
            <w:tcW w:w="1271" w:type="dxa"/>
            <w:shd w:val="clear" w:color="auto" w:fill="D7DEE2" w:themeFill="text2" w:themeFillTint="33"/>
          </w:tcPr>
          <w:p w14:paraId="75FDC72C" w14:textId="77777777" w:rsidR="009042FA" w:rsidRDefault="009042FA" w:rsidP="009042FA">
            <w:pPr>
              <w:spacing w:before="80" w:after="80"/>
            </w:pPr>
            <w:r>
              <w:rPr>
                <w:noProof/>
                <w:lang w:val="en-AU" w:eastAsia="en-AU"/>
              </w:rPr>
              <w:drawing>
                <wp:inline distT="0" distB="0" distL="0" distR="0" wp14:anchorId="6F9F9E72" wp14:editId="598E618A">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3CECEF5" w14:textId="77777777" w:rsidR="009042FA" w:rsidRPr="00AB289B" w:rsidRDefault="009042FA" w:rsidP="009042FA">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4FE65D1A" w14:textId="77777777" w:rsidR="009042FA" w:rsidRDefault="009042FA" w:rsidP="009042FA"/>
        </w:tc>
        <w:tc>
          <w:tcPr>
            <w:tcW w:w="1276" w:type="dxa"/>
            <w:shd w:val="clear" w:color="auto" w:fill="D7DEE2" w:themeFill="text2" w:themeFillTint="33"/>
          </w:tcPr>
          <w:p w14:paraId="538E8EF4" w14:textId="77777777" w:rsidR="009042FA" w:rsidRDefault="009042FA" w:rsidP="009042FA">
            <w:pPr>
              <w:spacing w:before="80" w:after="80"/>
            </w:pPr>
            <w:r>
              <w:rPr>
                <w:noProof/>
                <w:lang w:val="en-AU" w:eastAsia="en-AU"/>
              </w:rPr>
              <w:drawing>
                <wp:inline distT="0" distB="0" distL="0" distR="0" wp14:anchorId="4640DB27" wp14:editId="41242FD9">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F0EFEAF" w14:textId="77777777" w:rsidR="009042FA" w:rsidRPr="00AB289B" w:rsidRDefault="009042FA" w:rsidP="009042FA">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9042FA" w14:paraId="6E58F657" w14:textId="77777777" w:rsidTr="009042FA">
        <w:tc>
          <w:tcPr>
            <w:tcW w:w="1271" w:type="dxa"/>
            <w:shd w:val="clear" w:color="auto" w:fill="D7DEE2" w:themeFill="text2" w:themeFillTint="33"/>
          </w:tcPr>
          <w:p w14:paraId="3821CF13" w14:textId="77777777" w:rsidR="009042FA" w:rsidRDefault="009042FA" w:rsidP="009042FA">
            <w:pPr>
              <w:spacing w:before="80" w:after="80"/>
            </w:pPr>
            <w:r>
              <w:rPr>
                <w:noProof/>
                <w:lang w:val="en-AU" w:eastAsia="en-AU"/>
              </w:rPr>
              <w:drawing>
                <wp:inline distT="0" distB="0" distL="0" distR="0" wp14:anchorId="244C7904" wp14:editId="24CB587C">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411D124" w14:textId="77777777" w:rsidR="009042FA" w:rsidRPr="00AB289B" w:rsidRDefault="009042FA" w:rsidP="009042FA">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3A90FF43" w14:textId="77777777" w:rsidR="009042FA" w:rsidRDefault="009042FA" w:rsidP="009042FA"/>
        </w:tc>
        <w:tc>
          <w:tcPr>
            <w:tcW w:w="1276" w:type="dxa"/>
            <w:shd w:val="clear" w:color="auto" w:fill="D7DEE2" w:themeFill="text2" w:themeFillTint="33"/>
          </w:tcPr>
          <w:p w14:paraId="679D751E" w14:textId="77777777" w:rsidR="009042FA" w:rsidRDefault="009042FA" w:rsidP="009042FA">
            <w:pPr>
              <w:spacing w:before="80" w:after="80"/>
            </w:pPr>
            <w:r>
              <w:rPr>
                <w:noProof/>
                <w:lang w:val="en-AU" w:eastAsia="en-AU"/>
              </w:rPr>
              <w:drawing>
                <wp:inline distT="0" distB="0" distL="0" distR="0" wp14:anchorId="280E5235" wp14:editId="487487D5">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EA3008D" w14:textId="77777777" w:rsidR="009042FA" w:rsidRPr="00AB289B" w:rsidRDefault="009042FA" w:rsidP="009042FA">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9042FA" w14:paraId="2A561A73" w14:textId="77777777" w:rsidTr="009042FA">
        <w:tc>
          <w:tcPr>
            <w:tcW w:w="1271" w:type="dxa"/>
            <w:shd w:val="clear" w:color="auto" w:fill="D7DEE2" w:themeFill="text2" w:themeFillTint="33"/>
          </w:tcPr>
          <w:p w14:paraId="65EF4EA1" w14:textId="77777777" w:rsidR="009042FA" w:rsidRDefault="009042FA" w:rsidP="009042FA">
            <w:pPr>
              <w:spacing w:before="80" w:after="80"/>
            </w:pPr>
            <w:r>
              <w:rPr>
                <w:noProof/>
                <w:lang w:val="en-AU" w:eastAsia="en-AU"/>
              </w:rPr>
              <w:drawing>
                <wp:inline distT="0" distB="0" distL="0" distR="0" wp14:anchorId="398BC248" wp14:editId="41A91E1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8A86D67" w14:textId="77777777" w:rsidR="009042FA" w:rsidRPr="00AB289B" w:rsidRDefault="009042FA" w:rsidP="009042FA">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6079C602" w14:textId="77777777" w:rsidR="009042FA" w:rsidRDefault="009042FA" w:rsidP="009042FA"/>
        </w:tc>
        <w:tc>
          <w:tcPr>
            <w:tcW w:w="1276" w:type="dxa"/>
            <w:shd w:val="clear" w:color="auto" w:fill="D7DEE2" w:themeFill="text2" w:themeFillTint="33"/>
          </w:tcPr>
          <w:p w14:paraId="3AAE2068" w14:textId="77777777" w:rsidR="009042FA" w:rsidRDefault="009042FA" w:rsidP="009042FA">
            <w:pPr>
              <w:spacing w:before="80" w:after="80"/>
            </w:pPr>
            <w:r>
              <w:rPr>
                <w:noProof/>
                <w:lang w:val="en-AU" w:eastAsia="en-AU"/>
              </w:rPr>
              <w:drawing>
                <wp:inline distT="0" distB="0" distL="0" distR="0" wp14:anchorId="0FF3712F" wp14:editId="0949C6FC">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451DFBEA" w14:textId="77777777" w:rsidR="009042FA" w:rsidRPr="00AB289B" w:rsidRDefault="009042FA" w:rsidP="009042FA">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9042FA" w14:paraId="759EF6AA" w14:textId="77777777" w:rsidTr="009042FA">
        <w:tc>
          <w:tcPr>
            <w:tcW w:w="1271" w:type="dxa"/>
            <w:shd w:val="clear" w:color="auto" w:fill="D7DEE2" w:themeFill="text2" w:themeFillTint="33"/>
          </w:tcPr>
          <w:p w14:paraId="44416A78" w14:textId="77777777" w:rsidR="009042FA" w:rsidRDefault="009042FA" w:rsidP="009042FA">
            <w:pPr>
              <w:spacing w:before="80" w:after="80"/>
            </w:pPr>
            <w:r>
              <w:rPr>
                <w:noProof/>
                <w:lang w:val="en-AU" w:eastAsia="en-AU"/>
              </w:rPr>
              <w:drawing>
                <wp:inline distT="0" distB="0" distL="0" distR="0" wp14:anchorId="6E6359C8" wp14:editId="74783C3F">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1C9E5C61" w14:textId="77777777" w:rsidR="009042FA" w:rsidRPr="00AB289B" w:rsidRDefault="009042FA" w:rsidP="009042FA">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024AC677" w14:textId="77777777" w:rsidR="009042FA" w:rsidRDefault="009042FA" w:rsidP="009042FA"/>
        </w:tc>
        <w:tc>
          <w:tcPr>
            <w:tcW w:w="1276" w:type="dxa"/>
            <w:shd w:val="clear" w:color="auto" w:fill="D7DEE2" w:themeFill="text2" w:themeFillTint="33"/>
          </w:tcPr>
          <w:p w14:paraId="09AC72D0" w14:textId="77777777" w:rsidR="009042FA" w:rsidRDefault="009042FA" w:rsidP="009042FA">
            <w:pPr>
              <w:spacing w:before="80" w:after="80"/>
            </w:pPr>
            <w:r>
              <w:rPr>
                <w:noProof/>
                <w:lang w:val="en-AU" w:eastAsia="en-AU"/>
              </w:rPr>
              <w:drawing>
                <wp:inline distT="0" distB="0" distL="0" distR="0" wp14:anchorId="43AC40FC" wp14:editId="4245E661">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7BD5627" w14:textId="77777777" w:rsidR="009042FA" w:rsidRPr="00AB289B" w:rsidRDefault="009042FA" w:rsidP="009042FA">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9042FA" w14:paraId="0C45868B" w14:textId="77777777" w:rsidTr="009042FA">
        <w:tc>
          <w:tcPr>
            <w:tcW w:w="1271" w:type="dxa"/>
            <w:shd w:val="clear" w:color="auto" w:fill="D7DEE2" w:themeFill="text2" w:themeFillTint="33"/>
          </w:tcPr>
          <w:p w14:paraId="6E69C6E0" w14:textId="77777777" w:rsidR="009042FA" w:rsidRDefault="009042FA" w:rsidP="009042FA">
            <w:pPr>
              <w:spacing w:before="80" w:after="80"/>
            </w:pPr>
            <w:r>
              <w:rPr>
                <w:noProof/>
                <w:lang w:val="en-AU" w:eastAsia="en-AU"/>
              </w:rPr>
              <w:drawing>
                <wp:inline distT="0" distB="0" distL="0" distR="0" wp14:anchorId="0EA3E11F" wp14:editId="4000197C">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AFF6799" w14:textId="77777777" w:rsidR="009042FA" w:rsidRPr="00AB289B" w:rsidRDefault="009042FA" w:rsidP="009042FA">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63364BE5" w14:textId="77777777" w:rsidR="009042FA" w:rsidRDefault="009042FA" w:rsidP="009042FA"/>
        </w:tc>
        <w:tc>
          <w:tcPr>
            <w:tcW w:w="1276" w:type="dxa"/>
            <w:shd w:val="clear" w:color="auto" w:fill="D7DEE2" w:themeFill="text2" w:themeFillTint="33"/>
          </w:tcPr>
          <w:p w14:paraId="350A7F03" w14:textId="77777777" w:rsidR="009042FA" w:rsidRPr="00AB289B" w:rsidRDefault="009042FA" w:rsidP="009042FA">
            <w:pPr>
              <w:spacing w:before="80" w:after="80"/>
              <w:rPr>
                <w:sz w:val="16"/>
              </w:rPr>
            </w:pPr>
          </w:p>
        </w:tc>
        <w:tc>
          <w:tcPr>
            <w:tcW w:w="3544" w:type="dxa"/>
            <w:shd w:val="clear" w:color="auto" w:fill="D7DEE2" w:themeFill="text2" w:themeFillTint="33"/>
          </w:tcPr>
          <w:p w14:paraId="6EB7625D" w14:textId="77777777" w:rsidR="009042FA" w:rsidRPr="00AB289B" w:rsidRDefault="009042FA" w:rsidP="009042FA">
            <w:pPr>
              <w:spacing w:before="80" w:after="80"/>
              <w:rPr>
                <w:sz w:val="16"/>
              </w:rPr>
            </w:pPr>
          </w:p>
        </w:tc>
      </w:tr>
    </w:tbl>
    <w:p w14:paraId="6247469B" w14:textId="77777777" w:rsidR="009042FA" w:rsidRPr="005C78DB" w:rsidRDefault="009042FA" w:rsidP="009042FA"/>
    <w:p w14:paraId="6755AE72" w14:textId="77777777" w:rsidR="006C4F09" w:rsidRPr="005C78DB" w:rsidRDefault="006C4F09" w:rsidP="009042FA">
      <w:pPr>
        <w:pStyle w:val="Subtitle"/>
        <w:numPr>
          <w:ilvl w:val="0"/>
          <w:numId w:val="0"/>
        </w:numPr>
        <w:spacing w:before="0" w:after="120" w:line="300" w:lineRule="exact"/>
        <w:contextualSpacing w:val="0"/>
      </w:pPr>
    </w:p>
    <w:sectPr w:rsidR="006C4F09" w:rsidRPr="005C78DB" w:rsidSect="00FE5189">
      <w:headerReference w:type="default" r:id="rId40"/>
      <w:pgSz w:w="11906" w:h="16838" w:code="9"/>
      <w:pgMar w:top="1527" w:right="1134" w:bottom="851" w:left="1134" w:header="1418" w:footer="267" w:gutter="0"/>
      <w:cols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E28A8" w16cid:durableId="2119CACF"/>
  <w16cid:commentId w16cid:paraId="43628A4F" w16cid:durableId="2119CD6C"/>
  <w16cid:commentId w16cid:paraId="739243B5" w16cid:durableId="2119D4AB"/>
  <w16cid:commentId w16cid:paraId="4171028E" w16cid:durableId="2119FA19"/>
  <w16cid:commentId w16cid:paraId="703B2A49" w16cid:durableId="2119CAD0"/>
  <w16cid:commentId w16cid:paraId="546C8CFF" w16cid:durableId="2119CAD1"/>
  <w16cid:commentId w16cid:paraId="70AEC684" w16cid:durableId="2119F5C0"/>
  <w16cid:commentId w16cid:paraId="393AB4A4" w16cid:durableId="2119CAD2"/>
  <w16cid:commentId w16cid:paraId="7D55DB2F" w16cid:durableId="2119CAD3"/>
  <w16cid:commentId w16cid:paraId="0C4DB4AC" w16cid:durableId="2119F889"/>
  <w16cid:commentId w16cid:paraId="73DE51A4" w16cid:durableId="2119CAD4"/>
  <w16cid:commentId w16cid:paraId="5CF963C2" w16cid:durableId="2119CAD7"/>
  <w16cid:commentId w16cid:paraId="32EEE821" w16cid:durableId="2119CAD5"/>
  <w16cid:commentId w16cid:paraId="03D62489" w16cid:durableId="2119C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2408" w14:textId="77777777" w:rsidR="003619B1" w:rsidRDefault="003619B1" w:rsidP="00EF4574">
      <w:pPr>
        <w:spacing w:before="0" w:after="0" w:line="240" w:lineRule="auto"/>
      </w:pPr>
      <w:r>
        <w:separator/>
      </w:r>
    </w:p>
  </w:endnote>
  <w:endnote w:type="continuationSeparator" w:id="0">
    <w:p w14:paraId="2DA95661" w14:textId="77777777" w:rsidR="003619B1" w:rsidRDefault="003619B1" w:rsidP="00EF4574">
      <w:pPr>
        <w:spacing w:before="0" w:after="0" w:line="240" w:lineRule="auto"/>
      </w:pPr>
      <w:r>
        <w:continuationSeparator/>
      </w:r>
    </w:p>
  </w:endnote>
  <w:endnote w:type="continuationNotice" w:id="1">
    <w:p w14:paraId="0AA92AA7" w14:textId="77777777" w:rsidR="003619B1" w:rsidRDefault="003619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6DA0" w14:textId="77777777" w:rsidR="003619B1" w:rsidRDefault="0036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77B8" w14:textId="77777777" w:rsidR="003619B1" w:rsidRPr="00CD0E4B" w:rsidRDefault="003619B1" w:rsidP="00C406F0">
    <w:pPr>
      <w:pStyle w:val="Footer"/>
    </w:pPr>
    <w:r w:rsidRPr="00CD0E4B">
      <w:rPr>
        <w:noProof/>
        <w:lang w:val="en-AU" w:eastAsia="en-AU"/>
      </w:rPr>
      <w:drawing>
        <wp:inline distT="0" distB="0" distL="0" distR="0" wp14:anchorId="4A23443D" wp14:editId="45FDB1A0">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A1DA150" w14:textId="20AD9D16" w:rsidR="003619B1" w:rsidRDefault="003619B1">
    <w:pPr>
      <w:pStyle w:val="Footer"/>
    </w:pPr>
    <w:r>
      <w:rPr>
        <w:color w:val="ACD08C" w:themeColor="accent3"/>
      </w:rPr>
      <w:t xml:space="preserve">           p. </w:t>
    </w:r>
    <w:r w:rsidRPr="00301F5B">
      <w:rPr>
        <w:color w:val="ACD08C" w:themeColor="accent3"/>
      </w:rPr>
      <w:fldChar w:fldCharType="begin"/>
    </w:r>
    <w:r w:rsidRPr="00301F5B">
      <w:rPr>
        <w:color w:val="ACD08C" w:themeColor="accent3"/>
      </w:rPr>
      <w:instrText xml:space="preserve"> PAGE   \* MERGEFORMAT </w:instrText>
    </w:r>
    <w:r w:rsidRPr="00301F5B">
      <w:rPr>
        <w:color w:val="ACD08C" w:themeColor="accent3"/>
      </w:rPr>
      <w:fldChar w:fldCharType="separate"/>
    </w:r>
    <w:r w:rsidR="0055030C">
      <w:rPr>
        <w:noProof/>
        <w:color w:val="ACD08C" w:themeColor="accent3"/>
      </w:rPr>
      <w:t>4</w:t>
    </w:r>
    <w:r w:rsidRPr="00301F5B">
      <w:rPr>
        <w:noProof/>
        <w:color w:val="ACD08C" w:themeColor="accent3"/>
      </w:rPr>
      <w:fldChar w:fldCharType="end"/>
    </w:r>
    <w:r>
      <w:rPr>
        <w:noProof/>
        <w:color w:val="ACD08C" w:themeColor="accent3"/>
      </w:rPr>
      <w:t xml:space="preserve">     </w:t>
    </w: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8780" w14:textId="77777777" w:rsidR="003619B1" w:rsidRDefault="00361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3A6C" w14:textId="77777777" w:rsidR="003619B1" w:rsidRPr="00CD0E4B" w:rsidRDefault="003619B1" w:rsidP="00784031">
    <w:pPr>
      <w:pStyle w:val="Footer"/>
    </w:pPr>
    <w:r w:rsidRPr="00CD0E4B">
      <w:rPr>
        <w:noProof/>
        <w:lang w:val="en-AU" w:eastAsia="en-AU"/>
      </w:rPr>
      <w:drawing>
        <wp:inline distT="0" distB="0" distL="0" distR="0" wp14:anchorId="082D7DE1" wp14:editId="5442D50A">
          <wp:extent cx="90000" cy="74520"/>
          <wp:effectExtent l="0" t="0" r="571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63470891" w14:textId="791734CB" w:rsidR="003619B1" w:rsidRPr="00CD0E4B" w:rsidRDefault="003619B1"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8DE6" w14:textId="77777777" w:rsidR="003619B1" w:rsidRPr="008C5A0E" w:rsidRDefault="003619B1" w:rsidP="001D663E">
      <w:pPr>
        <w:pStyle w:val="Footer"/>
        <w:pBdr>
          <w:top w:val="single" w:sz="4" w:space="1" w:color="495965" w:themeColor="text2"/>
        </w:pBdr>
      </w:pPr>
    </w:p>
  </w:footnote>
  <w:footnote w:type="continuationSeparator" w:id="0">
    <w:p w14:paraId="0CF2F41D" w14:textId="77777777" w:rsidR="003619B1" w:rsidRDefault="003619B1" w:rsidP="00EF4574">
      <w:pPr>
        <w:spacing w:before="0" w:after="0" w:line="240" w:lineRule="auto"/>
      </w:pPr>
      <w:r>
        <w:continuationSeparator/>
      </w:r>
    </w:p>
  </w:footnote>
  <w:footnote w:type="continuationNotice" w:id="1">
    <w:p w14:paraId="0B2BC8F1" w14:textId="77777777" w:rsidR="003619B1" w:rsidRDefault="003619B1">
      <w:pPr>
        <w:spacing w:before="0" w:after="0" w:line="240" w:lineRule="auto"/>
      </w:pPr>
    </w:p>
  </w:footnote>
  <w:footnote w:id="2">
    <w:p w14:paraId="08E1A98B" w14:textId="0CB0DFDA" w:rsidR="003619B1" w:rsidRPr="00A33F1C" w:rsidRDefault="003619B1">
      <w:pPr>
        <w:pStyle w:val="FootnoteText"/>
        <w:rPr>
          <w:lang w:val="en-AU"/>
        </w:rPr>
      </w:pPr>
      <w:r>
        <w:rPr>
          <w:rStyle w:val="FootnoteReference"/>
        </w:rPr>
        <w:footnoteRef/>
      </w:r>
      <w:r>
        <w:t xml:space="preserve"> </w:t>
      </w:r>
      <w:r w:rsidRPr="00CE4CAB">
        <w:t>https://ourworldindata.org/uploads/2013/08/ourworldindata_the-100-deadlist-civil-wars-the-economist.png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7A3E" w14:textId="77777777" w:rsidR="003619B1" w:rsidRDefault="0036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14D1" w14:textId="7BD76CC4" w:rsidR="003619B1" w:rsidRPr="00333501" w:rsidRDefault="003619B1" w:rsidP="008F56A8">
    <w:pPr>
      <w:pStyle w:val="Header"/>
      <w:jc w:val="left"/>
    </w:pPr>
    <w:r>
      <w:rPr>
        <w:noProof/>
        <w:lang w:val="en-AU" w:eastAsia="en-AU"/>
      </w:rPr>
      <w:drawing>
        <wp:anchor distT="0" distB="0" distL="114300" distR="114300" simplePos="0" relativeHeight="251653632" behindDoc="1" locked="1" layoutInCell="1" allowOverlap="1" wp14:anchorId="5BA2B953" wp14:editId="0CAC79C0">
          <wp:simplePos x="0" y="0"/>
          <wp:positionH relativeFrom="page">
            <wp:posOffset>490220</wp:posOffset>
          </wp:positionH>
          <wp:positionV relativeFrom="page">
            <wp:posOffset>55880</wp:posOffset>
          </wp:positionV>
          <wp:extent cx="7545705" cy="10702290"/>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2608" behindDoc="1" locked="1" layoutInCell="1" allowOverlap="1" wp14:anchorId="3146D3F5" wp14:editId="053E385F">
          <wp:simplePos x="0" y="0"/>
          <wp:positionH relativeFrom="page">
            <wp:posOffset>490220</wp:posOffset>
          </wp:positionH>
          <wp:positionV relativeFrom="page">
            <wp:posOffset>55880</wp:posOffset>
          </wp:positionV>
          <wp:extent cx="7545705" cy="107022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1584" behindDoc="1" locked="1" layoutInCell="1" allowOverlap="1" wp14:anchorId="3F054A3C" wp14:editId="48FDC2B4">
          <wp:simplePos x="0" y="0"/>
          <wp:positionH relativeFrom="page">
            <wp:posOffset>490220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5B08" w14:textId="77777777" w:rsidR="003619B1" w:rsidRDefault="00361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094" w14:textId="77777777" w:rsidR="003619B1" w:rsidRDefault="003619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1D91" w14:textId="77777777" w:rsidR="003619B1" w:rsidRPr="00333501" w:rsidRDefault="003619B1" w:rsidP="008F56A8">
    <w:pPr>
      <w:pStyle w:val="Header"/>
      <w:jc w:val="left"/>
    </w:pPr>
    <w:r>
      <w:rPr>
        <w:noProof/>
        <w:lang w:val="en-AU" w:eastAsia="en-AU"/>
      </w:rPr>
      <w:drawing>
        <wp:anchor distT="0" distB="0" distL="114300" distR="114300" simplePos="0" relativeHeight="251661824" behindDoc="1" locked="1" layoutInCell="1" allowOverlap="1" wp14:anchorId="759BE6FB" wp14:editId="78F92709">
          <wp:simplePos x="0" y="0"/>
          <wp:positionH relativeFrom="page">
            <wp:posOffset>160020</wp:posOffset>
          </wp:positionH>
          <wp:positionV relativeFrom="page">
            <wp:posOffset>160020</wp:posOffset>
          </wp:positionV>
          <wp:extent cx="10662285" cy="7545705"/>
          <wp:effectExtent l="0" t="0" r="5715" b="0"/>
          <wp:wrapNone/>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752" behindDoc="1" locked="1" layoutInCell="1" allowOverlap="1" wp14:anchorId="095B8E37" wp14:editId="186B96E5">
          <wp:simplePos x="0" y="0"/>
          <wp:positionH relativeFrom="page">
            <wp:posOffset>160020</wp:posOffset>
          </wp:positionH>
          <wp:positionV relativeFrom="page">
            <wp:posOffset>160020</wp:posOffset>
          </wp:positionV>
          <wp:extent cx="10662285" cy="7545705"/>
          <wp:effectExtent l="0" t="0" r="5715" b="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704" behindDoc="1" locked="1" layoutInCell="1" allowOverlap="1" wp14:anchorId="72888A88" wp14:editId="7B377E36">
          <wp:simplePos x="0" y="0"/>
          <wp:positionH relativeFrom="page">
            <wp:posOffset>160020</wp:posOffset>
          </wp:positionH>
          <wp:positionV relativeFrom="page">
            <wp:posOffset>160020</wp:posOffset>
          </wp:positionV>
          <wp:extent cx="10662285" cy="7545705"/>
          <wp:effectExtent l="0" t="0" r="5715" b="0"/>
          <wp:wrapNone/>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40AE" w14:textId="77777777" w:rsidR="003619B1" w:rsidRPr="003D352D" w:rsidRDefault="003619B1" w:rsidP="003D352D">
    <w:pPr>
      <w:pStyle w:val="Header"/>
      <w:jc w:val="left"/>
    </w:pPr>
    <w:r>
      <w:rPr>
        <w:noProof/>
        <w:lang w:val="en-AU" w:eastAsia="en-AU"/>
      </w:rPr>
      <w:drawing>
        <wp:anchor distT="0" distB="0" distL="114300" distR="114300" simplePos="0" relativeHeight="251662848" behindDoc="1" locked="1" layoutInCell="1" allowOverlap="1" wp14:anchorId="1AF1D2BC" wp14:editId="4A2E262D">
          <wp:simplePos x="0" y="0"/>
          <wp:positionH relativeFrom="page">
            <wp:posOffset>7620</wp:posOffset>
          </wp:positionH>
          <wp:positionV relativeFrom="page">
            <wp:posOffset>7620</wp:posOffset>
          </wp:positionV>
          <wp:extent cx="10662285" cy="7545705"/>
          <wp:effectExtent l="0" t="0" r="5715"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0800" behindDoc="1" locked="1" layoutInCell="1" allowOverlap="1" wp14:anchorId="677B68CF" wp14:editId="0470AC96">
          <wp:simplePos x="0" y="0"/>
          <wp:positionH relativeFrom="page">
            <wp:posOffset>7620</wp:posOffset>
          </wp:positionH>
          <wp:positionV relativeFrom="page">
            <wp:posOffset>7620</wp:posOffset>
          </wp:positionV>
          <wp:extent cx="10662285" cy="7545705"/>
          <wp:effectExtent l="0" t="0" r="5715"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4656" behindDoc="1" locked="1" layoutInCell="1" allowOverlap="1" wp14:anchorId="7199B2BB" wp14:editId="306AB1A3">
          <wp:simplePos x="0" y="0"/>
          <wp:positionH relativeFrom="page">
            <wp:posOffset>7620</wp:posOffset>
          </wp:positionH>
          <wp:positionV relativeFrom="page">
            <wp:posOffset>7620</wp:posOffset>
          </wp:positionV>
          <wp:extent cx="10662285" cy="7545705"/>
          <wp:effectExtent l="0" t="0" r="5715"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53DA" w14:textId="77777777" w:rsidR="003619B1" w:rsidRPr="00333501" w:rsidRDefault="003619B1" w:rsidP="008F56A8">
    <w:pPr>
      <w:pStyle w:val="Header"/>
      <w:jc w:val="left"/>
    </w:pPr>
    <w:r>
      <w:rPr>
        <w:noProof/>
        <w:lang w:val="en-AU" w:eastAsia="en-AU"/>
      </w:rPr>
      <w:drawing>
        <wp:anchor distT="0" distB="0" distL="114300" distR="114300" simplePos="0" relativeHeight="251659776" behindDoc="1" locked="1" layoutInCell="1" allowOverlap="1" wp14:anchorId="618EF1BB" wp14:editId="43DC8FC4">
          <wp:simplePos x="0" y="0"/>
          <wp:positionH relativeFrom="page">
            <wp:align>right</wp:align>
          </wp:positionH>
          <wp:positionV relativeFrom="page">
            <wp:align>top</wp:align>
          </wp:positionV>
          <wp:extent cx="7559040" cy="11025505"/>
          <wp:effectExtent l="0" t="0" r="3810" b="444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7728" behindDoc="1" locked="1" layoutInCell="1" allowOverlap="1" wp14:anchorId="7F841D34" wp14:editId="0A614D47">
          <wp:simplePos x="0" y="0"/>
          <wp:positionH relativeFrom="page">
            <wp:align>right</wp:align>
          </wp:positionH>
          <wp:positionV relativeFrom="page">
            <wp:align>top</wp:align>
          </wp:positionV>
          <wp:extent cx="7559040" cy="11025505"/>
          <wp:effectExtent l="0" t="0" r="3810" b="444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5680" behindDoc="1" locked="1" layoutInCell="1" allowOverlap="1" wp14:anchorId="51DE5A29" wp14:editId="5A35A7AA">
          <wp:simplePos x="0" y="0"/>
          <wp:positionH relativeFrom="page">
            <wp:align>right</wp:align>
          </wp:positionH>
          <wp:positionV relativeFrom="page">
            <wp:align>top</wp:align>
          </wp:positionV>
          <wp:extent cx="7559040" cy="11025505"/>
          <wp:effectExtent l="0" t="0" r="3810" b="4445"/>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7846"/>
    <w:multiLevelType w:val="hybridMultilevel"/>
    <w:tmpl w:val="D182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B5388"/>
    <w:multiLevelType w:val="hybridMultilevel"/>
    <w:tmpl w:val="F566F656"/>
    <w:lvl w:ilvl="0" w:tplc="E00E18C8">
      <w:start w:val="1"/>
      <w:numFmt w:val="decimal"/>
      <w:lvlText w:val="%1."/>
      <w:lvlJc w:val="left"/>
      <w:pPr>
        <w:ind w:left="1440" w:hanging="360"/>
      </w:pPr>
      <w:rPr>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D96ED8"/>
    <w:multiLevelType w:val="hybridMultilevel"/>
    <w:tmpl w:val="BA6E9236"/>
    <w:lvl w:ilvl="0" w:tplc="6D025C78">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E8415F"/>
    <w:multiLevelType w:val="hybridMultilevel"/>
    <w:tmpl w:val="53229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7665E0"/>
    <w:multiLevelType w:val="hybridMultilevel"/>
    <w:tmpl w:val="2D8E1F78"/>
    <w:lvl w:ilvl="0" w:tplc="3F38D81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A7E4E"/>
    <w:multiLevelType w:val="hybridMultilevel"/>
    <w:tmpl w:val="A65A4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24505D"/>
    <w:multiLevelType w:val="hybridMultilevel"/>
    <w:tmpl w:val="9C9A2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0EC2293"/>
    <w:multiLevelType w:val="hybridMultilevel"/>
    <w:tmpl w:val="5740CC16"/>
    <w:lvl w:ilvl="0" w:tplc="AF1EB29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235FA5"/>
    <w:multiLevelType w:val="hybridMultilevel"/>
    <w:tmpl w:val="2DDC9532"/>
    <w:lvl w:ilvl="0" w:tplc="0A3A9F8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3C1EA7"/>
    <w:multiLevelType w:val="multilevel"/>
    <w:tmpl w:val="43428892"/>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DF47DD9"/>
    <w:multiLevelType w:val="hybridMultilevel"/>
    <w:tmpl w:val="8DEE7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84CB0"/>
    <w:multiLevelType w:val="hybridMultilevel"/>
    <w:tmpl w:val="7C4021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C575E1"/>
    <w:multiLevelType w:val="hybridMultilevel"/>
    <w:tmpl w:val="3404E4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18"/>
  </w:num>
  <w:num w:numId="24">
    <w:abstractNumId w:val="29"/>
  </w:num>
  <w:num w:numId="25">
    <w:abstractNumId w:val="29"/>
  </w:num>
  <w:num w:numId="26">
    <w:abstractNumId w:val="29"/>
  </w:num>
  <w:num w:numId="27">
    <w:abstractNumId w:val="28"/>
  </w:num>
  <w:num w:numId="28">
    <w:abstractNumId w:val="12"/>
  </w:num>
  <w:num w:numId="29">
    <w:abstractNumId w:val="12"/>
  </w:num>
  <w:num w:numId="30">
    <w:abstractNumId w:val="12"/>
  </w:num>
  <w:num w:numId="31">
    <w:abstractNumId w:val="19"/>
  </w:num>
  <w:num w:numId="32">
    <w:abstractNumId w:val="27"/>
  </w:num>
  <w:num w:numId="33">
    <w:abstractNumId w:val="35"/>
  </w:num>
  <w:num w:numId="34">
    <w:abstractNumId w:val="22"/>
  </w:num>
  <w:num w:numId="35">
    <w:abstractNumId w:val="14"/>
  </w:num>
  <w:num w:numId="36">
    <w:abstractNumId w:val="17"/>
  </w:num>
  <w:num w:numId="37">
    <w:abstractNumId w:val="15"/>
  </w:num>
  <w:num w:numId="38">
    <w:abstractNumId w:val="31"/>
  </w:num>
  <w:num w:numId="39">
    <w:abstractNumId w:val="21"/>
  </w:num>
  <w:num w:numId="40">
    <w:abstractNumId w:val="25"/>
  </w:num>
  <w:num w:numId="41">
    <w:abstractNumId w:val="33"/>
  </w:num>
  <w:num w:numId="42">
    <w:abstractNumId w:val="26"/>
  </w:num>
  <w:num w:numId="43">
    <w:abstractNumId w:val="1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1"/>
  </w:num>
  <w:num w:numId="47">
    <w:abstractNumId w:val="20"/>
  </w:num>
  <w:num w:numId="48">
    <w:abstractNumId w:val="32"/>
  </w:num>
  <w:num w:numId="49">
    <w:abstractNumId w:val="1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A9E"/>
    <w:rsid w:val="00001CAC"/>
    <w:rsid w:val="00001DA8"/>
    <w:rsid w:val="000027EC"/>
    <w:rsid w:val="00003244"/>
    <w:rsid w:val="00003331"/>
    <w:rsid w:val="00005701"/>
    <w:rsid w:val="0000604B"/>
    <w:rsid w:val="00006248"/>
    <w:rsid w:val="0000741F"/>
    <w:rsid w:val="00007F2E"/>
    <w:rsid w:val="0001032E"/>
    <w:rsid w:val="000119A2"/>
    <w:rsid w:val="00011BD9"/>
    <w:rsid w:val="00015316"/>
    <w:rsid w:val="0002080A"/>
    <w:rsid w:val="00020887"/>
    <w:rsid w:val="00020D96"/>
    <w:rsid w:val="0002179D"/>
    <w:rsid w:val="00022416"/>
    <w:rsid w:val="00022EC4"/>
    <w:rsid w:val="00023405"/>
    <w:rsid w:val="0002588D"/>
    <w:rsid w:val="00025AB3"/>
    <w:rsid w:val="0002676C"/>
    <w:rsid w:val="0002782F"/>
    <w:rsid w:val="000279A5"/>
    <w:rsid w:val="00027A6E"/>
    <w:rsid w:val="00027F29"/>
    <w:rsid w:val="00031512"/>
    <w:rsid w:val="00031668"/>
    <w:rsid w:val="00031727"/>
    <w:rsid w:val="00033AB7"/>
    <w:rsid w:val="00036D2E"/>
    <w:rsid w:val="00036EF6"/>
    <w:rsid w:val="00037082"/>
    <w:rsid w:val="0004106A"/>
    <w:rsid w:val="000434BB"/>
    <w:rsid w:val="00047FFB"/>
    <w:rsid w:val="000509FD"/>
    <w:rsid w:val="000510C1"/>
    <w:rsid w:val="00052459"/>
    <w:rsid w:val="000548F9"/>
    <w:rsid w:val="00054924"/>
    <w:rsid w:val="00054E4D"/>
    <w:rsid w:val="00055688"/>
    <w:rsid w:val="00056B78"/>
    <w:rsid w:val="00057EFD"/>
    <w:rsid w:val="00060073"/>
    <w:rsid w:val="00060268"/>
    <w:rsid w:val="00060F7B"/>
    <w:rsid w:val="00062D20"/>
    <w:rsid w:val="00063AEA"/>
    <w:rsid w:val="000660FF"/>
    <w:rsid w:val="000669DD"/>
    <w:rsid w:val="00070797"/>
    <w:rsid w:val="00072E83"/>
    <w:rsid w:val="00077243"/>
    <w:rsid w:val="000773E6"/>
    <w:rsid w:val="00077A59"/>
    <w:rsid w:val="000808DE"/>
    <w:rsid w:val="00081073"/>
    <w:rsid w:val="00084483"/>
    <w:rsid w:val="000855B2"/>
    <w:rsid w:val="0008607A"/>
    <w:rsid w:val="00087E28"/>
    <w:rsid w:val="00090709"/>
    <w:rsid w:val="00091476"/>
    <w:rsid w:val="00093386"/>
    <w:rsid w:val="0009353F"/>
    <w:rsid w:val="000949E3"/>
    <w:rsid w:val="0009561C"/>
    <w:rsid w:val="000965B5"/>
    <w:rsid w:val="0009766E"/>
    <w:rsid w:val="000977C6"/>
    <w:rsid w:val="000A1C1D"/>
    <w:rsid w:val="000A2A7A"/>
    <w:rsid w:val="000A3310"/>
    <w:rsid w:val="000A38E2"/>
    <w:rsid w:val="000A53A5"/>
    <w:rsid w:val="000A5543"/>
    <w:rsid w:val="000A6257"/>
    <w:rsid w:val="000A6E7E"/>
    <w:rsid w:val="000A6F8B"/>
    <w:rsid w:val="000A7DD3"/>
    <w:rsid w:val="000B30A3"/>
    <w:rsid w:val="000B39CB"/>
    <w:rsid w:val="000B48E6"/>
    <w:rsid w:val="000B66CD"/>
    <w:rsid w:val="000B6825"/>
    <w:rsid w:val="000C0978"/>
    <w:rsid w:val="000C1FE2"/>
    <w:rsid w:val="000C329C"/>
    <w:rsid w:val="000C5FFF"/>
    <w:rsid w:val="000C620F"/>
    <w:rsid w:val="000C6C4A"/>
    <w:rsid w:val="000C7D1C"/>
    <w:rsid w:val="000C7D38"/>
    <w:rsid w:val="000C7F42"/>
    <w:rsid w:val="000D0A73"/>
    <w:rsid w:val="000D0E51"/>
    <w:rsid w:val="000D39D1"/>
    <w:rsid w:val="000D66D6"/>
    <w:rsid w:val="000D6904"/>
    <w:rsid w:val="000D6A09"/>
    <w:rsid w:val="000D6CE4"/>
    <w:rsid w:val="000D73BA"/>
    <w:rsid w:val="000E0548"/>
    <w:rsid w:val="000E075C"/>
    <w:rsid w:val="000E1D20"/>
    <w:rsid w:val="000E289E"/>
    <w:rsid w:val="000E314A"/>
    <w:rsid w:val="000E4380"/>
    <w:rsid w:val="000E5117"/>
    <w:rsid w:val="000E6A0B"/>
    <w:rsid w:val="000E7587"/>
    <w:rsid w:val="000E7EA6"/>
    <w:rsid w:val="000E7F63"/>
    <w:rsid w:val="000F0A89"/>
    <w:rsid w:val="000F35D3"/>
    <w:rsid w:val="00100608"/>
    <w:rsid w:val="0010077C"/>
    <w:rsid w:val="00100826"/>
    <w:rsid w:val="00101752"/>
    <w:rsid w:val="00103754"/>
    <w:rsid w:val="00103DD0"/>
    <w:rsid w:val="001049F1"/>
    <w:rsid w:val="00105F12"/>
    <w:rsid w:val="001069BF"/>
    <w:rsid w:val="001103E6"/>
    <w:rsid w:val="001141B3"/>
    <w:rsid w:val="001159B1"/>
    <w:rsid w:val="00117407"/>
    <w:rsid w:val="00121C5D"/>
    <w:rsid w:val="00121D87"/>
    <w:rsid w:val="00122732"/>
    <w:rsid w:val="00123E09"/>
    <w:rsid w:val="00124B3C"/>
    <w:rsid w:val="0012635B"/>
    <w:rsid w:val="00132579"/>
    <w:rsid w:val="00134966"/>
    <w:rsid w:val="00141069"/>
    <w:rsid w:val="00141C31"/>
    <w:rsid w:val="001465D3"/>
    <w:rsid w:val="001466B5"/>
    <w:rsid w:val="00146FCD"/>
    <w:rsid w:val="0015297D"/>
    <w:rsid w:val="00153382"/>
    <w:rsid w:val="001541EA"/>
    <w:rsid w:val="00154263"/>
    <w:rsid w:val="00157B14"/>
    <w:rsid w:val="00157CE7"/>
    <w:rsid w:val="00161169"/>
    <w:rsid w:val="00162218"/>
    <w:rsid w:val="001629C3"/>
    <w:rsid w:val="00163081"/>
    <w:rsid w:val="001667DF"/>
    <w:rsid w:val="00166962"/>
    <w:rsid w:val="001669E8"/>
    <w:rsid w:val="001704B2"/>
    <w:rsid w:val="001714DD"/>
    <w:rsid w:val="00171E40"/>
    <w:rsid w:val="001725C3"/>
    <w:rsid w:val="00174B8C"/>
    <w:rsid w:val="00175AFE"/>
    <w:rsid w:val="00181B1D"/>
    <w:rsid w:val="00182A40"/>
    <w:rsid w:val="00182C35"/>
    <w:rsid w:val="00183543"/>
    <w:rsid w:val="00184652"/>
    <w:rsid w:val="00184818"/>
    <w:rsid w:val="00186BC5"/>
    <w:rsid w:val="00186EA3"/>
    <w:rsid w:val="00193379"/>
    <w:rsid w:val="00194056"/>
    <w:rsid w:val="00194758"/>
    <w:rsid w:val="00194870"/>
    <w:rsid w:val="001973E2"/>
    <w:rsid w:val="001A1226"/>
    <w:rsid w:val="001A22FF"/>
    <w:rsid w:val="001A2BE0"/>
    <w:rsid w:val="001A5B34"/>
    <w:rsid w:val="001A6E0A"/>
    <w:rsid w:val="001A7743"/>
    <w:rsid w:val="001B2648"/>
    <w:rsid w:val="001B3C09"/>
    <w:rsid w:val="001B4B55"/>
    <w:rsid w:val="001B5019"/>
    <w:rsid w:val="001B662F"/>
    <w:rsid w:val="001C1FAD"/>
    <w:rsid w:val="001C4071"/>
    <w:rsid w:val="001C45A0"/>
    <w:rsid w:val="001C4BD6"/>
    <w:rsid w:val="001C713A"/>
    <w:rsid w:val="001D2967"/>
    <w:rsid w:val="001D32A8"/>
    <w:rsid w:val="001D451F"/>
    <w:rsid w:val="001D5DB1"/>
    <w:rsid w:val="001D6121"/>
    <w:rsid w:val="001D663E"/>
    <w:rsid w:val="001D69CB"/>
    <w:rsid w:val="001D6FD4"/>
    <w:rsid w:val="001D7065"/>
    <w:rsid w:val="001D7854"/>
    <w:rsid w:val="001D7C55"/>
    <w:rsid w:val="001E0FB0"/>
    <w:rsid w:val="001E1DC0"/>
    <w:rsid w:val="001E2019"/>
    <w:rsid w:val="001E207B"/>
    <w:rsid w:val="001E212E"/>
    <w:rsid w:val="001E234F"/>
    <w:rsid w:val="001E65A6"/>
    <w:rsid w:val="001E66DC"/>
    <w:rsid w:val="001F2D4E"/>
    <w:rsid w:val="001F6B6B"/>
    <w:rsid w:val="00200F93"/>
    <w:rsid w:val="002011DD"/>
    <w:rsid w:val="00201BBE"/>
    <w:rsid w:val="00203084"/>
    <w:rsid w:val="0020363F"/>
    <w:rsid w:val="002053FE"/>
    <w:rsid w:val="00211654"/>
    <w:rsid w:val="00214457"/>
    <w:rsid w:val="00220255"/>
    <w:rsid w:val="00221D6E"/>
    <w:rsid w:val="002220AB"/>
    <w:rsid w:val="0022471B"/>
    <w:rsid w:val="00225EC1"/>
    <w:rsid w:val="0022722B"/>
    <w:rsid w:val="002309D8"/>
    <w:rsid w:val="00233727"/>
    <w:rsid w:val="002350F7"/>
    <w:rsid w:val="00235995"/>
    <w:rsid w:val="00236A53"/>
    <w:rsid w:val="00236F76"/>
    <w:rsid w:val="002375CF"/>
    <w:rsid w:val="00237668"/>
    <w:rsid w:val="002405C2"/>
    <w:rsid w:val="0024404C"/>
    <w:rsid w:val="002500D4"/>
    <w:rsid w:val="00250CEE"/>
    <w:rsid w:val="00251A34"/>
    <w:rsid w:val="00252410"/>
    <w:rsid w:val="00252E1B"/>
    <w:rsid w:val="00252F11"/>
    <w:rsid w:val="00253756"/>
    <w:rsid w:val="00253851"/>
    <w:rsid w:val="00254FD9"/>
    <w:rsid w:val="00257BB4"/>
    <w:rsid w:val="002615E2"/>
    <w:rsid w:val="002640B7"/>
    <w:rsid w:val="00266ABF"/>
    <w:rsid w:val="00266F6F"/>
    <w:rsid w:val="0026790B"/>
    <w:rsid w:val="00270CFB"/>
    <w:rsid w:val="00271DCE"/>
    <w:rsid w:val="002736C8"/>
    <w:rsid w:val="002738C4"/>
    <w:rsid w:val="00275DB7"/>
    <w:rsid w:val="0027602A"/>
    <w:rsid w:val="0027682A"/>
    <w:rsid w:val="00276B51"/>
    <w:rsid w:val="00276F92"/>
    <w:rsid w:val="002822FD"/>
    <w:rsid w:val="00282FAE"/>
    <w:rsid w:val="00284957"/>
    <w:rsid w:val="00285738"/>
    <w:rsid w:val="0028602A"/>
    <w:rsid w:val="002862F1"/>
    <w:rsid w:val="00286AE4"/>
    <w:rsid w:val="002871F3"/>
    <w:rsid w:val="0029571C"/>
    <w:rsid w:val="00297019"/>
    <w:rsid w:val="002A0F35"/>
    <w:rsid w:val="002A2EDE"/>
    <w:rsid w:val="002A3094"/>
    <w:rsid w:val="002A4BB7"/>
    <w:rsid w:val="002A51CA"/>
    <w:rsid w:val="002A6AC8"/>
    <w:rsid w:val="002A7361"/>
    <w:rsid w:val="002B003D"/>
    <w:rsid w:val="002B2168"/>
    <w:rsid w:val="002B35E8"/>
    <w:rsid w:val="002B3E95"/>
    <w:rsid w:val="002B5E10"/>
    <w:rsid w:val="002B7EF1"/>
    <w:rsid w:val="002C13B6"/>
    <w:rsid w:val="002C1F05"/>
    <w:rsid w:val="002C2CD2"/>
    <w:rsid w:val="002C4E92"/>
    <w:rsid w:val="002C547C"/>
    <w:rsid w:val="002C6534"/>
    <w:rsid w:val="002D0241"/>
    <w:rsid w:val="002D0737"/>
    <w:rsid w:val="002D1336"/>
    <w:rsid w:val="002D1AE6"/>
    <w:rsid w:val="002D2447"/>
    <w:rsid w:val="002D2533"/>
    <w:rsid w:val="002D2B16"/>
    <w:rsid w:val="002D37BC"/>
    <w:rsid w:val="002D4D0F"/>
    <w:rsid w:val="002D6ACB"/>
    <w:rsid w:val="002D6D81"/>
    <w:rsid w:val="002D79C7"/>
    <w:rsid w:val="002D7F2A"/>
    <w:rsid w:val="002E6A6C"/>
    <w:rsid w:val="002E6F7C"/>
    <w:rsid w:val="002F43F6"/>
    <w:rsid w:val="002F6146"/>
    <w:rsid w:val="002F744D"/>
    <w:rsid w:val="003002C0"/>
    <w:rsid w:val="00301144"/>
    <w:rsid w:val="00301DE0"/>
    <w:rsid w:val="00301F5B"/>
    <w:rsid w:val="003030EA"/>
    <w:rsid w:val="003032F6"/>
    <w:rsid w:val="00304DED"/>
    <w:rsid w:val="00307D15"/>
    <w:rsid w:val="003103F5"/>
    <w:rsid w:val="00311D82"/>
    <w:rsid w:val="00313B91"/>
    <w:rsid w:val="003148B7"/>
    <w:rsid w:val="00314B24"/>
    <w:rsid w:val="00314F61"/>
    <w:rsid w:val="003158C3"/>
    <w:rsid w:val="00315CC9"/>
    <w:rsid w:val="00316802"/>
    <w:rsid w:val="00320251"/>
    <w:rsid w:val="00324651"/>
    <w:rsid w:val="0032488F"/>
    <w:rsid w:val="00325314"/>
    <w:rsid w:val="003268B3"/>
    <w:rsid w:val="00326DBC"/>
    <w:rsid w:val="00327072"/>
    <w:rsid w:val="003274CD"/>
    <w:rsid w:val="00330A8E"/>
    <w:rsid w:val="00331BF0"/>
    <w:rsid w:val="00332EC9"/>
    <w:rsid w:val="00333501"/>
    <w:rsid w:val="00334E28"/>
    <w:rsid w:val="00336690"/>
    <w:rsid w:val="003418BB"/>
    <w:rsid w:val="00344361"/>
    <w:rsid w:val="003457C4"/>
    <w:rsid w:val="003460C2"/>
    <w:rsid w:val="00346802"/>
    <w:rsid w:val="0035119D"/>
    <w:rsid w:val="0035256B"/>
    <w:rsid w:val="00352AE5"/>
    <w:rsid w:val="00353B71"/>
    <w:rsid w:val="00355959"/>
    <w:rsid w:val="0035764E"/>
    <w:rsid w:val="003619B1"/>
    <w:rsid w:val="00363667"/>
    <w:rsid w:val="00364FF3"/>
    <w:rsid w:val="0036543B"/>
    <w:rsid w:val="0036709A"/>
    <w:rsid w:val="00370BF1"/>
    <w:rsid w:val="00371DD2"/>
    <w:rsid w:val="00372A4C"/>
    <w:rsid w:val="00374228"/>
    <w:rsid w:val="00375DB4"/>
    <w:rsid w:val="003771D2"/>
    <w:rsid w:val="00377866"/>
    <w:rsid w:val="00377A7E"/>
    <w:rsid w:val="003806EE"/>
    <w:rsid w:val="00382D8D"/>
    <w:rsid w:val="003841E0"/>
    <w:rsid w:val="00385DFD"/>
    <w:rsid w:val="00390C5B"/>
    <w:rsid w:val="00391E3C"/>
    <w:rsid w:val="0039249E"/>
    <w:rsid w:val="00394BFC"/>
    <w:rsid w:val="003A0A11"/>
    <w:rsid w:val="003A44F8"/>
    <w:rsid w:val="003B1220"/>
    <w:rsid w:val="003B1A50"/>
    <w:rsid w:val="003B26E9"/>
    <w:rsid w:val="003B3470"/>
    <w:rsid w:val="003B34BD"/>
    <w:rsid w:val="003B43BA"/>
    <w:rsid w:val="003B4F12"/>
    <w:rsid w:val="003C0B4A"/>
    <w:rsid w:val="003C107F"/>
    <w:rsid w:val="003C2D67"/>
    <w:rsid w:val="003C2F0A"/>
    <w:rsid w:val="003D254D"/>
    <w:rsid w:val="003D3142"/>
    <w:rsid w:val="003D3456"/>
    <w:rsid w:val="003D352D"/>
    <w:rsid w:val="003D3643"/>
    <w:rsid w:val="003E0276"/>
    <w:rsid w:val="003E02B9"/>
    <w:rsid w:val="003E12DB"/>
    <w:rsid w:val="003E1AC2"/>
    <w:rsid w:val="003E200B"/>
    <w:rsid w:val="003E296B"/>
    <w:rsid w:val="003E2BE7"/>
    <w:rsid w:val="003E47DA"/>
    <w:rsid w:val="003E6247"/>
    <w:rsid w:val="003E6482"/>
    <w:rsid w:val="003F0DB6"/>
    <w:rsid w:val="003F2180"/>
    <w:rsid w:val="003F4E07"/>
    <w:rsid w:val="003F6117"/>
    <w:rsid w:val="003F73FA"/>
    <w:rsid w:val="003F7679"/>
    <w:rsid w:val="00400B0F"/>
    <w:rsid w:val="00402ACC"/>
    <w:rsid w:val="00403E68"/>
    <w:rsid w:val="00403F21"/>
    <w:rsid w:val="00405B97"/>
    <w:rsid w:val="00406D22"/>
    <w:rsid w:val="00411B8D"/>
    <w:rsid w:val="00411D16"/>
    <w:rsid w:val="004120EC"/>
    <w:rsid w:val="004140FD"/>
    <w:rsid w:val="00414FC5"/>
    <w:rsid w:val="0041581A"/>
    <w:rsid w:val="00415F7D"/>
    <w:rsid w:val="00417E25"/>
    <w:rsid w:val="0042105B"/>
    <w:rsid w:val="0042107E"/>
    <w:rsid w:val="0042220A"/>
    <w:rsid w:val="00423054"/>
    <w:rsid w:val="00423904"/>
    <w:rsid w:val="00423F31"/>
    <w:rsid w:val="0042417A"/>
    <w:rsid w:val="00431899"/>
    <w:rsid w:val="00431E2C"/>
    <w:rsid w:val="00431F4B"/>
    <w:rsid w:val="004338AF"/>
    <w:rsid w:val="00435261"/>
    <w:rsid w:val="0043564E"/>
    <w:rsid w:val="00435B77"/>
    <w:rsid w:val="004400E0"/>
    <w:rsid w:val="00441C5C"/>
    <w:rsid w:val="004422DA"/>
    <w:rsid w:val="00442731"/>
    <w:rsid w:val="00443AAD"/>
    <w:rsid w:val="004451D4"/>
    <w:rsid w:val="004457E9"/>
    <w:rsid w:val="00446F48"/>
    <w:rsid w:val="00451BF3"/>
    <w:rsid w:val="0045423E"/>
    <w:rsid w:val="0045622F"/>
    <w:rsid w:val="00456D9B"/>
    <w:rsid w:val="00457B46"/>
    <w:rsid w:val="00457D5F"/>
    <w:rsid w:val="0046026C"/>
    <w:rsid w:val="00460F1E"/>
    <w:rsid w:val="00464C58"/>
    <w:rsid w:val="004657CA"/>
    <w:rsid w:val="00466265"/>
    <w:rsid w:val="00466C69"/>
    <w:rsid w:val="00467FB2"/>
    <w:rsid w:val="004711F3"/>
    <w:rsid w:val="00472321"/>
    <w:rsid w:val="00475296"/>
    <w:rsid w:val="0048027C"/>
    <w:rsid w:val="0048244D"/>
    <w:rsid w:val="00482B0C"/>
    <w:rsid w:val="0048469A"/>
    <w:rsid w:val="00486804"/>
    <w:rsid w:val="0049389C"/>
    <w:rsid w:val="004939D2"/>
    <w:rsid w:val="00493FF0"/>
    <w:rsid w:val="004977A1"/>
    <w:rsid w:val="00497FAD"/>
    <w:rsid w:val="004A0346"/>
    <w:rsid w:val="004A0F6D"/>
    <w:rsid w:val="004A5BFF"/>
    <w:rsid w:val="004A5CBE"/>
    <w:rsid w:val="004A71D9"/>
    <w:rsid w:val="004A774D"/>
    <w:rsid w:val="004B1CEF"/>
    <w:rsid w:val="004B3775"/>
    <w:rsid w:val="004B3FF4"/>
    <w:rsid w:val="004C3D51"/>
    <w:rsid w:val="004C5E45"/>
    <w:rsid w:val="004D0BA0"/>
    <w:rsid w:val="004D11E6"/>
    <w:rsid w:val="004D43F3"/>
    <w:rsid w:val="004D6431"/>
    <w:rsid w:val="004E0264"/>
    <w:rsid w:val="004E058F"/>
    <w:rsid w:val="004E0A61"/>
    <w:rsid w:val="004E0F5D"/>
    <w:rsid w:val="004E1CD0"/>
    <w:rsid w:val="004E2529"/>
    <w:rsid w:val="004E3B87"/>
    <w:rsid w:val="004E4720"/>
    <w:rsid w:val="004E4A05"/>
    <w:rsid w:val="004E4C52"/>
    <w:rsid w:val="004E5F15"/>
    <w:rsid w:val="004F0055"/>
    <w:rsid w:val="004F437F"/>
    <w:rsid w:val="004F49BB"/>
    <w:rsid w:val="004F60D6"/>
    <w:rsid w:val="004F7111"/>
    <w:rsid w:val="004F7208"/>
    <w:rsid w:val="004F72E1"/>
    <w:rsid w:val="0050342B"/>
    <w:rsid w:val="00505C60"/>
    <w:rsid w:val="00510921"/>
    <w:rsid w:val="00510AD3"/>
    <w:rsid w:val="00510F9B"/>
    <w:rsid w:val="00510FAB"/>
    <w:rsid w:val="00513348"/>
    <w:rsid w:val="005138EE"/>
    <w:rsid w:val="00520BEA"/>
    <w:rsid w:val="00521438"/>
    <w:rsid w:val="0052158D"/>
    <w:rsid w:val="00521C66"/>
    <w:rsid w:val="00522656"/>
    <w:rsid w:val="005227E3"/>
    <w:rsid w:val="00527DDE"/>
    <w:rsid w:val="00533B5D"/>
    <w:rsid w:val="00533D55"/>
    <w:rsid w:val="0053502B"/>
    <w:rsid w:val="00536E65"/>
    <w:rsid w:val="00536FA9"/>
    <w:rsid w:val="005370DF"/>
    <w:rsid w:val="005374DB"/>
    <w:rsid w:val="00537F20"/>
    <w:rsid w:val="005408C4"/>
    <w:rsid w:val="00540B75"/>
    <w:rsid w:val="0055030C"/>
    <w:rsid w:val="00550D71"/>
    <w:rsid w:val="005511BF"/>
    <w:rsid w:val="00554126"/>
    <w:rsid w:val="00554C30"/>
    <w:rsid w:val="005551C7"/>
    <w:rsid w:val="00555D63"/>
    <w:rsid w:val="00556D07"/>
    <w:rsid w:val="00560613"/>
    <w:rsid w:val="00564042"/>
    <w:rsid w:val="005656CB"/>
    <w:rsid w:val="00567A40"/>
    <w:rsid w:val="00567FE2"/>
    <w:rsid w:val="005703A1"/>
    <w:rsid w:val="005752FA"/>
    <w:rsid w:val="00582E59"/>
    <w:rsid w:val="005833AB"/>
    <w:rsid w:val="00583604"/>
    <w:rsid w:val="0058458F"/>
    <w:rsid w:val="0059146A"/>
    <w:rsid w:val="0059150F"/>
    <w:rsid w:val="005934AC"/>
    <w:rsid w:val="0059398A"/>
    <w:rsid w:val="00593B5C"/>
    <w:rsid w:val="00597C73"/>
    <w:rsid w:val="005A15A4"/>
    <w:rsid w:val="005A1B70"/>
    <w:rsid w:val="005A1BD4"/>
    <w:rsid w:val="005A1E92"/>
    <w:rsid w:val="005A3AAC"/>
    <w:rsid w:val="005A4F47"/>
    <w:rsid w:val="005A5AE4"/>
    <w:rsid w:val="005A66D5"/>
    <w:rsid w:val="005A7545"/>
    <w:rsid w:val="005B1CBD"/>
    <w:rsid w:val="005B2A01"/>
    <w:rsid w:val="005B4E79"/>
    <w:rsid w:val="005B5769"/>
    <w:rsid w:val="005B60C3"/>
    <w:rsid w:val="005C0C8B"/>
    <w:rsid w:val="005C1CEB"/>
    <w:rsid w:val="005C3167"/>
    <w:rsid w:val="005C67C9"/>
    <w:rsid w:val="005C70D0"/>
    <w:rsid w:val="005C7E54"/>
    <w:rsid w:val="005D3655"/>
    <w:rsid w:val="005D5434"/>
    <w:rsid w:val="005D5FA7"/>
    <w:rsid w:val="005D63B1"/>
    <w:rsid w:val="005D7475"/>
    <w:rsid w:val="005D7A0B"/>
    <w:rsid w:val="005E0A54"/>
    <w:rsid w:val="005E0D08"/>
    <w:rsid w:val="005E0F7C"/>
    <w:rsid w:val="005E321D"/>
    <w:rsid w:val="005E606B"/>
    <w:rsid w:val="005E6105"/>
    <w:rsid w:val="005E625D"/>
    <w:rsid w:val="005E63D7"/>
    <w:rsid w:val="005E6C8C"/>
    <w:rsid w:val="005F4342"/>
    <w:rsid w:val="005F72DE"/>
    <w:rsid w:val="00600479"/>
    <w:rsid w:val="00601724"/>
    <w:rsid w:val="0060357A"/>
    <w:rsid w:val="006044F5"/>
    <w:rsid w:val="00605530"/>
    <w:rsid w:val="006059B6"/>
    <w:rsid w:val="00611312"/>
    <w:rsid w:val="006119D5"/>
    <w:rsid w:val="00613C38"/>
    <w:rsid w:val="00615669"/>
    <w:rsid w:val="00620816"/>
    <w:rsid w:val="00621014"/>
    <w:rsid w:val="0062260E"/>
    <w:rsid w:val="00623283"/>
    <w:rsid w:val="00623BA1"/>
    <w:rsid w:val="006251EF"/>
    <w:rsid w:val="00626AEF"/>
    <w:rsid w:val="006307FE"/>
    <w:rsid w:val="00632C88"/>
    <w:rsid w:val="006346BC"/>
    <w:rsid w:val="00634ED4"/>
    <w:rsid w:val="0064063E"/>
    <w:rsid w:val="00641D77"/>
    <w:rsid w:val="0064230B"/>
    <w:rsid w:val="00642CAC"/>
    <w:rsid w:val="006439A1"/>
    <w:rsid w:val="00644B50"/>
    <w:rsid w:val="00644C5A"/>
    <w:rsid w:val="006457E1"/>
    <w:rsid w:val="00647897"/>
    <w:rsid w:val="00650A3D"/>
    <w:rsid w:val="00650B07"/>
    <w:rsid w:val="00651666"/>
    <w:rsid w:val="006533D1"/>
    <w:rsid w:val="00657AEE"/>
    <w:rsid w:val="00661272"/>
    <w:rsid w:val="00661D1D"/>
    <w:rsid w:val="0066305F"/>
    <w:rsid w:val="00663835"/>
    <w:rsid w:val="006653D0"/>
    <w:rsid w:val="006660E6"/>
    <w:rsid w:val="0066652A"/>
    <w:rsid w:val="006726B3"/>
    <w:rsid w:val="00672E77"/>
    <w:rsid w:val="0067446D"/>
    <w:rsid w:val="006752C7"/>
    <w:rsid w:val="006766C2"/>
    <w:rsid w:val="006769BB"/>
    <w:rsid w:val="00676C62"/>
    <w:rsid w:val="0067726E"/>
    <w:rsid w:val="00677447"/>
    <w:rsid w:val="00677A26"/>
    <w:rsid w:val="006802D7"/>
    <w:rsid w:val="00680522"/>
    <w:rsid w:val="006811DE"/>
    <w:rsid w:val="00681371"/>
    <w:rsid w:val="006813C2"/>
    <w:rsid w:val="006814DC"/>
    <w:rsid w:val="00681B09"/>
    <w:rsid w:val="00681F08"/>
    <w:rsid w:val="00682167"/>
    <w:rsid w:val="00682BE6"/>
    <w:rsid w:val="00683553"/>
    <w:rsid w:val="006843D6"/>
    <w:rsid w:val="006865F7"/>
    <w:rsid w:val="00691069"/>
    <w:rsid w:val="00691DF2"/>
    <w:rsid w:val="006926A1"/>
    <w:rsid w:val="0069535D"/>
    <w:rsid w:val="006958B8"/>
    <w:rsid w:val="00696456"/>
    <w:rsid w:val="0069712D"/>
    <w:rsid w:val="006A071C"/>
    <w:rsid w:val="006A07A4"/>
    <w:rsid w:val="006A2188"/>
    <w:rsid w:val="006A2CAF"/>
    <w:rsid w:val="006A508E"/>
    <w:rsid w:val="006A5307"/>
    <w:rsid w:val="006A5F02"/>
    <w:rsid w:val="006A60D7"/>
    <w:rsid w:val="006B0882"/>
    <w:rsid w:val="006B1E22"/>
    <w:rsid w:val="006B2584"/>
    <w:rsid w:val="006B2E28"/>
    <w:rsid w:val="006B2FFA"/>
    <w:rsid w:val="006B380A"/>
    <w:rsid w:val="006B5199"/>
    <w:rsid w:val="006B73D7"/>
    <w:rsid w:val="006B78A8"/>
    <w:rsid w:val="006C20B8"/>
    <w:rsid w:val="006C2BAB"/>
    <w:rsid w:val="006C3966"/>
    <w:rsid w:val="006C42AF"/>
    <w:rsid w:val="006C4D81"/>
    <w:rsid w:val="006C4F09"/>
    <w:rsid w:val="006C63DB"/>
    <w:rsid w:val="006D0A1F"/>
    <w:rsid w:val="006D1321"/>
    <w:rsid w:val="006D7F5A"/>
    <w:rsid w:val="006E161F"/>
    <w:rsid w:val="006E1644"/>
    <w:rsid w:val="006E42FC"/>
    <w:rsid w:val="006E59A8"/>
    <w:rsid w:val="006E75AD"/>
    <w:rsid w:val="006F0FFA"/>
    <w:rsid w:val="006F27B1"/>
    <w:rsid w:val="006F43CC"/>
    <w:rsid w:val="006F4763"/>
    <w:rsid w:val="006F5560"/>
    <w:rsid w:val="006F6020"/>
    <w:rsid w:val="00701D45"/>
    <w:rsid w:val="00703655"/>
    <w:rsid w:val="00706167"/>
    <w:rsid w:val="00706D53"/>
    <w:rsid w:val="00707F84"/>
    <w:rsid w:val="00710CD9"/>
    <w:rsid w:val="00711D8E"/>
    <w:rsid w:val="00712672"/>
    <w:rsid w:val="007136DD"/>
    <w:rsid w:val="007138A8"/>
    <w:rsid w:val="00713B24"/>
    <w:rsid w:val="0071481E"/>
    <w:rsid w:val="007157BE"/>
    <w:rsid w:val="007159A6"/>
    <w:rsid w:val="00715F12"/>
    <w:rsid w:val="00716452"/>
    <w:rsid w:val="0072170F"/>
    <w:rsid w:val="00721C7E"/>
    <w:rsid w:val="0072348C"/>
    <w:rsid w:val="00724703"/>
    <w:rsid w:val="00724F7E"/>
    <w:rsid w:val="0072546A"/>
    <w:rsid w:val="0072567C"/>
    <w:rsid w:val="00730ED5"/>
    <w:rsid w:val="00731A56"/>
    <w:rsid w:val="00731D24"/>
    <w:rsid w:val="007325E3"/>
    <w:rsid w:val="00734709"/>
    <w:rsid w:val="00734E3F"/>
    <w:rsid w:val="00736985"/>
    <w:rsid w:val="00737505"/>
    <w:rsid w:val="0073786E"/>
    <w:rsid w:val="00740F23"/>
    <w:rsid w:val="00742191"/>
    <w:rsid w:val="00742B40"/>
    <w:rsid w:val="00743A19"/>
    <w:rsid w:val="00743AEE"/>
    <w:rsid w:val="00745B04"/>
    <w:rsid w:val="00745DF5"/>
    <w:rsid w:val="007471B6"/>
    <w:rsid w:val="007479E6"/>
    <w:rsid w:val="00747DE6"/>
    <w:rsid w:val="0075168E"/>
    <w:rsid w:val="00751924"/>
    <w:rsid w:val="00753929"/>
    <w:rsid w:val="00754438"/>
    <w:rsid w:val="00754943"/>
    <w:rsid w:val="007558C7"/>
    <w:rsid w:val="00756019"/>
    <w:rsid w:val="00756E79"/>
    <w:rsid w:val="00760C59"/>
    <w:rsid w:val="0076250F"/>
    <w:rsid w:val="00764157"/>
    <w:rsid w:val="00764817"/>
    <w:rsid w:val="007653CE"/>
    <w:rsid w:val="00770280"/>
    <w:rsid w:val="00771307"/>
    <w:rsid w:val="00771B53"/>
    <w:rsid w:val="00772B5D"/>
    <w:rsid w:val="00774846"/>
    <w:rsid w:val="00774919"/>
    <w:rsid w:val="007751E5"/>
    <w:rsid w:val="00775BB3"/>
    <w:rsid w:val="007802CC"/>
    <w:rsid w:val="007814AB"/>
    <w:rsid w:val="00782D7C"/>
    <w:rsid w:val="0078302A"/>
    <w:rsid w:val="007833F2"/>
    <w:rsid w:val="00783B41"/>
    <w:rsid w:val="00784031"/>
    <w:rsid w:val="0078495A"/>
    <w:rsid w:val="0078529F"/>
    <w:rsid w:val="00786027"/>
    <w:rsid w:val="00786B30"/>
    <w:rsid w:val="007917CD"/>
    <w:rsid w:val="00792218"/>
    <w:rsid w:val="00793D4A"/>
    <w:rsid w:val="00794D93"/>
    <w:rsid w:val="00795494"/>
    <w:rsid w:val="0079563D"/>
    <w:rsid w:val="007A20DF"/>
    <w:rsid w:val="007A44CA"/>
    <w:rsid w:val="007A631F"/>
    <w:rsid w:val="007A797D"/>
    <w:rsid w:val="007A7BBB"/>
    <w:rsid w:val="007B0900"/>
    <w:rsid w:val="007B30DD"/>
    <w:rsid w:val="007B4865"/>
    <w:rsid w:val="007B6200"/>
    <w:rsid w:val="007B698F"/>
    <w:rsid w:val="007B7CF9"/>
    <w:rsid w:val="007C1139"/>
    <w:rsid w:val="007C1256"/>
    <w:rsid w:val="007C2540"/>
    <w:rsid w:val="007C4DAD"/>
    <w:rsid w:val="007C5918"/>
    <w:rsid w:val="007C6029"/>
    <w:rsid w:val="007C675F"/>
    <w:rsid w:val="007C7418"/>
    <w:rsid w:val="007C7E90"/>
    <w:rsid w:val="007D0299"/>
    <w:rsid w:val="007D0C5E"/>
    <w:rsid w:val="007D1A34"/>
    <w:rsid w:val="007D268B"/>
    <w:rsid w:val="007D2E25"/>
    <w:rsid w:val="007D32A9"/>
    <w:rsid w:val="007D44FD"/>
    <w:rsid w:val="007D5FED"/>
    <w:rsid w:val="007D74DC"/>
    <w:rsid w:val="007D7ECE"/>
    <w:rsid w:val="007E07C4"/>
    <w:rsid w:val="007E22BC"/>
    <w:rsid w:val="007E2F5B"/>
    <w:rsid w:val="007E4733"/>
    <w:rsid w:val="007E72EC"/>
    <w:rsid w:val="007F2DBF"/>
    <w:rsid w:val="007F2E26"/>
    <w:rsid w:val="007F3395"/>
    <w:rsid w:val="007F7F20"/>
    <w:rsid w:val="00801B9F"/>
    <w:rsid w:val="00804A57"/>
    <w:rsid w:val="00805304"/>
    <w:rsid w:val="00805419"/>
    <w:rsid w:val="008057FD"/>
    <w:rsid w:val="0080594F"/>
    <w:rsid w:val="00806E40"/>
    <w:rsid w:val="00806FAE"/>
    <w:rsid w:val="008075DC"/>
    <w:rsid w:val="0081524A"/>
    <w:rsid w:val="00815532"/>
    <w:rsid w:val="00823520"/>
    <w:rsid w:val="008333FD"/>
    <w:rsid w:val="00834A56"/>
    <w:rsid w:val="00834CC3"/>
    <w:rsid w:val="008363A7"/>
    <w:rsid w:val="008425C2"/>
    <w:rsid w:val="00843258"/>
    <w:rsid w:val="00844729"/>
    <w:rsid w:val="00844EEF"/>
    <w:rsid w:val="008462AF"/>
    <w:rsid w:val="00847104"/>
    <w:rsid w:val="008475F0"/>
    <w:rsid w:val="00851557"/>
    <w:rsid w:val="008518C3"/>
    <w:rsid w:val="008564AA"/>
    <w:rsid w:val="008567A9"/>
    <w:rsid w:val="00862434"/>
    <w:rsid w:val="00862493"/>
    <w:rsid w:val="00864210"/>
    <w:rsid w:val="008661AA"/>
    <w:rsid w:val="00866D4F"/>
    <w:rsid w:val="008671F8"/>
    <w:rsid w:val="00867454"/>
    <w:rsid w:val="00867FB3"/>
    <w:rsid w:val="00873491"/>
    <w:rsid w:val="0087491F"/>
    <w:rsid w:val="00877654"/>
    <w:rsid w:val="00877A15"/>
    <w:rsid w:val="00880004"/>
    <w:rsid w:val="0088085E"/>
    <w:rsid w:val="00881963"/>
    <w:rsid w:val="008821C2"/>
    <w:rsid w:val="0088317B"/>
    <w:rsid w:val="00887454"/>
    <w:rsid w:val="00890661"/>
    <w:rsid w:val="00891631"/>
    <w:rsid w:val="00891994"/>
    <w:rsid w:val="008919B9"/>
    <w:rsid w:val="008929B7"/>
    <w:rsid w:val="00894DBC"/>
    <w:rsid w:val="008955F4"/>
    <w:rsid w:val="00896567"/>
    <w:rsid w:val="00896DA5"/>
    <w:rsid w:val="00897713"/>
    <w:rsid w:val="008A3EA4"/>
    <w:rsid w:val="008A5962"/>
    <w:rsid w:val="008A5AFE"/>
    <w:rsid w:val="008A7B7A"/>
    <w:rsid w:val="008B2F71"/>
    <w:rsid w:val="008B5C98"/>
    <w:rsid w:val="008B6355"/>
    <w:rsid w:val="008B68D7"/>
    <w:rsid w:val="008B7CEB"/>
    <w:rsid w:val="008B7D42"/>
    <w:rsid w:val="008C0AE2"/>
    <w:rsid w:val="008C2F58"/>
    <w:rsid w:val="008C386E"/>
    <w:rsid w:val="008C43AA"/>
    <w:rsid w:val="008C5A0E"/>
    <w:rsid w:val="008C5E61"/>
    <w:rsid w:val="008C7300"/>
    <w:rsid w:val="008D12D7"/>
    <w:rsid w:val="008D139F"/>
    <w:rsid w:val="008D1738"/>
    <w:rsid w:val="008D18BD"/>
    <w:rsid w:val="008D1C07"/>
    <w:rsid w:val="008D2BEB"/>
    <w:rsid w:val="008D4C57"/>
    <w:rsid w:val="008D5C28"/>
    <w:rsid w:val="008D6F5A"/>
    <w:rsid w:val="008D744E"/>
    <w:rsid w:val="008D7EA7"/>
    <w:rsid w:val="008E1774"/>
    <w:rsid w:val="008E1B16"/>
    <w:rsid w:val="008E2322"/>
    <w:rsid w:val="008E3C11"/>
    <w:rsid w:val="008E78EC"/>
    <w:rsid w:val="008F0C31"/>
    <w:rsid w:val="008F0D17"/>
    <w:rsid w:val="008F56A8"/>
    <w:rsid w:val="008F6B91"/>
    <w:rsid w:val="008F7DB5"/>
    <w:rsid w:val="00901B04"/>
    <w:rsid w:val="00901B73"/>
    <w:rsid w:val="0090256A"/>
    <w:rsid w:val="00902799"/>
    <w:rsid w:val="0090397B"/>
    <w:rsid w:val="009042FA"/>
    <w:rsid w:val="00907585"/>
    <w:rsid w:val="00910166"/>
    <w:rsid w:val="009131C6"/>
    <w:rsid w:val="00913898"/>
    <w:rsid w:val="00914514"/>
    <w:rsid w:val="0091707C"/>
    <w:rsid w:val="0092061E"/>
    <w:rsid w:val="00922E6C"/>
    <w:rsid w:val="00923995"/>
    <w:rsid w:val="00927140"/>
    <w:rsid w:val="009273D0"/>
    <w:rsid w:val="00936CAF"/>
    <w:rsid w:val="009372C3"/>
    <w:rsid w:val="009452B1"/>
    <w:rsid w:val="00945DBB"/>
    <w:rsid w:val="0095075B"/>
    <w:rsid w:val="00952D1D"/>
    <w:rsid w:val="0096151B"/>
    <w:rsid w:val="00961A8B"/>
    <w:rsid w:val="00961B00"/>
    <w:rsid w:val="00962696"/>
    <w:rsid w:val="00963830"/>
    <w:rsid w:val="00963DC4"/>
    <w:rsid w:val="00964C03"/>
    <w:rsid w:val="00965851"/>
    <w:rsid w:val="00967F26"/>
    <w:rsid w:val="00970924"/>
    <w:rsid w:val="00970ADB"/>
    <w:rsid w:val="00971170"/>
    <w:rsid w:val="009744DB"/>
    <w:rsid w:val="00980003"/>
    <w:rsid w:val="00981ED2"/>
    <w:rsid w:val="00982398"/>
    <w:rsid w:val="009823DE"/>
    <w:rsid w:val="00983DC8"/>
    <w:rsid w:val="00987082"/>
    <w:rsid w:val="009903F3"/>
    <w:rsid w:val="009911F6"/>
    <w:rsid w:val="00992C76"/>
    <w:rsid w:val="00993E44"/>
    <w:rsid w:val="0099427D"/>
    <w:rsid w:val="009963A3"/>
    <w:rsid w:val="00996549"/>
    <w:rsid w:val="00996C95"/>
    <w:rsid w:val="0099750B"/>
    <w:rsid w:val="009A2395"/>
    <w:rsid w:val="009A33B2"/>
    <w:rsid w:val="009A443F"/>
    <w:rsid w:val="009A4701"/>
    <w:rsid w:val="009A710B"/>
    <w:rsid w:val="009B0612"/>
    <w:rsid w:val="009B12DF"/>
    <w:rsid w:val="009B1F31"/>
    <w:rsid w:val="009B4D3B"/>
    <w:rsid w:val="009B573C"/>
    <w:rsid w:val="009C1DB2"/>
    <w:rsid w:val="009C3586"/>
    <w:rsid w:val="009C4379"/>
    <w:rsid w:val="009C546C"/>
    <w:rsid w:val="009D115D"/>
    <w:rsid w:val="009D1AA9"/>
    <w:rsid w:val="009D4359"/>
    <w:rsid w:val="009D7407"/>
    <w:rsid w:val="009E056C"/>
    <w:rsid w:val="009E0866"/>
    <w:rsid w:val="009E0D45"/>
    <w:rsid w:val="009E17EC"/>
    <w:rsid w:val="009E1C07"/>
    <w:rsid w:val="009E2636"/>
    <w:rsid w:val="009E2716"/>
    <w:rsid w:val="009E3DDE"/>
    <w:rsid w:val="009E551D"/>
    <w:rsid w:val="009E6CF2"/>
    <w:rsid w:val="009E7201"/>
    <w:rsid w:val="009E7BB8"/>
    <w:rsid w:val="009F0271"/>
    <w:rsid w:val="009F3DB6"/>
    <w:rsid w:val="009F5488"/>
    <w:rsid w:val="009F6423"/>
    <w:rsid w:val="00A018C8"/>
    <w:rsid w:val="00A05D5E"/>
    <w:rsid w:val="00A06040"/>
    <w:rsid w:val="00A13360"/>
    <w:rsid w:val="00A13C7B"/>
    <w:rsid w:val="00A14E50"/>
    <w:rsid w:val="00A15908"/>
    <w:rsid w:val="00A16D98"/>
    <w:rsid w:val="00A21FEC"/>
    <w:rsid w:val="00A2280A"/>
    <w:rsid w:val="00A22925"/>
    <w:rsid w:val="00A23E27"/>
    <w:rsid w:val="00A24A62"/>
    <w:rsid w:val="00A254CB"/>
    <w:rsid w:val="00A26D9C"/>
    <w:rsid w:val="00A2704D"/>
    <w:rsid w:val="00A31188"/>
    <w:rsid w:val="00A31C9F"/>
    <w:rsid w:val="00A3378F"/>
    <w:rsid w:val="00A33F1C"/>
    <w:rsid w:val="00A3466E"/>
    <w:rsid w:val="00A368EE"/>
    <w:rsid w:val="00A40722"/>
    <w:rsid w:val="00A4144F"/>
    <w:rsid w:val="00A4451B"/>
    <w:rsid w:val="00A453F9"/>
    <w:rsid w:val="00A4673F"/>
    <w:rsid w:val="00A50100"/>
    <w:rsid w:val="00A51F8B"/>
    <w:rsid w:val="00A54024"/>
    <w:rsid w:val="00A54034"/>
    <w:rsid w:val="00A55B52"/>
    <w:rsid w:val="00A56F14"/>
    <w:rsid w:val="00A60929"/>
    <w:rsid w:val="00A6155B"/>
    <w:rsid w:val="00A61D09"/>
    <w:rsid w:val="00A62064"/>
    <w:rsid w:val="00A63FB4"/>
    <w:rsid w:val="00A65C7E"/>
    <w:rsid w:val="00A65E73"/>
    <w:rsid w:val="00A65F30"/>
    <w:rsid w:val="00A705B4"/>
    <w:rsid w:val="00A722DC"/>
    <w:rsid w:val="00A73231"/>
    <w:rsid w:val="00A75AC6"/>
    <w:rsid w:val="00A76555"/>
    <w:rsid w:val="00A80F95"/>
    <w:rsid w:val="00A812CD"/>
    <w:rsid w:val="00A81406"/>
    <w:rsid w:val="00A8197B"/>
    <w:rsid w:val="00A81A13"/>
    <w:rsid w:val="00A8239B"/>
    <w:rsid w:val="00A85932"/>
    <w:rsid w:val="00A90F28"/>
    <w:rsid w:val="00A919FF"/>
    <w:rsid w:val="00A91D0B"/>
    <w:rsid w:val="00A94311"/>
    <w:rsid w:val="00A94F08"/>
    <w:rsid w:val="00A9506C"/>
    <w:rsid w:val="00A968E9"/>
    <w:rsid w:val="00AA15C8"/>
    <w:rsid w:val="00AA2B0C"/>
    <w:rsid w:val="00AA2EF8"/>
    <w:rsid w:val="00AA4A10"/>
    <w:rsid w:val="00AA5F61"/>
    <w:rsid w:val="00AA786B"/>
    <w:rsid w:val="00AA7BE3"/>
    <w:rsid w:val="00AA7CE2"/>
    <w:rsid w:val="00AB0038"/>
    <w:rsid w:val="00AB3294"/>
    <w:rsid w:val="00AB3DD9"/>
    <w:rsid w:val="00AB420E"/>
    <w:rsid w:val="00AB5E7F"/>
    <w:rsid w:val="00AC027A"/>
    <w:rsid w:val="00AC0B09"/>
    <w:rsid w:val="00AC164A"/>
    <w:rsid w:val="00AC302F"/>
    <w:rsid w:val="00AC3DD4"/>
    <w:rsid w:val="00AC3F9A"/>
    <w:rsid w:val="00AC5768"/>
    <w:rsid w:val="00AC65B6"/>
    <w:rsid w:val="00AD077A"/>
    <w:rsid w:val="00AD28A4"/>
    <w:rsid w:val="00AD32D1"/>
    <w:rsid w:val="00AD3AD4"/>
    <w:rsid w:val="00AD5DC0"/>
    <w:rsid w:val="00AD6D31"/>
    <w:rsid w:val="00AD762E"/>
    <w:rsid w:val="00AD781F"/>
    <w:rsid w:val="00AE0E11"/>
    <w:rsid w:val="00AE11E9"/>
    <w:rsid w:val="00AE3B83"/>
    <w:rsid w:val="00AE4132"/>
    <w:rsid w:val="00AE4E13"/>
    <w:rsid w:val="00AE7FE6"/>
    <w:rsid w:val="00AF04C4"/>
    <w:rsid w:val="00AF095A"/>
    <w:rsid w:val="00AF1B85"/>
    <w:rsid w:val="00AF2050"/>
    <w:rsid w:val="00AF23F7"/>
    <w:rsid w:val="00AF246E"/>
    <w:rsid w:val="00AF2C52"/>
    <w:rsid w:val="00AF42D3"/>
    <w:rsid w:val="00AF5D2A"/>
    <w:rsid w:val="00AF6E41"/>
    <w:rsid w:val="00AF76FD"/>
    <w:rsid w:val="00B00F78"/>
    <w:rsid w:val="00B01B6F"/>
    <w:rsid w:val="00B02256"/>
    <w:rsid w:val="00B022BF"/>
    <w:rsid w:val="00B03CA8"/>
    <w:rsid w:val="00B05440"/>
    <w:rsid w:val="00B0653E"/>
    <w:rsid w:val="00B07A26"/>
    <w:rsid w:val="00B10986"/>
    <w:rsid w:val="00B11619"/>
    <w:rsid w:val="00B15DFE"/>
    <w:rsid w:val="00B200CD"/>
    <w:rsid w:val="00B26365"/>
    <w:rsid w:val="00B3186E"/>
    <w:rsid w:val="00B31F2D"/>
    <w:rsid w:val="00B32C6E"/>
    <w:rsid w:val="00B32D14"/>
    <w:rsid w:val="00B331DC"/>
    <w:rsid w:val="00B3399D"/>
    <w:rsid w:val="00B342DF"/>
    <w:rsid w:val="00B354B7"/>
    <w:rsid w:val="00B3660D"/>
    <w:rsid w:val="00B37C19"/>
    <w:rsid w:val="00B409CD"/>
    <w:rsid w:val="00B4122E"/>
    <w:rsid w:val="00B43581"/>
    <w:rsid w:val="00B438D3"/>
    <w:rsid w:val="00B43945"/>
    <w:rsid w:val="00B43B1A"/>
    <w:rsid w:val="00B44B1F"/>
    <w:rsid w:val="00B456C7"/>
    <w:rsid w:val="00B51DF4"/>
    <w:rsid w:val="00B51F70"/>
    <w:rsid w:val="00B53010"/>
    <w:rsid w:val="00B55E19"/>
    <w:rsid w:val="00B569F4"/>
    <w:rsid w:val="00B60389"/>
    <w:rsid w:val="00B623A2"/>
    <w:rsid w:val="00B62ABE"/>
    <w:rsid w:val="00B62B33"/>
    <w:rsid w:val="00B676A9"/>
    <w:rsid w:val="00B70C3A"/>
    <w:rsid w:val="00B72000"/>
    <w:rsid w:val="00B74C7A"/>
    <w:rsid w:val="00B77CA6"/>
    <w:rsid w:val="00B81D48"/>
    <w:rsid w:val="00B82043"/>
    <w:rsid w:val="00B872AA"/>
    <w:rsid w:val="00B9096E"/>
    <w:rsid w:val="00B90E13"/>
    <w:rsid w:val="00B915CE"/>
    <w:rsid w:val="00B943F5"/>
    <w:rsid w:val="00B95CBD"/>
    <w:rsid w:val="00B9659A"/>
    <w:rsid w:val="00BA3801"/>
    <w:rsid w:val="00BA4B6D"/>
    <w:rsid w:val="00BA66CD"/>
    <w:rsid w:val="00BA79C1"/>
    <w:rsid w:val="00BA7FCE"/>
    <w:rsid w:val="00BB0C70"/>
    <w:rsid w:val="00BB1080"/>
    <w:rsid w:val="00BB1D28"/>
    <w:rsid w:val="00BB22CF"/>
    <w:rsid w:val="00BB254C"/>
    <w:rsid w:val="00BB260A"/>
    <w:rsid w:val="00BB26C5"/>
    <w:rsid w:val="00BB4957"/>
    <w:rsid w:val="00BB641A"/>
    <w:rsid w:val="00BC02B3"/>
    <w:rsid w:val="00BC0E88"/>
    <w:rsid w:val="00BC1D1F"/>
    <w:rsid w:val="00BC337C"/>
    <w:rsid w:val="00BC7636"/>
    <w:rsid w:val="00BD1B4C"/>
    <w:rsid w:val="00BD1C7D"/>
    <w:rsid w:val="00BD206A"/>
    <w:rsid w:val="00BD214C"/>
    <w:rsid w:val="00BD34AD"/>
    <w:rsid w:val="00BD3B9A"/>
    <w:rsid w:val="00BD7E03"/>
    <w:rsid w:val="00BD7E84"/>
    <w:rsid w:val="00BE2D60"/>
    <w:rsid w:val="00BE6BDD"/>
    <w:rsid w:val="00BE6C6D"/>
    <w:rsid w:val="00BE737D"/>
    <w:rsid w:val="00BE7FE7"/>
    <w:rsid w:val="00BF13A7"/>
    <w:rsid w:val="00BF208C"/>
    <w:rsid w:val="00BF3EC6"/>
    <w:rsid w:val="00BF4332"/>
    <w:rsid w:val="00BF4DE6"/>
    <w:rsid w:val="00BF585B"/>
    <w:rsid w:val="00BF73C4"/>
    <w:rsid w:val="00C00406"/>
    <w:rsid w:val="00C01C10"/>
    <w:rsid w:val="00C02E6B"/>
    <w:rsid w:val="00C03A2E"/>
    <w:rsid w:val="00C05848"/>
    <w:rsid w:val="00C05D5C"/>
    <w:rsid w:val="00C0770B"/>
    <w:rsid w:val="00C1086B"/>
    <w:rsid w:val="00C110E6"/>
    <w:rsid w:val="00C127B0"/>
    <w:rsid w:val="00C1611A"/>
    <w:rsid w:val="00C20415"/>
    <w:rsid w:val="00C20A1F"/>
    <w:rsid w:val="00C21D7C"/>
    <w:rsid w:val="00C228FB"/>
    <w:rsid w:val="00C24974"/>
    <w:rsid w:val="00C24C94"/>
    <w:rsid w:val="00C2522E"/>
    <w:rsid w:val="00C26926"/>
    <w:rsid w:val="00C26CCD"/>
    <w:rsid w:val="00C27E29"/>
    <w:rsid w:val="00C31511"/>
    <w:rsid w:val="00C31C8F"/>
    <w:rsid w:val="00C32579"/>
    <w:rsid w:val="00C33A35"/>
    <w:rsid w:val="00C35C56"/>
    <w:rsid w:val="00C35E8E"/>
    <w:rsid w:val="00C3606B"/>
    <w:rsid w:val="00C37278"/>
    <w:rsid w:val="00C37399"/>
    <w:rsid w:val="00C37C2D"/>
    <w:rsid w:val="00C37E63"/>
    <w:rsid w:val="00C403BE"/>
    <w:rsid w:val="00C406F0"/>
    <w:rsid w:val="00C42CDE"/>
    <w:rsid w:val="00C47F6B"/>
    <w:rsid w:val="00C50048"/>
    <w:rsid w:val="00C500D7"/>
    <w:rsid w:val="00C511F9"/>
    <w:rsid w:val="00C51201"/>
    <w:rsid w:val="00C51377"/>
    <w:rsid w:val="00C514FA"/>
    <w:rsid w:val="00C5182A"/>
    <w:rsid w:val="00C539F2"/>
    <w:rsid w:val="00C54C01"/>
    <w:rsid w:val="00C54DE3"/>
    <w:rsid w:val="00C55827"/>
    <w:rsid w:val="00C5701B"/>
    <w:rsid w:val="00C60D4E"/>
    <w:rsid w:val="00C616DB"/>
    <w:rsid w:val="00C61AB1"/>
    <w:rsid w:val="00C626C6"/>
    <w:rsid w:val="00C639B5"/>
    <w:rsid w:val="00C63EE9"/>
    <w:rsid w:val="00C64190"/>
    <w:rsid w:val="00C65281"/>
    <w:rsid w:val="00C660F2"/>
    <w:rsid w:val="00C6626C"/>
    <w:rsid w:val="00C71893"/>
    <w:rsid w:val="00C7297E"/>
    <w:rsid w:val="00C72E6B"/>
    <w:rsid w:val="00C75EE8"/>
    <w:rsid w:val="00C76E7A"/>
    <w:rsid w:val="00C77460"/>
    <w:rsid w:val="00C77E26"/>
    <w:rsid w:val="00C817B8"/>
    <w:rsid w:val="00C8425C"/>
    <w:rsid w:val="00C85163"/>
    <w:rsid w:val="00C87DA1"/>
    <w:rsid w:val="00C90AA1"/>
    <w:rsid w:val="00C90B48"/>
    <w:rsid w:val="00C9358A"/>
    <w:rsid w:val="00C9473A"/>
    <w:rsid w:val="00C9556F"/>
    <w:rsid w:val="00C95627"/>
    <w:rsid w:val="00C97C69"/>
    <w:rsid w:val="00CA2480"/>
    <w:rsid w:val="00CA2828"/>
    <w:rsid w:val="00CA3400"/>
    <w:rsid w:val="00CA366D"/>
    <w:rsid w:val="00CA37B1"/>
    <w:rsid w:val="00CA7DD8"/>
    <w:rsid w:val="00CB168C"/>
    <w:rsid w:val="00CB1959"/>
    <w:rsid w:val="00CB1E9A"/>
    <w:rsid w:val="00CB366F"/>
    <w:rsid w:val="00CB4BC8"/>
    <w:rsid w:val="00CB56DC"/>
    <w:rsid w:val="00CB5903"/>
    <w:rsid w:val="00CB61FA"/>
    <w:rsid w:val="00CB6C7A"/>
    <w:rsid w:val="00CC2C48"/>
    <w:rsid w:val="00CC320E"/>
    <w:rsid w:val="00CD0E4B"/>
    <w:rsid w:val="00CD1579"/>
    <w:rsid w:val="00CD2E4E"/>
    <w:rsid w:val="00CD438E"/>
    <w:rsid w:val="00CD4F01"/>
    <w:rsid w:val="00CD5D28"/>
    <w:rsid w:val="00CD6421"/>
    <w:rsid w:val="00CD6830"/>
    <w:rsid w:val="00CE0155"/>
    <w:rsid w:val="00CE0506"/>
    <w:rsid w:val="00CE19D7"/>
    <w:rsid w:val="00CE4CAB"/>
    <w:rsid w:val="00CE5DF0"/>
    <w:rsid w:val="00CE6133"/>
    <w:rsid w:val="00CE79F4"/>
    <w:rsid w:val="00CE7F08"/>
    <w:rsid w:val="00CF041F"/>
    <w:rsid w:val="00CF0D10"/>
    <w:rsid w:val="00CF2100"/>
    <w:rsid w:val="00CF288C"/>
    <w:rsid w:val="00CF2A11"/>
    <w:rsid w:val="00CF3BE0"/>
    <w:rsid w:val="00CF3C97"/>
    <w:rsid w:val="00CF4B65"/>
    <w:rsid w:val="00CF51E5"/>
    <w:rsid w:val="00CF5ADC"/>
    <w:rsid w:val="00CF5C98"/>
    <w:rsid w:val="00CF5CEA"/>
    <w:rsid w:val="00CF6078"/>
    <w:rsid w:val="00CF62AE"/>
    <w:rsid w:val="00CF6D4F"/>
    <w:rsid w:val="00CF7E14"/>
    <w:rsid w:val="00D00802"/>
    <w:rsid w:val="00D018E9"/>
    <w:rsid w:val="00D02767"/>
    <w:rsid w:val="00D0296C"/>
    <w:rsid w:val="00D0300F"/>
    <w:rsid w:val="00D03294"/>
    <w:rsid w:val="00D03384"/>
    <w:rsid w:val="00D045BF"/>
    <w:rsid w:val="00D04CA9"/>
    <w:rsid w:val="00D05246"/>
    <w:rsid w:val="00D057CA"/>
    <w:rsid w:val="00D0704C"/>
    <w:rsid w:val="00D1020B"/>
    <w:rsid w:val="00D139D8"/>
    <w:rsid w:val="00D146A2"/>
    <w:rsid w:val="00D15911"/>
    <w:rsid w:val="00D15A00"/>
    <w:rsid w:val="00D22349"/>
    <w:rsid w:val="00D23A7F"/>
    <w:rsid w:val="00D2551F"/>
    <w:rsid w:val="00D25923"/>
    <w:rsid w:val="00D27827"/>
    <w:rsid w:val="00D325E6"/>
    <w:rsid w:val="00D32FD1"/>
    <w:rsid w:val="00D3315E"/>
    <w:rsid w:val="00D33BF8"/>
    <w:rsid w:val="00D33CB6"/>
    <w:rsid w:val="00D36359"/>
    <w:rsid w:val="00D40AEB"/>
    <w:rsid w:val="00D40C9D"/>
    <w:rsid w:val="00D411AB"/>
    <w:rsid w:val="00D42ABB"/>
    <w:rsid w:val="00D4493B"/>
    <w:rsid w:val="00D450A2"/>
    <w:rsid w:val="00D460DC"/>
    <w:rsid w:val="00D46F0F"/>
    <w:rsid w:val="00D50A4B"/>
    <w:rsid w:val="00D60DDA"/>
    <w:rsid w:val="00D63BEE"/>
    <w:rsid w:val="00D63E3A"/>
    <w:rsid w:val="00D64BD1"/>
    <w:rsid w:val="00D65EA4"/>
    <w:rsid w:val="00D6780A"/>
    <w:rsid w:val="00D71321"/>
    <w:rsid w:val="00D71E65"/>
    <w:rsid w:val="00D72760"/>
    <w:rsid w:val="00D73EFE"/>
    <w:rsid w:val="00D74002"/>
    <w:rsid w:val="00D75E98"/>
    <w:rsid w:val="00D7713F"/>
    <w:rsid w:val="00D80CB5"/>
    <w:rsid w:val="00D80EFF"/>
    <w:rsid w:val="00D835FD"/>
    <w:rsid w:val="00D83A79"/>
    <w:rsid w:val="00D840FD"/>
    <w:rsid w:val="00D85AFB"/>
    <w:rsid w:val="00D86183"/>
    <w:rsid w:val="00D86954"/>
    <w:rsid w:val="00D87125"/>
    <w:rsid w:val="00D8739D"/>
    <w:rsid w:val="00D90521"/>
    <w:rsid w:val="00D93BE2"/>
    <w:rsid w:val="00D9436A"/>
    <w:rsid w:val="00D94597"/>
    <w:rsid w:val="00D95C5D"/>
    <w:rsid w:val="00D963D4"/>
    <w:rsid w:val="00D96E43"/>
    <w:rsid w:val="00D97C7A"/>
    <w:rsid w:val="00DA040F"/>
    <w:rsid w:val="00DA3395"/>
    <w:rsid w:val="00DA37FC"/>
    <w:rsid w:val="00DA3839"/>
    <w:rsid w:val="00DA47BD"/>
    <w:rsid w:val="00DA5AC7"/>
    <w:rsid w:val="00DA71C7"/>
    <w:rsid w:val="00DA7C3C"/>
    <w:rsid w:val="00DA7FCF"/>
    <w:rsid w:val="00DB06B4"/>
    <w:rsid w:val="00DB3382"/>
    <w:rsid w:val="00DB3CF4"/>
    <w:rsid w:val="00DB4831"/>
    <w:rsid w:val="00DB4E69"/>
    <w:rsid w:val="00DB6865"/>
    <w:rsid w:val="00DB6BD5"/>
    <w:rsid w:val="00DB7F72"/>
    <w:rsid w:val="00DC1C21"/>
    <w:rsid w:val="00DC3E8A"/>
    <w:rsid w:val="00DC4B7E"/>
    <w:rsid w:val="00DC68E1"/>
    <w:rsid w:val="00DD0075"/>
    <w:rsid w:val="00DD0783"/>
    <w:rsid w:val="00DD1986"/>
    <w:rsid w:val="00DD68B1"/>
    <w:rsid w:val="00DD7177"/>
    <w:rsid w:val="00DD7E38"/>
    <w:rsid w:val="00DE084C"/>
    <w:rsid w:val="00DE2561"/>
    <w:rsid w:val="00DE2F81"/>
    <w:rsid w:val="00DE2F87"/>
    <w:rsid w:val="00DE4722"/>
    <w:rsid w:val="00DE4E44"/>
    <w:rsid w:val="00DE5769"/>
    <w:rsid w:val="00DE58C3"/>
    <w:rsid w:val="00DE71BE"/>
    <w:rsid w:val="00DE7B37"/>
    <w:rsid w:val="00DF0ECD"/>
    <w:rsid w:val="00DF6ACA"/>
    <w:rsid w:val="00DF72F6"/>
    <w:rsid w:val="00E0074B"/>
    <w:rsid w:val="00E020D6"/>
    <w:rsid w:val="00E03C9D"/>
    <w:rsid w:val="00E04E01"/>
    <w:rsid w:val="00E060C8"/>
    <w:rsid w:val="00E0719C"/>
    <w:rsid w:val="00E102D6"/>
    <w:rsid w:val="00E1087B"/>
    <w:rsid w:val="00E114D2"/>
    <w:rsid w:val="00E12E30"/>
    <w:rsid w:val="00E14FB7"/>
    <w:rsid w:val="00E15020"/>
    <w:rsid w:val="00E1641C"/>
    <w:rsid w:val="00E1697C"/>
    <w:rsid w:val="00E17202"/>
    <w:rsid w:val="00E21256"/>
    <w:rsid w:val="00E237F8"/>
    <w:rsid w:val="00E245D7"/>
    <w:rsid w:val="00E25982"/>
    <w:rsid w:val="00E30B98"/>
    <w:rsid w:val="00E31AFC"/>
    <w:rsid w:val="00E349E9"/>
    <w:rsid w:val="00E34F47"/>
    <w:rsid w:val="00E357B7"/>
    <w:rsid w:val="00E35EEA"/>
    <w:rsid w:val="00E36F91"/>
    <w:rsid w:val="00E43CE4"/>
    <w:rsid w:val="00E43D3A"/>
    <w:rsid w:val="00E4452B"/>
    <w:rsid w:val="00E446B9"/>
    <w:rsid w:val="00E45C13"/>
    <w:rsid w:val="00E4607C"/>
    <w:rsid w:val="00E464BE"/>
    <w:rsid w:val="00E47538"/>
    <w:rsid w:val="00E47CE3"/>
    <w:rsid w:val="00E51F17"/>
    <w:rsid w:val="00E52C34"/>
    <w:rsid w:val="00E53800"/>
    <w:rsid w:val="00E56821"/>
    <w:rsid w:val="00E568CB"/>
    <w:rsid w:val="00E57185"/>
    <w:rsid w:val="00E6081F"/>
    <w:rsid w:val="00E629D2"/>
    <w:rsid w:val="00E635BB"/>
    <w:rsid w:val="00E638D5"/>
    <w:rsid w:val="00E638FC"/>
    <w:rsid w:val="00E64539"/>
    <w:rsid w:val="00E6772E"/>
    <w:rsid w:val="00E67A7C"/>
    <w:rsid w:val="00E67CB9"/>
    <w:rsid w:val="00E70A25"/>
    <w:rsid w:val="00E70E1D"/>
    <w:rsid w:val="00E7152A"/>
    <w:rsid w:val="00E72623"/>
    <w:rsid w:val="00E7346C"/>
    <w:rsid w:val="00E73C8B"/>
    <w:rsid w:val="00E748FF"/>
    <w:rsid w:val="00E74979"/>
    <w:rsid w:val="00E74C93"/>
    <w:rsid w:val="00E757EA"/>
    <w:rsid w:val="00E81F72"/>
    <w:rsid w:val="00E8574A"/>
    <w:rsid w:val="00E90E29"/>
    <w:rsid w:val="00E913B7"/>
    <w:rsid w:val="00E9168E"/>
    <w:rsid w:val="00E9223E"/>
    <w:rsid w:val="00E946BC"/>
    <w:rsid w:val="00E95CC3"/>
    <w:rsid w:val="00E97749"/>
    <w:rsid w:val="00E97955"/>
    <w:rsid w:val="00EA030B"/>
    <w:rsid w:val="00EA04B2"/>
    <w:rsid w:val="00EA0904"/>
    <w:rsid w:val="00EA181F"/>
    <w:rsid w:val="00EA20F3"/>
    <w:rsid w:val="00EA24F6"/>
    <w:rsid w:val="00EA3802"/>
    <w:rsid w:val="00EA3C52"/>
    <w:rsid w:val="00EA3D59"/>
    <w:rsid w:val="00EA4B1B"/>
    <w:rsid w:val="00EA5969"/>
    <w:rsid w:val="00EA7A56"/>
    <w:rsid w:val="00EB0098"/>
    <w:rsid w:val="00EB16C8"/>
    <w:rsid w:val="00EB17FA"/>
    <w:rsid w:val="00EB2A3D"/>
    <w:rsid w:val="00EB2D0F"/>
    <w:rsid w:val="00EB3CE1"/>
    <w:rsid w:val="00EB426A"/>
    <w:rsid w:val="00EB43CA"/>
    <w:rsid w:val="00EC1F75"/>
    <w:rsid w:val="00EC5ADD"/>
    <w:rsid w:val="00ED1730"/>
    <w:rsid w:val="00ED1EBE"/>
    <w:rsid w:val="00ED2831"/>
    <w:rsid w:val="00ED43D1"/>
    <w:rsid w:val="00ED59DB"/>
    <w:rsid w:val="00EE1A8F"/>
    <w:rsid w:val="00EE472F"/>
    <w:rsid w:val="00EE4EE1"/>
    <w:rsid w:val="00EE57CC"/>
    <w:rsid w:val="00EE5A84"/>
    <w:rsid w:val="00EE7DBC"/>
    <w:rsid w:val="00EF0A26"/>
    <w:rsid w:val="00EF0E66"/>
    <w:rsid w:val="00EF25FB"/>
    <w:rsid w:val="00EF2AAE"/>
    <w:rsid w:val="00EF4574"/>
    <w:rsid w:val="00EF4A34"/>
    <w:rsid w:val="00EF6543"/>
    <w:rsid w:val="00EF668C"/>
    <w:rsid w:val="00EF7117"/>
    <w:rsid w:val="00EF7359"/>
    <w:rsid w:val="00EF75F7"/>
    <w:rsid w:val="00F00E95"/>
    <w:rsid w:val="00F025D7"/>
    <w:rsid w:val="00F03AC1"/>
    <w:rsid w:val="00F03CF2"/>
    <w:rsid w:val="00F04B5D"/>
    <w:rsid w:val="00F05AF7"/>
    <w:rsid w:val="00F071DE"/>
    <w:rsid w:val="00F1055A"/>
    <w:rsid w:val="00F11FCF"/>
    <w:rsid w:val="00F16748"/>
    <w:rsid w:val="00F21C1F"/>
    <w:rsid w:val="00F223B5"/>
    <w:rsid w:val="00F22484"/>
    <w:rsid w:val="00F24D0A"/>
    <w:rsid w:val="00F25A1E"/>
    <w:rsid w:val="00F26475"/>
    <w:rsid w:val="00F2684E"/>
    <w:rsid w:val="00F26B9B"/>
    <w:rsid w:val="00F305E9"/>
    <w:rsid w:val="00F31FBC"/>
    <w:rsid w:val="00F33359"/>
    <w:rsid w:val="00F34139"/>
    <w:rsid w:val="00F34BEB"/>
    <w:rsid w:val="00F40B4A"/>
    <w:rsid w:val="00F419B9"/>
    <w:rsid w:val="00F42145"/>
    <w:rsid w:val="00F423E7"/>
    <w:rsid w:val="00F43F6F"/>
    <w:rsid w:val="00F4508F"/>
    <w:rsid w:val="00F46A99"/>
    <w:rsid w:val="00F46BC2"/>
    <w:rsid w:val="00F46D79"/>
    <w:rsid w:val="00F47A6F"/>
    <w:rsid w:val="00F50506"/>
    <w:rsid w:val="00F52240"/>
    <w:rsid w:val="00F5404C"/>
    <w:rsid w:val="00F550DC"/>
    <w:rsid w:val="00F55612"/>
    <w:rsid w:val="00F558C5"/>
    <w:rsid w:val="00F55ED5"/>
    <w:rsid w:val="00F56C35"/>
    <w:rsid w:val="00F57DE1"/>
    <w:rsid w:val="00F608F7"/>
    <w:rsid w:val="00F630CF"/>
    <w:rsid w:val="00F6377A"/>
    <w:rsid w:val="00F7044C"/>
    <w:rsid w:val="00F70893"/>
    <w:rsid w:val="00F70E3C"/>
    <w:rsid w:val="00F729EF"/>
    <w:rsid w:val="00F72B79"/>
    <w:rsid w:val="00F74323"/>
    <w:rsid w:val="00F76829"/>
    <w:rsid w:val="00F77CAE"/>
    <w:rsid w:val="00F77ECA"/>
    <w:rsid w:val="00F813B2"/>
    <w:rsid w:val="00F82271"/>
    <w:rsid w:val="00F83428"/>
    <w:rsid w:val="00F83739"/>
    <w:rsid w:val="00F85CB4"/>
    <w:rsid w:val="00F86A7C"/>
    <w:rsid w:val="00F86CD4"/>
    <w:rsid w:val="00F90995"/>
    <w:rsid w:val="00F91B44"/>
    <w:rsid w:val="00F93FA6"/>
    <w:rsid w:val="00F95070"/>
    <w:rsid w:val="00F96108"/>
    <w:rsid w:val="00F96BB9"/>
    <w:rsid w:val="00F97768"/>
    <w:rsid w:val="00FA05C7"/>
    <w:rsid w:val="00FA068E"/>
    <w:rsid w:val="00FA0CB3"/>
    <w:rsid w:val="00FA2B5E"/>
    <w:rsid w:val="00FA4411"/>
    <w:rsid w:val="00FA785D"/>
    <w:rsid w:val="00FA7C06"/>
    <w:rsid w:val="00FB4078"/>
    <w:rsid w:val="00FB6C5D"/>
    <w:rsid w:val="00FB7187"/>
    <w:rsid w:val="00FB76E4"/>
    <w:rsid w:val="00FC115C"/>
    <w:rsid w:val="00FC4B66"/>
    <w:rsid w:val="00FC529D"/>
    <w:rsid w:val="00FC562B"/>
    <w:rsid w:val="00FC7B4C"/>
    <w:rsid w:val="00FD094B"/>
    <w:rsid w:val="00FD2A9D"/>
    <w:rsid w:val="00FD4230"/>
    <w:rsid w:val="00FD4318"/>
    <w:rsid w:val="00FD493C"/>
    <w:rsid w:val="00FD55BF"/>
    <w:rsid w:val="00FE09C8"/>
    <w:rsid w:val="00FE4F11"/>
    <w:rsid w:val="00FE5189"/>
    <w:rsid w:val="00FE6D51"/>
    <w:rsid w:val="00FF09F3"/>
    <w:rsid w:val="00FF31AA"/>
    <w:rsid w:val="00FF4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8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FA6"/>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3E6482"/>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EA3D5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List Paragraph - bullets,Use Case List Paragraph,Bullets,heading 6,List Paragraph1,ADB paragraph numbering,List Paragraph11,Recommendation,List Paragraph2,L"/>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 Char,List Paragraph - bullets Char,Use Case List Paragraph Char,Bullets Char,heading 6 Char,List Paragraph1 Char,List Paragraph11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636"/>
    <w:rPr>
      <w:sz w:val="16"/>
      <w:szCs w:val="16"/>
    </w:rPr>
  </w:style>
  <w:style w:type="paragraph" w:styleId="CommentText">
    <w:name w:val="annotation text"/>
    <w:basedOn w:val="Normal"/>
    <w:link w:val="CommentTextChar"/>
    <w:uiPriority w:val="99"/>
    <w:semiHidden/>
    <w:unhideWhenUsed/>
    <w:rsid w:val="00BC7636"/>
    <w:pPr>
      <w:spacing w:line="240" w:lineRule="auto"/>
    </w:pPr>
    <w:rPr>
      <w:sz w:val="20"/>
      <w:szCs w:val="20"/>
    </w:rPr>
  </w:style>
  <w:style w:type="character" w:customStyle="1" w:styleId="CommentTextChar">
    <w:name w:val="Comment Text Char"/>
    <w:basedOn w:val="DefaultParagraphFont"/>
    <w:link w:val="CommentText"/>
    <w:uiPriority w:val="99"/>
    <w:semiHidden/>
    <w:rsid w:val="00BC763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C7636"/>
    <w:rPr>
      <w:b/>
      <w:bCs/>
    </w:rPr>
  </w:style>
  <w:style w:type="character" w:customStyle="1" w:styleId="CommentSubjectChar">
    <w:name w:val="Comment Subject Char"/>
    <w:basedOn w:val="CommentTextChar"/>
    <w:link w:val="CommentSubject"/>
    <w:uiPriority w:val="99"/>
    <w:semiHidden/>
    <w:rsid w:val="00BC7636"/>
    <w:rPr>
      <w:b/>
      <w:bCs/>
      <w:color w:val="495965" w:themeColor="text2"/>
      <w:sz w:val="20"/>
      <w:szCs w:val="20"/>
      <w:lang w:val="en-GB"/>
    </w:rPr>
  </w:style>
  <w:style w:type="paragraph" w:styleId="Revision">
    <w:name w:val="Revision"/>
    <w:hidden/>
    <w:uiPriority w:val="99"/>
    <w:semiHidden/>
    <w:rsid w:val="00AD762E"/>
    <w:pPr>
      <w:spacing w:after="0" w:line="240" w:lineRule="auto"/>
    </w:pPr>
    <w:rPr>
      <w:color w:val="495965" w:themeColor="text2"/>
      <w:lang w:val="en-GB"/>
    </w:rPr>
  </w:style>
  <w:style w:type="character" w:customStyle="1" w:styleId="A20">
    <w:name w:val="A20"/>
    <w:uiPriority w:val="99"/>
    <w:rsid w:val="00FB4078"/>
    <w:rPr>
      <w:rFonts w:cs="Montserrat"/>
      <w:color w:val="000000"/>
      <w:sz w:val="15"/>
      <w:szCs w:val="15"/>
    </w:rPr>
  </w:style>
  <w:style w:type="paragraph" w:styleId="EndnoteText">
    <w:name w:val="endnote text"/>
    <w:basedOn w:val="Normal"/>
    <w:link w:val="EndnoteTextChar"/>
    <w:uiPriority w:val="99"/>
    <w:semiHidden/>
    <w:unhideWhenUsed/>
    <w:rsid w:val="007B30D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30DD"/>
    <w:rPr>
      <w:color w:val="495965" w:themeColor="text2"/>
      <w:sz w:val="20"/>
      <w:szCs w:val="20"/>
      <w:lang w:val="en-GB"/>
    </w:rPr>
  </w:style>
  <w:style w:type="character" w:styleId="EndnoteReference">
    <w:name w:val="endnote reference"/>
    <w:basedOn w:val="DefaultParagraphFont"/>
    <w:uiPriority w:val="99"/>
    <w:semiHidden/>
    <w:unhideWhenUsed/>
    <w:rsid w:val="007B3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1749">
      <w:bodyDiv w:val="1"/>
      <w:marLeft w:val="0"/>
      <w:marRight w:val="0"/>
      <w:marTop w:val="0"/>
      <w:marBottom w:val="0"/>
      <w:divBdr>
        <w:top w:val="none" w:sz="0" w:space="0" w:color="auto"/>
        <w:left w:val="none" w:sz="0" w:space="0" w:color="auto"/>
        <w:bottom w:val="none" w:sz="0" w:space="0" w:color="auto"/>
        <w:right w:val="none" w:sz="0" w:space="0" w:color="auto"/>
      </w:divBdr>
    </w:div>
    <w:div w:id="798108460">
      <w:bodyDiv w:val="1"/>
      <w:marLeft w:val="0"/>
      <w:marRight w:val="0"/>
      <w:marTop w:val="0"/>
      <w:marBottom w:val="0"/>
      <w:divBdr>
        <w:top w:val="none" w:sz="0" w:space="0" w:color="auto"/>
        <w:left w:val="none" w:sz="0" w:space="0" w:color="auto"/>
        <w:bottom w:val="none" w:sz="0" w:space="0" w:color="auto"/>
        <w:right w:val="none" w:sz="0" w:space="0" w:color="auto"/>
      </w:divBdr>
    </w:div>
    <w:div w:id="1046877930">
      <w:bodyDiv w:val="1"/>
      <w:marLeft w:val="0"/>
      <w:marRight w:val="0"/>
      <w:marTop w:val="0"/>
      <w:marBottom w:val="0"/>
      <w:divBdr>
        <w:top w:val="none" w:sz="0" w:space="0" w:color="auto"/>
        <w:left w:val="none" w:sz="0" w:space="0" w:color="auto"/>
        <w:bottom w:val="none" w:sz="0" w:space="0" w:color="auto"/>
        <w:right w:val="none" w:sz="0" w:space="0" w:color="auto"/>
      </w:divBdr>
    </w:div>
    <w:div w:id="1074476724">
      <w:bodyDiv w:val="1"/>
      <w:marLeft w:val="0"/>
      <w:marRight w:val="0"/>
      <w:marTop w:val="0"/>
      <w:marBottom w:val="0"/>
      <w:divBdr>
        <w:top w:val="none" w:sz="0" w:space="0" w:color="auto"/>
        <w:left w:val="none" w:sz="0" w:space="0" w:color="auto"/>
        <w:bottom w:val="none" w:sz="0" w:space="0" w:color="auto"/>
        <w:right w:val="none" w:sz="0" w:space="0" w:color="auto"/>
      </w:divBdr>
    </w:div>
    <w:div w:id="1151361180">
      <w:bodyDiv w:val="1"/>
      <w:marLeft w:val="0"/>
      <w:marRight w:val="0"/>
      <w:marTop w:val="0"/>
      <w:marBottom w:val="0"/>
      <w:divBdr>
        <w:top w:val="none" w:sz="0" w:space="0" w:color="auto"/>
        <w:left w:val="none" w:sz="0" w:space="0" w:color="auto"/>
        <w:bottom w:val="none" w:sz="0" w:space="0" w:color="auto"/>
        <w:right w:val="none" w:sz="0" w:space="0" w:color="auto"/>
      </w:divBdr>
    </w:div>
    <w:div w:id="14508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4.xml"/><Relationship Id="rId39" Type="http://schemas.openxmlformats.org/officeDocument/2006/relationships/image" Target="media/image23.png"/><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header" Target="header7.xml"/><Relationship Id="rId53"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5.jpeg"/><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image" Target="media/image14.png"/><Relationship Id="rId35" Type="http://schemas.openxmlformats.org/officeDocument/2006/relationships/image" Target="media/image19.jpeg"/><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yperlink" Target="https://dfat.gov.au/about-us/publications/Pages/myanmar-economic-growth-programs-performance-evaluation.aspx." TargetMode="External"/><Relationship Id="rId33" Type="http://schemas.openxmlformats.org/officeDocument/2006/relationships/image" Target="media/image17.png"/><Relationship Id="rId38" Type="http://schemas.openxmlformats.org/officeDocument/2006/relationships/image" Target="media/image22.jpeg"/><Relationship Id="rId20" Type="http://schemas.openxmlformats.org/officeDocument/2006/relationships/image" Target="media/image9.png"/><Relationship Id="rId41" Type="http://schemas.openxmlformats.org/officeDocument/2006/relationships/fontTable" Target="fontTable.xml"/><Relationship Id="rId5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049C64-44D2-4C91-936C-CCD9504924C2}"/>
</file>

<file path=customXml/itemProps2.xml><?xml version="1.0" encoding="utf-8"?>
<ds:datastoreItem xmlns:ds="http://schemas.openxmlformats.org/officeDocument/2006/customXml" ds:itemID="{30FB411B-257C-407C-9B0D-767BE90C175A}"/>
</file>

<file path=customXml/itemProps3.xml><?xml version="1.0" encoding="utf-8"?>
<ds:datastoreItem xmlns:ds="http://schemas.openxmlformats.org/officeDocument/2006/customXml" ds:itemID="{B6AA0E3D-ACEC-4D1B-AEA9-5E138F645E45}"/>
</file>

<file path=customXml/itemProps4.xml><?xml version="1.0" encoding="utf-8"?>
<ds:datastoreItem xmlns:ds="http://schemas.openxmlformats.org/officeDocument/2006/customXml" ds:itemID="{BC07A76F-3B12-4690-AEA4-86A6CB588705}"/>
</file>

<file path=docProps/app.xml><?xml version="1.0" encoding="utf-8"?>
<Properties xmlns="http://schemas.openxmlformats.org/officeDocument/2006/extended-properties" xmlns:vt="http://schemas.openxmlformats.org/officeDocument/2006/docPropsVTypes">
  <Template>Normal.dotm</Template>
  <TotalTime>0</TotalTime>
  <Pages>31</Pages>
  <Words>13628</Words>
  <Characters>77682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2019-10-23T00:02:00Z</dcterms:created>
  <dcterms:modified xsi:type="dcterms:W3CDTF">2019-10-23T01:08:00Z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96a18a57-9b17-4c61-b747-9ced5114a646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