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8F" w:rsidRPr="00A769DE" w:rsidRDefault="006E105B" w:rsidP="003A5358">
      <w:pPr>
        <w:pStyle w:val="Title"/>
        <w:rPr>
          <w:rFonts w:ascii="Arial" w:hAnsi="Arial" w:cs="Arial"/>
          <w:sz w:val="56"/>
          <w:szCs w:val="56"/>
        </w:rPr>
      </w:pPr>
      <w:bookmarkStart w:id="0" w:name="_GoBack"/>
      <w:bookmarkEnd w:id="0"/>
      <w:r w:rsidRPr="006E105B">
        <w:rPr>
          <w:rFonts w:ascii="Arial" w:hAnsi="Arial" w:cs="Arial"/>
          <w:sz w:val="56"/>
          <w:szCs w:val="56"/>
        </w:rPr>
        <w:t>Performance Evaluation of Australia’s Key Economic Growth Programs in Myanmar</w:t>
      </w:r>
    </w:p>
    <w:p w:rsidR="00930278" w:rsidRPr="00930278" w:rsidRDefault="00930278" w:rsidP="00930278">
      <w:pPr>
        <w:rPr>
          <w:rFonts w:ascii="Arial" w:hAnsi="Arial" w:cs="Arial"/>
          <w:color w:val="FFFFFF" w:themeColor="background1"/>
          <w:sz w:val="24"/>
          <w:lang w:val="en-AU"/>
        </w:rPr>
        <w:sectPr w:rsidR="00930278" w:rsidRPr="00930278" w:rsidSect="00B3322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28" w:right="1134" w:bottom="993" w:left="1134" w:header="567" w:footer="567" w:gutter="0"/>
          <w:pgNumType w:fmt="upperLetter"/>
          <w:cols w:space="708"/>
          <w:vAlign w:val="bottom"/>
          <w:docGrid w:linePitch="360"/>
        </w:sectPr>
      </w:pPr>
      <w:r w:rsidRPr="00930278">
        <w:rPr>
          <w:rFonts w:ascii="Arial" w:hAnsi="Arial" w:cs="Arial"/>
          <w:color w:val="FFFFFF" w:themeColor="background1"/>
          <w:sz w:val="24"/>
          <w:lang w:val="en-AU"/>
        </w:rPr>
        <w:t>April 2019</w:t>
      </w:r>
    </w:p>
    <w:p w:rsidR="003A5358" w:rsidRPr="00A769DE" w:rsidRDefault="00A379CD" w:rsidP="003A5358">
      <w:pPr>
        <w:pStyle w:val="Heading1smallspaceafter"/>
        <w:rPr>
          <w:rFonts w:ascii="Arial" w:hAnsi="Arial" w:cs="Arial"/>
          <w:color w:val="auto"/>
          <w:lang w:val="en-AU"/>
        </w:rPr>
      </w:pPr>
      <w:bookmarkStart w:id="1" w:name="_Toc525930537"/>
      <w:bookmarkStart w:id="2" w:name="_Toc530307587"/>
      <w:r w:rsidRPr="00A769DE">
        <w:rPr>
          <w:rFonts w:ascii="Arial" w:hAnsi="Arial" w:cs="Arial"/>
          <w:color w:val="auto"/>
          <w:lang w:val="en-AU"/>
        </w:rPr>
        <w:lastRenderedPageBreak/>
        <w:t>ACKNOWLEDGEMENT AND DISCLAIMER</w:t>
      </w:r>
      <w:bookmarkEnd w:id="1"/>
      <w:bookmarkEnd w:id="2"/>
    </w:p>
    <w:p w:rsidR="00A379CD" w:rsidRPr="00F95AFC" w:rsidRDefault="00A379CD" w:rsidP="00F95AFC">
      <w:pPr>
        <w:spacing w:before="0" w:after="0" w:line="240" w:lineRule="auto"/>
        <w:jc w:val="both"/>
        <w:rPr>
          <w:rFonts w:ascii="Arial" w:hAnsi="Arial" w:cs="Arial"/>
          <w:color w:val="auto"/>
          <w:lang w:val="en-AU"/>
        </w:rPr>
      </w:pPr>
      <w:r w:rsidRPr="00A769DE">
        <w:rPr>
          <w:rFonts w:ascii="Arial" w:hAnsi="Arial" w:cs="Arial"/>
          <w:color w:val="auto"/>
          <w:lang w:val="en-AU"/>
        </w:rPr>
        <w:t>The performance evaluation has been conducted during July-</w:t>
      </w:r>
      <w:r w:rsidR="00F87FFB">
        <w:rPr>
          <w:rFonts w:ascii="Arial" w:hAnsi="Arial" w:cs="Arial"/>
          <w:color w:val="auto"/>
          <w:lang w:val="en-AU"/>
        </w:rPr>
        <w:t>November</w:t>
      </w:r>
      <w:r w:rsidRPr="00A769DE">
        <w:rPr>
          <w:rFonts w:ascii="Arial" w:hAnsi="Arial" w:cs="Arial"/>
          <w:color w:val="auto"/>
          <w:lang w:val="en-AU"/>
        </w:rPr>
        <w:t xml:space="preserve"> 2018, including based on an in-country mission 13-24 August 2018, by</w:t>
      </w:r>
      <w:r w:rsidR="00F95AFC">
        <w:rPr>
          <w:rFonts w:ascii="Arial" w:hAnsi="Arial" w:cs="Arial"/>
          <w:color w:val="auto"/>
          <w:lang w:val="en-AU"/>
        </w:rPr>
        <w:t xml:space="preserve"> </w:t>
      </w:r>
      <w:r w:rsidRPr="00F95AFC">
        <w:rPr>
          <w:rFonts w:ascii="Arial" w:hAnsi="Arial" w:cs="Arial"/>
          <w:color w:val="auto"/>
          <w:lang w:val="en-AU"/>
        </w:rPr>
        <w:t>Peter Jensen</w:t>
      </w:r>
      <w:r w:rsidR="00F95AFC">
        <w:rPr>
          <w:rFonts w:ascii="Arial" w:hAnsi="Arial" w:cs="Arial"/>
          <w:color w:val="auto"/>
          <w:lang w:val="en-AU"/>
        </w:rPr>
        <w:t xml:space="preserve">, </w:t>
      </w:r>
      <w:r w:rsidRPr="00F95AFC">
        <w:rPr>
          <w:rFonts w:ascii="Arial" w:hAnsi="Arial" w:cs="Arial"/>
          <w:color w:val="auto"/>
          <w:lang w:val="en-AU"/>
        </w:rPr>
        <w:t>Consultant / Evaluator</w:t>
      </w:r>
    </w:p>
    <w:p w:rsidR="00A379CD" w:rsidRPr="00A769DE" w:rsidRDefault="00A379CD" w:rsidP="00A379CD">
      <w:pPr>
        <w:spacing w:before="0" w:after="0" w:line="240" w:lineRule="auto"/>
        <w:jc w:val="both"/>
        <w:rPr>
          <w:rFonts w:ascii="Arial" w:hAnsi="Arial" w:cs="Arial"/>
          <w:color w:val="auto"/>
          <w:lang w:val="en-AU"/>
        </w:rPr>
      </w:pPr>
    </w:p>
    <w:p w:rsidR="00A379CD" w:rsidRPr="00A769DE" w:rsidRDefault="00A379CD" w:rsidP="00A379CD">
      <w:pPr>
        <w:spacing w:before="0" w:after="0" w:line="240" w:lineRule="auto"/>
        <w:jc w:val="both"/>
        <w:rPr>
          <w:rFonts w:ascii="Arial" w:hAnsi="Arial" w:cs="Arial"/>
          <w:color w:val="auto"/>
          <w:lang w:val="en-AU"/>
        </w:rPr>
      </w:pPr>
      <w:r w:rsidRPr="00A769DE">
        <w:rPr>
          <w:rFonts w:ascii="Arial" w:hAnsi="Arial" w:cs="Arial"/>
          <w:color w:val="auto"/>
          <w:lang w:val="en-AU"/>
        </w:rPr>
        <w:t>All stakeholders – Government officials and staff, DFAT staff, development partners, and representatives of private organisations and firms – are appreciated for their generous contribution of time for consultations and sharing constructive views. The support received from DFAT Post and the IFC in organising the in-country mission is greatly appreciated.</w:t>
      </w:r>
      <w:r w:rsidR="00E13D28">
        <w:rPr>
          <w:rFonts w:ascii="Arial" w:hAnsi="Arial" w:cs="Arial"/>
          <w:color w:val="auto"/>
          <w:lang w:val="en-AU"/>
        </w:rPr>
        <w:t xml:space="preserve"> Feedback from DFAT</w:t>
      </w:r>
      <w:r w:rsidR="000473C2">
        <w:rPr>
          <w:rFonts w:ascii="Arial" w:hAnsi="Arial" w:cs="Arial"/>
          <w:color w:val="auto"/>
          <w:lang w:val="en-AU"/>
        </w:rPr>
        <w:t xml:space="preserve">, </w:t>
      </w:r>
      <w:r w:rsidR="00E13D28">
        <w:rPr>
          <w:rFonts w:ascii="Arial" w:hAnsi="Arial" w:cs="Arial"/>
          <w:color w:val="auto"/>
          <w:lang w:val="en-AU"/>
        </w:rPr>
        <w:t>IFC</w:t>
      </w:r>
      <w:r w:rsidR="000473C2">
        <w:rPr>
          <w:rFonts w:ascii="Arial" w:hAnsi="Arial" w:cs="Arial"/>
          <w:color w:val="auto"/>
          <w:lang w:val="en-AU"/>
        </w:rPr>
        <w:t xml:space="preserve"> and the World Bank</w:t>
      </w:r>
      <w:r w:rsidR="00E13D28">
        <w:rPr>
          <w:rFonts w:ascii="Arial" w:hAnsi="Arial" w:cs="Arial"/>
          <w:color w:val="auto"/>
          <w:lang w:val="en-AU"/>
        </w:rPr>
        <w:t xml:space="preserve"> on a draft version of the report is acknowledged and has been taken into account in preparing the final version.</w:t>
      </w:r>
    </w:p>
    <w:p w:rsidR="00A379CD" w:rsidRPr="00A769DE" w:rsidRDefault="00A379CD" w:rsidP="00A379CD">
      <w:pPr>
        <w:spacing w:before="0" w:after="0" w:line="240" w:lineRule="auto"/>
        <w:jc w:val="both"/>
        <w:rPr>
          <w:rFonts w:ascii="Arial" w:hAnsi="Arial" w:cs="Arial"/>
          <w:color w:val="auto"/>
          <w:lang w:val="en-AU"/>
        </w:rPr>
      </w:pPr>
    </w:p>
    <w:p w:rsidR="00A379CD" w:rsidRPr="00A769DE" w:rsidRDefault="00A379CD" w:rsidP="00A379CD">
      <w:pPr>
        <w:spacing w:before="0" w:after="0" w:line="240" w:lineRule="auto"/>
        <w:jc w:val="both"/>
        <w:rPr>
          <w:rFonts w:ascii="Arial" w:hAnsi="Arial" w:cs="Arial"/>
          <w:color w:val="auto"/>
          <w:lang w:val="en-AU"/>
        </w:rPr>
      </w:pPr>
      <w:r w:rsidRPr="00A769DE">
        <w:rPr>
          <w:rFonts w:ascii="Arial" w:hAnsi="Arial" w:cs="Arial"/>
          <w:color w:val="auto"/>
          <w:u w:val="single"/>
          <w:lang w:val="en-AU"/>
        </w:rPr>
        <w:t>Disclaimer</w:t>
      </w:r>
      <w:r w:rsidRPr="00A769DE">
        <w:rPr>
          <w:rFonts w:ascii="Arial" w:hAnsi="Arial" w:cs="Arial"/>
          <w:color w:val="auto"/>
          <w:lang w:val="en-AU"/>
        </w:rPr>
        <w:t>: The views expressed in this document are those of the consultant only, and do not necessarily represent the views of the Government of Australia or DFAT.</w:t>
      </w:r>
    </w:p>
    <w:p w:rsidR="00C86007" w:rsidRPr="00A769DE" w:rsidRDefault="00C86007" w:rsidP="00A379CD">
      <w:pPr>
        <w:pStyle w:val="BodyText"/>
        <w:spacing w:before="0" w:after="0" w:line="240" w:lineRule="auto"/>
        <w:jc w:val="both"/>
        <w:rPr>
          <w:rFonts w:ascii="Arial" w:hAnsi="Arial" w:cs="Arial"/>
          <w:color w:val="auto"/>
          <w:lang w:val="en-AU"/>
        </w:rPr>
      </w:pPr>
    </w:p>
    <w:p w:rsidR="00A379CD" w:rsidRPr="00A769DE" w:rsidRDefault="00A379CD" w:rsidP="00A379CD">
      <w:pPr>
        <w:pStyle w:val="BodyText"/>
        <w:spacing w:before="0" w:after="0" w:line="240" w:lineRule="auto"/>
        <w:jc w:val="both"/>
        <w:rPr>
          <w:rFonts w:ascii="Arial" w:hAnsi="Arial" w:cs="Arial"/>
          <w:color w:val="auto"/>
          <w:lang w:val="en-AU"/>
        </w:rPr>
      </w:pPr>
    </w:p>
    <w:p w:rsidR="00A379CD" w:rsidRPr="00A769DE" w:rsidRDefault="00A379CD" w:rsidP="00A379CD">
      <w:pPr>
        <w:spacing w:before="0" w:after="0"/>
        <w:rPr>
          <w:rFonts w:ascii="Arial" w:hAnsi="Arial" w:cs="Arial"/>
          <w:b/>
          <w:color w:val="auto"/>
          <w:sz w:val="32"/>
          <w:szCs w:val="32"/>
          <w:lang w:val="en-AU"/>
        </w:rPr>
      </w:pPr>
      <w:r w:rsidRPr="00A769DE">
        <w:rPr>
          <w:rFonts w:ascii="Arial" w:hAnsi="Arial" w:cs="Arial"/>
          <w:b/>
          <w:color w:val="auto"/>
          <w:sz w:val="32"/>
          <w:szCs w:val="32"/>
          <w:lang w:val="en-AU"/>
        </w:rPr>
        <w:br w:type="page"/>
      </w:r>
    </w:p>
    <w:p w:rsidR="00A379CD" w:rsidRPr="00A769DE" w:rsidRDefault="00A379CD" w:rsidP="00A379CD">
      <w:pPr>
        <w:spacing w:before="0" w:after="120"/>
        <w:rPr>
          <w:rFonts w:ascii="Arial" w:hAnsi="Arial" w:cs="Arial"/>
          <w:b/>
          <w:color w:val="auto"/>
          <w:sz w:val="32"/>
          <w:szCs w:val="32"/>
          <w:lang w:val="en-AU"/>
        </w:rPr>
      </w:pPr>
      <w:r w:rsidRPr="00A769DE">
        <w:rPr>
          <w:rFonts w:ascii="Arial" w:hAnsi="Arial" w:cs="Arial"/>
          <w:b/>
          <w:color w:val="auto"/>
          <w:sz w:val="32"/>
          <w:szCs w:val="32"/>
          <w:lang w:val="en-AU"/>
        </w:rPr>
        <w:lastRenderedPageBreak/>
        <w:t>LIST OF ABBREVIATIONS</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ADB</w:t>
      </w:r>
      <w:r w:rsidRPr="00A769DE">
        <w:rPr>
          <w:rFonts w:ascii="Arial" w:hAnsi="Arial" w:cs="Arial"/>
          <w:color w:val="auto"/>
          <w:sz w:val="21"/>
          <w:szCs w:val="21"/>
          <w:lang w:val="en-AU"/>
        </w:rPr>
        <w:tab/>
      </w:r>
      <w:r w:rsidRPr="00A769DE">
        <w:rPr>
          <w:rFonts w:ascii="Arial" w:hAnsi="Arial" w:cs="Arial"/>
          <w:color w:val="auto"/>
          <w:sz w:val="21"/>
          <w:szCs w:val="21"/>
          <w:lang w:val="en-AU"/>
        </w:rPr>
        <w:tab/>
        <w:t>Asian Development Bank</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AIP</w:t>
      </w:r>
      <w:r w:rsidRPr="00A769DE">
        <w:rPr>
          <w:rFonts w:ascii="Arial" w:hAnsi="Arial" w:cs="Arial"/>
          <w:color w:val="auto"/>
          <w:sz w:val="21"/>
          <w:szCs w:val="21"/>
          <w:lang w:val="en-AU"/>
        </w:rPr>
        <w:tab/>
      </w:r>
      <w:r w:rsidRPr="00A769DE">
        <w:rPr>
          <w:rFonts w:ascii="Arial" w:hAnsi="Arial" w:cs="Arial"/>
          <w:color w:val="auto"/>
          <w:sz w:val="21"/>
          <w:szCs w:val="21"/>
          <w:lang w:val="en-AU"/>
        </w:rPr>
        <w:tab/>
        <w:t>Aid Investment Plan</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DB</w:t>
      </w:r>
      <w:r w:rsidRPr="00A769DE">
        <w:rPr>
          <w:rFonts w:ascii="Arial" w:hAnsi="Arial" w:cs="Arial"/>
          <w:color w:val="auto"/>
          <w:sz w:val="21"/>
          <w:szCs w:val="21"/>
          <w:lang w:val="en-AU"/>
        </w:rPr>
        <w:tab/>
      </w:r>
      <w:r w:rsidRPr="00A769DE">
        <w:rPr>
          <w:rFonts w:ascii="Arial" w:hAnsi="Arial" w:cs="Arial"/>
          <w:color w:val="auto"/>
          <w:sz w:val="21"/>
          <w:szCs w:val="21"/>
          <w:lang w:val="en-AU"/>
        </w:rPr>
        <w:tab/>
        <w:t>Doing Business</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DFAT</w:t>
      </w:r>
      <w:r w:rsidRPr="00A769DE">
        <w:rPr>
          <w:rFonts w:ascii="Arial" w:hAnsi="Arial" w:cs="Arial"/>
          <w:color w:val="auto"/>
          <w:sz w:val="21"/>
          <w:szCs w:val="21"/>
          <w:lang w:val="en-AU"/>
        </w:rPr>
        <w:tab/>
      </w:r>
      <w:r w:rsidRPr="00A769DE">
        <w:rPr>
          <w:rFonts w:ascii="Arial" w:hAnsi="Arial" w:cs="Arial"/>
          <w:color w:val="auto"/>
          <w:sz w:val="21"/>
          <w:szCs w:val="21"/>
          <w:lang w:val="en-AU"/>
        </w:rPr>
        <w:tab/>
        <w:t>Department for Foreign Affairs and Trade</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DFID</w:t>
      </w:r>
      <w:r w:rsidRPr="00A769DE">
        <w:rPr>
          <w:rFonts w:ascii="Arial" w:hAnsi="Arial" w:cs="Arial"/>
          <w:color w:val="auto"/>
          <w:sz w:val="21"/>
          <w:szCs w:val="21"/>
          <w:lang w:val="en-AU"/>
        </w:rPr>
        <w:tab/>
      </w:r>
      <w:r w:rsidRPr="00A769DE">
        <w:rPr>
          <w:rFonts w:ascii="Arial" w:hAnsi="Arial" w:cs="Arial"/>
          <w:color w:val="auto"/>
          <w:sz w:val="21"/>
          <w:szCs w:val="21"/>
          <w:lang w:val="en-AU"/>
        </w:rPr>
        <w:tab/>
        <w:t>Department for International Development</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DICA</w:t>
      </w:r>
      <w:r w:rsidRPr="00A769DE">
        <w:rPr>
          <w:rFonts w:ascii="Arial" w:hAnsi="Arial" w:cs="Arial"/>
          <w:color w:val="auto"/>
          <w:sz w:val="21"/>
          <w:szCs w:val="21"/>
          <w:lang w:val="en-AU"/>
        </w:rPr>
        <w:tab/>
      </w:r>
      <w:r w:rsidRPr="00A769DE">
        <w:rPr>
          <w:rFonts w:ascii="Arial" w:hAnsi="Arial" w:cs="Arial"/>
          <w:color w:val="auto"/>
          <w:sz w:val="21"/>
          <w:szCs w:val="21"/>
          <w:lang w:val="en-AU"/>
        </w:rPr>
        <w:tab/>
        <w:t>Directorate of Investment and Company Administration</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DoA</w:t>
      </w:r>
      <w:r w:rsidRPr="00A769DE">
        <w:rPr>
          <w:rFonts w:ascii="Arial" w:hAnsi="Arial" w:cs="Arial"/>
          <w:color w:val="auto"/>
          <w:sz w:val="21"/>
          <w:szCs w:val="21"/>
          <w:lang w:val="en-AU"/>
        </w:rPr>
        <w:tab/>
      </w:r>
      <w:r w:rsidRPr="00A769DE">
        <w:rPr>
          <w:rFonts w:ascii="Arial" w:hAnsi="Arial" w:cs="Arial"/>
          <w:color w:val="auto"/>
          <w:sz w:val="21"/>
          <w:szCs w:val="21"/>
          <w:lang w:val="en-AU"/>
        </w:rPr>
        <w:tab/>
        <w:t>Department of Agriculture</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DTF</w:t>
      </w:r>
      <w:r w:rsidRPr="00A769DE">
        <w:rPr>
          <w:rFonts w:ascii="Arial" w:hAnsi="Arial" w:cs="Arial"/>
          <w:color w:val="auto"/>
          <w:sz w:val="21"/>
          <w:szCs w:val="21"/>
          <w:lang w:val="en-AU"/>
        </w:rPr>
        <w:tab/>
      </w:r>
      <w:r w:rsidRPr="00A769DE">
        <w:rPr>
          <w:rFonts w:ascii="Arial" w:hAnsi="Arial" w:cs="Arial"/>
          <w:color w:val="auto"/>
          <w:sz w:val="21"/>
          <w:szCs w:val="21"/>
          <w:lang w:val="en-AU"/>
        </w:rPr>
        <w:tab/>
        <w:t>Distance to Frontier</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DTIS</w:t>
      </w:r>
      <w:r w:rsidR="00FB4BF5" w:rsidRPr="00A769DE">
        <w:rPr>
          <w:rFonts w:ascii="Arial" w:hAnsi="Arial" w:cs="Arial"/>
          <w:color w:val="auto"/>
          <w:sz w:val="21"/>
          <w:szCs w:val="21"/>
          <w:lang w:val="en-AU"/>
        </w:rPr>
        <w:tab/>
      </w:r>
      <w:r w:rsidR="00FB4BF5" w:rsidRPr="00A769DE">
        <w:rPr>
          <w:rFonts w:ascii="Arial" w:hAnsi="Arial" w:cs="Arial"/>
          <w:color w:val="auto"/>
          <w:sz w:val="21"/>
          <w:szCs w:val="21"/>
          <w:lang w:val="en-AU"/>
        </w:rPr>
        <w:tab/>
        <w:t>Diagnostic Trade Integration Study</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DRD</w:t>
      </w:r>
      <w:r w:rsidRPr="00A769DE">
        <w:rPr>
          <w:rFonts w:ascii="Arial" w:hAnsi="Arial" w:cs="Arial"/>
          <w:color w:val="auto"/>
          <w:sz w:val="21"/>
          <w:szCs w:val="21"/>
          <w:lang w:val="en-AU"/>
        </w:rPr>
        <w:tab/>
      </w:r>
      <w:r w:rsidRPr="00A769DE">
        <w:rPr>
          <w:rFonts w:ascii="Arial" w:hAnsi="Arial" w:cs="Arial"/>
          <w:color w:val="auto"/>
          <w:sz w:val="21"/>
          <w:szCs w:val="21"/>
          <w:lang w:val="en-AU"/>
        </w:rPr>
        <w:tab/>
        <w:t>Department of Rural Development</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EITI</w:t>
      </w:r>
      <w:r w:rsidRPr="00A769DE">
        <w:rPr>
          <w:rFonts w:ascii="Arial" w:hAnsi="Arial" w:cs="Arial"/>
          <w:color w:val="auto"/>
          <w:sz w:val="21"/>
          <w:szCs w:val="21"/>
          <w:lang w:val="en-AU"/>
        </w:rPr>
        <w:tab/>
      </w:r>
      <w:r w:rsidRPr="00A769DE">
        <w:rPr>
          <w:rFonts w:ascii="Arial" w:hAnsi="Arial" w:cs="Arial"/>
          <w:color w:val="auto"/>
          <w:sz w:val="21"/>
          <w:szCs w:val="21"/>
          <w:lang w:val="en-AU"/>
        </w:rPr>
        <w:tab/>
        <w:t>Extractive Industries Transparency Initiative</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GAP</w:t>
      </w:r>
      <w:r w:rsidRPr="00A769DE">
        <w:rPr>
          <w:rFonts w:ascii="Arial" w:hAnsi="Arial" w:cs="Arial"/>
          <w:color w:val="auto"/>
          <w:sz w:val="21"/>
          <w:szCs w:val="21"/>
          <w:lang w:val="en-AU"/>
        </w:rPr>
        <w:tab/>
      </w:r>
      <w:r w:rsidRPr="00A769DE">
        <w:rPr>
          <w:rFonts w:ascii="Arial" w:hAnsi="Arial" w:cs="Arial"/>
          <w:color w:val="auto"/>
          <w:sz w:val="21"/>
          <w:szCs w:val="21"/>
          <w:lang w:val="en-AU"/>
        </w:rPr>
        <w:tab/>
        <w:t>Good agricultural practices</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GoM</w:t>
      </w:r>
      <w:r w:rsidRPr="00A769DE">
        <w:rPr>
          <w:rFonts w:ascii="Arial" w:hAnsi="Arial" w:cs="Arial"/>
          <w:color w:val="auto"/>
          <w:sz w:val="21"/>
          <w:szCs w:val="21"/>
          <w:lang w:val="en-AU"/>
        </w:rPr>
        <w:tab/>
      </w:r>
      <w:r w:rsidRPr="00A769DE">
        <w:rPr>
          <w:rFonts w:ascii="Arial" w:hAnsi="Arial" w:cs="Arial"/>
          <w:color w:val="auto"/>
          <w:sz w:val="21"/>
          <w:szCs w:val="21"/>
          <w:lang w:val="en-AU"/>
        </w:rPr>
        <w:tab/>
        <w:t>Government of Myanmar</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ICCP</w:t>
      </w:r>
      <w:r w:rsidRPr="00A769DE">
        <w:rPr>
          <w:rFonts w:ascii="Arial" w:hAnsi="Arial" w:cs="Arial"/>
          <w:color w:val="auto"/>
          <w:sz w:val="21"/>
          <w:szCs w:val="21"/>
          <w:lang w:val="en-AU"/>
        </w:rPr>
        <w:tab/>
      </w:r>
      <w:r w:rsidRPr="00A769DE">
        <w:rPr>
          <w:rFonts w:ascii="Arial" w:hAnsi="Arial" w:cs="Arial"/>
          <w:color w:val="auto"/>
          <w:sz w:val="21"/>
          <w:szCs w:val="21"/>
          <w:lang w:val="en-AU"/>
        </w:rPr>
        <w:tab/>
        <w:t>Investment Climate and Competitiveness Program</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IFC</w:t>
      </w:r>
      <w:r w:rsidRPr="00A769DE">
        <w:rPr>
          <w:rFonts w:ascii="Arial" w:hAnsi="Arial" w:cs="Arial"/>
          <w:color w:val="auto"/>
          <w:sz w:val="21"/>
          <w:szCs w:val="21"/>
          <w:lang w:val="en-AU"/>
        </w:rPr>
        <w:tab/>
      </w:r>
      <w:r w:rsidRPr="00A769DE">
        <w:rPr>
          <w:rFonts w:ascii="Arial" w:hAnsi="Arial" w:cs="Arial"/>
          <w:color w:val="auto"/>
          <w:sz w:val="21"/>
          <w:szCs w:val="21"/>
          <w:lang w:val="en-AU"/>
        </w:rPr>
        <w:tab/>
        <w:t>International Finance Corporation</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IPNET</w:t>
      </w:r>
      <w:r w:rsidRPr="00A769DE">
        <w:rPr>
          <w:rFonts w:ascii="Arial" w:hAnsi="Arial" w:cs="Arial"/>
          <w:color w:val="auto"/>
          <w:sz w:val="21"/>
          <w:szCs w:val="21"/>
          <w:lang w:val="en-AU"/>
        </w:rPr>
        <w:tab/>
      </w:r>
      <w:r w:rsidRPr="00A769DE">
        <w:rPr>
          <w:rFonts w:ascii="Arial" w:hAnsi="Arial" w:cs="Arial"/>
          <w:color w:val="auto"/>
          <w:sz w:val="21"/>
          <w:szCs w:val="21"/>
          <w:lang w:val="en-AU"/>
        </w:rPr>
        <w:tab/>
        <w:t>Inle Professional Women’s Network</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M&amp;E</w:t>
      </w:r>
      <w:r w:rsidRPr="00A769DE">
        <w:rPr>
          <w:rFonts w:ascii="Arial" w:hAnsi="Arial" w:cs="Arial"/>
          <w:color w:val="auto"/>
          <w:sz w:val="21"/>
          <w:szCs w:val="21"/>
          <w:lang w:val="en-AU"/>
        </w:rPr>
        <w:tab/>
      </w:r>
      <w:r w:rsidRPr="00A769DE">
        <w:rPr>
          <w:rFonts w:ascii="Arial" w:hAnsi="Arial" w:cs="Arial"/>
          <w:color w:val="auto"/>
          <w:sz w:val="21"/>
          <w:szCs w:val="21"/>
          <w:lang w:val="en-AU"/>
        </w:rPr>
        <w:tab/>
        <w:t>Monitoring and Evaluation</w:t>
      </w:r>
    </w:p>
    <w:p w:rsidR="00AB2900" w:rsidRPr="00A769DE" w:rsidRDefault="00AB2900"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MBF</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Business Forum</w:t>
      </w:r>
    </w:p>
    <w:p w:rsidR="00A379CD" w:rsidRPr="00A769DE" w:rsidRDefault="00A379CD" w:rsidP="00F52D2B">
      <w:pPr>
        <w:spacing w:before="60" w:line="280" w:lineRule="exact"/>
        <w:rPr>
          <w:rFonts w:ascii="Arial" w:hAnsi="Arial" w:cs="Arial"/>
          <w:color w:val="auto"/>
          <w:lang w:val="en-AU"/>
        </w:rPr>
      </w:pPr>
      <w:r w:rsidRPr="00A769DE">
        <w:rPr>
          <w:rFonts w:ascii="Arial" w:hAnsi="Arial" w:cs="Arial"/>
          <w:color w:val="auto"/>
          <w:sz w:val="21"/>
          <w:szCs w:val="21"/>
          <w:lang w:val="en-AU"/>
        </w:rPr>
        <w:t>MCD</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Customs Department</w:t>
      </w:r>
    </w:p>
    <w:p w:rsidR="00A379CD" w:rsidRPr="00A769DE" w:rsidRDefault="00A379CD" w:rsidP="00F52D2B">
      <w:pPr>
        <w:spacing w:before="60" w:line="280" w:lineRule="exact"/>
        <w:rPr>
          <w:rFonts w:ascii="Arial" w:hAnsi="Arial" w:cs="Arial"/>
          <w:color w:val="auto"/>
          <w:lang w:val="en-AU"/>
        </w:rPr>
      </w:pPr>
      <w:r w:rsidRPr="00A769DE">
        <w:rPr>
          <w:rFonts w:ascii="Arial" w:hAnsi="Arial" w:cs="Arial"/>
          <w:color w:val="auto"/>
          <w:sz w:val="21"/>
          <w:szCs w:val="21"/>
          <w:lang w:val="en-AU"/>
        </w:rPr>
        <w:t>MCRB</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Centre for Responsible Business</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MDI</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Development Institute</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MDTF</w:t>
      </w:r>
      <w:r w:rsidRPr="00A769DE">
        <w:rPr>
          <w:rFonts w:ascii="Arial" w:hAnsi="Arial" w:cs="Arial"/>
          <w:color w:val="auto"/>
          <w:sz w:val="21"/>
          <w:szCs w:val="21"/>
          <w:lang w:val="en-AU"/>
        </w:rPr>
        <w:tab/>
      </w:r>
      <w:r w:rsidRPr="00A769DE">
        <w:rPr>
          <w:rFonts w:ascii="Arial" w:hAnsi="Arial" w:cs="Arial"/>
          <w:color w:val="auto"/>
          <w:sz w:val="21"/>
          <w:szCs w:val="21"/>
          <w:lang w:val="en-AU"/>
        </w:rPr>
        <w:tab/>
        <w:t>Multi-Donor Trust Fund</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MEF</w:t>
      </w:r>
      <w:r w:rsidRPr="00A769DE">
        <w:rPr>
          <w:rFonts w:ascii="Arial" w:hAnsi="Arial" w:cs="Arial"/>
          <w:color w:val="auto"/>
          <w:sz w:val="21"/>
          <w:szCs w:val="21"/>
          <w:lang w:val="en-AU"/>
        </w:rPr>
        <w:tab/>
      </w:r>
      <w:r w:rsidRPr="00A769DE">
        <w:rPr>
          <w:rFonts w:ascii="Arial" w:hAnsi="Arial" w:cs="Arial"/>
          <w:color w:val="auto"/>
          <w:sz w:val="21"/>
          <w:szCs w:val="21"/>
          <w:lang w:val="en-AU"/>
        </w:rPr>
        <w:tab/>
        <w:t>Monitoring and evaluation framework</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MIA</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Industries Association</w:t>
      </w:r>
    </w:p>
    <w:p w:rsidR="00ED61C4" w:rsidRDefault="00ED61C4" w:rsidP="00F52D2B">
      <w:pPr>
        <w:spacing w:before="60" w:line="280" w:lineRule="exact"/>
        <w:rPr>
          <w:rFonts w:ascii="Arial" w:hAnsi="Arial" w:cs="Arial"/>
          <w:color w:val="auto"/>
          <w:sz w:val="21"/>
          <w:szCs w:val="21"/>
          <w:lang w:val="en-AU"/>
        </w:rPr>
      </w:pPr>
      <w:r>
        <w:rPr>
          <w:rFonts w:ascii="Arial" w:hAnsi="Arial" w:cs="Arial"/>
          <w:color w:val="auto"/>
          <w:sz w:val="21"/>
          <w:szCs w:val="21"/>
          <w:lang w:val="en-AU"/>
        </w:rPr>
        <w:t>MIC</w:t>
      </w:r>
      <w:r>
        <w:rPr>
          <w:rFonts w:ascii="Arial" w:hAnsi="Arial" w:cs="Arial"/>
          <w:color w:val="auto"/>
          <w:sz w:val="21"/>
          <w:szCs w:val="21"/>
          <w:lang w:val="en-AU"/>
        </w:rPr>
        <w:tab/>
      </w:r>
      <w:r>
        <w:rPr>
          <w:rFonts w:ascii="Arial" w:hAnsi="Arial" w:cs="Arial"/>
          <w:color w:val="auto"/>
          <w:sz w:val="21"/>
          <w:szCs w:val="21"/>
          <w:lang w:val="en-AU"/>
        </w:rPr>
        <w:tab/>
      </w:r>
      <w:r w:rsidRPr="00ED61C4">
        <w:rPr>
          <w:rFonts w:ascii="Arial" w:hAnsi="Arial" w:cs="Arial"/>
          <w:color w:val="auto"/>
          <w:sz w:val="21"/>
          <w:szCs w:val="21"/>
          <w:lang w:val="en-AU"/>
        </w:rPr>
        <w:t>Myanmar Investment Com</w:t>
      </w:r>
      <w:r>
        <w:rPr>
          <w:rFonts w:ascii="Arial" w:hAnsi="Arial" w:cs="Arial"/>
          <w:color w:val="auto"/>
          <w:sz w:val="21"/>
          <w:szCs w:val="21"/>
          <w:lang w:val="en-AU"/>
        </w:rPr>
        <w:t>mission</w:t>
      </w:r>
    </w:p>
    <w:p w:rsidR="00C7591D" w:rsidRDefault="00C7591D" w:rsidP="00F52D2B">
      <w:pPr>
        <w:spacing w:before="60" w:line="280" w:lineRule="exact"/>
        <w:rPr>
          <w:rFonts w:ascii="Arial" w:hAnsi="Arial" w:cs="Arial"/>
          <w:color w:val="auto"/>
          <w:sz w:val="21"/>
          <w:szCs w:val="21"/>
          <w:lang w:val="en-AU"/>
        </w:rPr>
      </w:pPr>
      <w:r>
        <w:rPr>
          <w:rFonts w:ascii="Arial" w:hAnsi="Arial" w:cs="Arial"/>
          <w:color w:val="auto"/>
          <w:sz w:val="21"/>
          <w:szCs w:val="21"/>
          <w:lang w:val="en-AU"/>
        </w:rPr>
        <w:t>MIL</w:t>
      </w:r>
      <w:r>
        <w:rPr>
          <w:rFonts w:ascii="Arial" w:hAnsi="Arial" w:cs="Arial"/>
          <w:color w:val="auto"/>
          <w:sz w:val="21"/>
          <w:szCs w:val="21"/>
          <w:lang w:val="en-AU"/>
        </w:rPr>
        <w:tab/>
      </w:r>
      <w:r>
        <w:rPr>
          <w:rFonts w:ascii="Arial" w:hAnsi="Arial" w:cs="Arial"/>
          <w:color w:val="auto"/>
          <w:sz w:val="21"/>
          <w:szCs w:val="21"/>
          <w:lang w:val="en-AU"/>
        </w:rPr>
        <w:tab/>
        <w:t>Myanmar Investment Law</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MIoD</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Institute of Directors</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MoALI</w:t>
      </w:r>
      <w:r w:rsidRPr="00A769DE">
        <w:rPr>
          <w:rFonts w:ascii="Arial" w:hAnsi="Arial" w:cs="Arial"/>
          <w:color w:val="auto"/>
          <w:sz w:val="21"/>
          <w:szCs w:val="21"/>
          <w:lang w:val="en-AU"/>
        </w:rPr>
        <w:tab/>
      </w:r>
      <w:r w:rsidRPr="00A769DE">
        <w:rPr>
          <w:rFonts w:ascii="Arial" w:hAnsi="Arial" w:cs="Arial"/>
          <w:color w:val="auto"/>
          <w:sz w:val="21"/>
          <w:szCs w:val="21"/>
          <w:lang w:val="en-AU"/>
        </w:rPr>
        <w:tab/>
        <w:t>Ministry of Agriculture, Livestock and Irrigation</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MoC</w:t>
      </w:r>
      <w:r w:rsidRPr="00A769DE">
        <w:rPr>
          <w:rFonts w:ascii="Arial" w:hAnsi="Arial" w:cs="Arial"/>
          <w:color w:val="auto"/>
          <w:sz w:val="21"/>
          <w:szCs w:val="21"/>
          <w:lang w:val="en-AU"/>
        </w:rPr>
        <w:tab/>
      </w:r>
      <w:r w:rsidRPr="00A769DE">
        <w:rPr>
          <w:rFonts w:ascii="Arial" w:hAnsi="Arial" w:cs="Arial"/>
          <w:color w:val="auto"/>
          <w:sz w:val="21"/>
          <w:szCs w:val="21"/>
          <w:lang w:val="en-AU"/>
        </w:rPr>
        <w:tab/>
        <w:t>Ministry of Commerce</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MoEE</w:t>
      </w:r>
      <w:r w:rsidRPr="00A769DE">
        <w:rPr>
          <w:rFonts w:ascii="Arial" w:hAnsi="Arial" w:cs="Arial"/>
          <w:color w:val="auto"/>
          <w:sz w:val="21"/>
          <w:szCs w:val="21"/>
          <w:lang w:val="en-AU"/>
        </w:rPr>
        <w:tab/>
      </w:r>
      <w:r w:rsidRPr="00A769DE">
        <w:rPr>
          <w:rFonts w:ascii="Arial" w:hAnsi="Arial" w:cs="Arial"/>
          <w:color w:val="auto"/>
          <w:sz w:val="21"/>
          <w:szCs w:val="21"/>
          <w:lang w:val="en-AU"/>
        </w:rPr>
        <w:tab/>
        <w:t>Ministry of Electricity and Energy</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MoHT</w:t>
      </w:r>
      <w:r w:rsidRPr="00A769DE">
        <w:rPr>
          <w:rFonts w:ascii="Arial" w:hAnsi="Arial" w:cs="Arial"/>
          <w:color w:val="auto"/>
          <w:sz w:val="21"/>
          <w:szCs w:val="21"/>
          <w:lang w:val="en-AU"/>
        </w:rPr>
        <w:tab/>
      </w:r>
      <w:r w:rsidRPr="00A769DE">
        <w:rPr>
          <w:rFonts w:ascii="Arial" w:hAnsi="Arial" w:cs="Arial"/>
          <w:color w:val="auto"/>
          <w:sz w:val="21"/>
          <w:szCs w:val="21"/>
          <w:lang w:val="en-AU"/>
        </w:rPr>
        <w:tab/>
        <w:t>Ministry of Hotels and Tourism</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MoNREC</w:t>
      </w:r>
      <w:r w:rsidRPr="00A769DE">
        <w:rPr>
          <w:rFonts w:ascii="Arial" w:hAnsi="Arial" w:cs="Arial"/>
          <w:color w:val="auto"/>
          <w:sz w:val="21"/>
          <w:szCs w:val="21"/>
          <w:lang w:val="en-AU"/>
        </w:rPr>
        <w:tab/>
        <w:t>Ministry of Natural Resources and Environmental Conservation</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MoPF</w:t>
      </w:r>
      <w:r w:rsidRPr="00A769DE">
        <w:rPr>
          <w:rFonts w:ascii="Arial" w:hAnsi="Arial" w:cs="Arial"/>
          <w:color w:val="auto"/>
          <w:sz w:val="21"/>
          <w:szCs w:val="21"/>
          <w:lang w:val="en-AU"/>
        </w:rPr>
        <w:tab/>
      </w:r>
      <w:r w:rsidRPr="00A769DE">
        <w:rPr>
          <w:rFonts w:ascii="Arial" w:hAnsi="Arial" w:cs="Arial"/>
          <w:color w:val="auto"/>
          <w:sz w:val="21"/>
          <w:szCs w:val="21"/>
          <w:lang w:val="en-AU"/>
        </w:rPr>
        <w:tab/>
        <w:t>Ministry of Planning and Finance</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MPFMP</w:t>
      </w:r>
      <w:r w:rsidRPr="00A769DE">
        <w:rPr>
          <w:rFonts w:ascii="Arial" w:hAnsi="Arial" w:cs="Arial"/>
          <w:color w:val="auto"/>
          <w:sz w:val="21"/>
          <w:szCs w:val="21"/>
          <w:lang w:val="en-AU"/>
        </w:rPr>
        <w:tab/>
        <w:t>Modernization of Public Financial Management Project</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MRF</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Rice Federation</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MSSP</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Strategic Support Program</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MTF</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Tourism Federation</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lastRenderedPageBreak/>
        <w:t>MWEA</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Women Entrepreneur's Association</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MYEA</w:t>
      </w:r>
      <w:r w:rsidRPr="00A769DE">
        <w:rPr>
          <w:rFonts w:ascii="Arial" w:hAnsi="Arial" w:cs="Arial"/>
          <w:color w:val="auto"/>
          <w:sz w:val="21"/>
          <w:szCs w:val="21"/>
          <w:lang w:val="en-AU"/>
        </w:rPr>
        <w:tab/>
      </w:r>
      <w:r w:rsidRPr="00A769DE">
        <w:rPr>
          <w:rFonts w:ascii="Arial" w:hAnsi="Arial" w:cs="Arial"/>
          <w:color w:val="auto"/>
          <w:sz w:val="21"/>
          <w:szCs w:val="21"/>
          <w:lang w:val="en-AU"/>
        </w:rPr>
        <w:tab/>
        <w:t>Myanmar Young Entrepreneurs Association</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OECD</w:t>
      </w:r>
      <w:r w:rsidRPr="00A769DE">
        <w:rPr>
          <w:rFonts w:ascii="Arial" w:hAnsi="Arial" w:cs="Arial"/>
          <w:color w:val="auto"/>
          <w:sz w:val="21"/>
          <w:szCs w:val="21"/>
          <w:lang w:val="en-AU"/>
        </w:rPr>
        <w:tab/>
      </w:r>
      <w:r w:rsidRPr="00A769DE">
        <w:rPr>
          <w:rFonts w:ascii="Arial" w:hAnsi="Arial" w:cs="Arial"/>
          <w:color w:val="auto"/>
          <w:sz w:val="21"/>
          <w:szCs w:val="21"/>
          <w:lang w:val="en-AU"/>
        </w:rPr>
        <w:tab/>
      </w:r>
      <w:r w:rsidRPr="00A769DE">
        <w:rPr>
          <w:rFonts w:ascii="Arial" w:hAnsi="Arial" w:cs="Arial"/>
          <w:bCs/>
          <w:color w:val="auto"/>
          <w:sz w:val="21"/>
          <w:szCs w:val="21"/>
          <w:lang w:val="en-AU"/>
        </w:rPr>
        <w:t>Organisation for Economic Cooperation and Development</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PEFA</w:t>
      </w:r>
      <w:r w:rsidRPr="00A769DE">
        <w:rPr>
          <w:rFonts w:ascii="Arial" w:hAnsi="Arial" w:cs="Arial"/>
          <w:color w:val="auto"/>
          <w:sz w:val="21"/>
          <w:szCs w:val="21"/>
          <w:lang w:val="en-AU"/>
        </w:rPr>
        <w:tab/>
      </w:r>
      <w:r w:rsidRPr="00A769DE">
        <w:rPr>
          <w:rFonts w:ascii="Arial" w:hAnsi="Arial" w:cs="Arial"/>
          <w:color w:val="auto"/>
          <w:sz w:val="21"/>
          <w:szCs w:val="21"/>
          <w:lang w:val="en-AU"/>
        </w:rPr>
        <w:tab/>
        <w:t>Pu</w:t>
      </w:r>
      <w:r w:rsidR="00EC7E0D" w:rsidRPr="00A769DE">
        <w:rPr>
          <w:rFonts w:ascii="Arial" w:hAnsi="Arial" w:cs="Arial"/>
          <w:color w:val="auto"/>
          <w:sz w:val="21"/>
          <w:szCs w:val="21"/>
          <w:lang w:val="en-AU"/>
        </w:rPr>
        <w:t>blic expenditure and financial a</w:t>
      </w:r>
      <w:r w:rsidRPr="00A769DE">
        <w:rPr>
          <w:rFonts w:ascii="Arial" w:hAnsi="Arial" w:cs="Arial"/>
          <w:color w:val="auto"/>
          <w:sz w:val="21"/>
          <w:szCs w:val="21"/>
          <w:lang w:val="en-AU"/>
        </w:rPr>
        <w:t>ccountability</w:t>
      </w:r>
    </w:p>
    <w:p w:rsidR="00A379CD" w:rsidRPr="00A769DE" w:rsidRDefault="00EC7E0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PFM</w:t>
      </w:r>
      <w:r w:rsidRPr="00A769DE">
        <w:rPr>
          <w:rFonts w:ascii="Arial" w:hAnsi="Arial" w:cs="Arial"/>
          <w:color w:val="auto"/>
          <w:sz w:val="21"/>
          <w:szCs w:val="21"/>
          <w:lang w:val="en-AU"/>
        </w:rPr>
        <w:tab/>
      </w:r>
      <w:r w:rsidRPr="00A769DE">
        <w:rPr>
          <w:rFonts w:ascii="Arial" w:hAnsi="Arial" w:cs="Arial"/>
          <w:color w:val="auto"/>
          <w:sz w:val="21"/>
          <w:szCs w:val="21"/>
          <w:lang w:val="en-AU"/>
        </w:rPr>
        <w:tab/>
        <w:t>Public financial m</w:t>
      </w:r>
      <w:r w:rsidR="00A379CD" w:rsidRPr="00A769DE">
        <w:rPr>
          <w:rFonts w:ascii="Arial" w:hAnsi="Arial" w:cs="Arial"/>
          <w:color w:val="auto"/>
          <w:sz w:val="21"/>
          <w:szCs w:val="21"/>
          <w:lang w:val="en-AU"/>
        </w:rPr>
        <w:t>anagement</w:t>
      </w:r>
    </w:p>
    <w:p w:rsidR="005834D7" w:rsidRDefault="005834D7" w:rsidP="00F52D2B">
      <w:pPr>
        <w:spacing w:before="60" w:line="280" w:lineRule="exact"/>
        <w:rPr>
          <w:rFonts w:ascii="Arial" w:hAnsi="Arial" w:cs="Arial"/>
          <w:color w:val="auto"/>
          <w:sz w:val="21"/>
          <w:szCs w:val="21"/>
          <w:lang w:val="en-AU"/>
        </w:rPr>
      </w:pPr>
      <w:r>
        <w:rPr>
          <w:rFonts w:ascii="Arial" w:hAnsi="Arial" w:cs="Arial"/>
          <w:color w:val="auto"/>
          <w:sz w:val="21"/>
          <w:szCs w:val="21"/>
          <w:lang w:val="en-AU"/>
        </w:rPr>
        <w:t>PPD</w:t>
      </w:r>
      <w:r>
        <w:rPr>
          <w:rFonts w:ascii="Arial" w:hAnsi="Arial" w:cs="Arial"/>
          <w:color w:val="auto"/>
          <w:sz w:val="21"/>
          <w:szCs w:val="21"/>
          <w:lang w:val="en-AU"/>
        </w:rPr>
        <w:tab/>
      </w:r>
      <w:r>
        <w:rPr>
          <w:rFonts w:ascii="Arial" w:hAnsi="Arial" w:cs="Arial"/>
          <w:color w:val="auto"/>
          <w:sz w:val="21"/>
          <w:szCs w:val="21"/>
          <w:lang w:val="en-AU"/>
        </w:rPr>
        <w:tab/>
        <w:t>P</w:t>
      </w:r>
      <w:r w:rsidRPr="005834D7">
        <w:rPr>
          <w:rFonts w:ascii="Arial" w:hAnsi="Arial" w:cs="Arial"/>
          <w:color w:val="auto"/>
          <w:sz w:val="21"/>
          <w:szCs w:val="21"/>
          <w:lang w:val="en-AU"/>
        </w:rPr>
        <w:t>ublic private dialogue</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PPP</w:t>
      </w:r>
      <w:r w:rsidRPr="00A769DE">
        <w:rPr>
          <w:rFonts w:ascii="Arial" w:hAnsi="Arial" w:cs="Arial"/>
          <w:color w:val="auto"/>
          <w:sz w:val="21"/>
          <w:szCs w:val="21"/>
          <w:lang w:val="en-AU"/>
        </w:rPr>
        <w:tab/>
      </w:r>
      <w:r w:rsidRPr="00A769DE">
        <w:rPr>
          <w:rFonts w:ascii="Arial" w:hAnsi="Arial" w:cs="Arial"/>
          <w:color w:val="auto"/>
          <w:sz w:val="21"/>
          <w:szCs w:val="21"/>
          <w:lang w:val="en-AU"/>
        </w:rPr>
        <w:tab/>
        <w:t>Public-private partnership</w:t>
      </w:r>
    </w:p>
    <w:p w:rsidR="00A379CD" w:rsidRPr="00A769DE" w:rsidRDefault="00EC7E0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PSD</w:t>
      </w:r>
      <w:r w:rsidRPr="00A769DE">
        <w:rPr>
          <w:rFonts w:ascii="Arial" w:hAnsi="Arial" w:cs="Arial"/>
          <w:color w:val="auto"/>
          <w:sz w:val="21"/>
          <w:szCs w:val="21"/>
          <w:lang w:val="en-AU"/>
        </w:rPr>
        <w:tab/>
      </w:r>
      <w:r w:rsidRPr="00A769DE">
        <w:rPr>
          <w:rFonts w:ascii="Arial" w:hAnsi="Arial" w:cs="Arial"/>
          <w:color w:val="auto"/>
          <w:sz w:val="21"/>
          <w:szCs w:val="21"/>
          <w:lang w:val="en-AU"/>
        </w:rPr>
        <w:tab/>
        <w:t>Private sector d</w:t>
      </w:r>
      <w:r w:rsidR="00A379CD" w:rsidRPr="00A769DE">
        <w:rPr>
          <w:rFonts w:ascii="Arial" w:hAnsi="Arial" w:cs="Arial"/>
          <w:color w:val="auto"/>
          <w:sz w:val="21"/>
          <w:szCs w:val="21"/>
          <w:lang w:val="en-AU"/>
        </w:rPr>
        <w:t>evelopment</w:t>
      </w:r>
    </w:p>
    <w:p w:rsidR="00600F21" w:rsidRPr="00A769DE" w:rsidRDefault="00600F2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SECM</w:t>
      </w:r>
      <w:r w:rsidRPr="00A769DE">
        <w:rPr>
          <w:rFonts w:ascii="Arial" w:hAnsi="Arial" w:cs="Arial"/>
          <w:color w:val="auto"/>
          <w:sz w:val="21"/>
          <w:szCs w:val="21"/>
          <w:lang w:val="en-AU"/>
        </w:rPr>
        <w:tab/>
      </w:r>
      <w:r w:rsidRPr="00A769DE">
        <w:rPr>
          <w:rFonts w:ascii="Arial" w:hAnsi="Arial" w:cs="Arial"/>
          <w:color w:val="auto"/>
          <w:sz w:val="21"/>
          <w:szCs w:val="21"/>
          <w:lang w:val="en-AU"/>
        </w:rPr>
        <w:tab/>
        <w:t>Securities and Exchange Commission of Myanmar</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SME</w:t>
      </w:r>
      <w:r w:rsidRPr="00A769DE">
        <w:rPr>
          <w:rFonts w:ascii="Arial" w:hAnsi="Arial" w:cs="Arial"/>
          <w:color w:val="auto"/>
          <w:sz w:val="21"/>
          <w:szCs w:val="21"/>
          <w:lang w:val="en-AU"/>
        </w:rPr>
        <w:tab/>
      </w:r>
      <w:r w:rsidRPr="00A769DE">
        <w:rPr>
          <w:rFonts w:ascii="Arial" w:hAnsi="Arial" w:cs="Arial"/>
          <w:color w:val="auto"/>
          <w:sz w:val="21"/>
          <w:szCs w:val="21"/>
          <w:lang w:val="en-AU"/>
        </w:rPr>
        <w:tab/>
        <w:t>Small and medium-sized enterprise</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SOE</w:t>
      </w:r>
      <w:r w:rsidRPr="00A769DE">
        <w:rPr>
          <w:rFonts w:ascii="Arial" w:hAnsi="Arial" w:cs="Arial"/>
          <w:color w:val="auto"/>
          <w:sz w:val="21"/>
          <w:szCs w:val="21"/>
          <w:lang w:val="en-AU"/>
        </w:rPr>
        <w:tab/>
      </w:r>
      <w:r w:rsidRPr="00A769DE">
        <w:rPr>
          <w:rFonts w:ascii="Arial" w:hAnsi="Arial" w:cs="Arial"/>
          <w:color w:val="auto"/>
          <w:sz w:val="21"/>
          <w:szCs w:val="21"/>
          <w:lang w:val="en-AU"/>
        </w:rPr>
        <w:tab/>
        <w:t>State-owned enterprise</w:t>
      </w:r>
    </w:p>
    <w:p w:rsidR="00A379CD" w:rsidRPr="00A769DE" w:rsidRDefault="00EC7E0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TA</w:t>
      </w:r>
      <w:r w:rsidRPr="00A769DE">
        <w:rPr>
          <w:rFonts w:ascii="Arial" w:hAnsi="Arial" w:cs="Arial"/>
          <w:color w:val="auto"/>
          <w:sz w:val="21"/>
          <w:szCs w:val="21"/>
          <w:lang w:val="en-AU"/>
        </w:rPr>
        <w:tab/>
      </w:r>
      <w:r w:rsidRPr="00A769DE">
        <w:rPr>
          <w:rFonts w:ascii="Arial" w:hAnsi="Arial" w:cs="Arial"/>
          <w:color w:val="auto"/>
          <w:sz w:val="21"/>
          <w:szCs w:val="21"/>
          <w:lang w:val="en-AU"/>
        </w:rPr>
        <w:tab/>
        <w:t>Technical a</w:t>
      </w:r>
      <w:r w:rsidR="00A379CD" w:rsidRPr="00A769DE">
        <w:rPr>
          <w:rFonts w:ascii="Arial" w:hAnsi="Arial" w:cs="Arial"/>
          <w:color w:val="auto"/>
          <w:sz w:val="21"/>
          <w:szCs w:val="21"/>
          <w:lang w:val="en-AU"/>
        </w:rPr>
        <w:t>ssistance</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TAF</w:t>
      </w:r>
      <w:r w:rsidRPr="00A769DE">
        <w:rPr>
          <w:rFonts w:ascii="Arial" w:hAnsi="Arial" w:cs="Arial"/>
          <w:color w:val="auto"/>
          <w:sz w:val="21"/>
          <w:szCs w:val="21"/>
          <w:lang w:val="en-AU"/>
        </w:rPr>
        <w:tab/>
      </w:r>
      <w:r w:rsidRPr="00A769DE">
        <w:rPr>
          <w:rFonts w:ascii="Arial" w:hAnsi="Arial" w:cs="Arial"/>
          <w:color w:val="auto"/>
          <w:sz w:val="21"/>
          <w:szCs w:val="21"/>
          <w:lang w:val="en-AU"/>
        </w:rPr>
        <w:tab/>
        <w:t>The Asia Foundation</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ToR</w:t>
      </w:r>
      <w:r w:rsidRPr="00A769DE">
        <w:rPr>
          <w:rFonts w:ascii="Arial" w:hAnsi="Arial" w:cs="Arial"/>
          <w:color w:val="auto"/>
          <w:sz w:val="21"/>
          <w:szCs w:val="21"/>
          <w:lang w:val="en-AU"/>
        </w:rPr>
        <w:tab/>
      </w:r>
      <w:r w:rsidRPr="00A769DE">
        <w:rPr>
          <w:rFonts w:ascii="Arial" w:hAnsi="Arial" w:cs="Arial"/>
          <w:color w:val="auto"/>
          <w:sz w:val="21"/>
          <w:szCs w:val="21"/>
          <w:lang w:val="en-AU"/>
        </w:rPr>
        <w:tab/>
        <w:t>Terms of Reference</w:t>
      </w:r>
    </w:p>
    <w:p w:rsidR="00B62861" w:rsidRPr="00A769DE" w:rsidRDefault="00B62861"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 xml:space="preserve">TBPTF </w:t>
      </w:r>
      <w:r w:rsidRPr="00A769DE">
        <w:rPr>
          <w:rFonts w:ascii="Arial" w:hAnsi="Arial" w:cs="Arial"/>
          <w:color w:val="auto"/>
          <w:sz w:val="21"/>
          <w:szCs w:val="21"/>
          <w:lang w:val="en-AU"/>
        </w:rPr>
        <w:tab/>
        <w:t>Trade and Business Promotion Task Force</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UMFCCI</w:t>
      </w:r>
      <w:r w:rsidRPr="00A769DE">
        <w:rPr>
          <w:rFonts w:ascii="Arial" w:hAnsi="Arial" w:cs="Arial"/>
          <w:color w:val="auto"/>
          <w:sz w:val="21"/>
          <w:szCs w:val="21"/>
          <w:lang w:val="en-AU"/>
        </w:rPr>
        <w:tab/>
        <w:t>Union of Myanmar Federation of Chambers of Commerce and Industry</w:t>
      </w:r>
    </w:p>
    <w:p w:rsidR="00A379CD" w:rsidRPr="00A769DE" w:rsidRDefault="00A379CD"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YCDC</w:t>
      </w:r>
      <w:r w:rsidRPr="00A769DE">
        <w:rPr>
          <w:rFonts w:ascii="Arial" w:hAnsi="Arial" w:cs="Arial"/>
          <w:color w:val="auto"/>
          <w:sz w:val="21"/>
          <w:szCs w:val="21"/>
          <w:lang w:val="en-AU"/>
        </w:rPr>
        <w:tab/>
      </w:r>
      <w:r w:rsidRPr="00A769DE">
        <w:rPr>
          <w:rFonts w:ascii="Arial" w:hAnsi="Arial" w:cs="Arial"/>
          <w:color w:val="auto"/>
          <w:sz w:val="21"/>
          <w:szCs w:val="21"/>
          <w:lang w:val="en-AU"/>
        </w:rPr>
        <w:tab/>
        <w:t>Yangon City Development Committee</w:t>
      </w:r>
    </w:p>
    <w:p w:rsidR="00F52D2B" w:rsidRPr="00A769DE" w:rsidRDefault="00F52D2B" w:rsidP="00F52D2B">
      <w:pPr>
        <w:spacing w:before="60" w:line="280" w:lineRule="exact"/>
        <w:rPr>
          <w:rFonts w:ascii="Arial" w:hAnsi="Arial" w:cs="Arial"/>
          <w:color w:val="auto"/>
          <w:sz w:val="21"/>
          <w:szCs w:val="21"/>
          <w:lang w:val="en-AU"/>
        </w:rPr>
      </w:pPr>
      <w:r w:rsidRPr="00A769DE">
        <w:rPr>
          <w:rFonts w:ascii="Arial" w:hAnsi="Arial" w:cs="Arial"/>
          <w:color w:val="auto"/>
          <w:sz w:val="21"/>
          <w:szCs w:val="21"/>
          <w:lang w:val="en-AU"/>
        </w:rPr>
        <w:t>WBG</w:t>
      </w:r>
      <w:r w:rsidRPr="00A769DE">
        <w:rPr>
          <w:rFonts w:ascii="Arial" w:hAnsi="Arial" w:cs="Arial"/>
          <w:color w:val="auto"/>
          <w:sz w:val="21"/>
          <w:szCs w:val="21"/>
          <w:lang w:val="en-AU"/>
        </w:rPr>
        <w:tab/>
      </w:r>
      <w:r w:rsidRPr="00A769DE">
        <w:rPr>
          <w:rFonts w:ascii="Arial" w:hAnsi="Arial" w:cs="Arial"/>
          <w:color w:val="auto"/>
          <w:sz w:val="21"/>
          <w:szCs w:val="21"/>
          <w:lang w:val="en-AU"/>
        </w:rPr>
        <w:tab/>
        <w:t>World Bank Group</w:t>
      </w:r>
    </w:p>
    <w:p w:rsidR="00F52D2B" w:rsidRDefault="00F52D2B" w:rsidP="00F52D2B">
      <w:pPr>
        <w:spacing w:before="60" w:line="280" w:lineRule="exact"/>
        <w:rPr>
          <w:rFonts w:ascii="Arial" w:hAnsi="Arial" w:cs="Arial"/>
          <w:color w:val="auto"/>
          <w:sz w:val="21"/>
          <w:szCs w:val="21"/>
          <w:lang w:val="en-AU"/>
        </w:rPr>
      </w:pPr>
    </w:p>
    <w:p w:rsidR="002E5762" w:rsidRDefault="002E5762" w:rsidP="00F52D2B">
      <w:pPr>
        <w:spacing w:before="60" w:line="280" w:lineRule="exact"/>
        <w:rPr>
          <w:rFonts w:ascii="Arial" w:hAnsi="Arial" w:cs="Arial"/>
          <w:color w:val="auto"/>
          <w:sz w:val="21"/>
          <w:szCs w:val="21"/>
          <w:lang w:val="en-AU"/>
        </w:rPr>
      </w:pPr>
    </w:p>
    <w:p w:rsidR="002E5762" w:rsidRPr="00EE3824" w:rsidRDefault="002E5762" w:rsidP="002E5762">
      <w:pPr>
        <w:pStyle w:val="DefaultText"/>
        <w:spacing w:before="120" w:after="120" w:line="300" w:lineRule="exact"/>
        <w:jc w:val="center"/>
        <w:rPr>
          <w:rFonts w:ascii="Arial" w:hAnsi="Arial" w:cs="Arial"/>
          <w:sz w:val="22"/>
          <w:szCs w:val="22"/>
        </w:rPr>
      </w:pPr>
      <w:r w:rsidRPr="00EE3824">
        <w:rPr>
          <w:rFonts w:ascii="Arial" w:hAnsi="Arial" w:cs="Arial"/>
          <w:b/>
          <w:sz w:val="22"/>
          <w:szCs w:val="22"/>
        </w:rPr>
        <w:t>Fiscal Year:</w:t>
      </w:r>
      <w:r w:rsidRPr="00EE3824">
        <w:rPr>
          <w:rFonts w:ascii="Arial" w:hAnsi="Arial" w:cs="Arial"/>
          <w:sz w:val="22"/>
          <w:szCs w:val="22"/>
        </w:rPr>
        <w:t xml:space="preserve"> 1 </w:t>
      </w:r>
      <w:r>
        <w:rPr>
          <w:rFonts w:ascii="Arial" w:hAnsi="Arial" w:cs="Arial"/>
          <w:sz w:val="22"/>
          <w:szCs w:val="22"/>
        </w:rPr>
        <w:t>October</w:t>
      </w:r>
      <w:r w:rsidRPr="00EE3824">
        <w:rPr>
          <w:rFonts w:ascii="Arial" w:hAnsi="Arial" w:cs="Arial"/>
          <w:sz w:val="22"/>
          <w:szCs w:val="22"/>
        </w:rPr>
        <w:t xml:space="preserve"> to 3</w:t>
      </w:r>
      <w:r>
        <w:rPr>
          <w:rFonts w:ascii="Arial" w:hAnsi="Arial" w:cs="Arial"/>
          <w:sz w:val="22"/>
          <w:szCs w:val="22"/>
        </w:rPr>
        <w:t>0 September (previously 1 April to 31 March)</w:t>
      </w:r>
      <w:r w:rsidRPr="00EE3824">
        <w:rPr>
          <w:rFonts w:ascii="Arial" w:hAnsi="Arial" w:cs="Arial"/>
          <w:sz w:val="22"/>
          <w:szCs w:val="22"/>
        </w:rPr>
        <w:t>.</w:t>
      </w:r>
    </w:p>
    <w:p w:rsidR="002E5762" w:rsidRPr="00EE3824" w:rsidRDefault="002E5762" w:rsidP="002E5762">
      <w:pPr>
        <w:pStyle w:val="DefaultText"/>
        <w:spacing w:before="120" w:after="120" w:line="300" w:lineRule="exact"/>
        <w:jc w:val="center"/>
        <w:rPr>
          <w:rFonts w:ascii="Arial" w:hAnsi="Arial" w:cs="Arial"/>
          <w:sz w:val="22"/>
          <w:szCs w:val="22"/>
        </w:rPr>
      </w:pPr>
      <w:r w:rsidRPr="00CE2D65">
        <w:rPr>
          <w:rFonts w:ascii="Arial" w:hAnsi="Arial" w:cs="Arial"/>
          <w:b/>
          <w:sz w:val="22"/>
          <w:szCs w:val="22"/>
        </w:rPr>
        <w:t>Exchange Rate:</w:t>
      </w:r>
      <w:r w:rsidRPr="00CE2D65">
        <w:rPr>
          <w:rFonts w:ascii="Arial" w:hAnsi="Arial" w:cs="Arial"/>
          <w:sz w:val="22"/>
          <w:szCs w:val="22"/>
        </w:rPr>
        <w:t xml:space="preserve"> AUD 1 = USD 0.7</w:t>
      </w:r>
      <w:r w:rsidR="001F4E41">
        <w:rPr>
          <w:rFonts w:ascii="Arial" w:hAnsi="Arial" w:cs="Arial"/>
          <w:sz w:val="22"/>
          <w:szCs w:val="22"/>
        </w:rPr>
        <w:t>1</w:t>
      </w:r>
      <w:r w:rsidRPr="00CE2D65">
        <w:rPr>
          <w:rFonts w:ascii="Arial" w:hAnsi="Arial" w:cs="Arial"/>
          <w:sz w:val="22"/>
          <w:szCs w:val="22"/>
        </w:rPr>
        <w:t xml:space="preserve"> (as of </w:t>
      </w:r>
      <w:r w:rsidR="001F4E41">
        <w:rPr>
          <w:rFonts w:ascii="Arial" w:hAnsi="Arial" w:cs="Arial"/>
          <w:sz w:val="22"/>
          <w:szCs w:val="22"/>
        </w:rPr>
        <w:t>22 April</w:t>
      </w:r>
      <w:r w:rsidR="00DF22F4">
        <w:rPr>
          <w:rFonts w:ascii="Arial" w:hAnsi="Arial" w:cs="Arial"/>
          <w:sz w:val="22"/>
          <w:szCs w:val="22"/>
        </w:rPr>
        <w:t xml:space="preserve"> 2019</w:t>
      </w:r>
      <w:r w:rsidRPr="00CE2D65">
        <w:rPr>
          <w:rFonts w:ascii="Arial" w:hAnsi="Arial" w:cs="Arial"/>
          <w:sz w:val="22"/>
          <w:szCs w:val="22"/>
        </w:rPr>
        <w:t>).</w:t>
      </w:r>
    </w:p>
    <w:p w:rsidR="002E5762" w:rsidRPr="002E5762" w:rsidRDefault="002E5762" w:rsidP="00F52D2B">
      <w:pPr>
        <w:spacing w:before="60" w:line="280" w:lineRule="exact"/>
        <w:rPr>
          <w:rFonts w:ascii="Arial" w:hAnsi="Arial" w:cs="Arial"/>
          <w:color w:val="auto"/>
          <w:sz w:val="21"/>
          <w:szCs w:val="21"/>
          <w:lang w:val="en-US"/>
        </w:rPr>
      </w:pPr>
    </w:p>
    <w:p w:rsidR="002E5762" w:rsidRPr="00A769DE" w:rsidRDefault="002E5762" w:rsidP="00F52D2B">
      <w:pPr>
        <w:spacing w:before="60" w:line="280" w:lineRule="exact"/>
        <w:rPr>
          <w:rFonts w:ascii="Arial" w:hAnsi="Arial" w:cs="Arial"/>
          <w:color w:val="auto"/>
          <w:sz w:val="21"/>
          <w:szCs w:val="21"/>
          <w:lang w:val="en-AU"/>
        </w:rPr>
      </w:pPr>
    </w:p>
    <w:p w:rsidR="00F52D2B" w:rsidRPr="00D6364B" w:rsidRDefault="00F52D2B" w:rsidP="00F52D2B">
      <w:pPr>
        <w:spacing w:before="60" w:line="280" w:lineRule="exact"/>
        <w:rPr>
          <w:rFonts w:ascii="Arial" w:hAnsi="Arial" w:cs="Arial"/>
          <w:color w:val="auto"/>
          <w:sz w:val="21"/>
          <w:szCs w:val="21"/>
          <w:lang w:val="en-US"/>
        </w:rPr>
      </w:pPr>
    </w:p>
    <w:p w:rsidR="00AB388E" w:rsidRPr="00A769DE" w:rsidRDefault="00AB388E" w:rsidP="00BF3A17">
      <w:pPr>
        <w:pStyle w:val="BodyText"/>
        <w:rPr>
          <w:rFonts w:ascii="Arial" w:hAnsi="Arial" w:cs="Arial"/>
          <w:color w:val="auto"/>
          <w:lang w:val="en-AU"/>
        </w:rPr>
      </w:pPr>
    </w:p>
    <w:p w:rsidR="00AB388E" w:rsidRPr="00A769DE" w:rsidRDefault="00AB388E" w:rsidP="00806503">
      <w:pPr>
        <w:rPr>
          <w:rFonts w:ascii="Arial" w:hAnsi="Arial" w:cs="Arial"/>
          <w:color w:val="auto"/>
          <w:lang w:val="en-AU"/>
        </w:rPr>
        <w:sectPr w:rsidR="00AB388E" w:rsidRPr="00A769DE" w:rsidSect="005A032E">
          <w:headerReference w:type="default" r:id="rId15"/>
          <w:footerReference w:type="default" r:id="rId16"/>
          <w:headerReference w:type="first" r:id="rId17"/>
          <w:footerReference w:type="first" r:id="rId18"/>
          <w:pgSz w:w="11906" w:h="16838" w:code="9"/>
          <w:pgMar w:top="1985" w:right="1134" w:bottom="1701" w:left="1134" w:header="567" w:footer="567" w:gutter="0"/>
          <w:pgNumType w:fmt="lowerRoman" w:start="1"/>
          <w:cols w:space="708"/>
          <w:docGrid w:linePitch="360"/>
        </w:sectPr>
      </w:pPr>
    </w:p>
    <w:p w:rsidR="004D0AEE" w:rsidRPr="00F81A14" w:rsidRDefault="004D0AEE" w:rsidP="003A5358">
      <w:pPr>
        <w:pStyle w:val="TOCHeading"/>
        <w:rPr>
          <w:rFonts w:ascii="Arial" w:hAnsi="Arial" w:cs="Arial"/>
          <w:lang w:val="en-AU"/>
        </w:rPr>
      </w:pPr>
      <w:r w:rsidRPr="00F81A14">
        <w:rPr>
          <w:rFonts w:ascii="Arial" w:hAnsi="Arial" w:cs="Arial"/>
          <w:lang w:val="en-AU"/>
        </w:rPr>
        <w:lastRenderedPageBreak/>
        <w:t>Contents</w:t>
      </w:r>
    </w:p>
    <w:p w:rsidR="00F81A14" w:rsidRPr="00F81A14" w:rsidRDefault="00A16FE0">
      <w:pPr>
        <w:pStyle w:val="TOC1"/>
        <w:rPr>
          <w:rFonts w:ascii="Arial" w:eastAsiaTheme="minorEastAsia" w:hAnsi="Arial" w:cs="Arial"/>
          <w:b w:val="0"/>
          <w:caps w:val="0"/>
          <w:noProof/>
          <w:color w:val="auto"/>
          <w:sz w:val="22"/>
          <w:lang w:val="en-PH" w:eastAsia="en-PH" w:bidi="my-MM"/>
        </w:rPr>
      </w:pPr>
      <w:r w:rsidRPr="00F81A14">
        <w:rPr>
          <w:rFonts w:ascii="Arial" w:hAnsi="Arial" w:cs="Arial"/>
          <w:color w:val="auto"/>
          <w:lang w:val="en-AU"/>
        </w:rPr>
        <w:fldChar w:fldCharType="begin"/>
      </w:r>
      <w:r w:rsidR="000B3155" w:rsidRPr="00F81A14">
        <w:rPr>
          <w:rFonts w:ascii="Arial" w:hAnsi="Arial" w:cs="Arial"/>
          <w:color w:val="auto"/>
          <w:lang w:val="en-AU"/>
        </w:rPr>
        <w:instrText xml:space="preserve"> TOC \o "2-2" \h \z \t "Heading 1,1,Heading 1 Numbered,1,Heading 1 small space after,1,Heading 1 Numbered small space after,1" </w:instrText>
      </w:r>
      <w:r w:rsidRPr="00F81A14">
        <w:rPr>
          <w:rFonts w:ascii="Arial" w:hAnsi="Arial" w:cs="Arial"/>
          <w:color w:val="auto"/>
          <w:lang w:val="en-AU"/>
        </w:rPr>
        <w:fldChar w:fldCharType="separate"/>
      </w:r>
      <w:hyperlink w:anchor="_Toc530307587" w:history="1">
        <w:r w:rsidR="00F81A14" w:rsidRPr="00F81A14">
          <w:rPr>
            <w:rStyle w:val="Hyperlink"/>
            <w:rFonts w:ascii="Arial" w:hAnsi="Arial" w:cs="Arial"/>
            <w:noProof/>
            <w:lang w:val="en-AU"/>
          </w:rPr>
          <w:t>ACKNOWLEDGEMENT AND DISCLAIMER</w:t>
        </w:r>
        <w:r w:rsidR="00F81A14" w:rsidRPr="00F81A14">
          <w:rPr>
            <w:rFonts w:ascii="Arial" w:hAnsi="Arial" w:cs="Arial"/>
            <w:noProof/>
            <w:webHidden/>
          </w:rPr>
          <w:tab/>
        </w:r>
        <w:r w:rsidRPr="00F81A14">
          <w:rPr>
            <w:rFonts w:ascii="Arial" w:hAnsi="Arial" w:cs="Arial"/>
            <w:noProof/>
            <w:webHidden/>
          </w:rPr>
          <w:fldChar w:fldCharType="begin"/>
        </w:r>
        <w:r w:rsidR="00F81A14" w:rsidRPr="00F81A14">
          <w:rPr>
            <w:rFonts w:ascii="Arial" w:hAnsi="Arial" w:cs="Arial"/>
            <w:noProof/>
            <w:webHidden/>
          </w:rPr>
          <w:instrText xml:space="preserve"> PAGEREF _Toc530307587 \h </w:instrText>
        </w:r>
        <w:r w:rsidRPr="00F81A14">
          <w:rPr>
            <w:rFonts w:ascii="Arial" w:hAnsi="Arial" w:cs="Arial"/>
            <w:noProof/>
            <w:webHidden/>
          </w:rPr>
        </w:r>
        <w:r w:rsidRPr="00F81A14">
          <w:rPr>
            <w:rFonts w:ascii="Arial" w:hAnsi="Arial" w:cs="Arial"/>
            <w:noProof/>
            <w:webHidden/>
          </w:rPr>
          <w:fldChar w:fldCharType="separate"/>
        </w:r>
        <w:r w:rsidR="00F81A14" w:rsidRPr="00F81A14">
          <w:rPr>
            <w:rFonts w:ascii="Arial" w:hAnsi="Arial" w:cs="Arial"/>
            <w:noProof/>
            <w:webHidden/>
          </w:rPr>
          <w:t>i</w:t>
        </w:r>
        <w:r w:rsidRPr="00F81A14">
          <w:rPr>
            <w:rFonts w:ascii="Arial" w:hAnsi="Arial" w:cs="Arial"/>
            <w:noProof/>
            <w:webHidden/>
          </w:rPr>
          <w:fldChar w:fldCharType="end"/>
        </w:r>
      </w:hyperlink>
    </w:p>
    <w:p w:rsidR="00F81A14" w:rsidRPr="00F81A14" w:rsidRDefault="005540DD">
      <w:pPr>
        <w:pStyle w:val="TOC1"/>
        <w:rPr>
          <w:rFonts w:ascii="Arial" w:eastAsiaTheme="minorEastAsia" w:hAnsi="Arial" w:cs="Arial"/>
          <w:b w:val="0"/>
          <w:caps w:val="0"/>
          <w:noProof/>
          <w:color w:val="auto"/>
          <w:sz w:val="22"/>
          <w:lang w:val="en-PH" w:eastAsia="en-PH" w:bidi="my-MM"/>
        </w:rPr>
      </w:pPr>
      <w:hyperlink w:anchor="_Toc530307588" w:history="1">
        <w:r w:rsidR="00F81A14" w:rsidRPr="00F81A14">
          <w:rPr>
            <w:rStyle w:val="Hyperlink"/>
            <w:rFonts w:ascii="Arial" w:hAnsi="Arial" w:cs="Arial"/>
            <w:noProof/>
            <w:lang w:val="en-AU"/>
          </w:rPr>
          <w:t>EXECUTIVE SUMMARY</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_Toc530307588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w:t>
        </w:r>
        <w:r w:rsidR="00A16FE0" w:rsidRPr="00F81A14">
          <w:rPr>
            <w:rFonts w:ascii="Arial" w:hAnsi="Arial" w:cs="Arial"/>
            <w:noProof/>
            <w:webHidden/>
          </w:rPr>
          <w:fldChar w:fldCharType="end"/>
        </w:r>
      </w:hyperlink>
    </w:p>
    <w:p w:rsidR="00F81A14" w:rsidRPr="00F81A14" w:rsidRDefault="005540DD">
      <w:pPr>
        <w:pStyle w:val="TOC1"/>
        <w:rPr>
          <w:rFonts w:ascii="Arial" w:eastAsiaTheme="minorEastAsia" w:hAnsi="Arial" w:cs="Arial"/>
          <w:b w:val="0"/>
          <w:caps w:val="0"/>
          <w:noProof/>
          <w:color w:val="auto"/>
          <w:sz w:val="22"/>
          <w:lang w:val="en-PH" w:eastAsia="en-PH" w:bidi="my-MM"/>
        </w:rPr>
      </w:pPr>
      <w:hyperlink w:anchor="_Toc530307589" w:history="1">
        <w:r w:rsidR="00F81A14" w:rsidRPr="00F81A14">
          <w:rPr>
            <w:rStyle w:val="Hyperlink"/>
            <w:rFonts w:ascii="Arial" w:hAnsi="Arial" w:cs="Arial"/>
            <w:noProof/>
            <w:lang w:val="en-AU"/>
          </w:rPr>
          <w:t>1. INTRODUCTION</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_Toc530307589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7</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0" w:history="1">
        <w:r w:rsidR="00F81A14" w:rsidRPr="00F81A14">
          <w:rPr>
            <w:rStyle w:val="Hyperlink"/>
            <w:rFonts w:ascii="Arial" w:hAnsi="Arial" w:cs="Arial"/>
            <w:b/>
            <w:bCs/>
            <w:noProof/>
            <w:lang w:val="en-AU"/>
          </w:rPr>
          <w:t>1.1 Background</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_Toc530307590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7</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1" w:history="1">
        <w:r w:rsidR="00F81A14" w:rsidRPr="00F81A14">
          <w:rPr>
            <w:rStyle w:val="Hyperlink"/>
            <w:rFonts w:ascii="Arial" w:hAnsi="Arial" w:cs="Arial"/>
            <w:b/>
            <w:bCs/>
            <w:noProof/>
            <w:lang w:val="en-AU"/>
          </w:rPr>
          <w:t>1.2 Purpose and Questions</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_Toc530307591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8</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2" w:history="1">
        <w:r w:rsidR="00F81A14" w:rsidRPr="00F81A14">
          <w:rPr>
            <w:rStyle w:val="Hyperlink"/>
            <w:rFonts w:ascii="Arial" w:hAnsi="Arial" w:cs="Arial"/>
            <w:b/>
            <w:bCs/>
            <w:noProof/>
            <w:lang w:val="en-AU"/>
          </w:rPr>
          <w:t>1.3 Scope and Methods</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_Toc530307592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9</w:t>
        </w:r>
        <w:r w:rsidR="00A16FE0" w:rsidRPr="00F81A14">
          <w:rPr>
            <w:rFonts w:ascii="Arial" w:hAnsi="Arial" w:cs="Arial"/>
            <w:noProof/>
            <w:webHidden/>
          </w:rPr>
          <w:fldChar w:fldCharType="end"/>
        </w:r>
      </w:hyperlink>
    </w:p>
    <w:p w:rsidR="00F81A14" w:rsidRPr="00F81A14" w:rsidRDefault="005540DD">
      <w:pPr>
        <w:pStyle w:val="TOC1"/>
        <w:rPr>
          <w:rFonts w:ascii="Arial" w:eastAsiaTheme="minorEastAsia" w:hAnsi="Arial" w:cs="Arial"/>
          <w:b w:val="0"/>
          <w:caps w:val="0"/>
          <w:noProof/>
          <w:color w:val="auto"/>
          <w:sz w:val="22"/>
          <w:lang w:val="en-PH" w:eastAsia="en-PH" w:bidi="my-MM"/>
        </w:rPr>
      </w:pPr>
      <w:hyperlink w:anchor="_Toc530307593" w:history="1">
        <w:r w:rsidR="00F81A14" w:rsidRPr="00F81A14">
          <w:rPr>
            <w:rStyle w:val="Hyperlink"/>
            <w:rFonts w:ascii="Arial" w:hAnsi="Arial" w:cs="Arial"/>
            <w:noProof/>
            <w:lang w:val="en-AU"/>
          </w:rPr>
          <w:t>2. PRIVATE SECTOR DEVELOPMENT CONTEXT IN MYANMAR</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_Toc530307593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10</w:t>
        </w:r>
        <w:r w:rsidR="00A16FE0" w:rsidRPr="00F81A14">
          <w:rPr>
            <w:rFonts w:ascii="Arial" w:hAnsi="Arial" w:cs="Arial"/>
            <w:noProof/>
            <w:webHidden/>
          </w:rPr>
          <w:fldChar w:fldCharType="end"/>
        </w:r>
      </w:hyperlink>
    </w:p>
    <w:p w:rsidR="00F81A14" w:rsidRPr="00F81A14" w:rsidRDefault="005540DD">
      <w:pPr>
        <w:pStyle w:val="TOC1"/>
        <w:rPr>
          <w:rFonts w:ascii="Arial" w:eastAsiaTheme="minorEastAsia" w:hAnsi="Arial" w:cs="Arial"/>
          <w:b w:val="0"/>
          <w:caps w:val="0"/>
          <w:noProof/>
          <w:color w:val="auto"/>
          <w:sz w:val="22"/>
          <w:lang w:val="en-PH" w:eastAsia="en-PH" w:bidi="my-MM"/>
        </w:rPr>
      </w:pPr>
      <w:hyperlink w:anchor="_Toc530307594" w:history="1">
        <w:r w:rsidR="00F81A14" w:rsidRPr="00F81A14">
          <w:rPr>
            <w:rStyle w:val="Hyperlink"/>
            <w:rFonts w:ascii="Arial" w:hAnsi="Arial" w:cs="Arial"/>
            <w:noProof/>
            <w:lang w:val="en-AU"/>
          </w:rPr>
          <w:t>3. EVALUATION FINDINGS</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_Toc530307594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13</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5" w:history="1">
        <w:r w:rsidR="00F81A14" w:rsidRPr="00F81A14">
          <w:rPr>
            <w:rStyle w:val="Hyperlink"/>
            <w:rFonts w:ascii="Arial" w:hAnsi="Arial" w:cs="Arial"/>
            <w:b/>
            <w:bCs/>
            <w:noProof/>
            <w:lang w:val="en-AU"/>
          </w:rPr>
          <w:t>3.1 ICCP as a Program</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_Toc530307595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13</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6" w:history="1">
        <w:r w:rsidR="00F81A14" w:rsidRPr="00F81A14">
          <w:rPr>
            <w:rStyle w:val="Hyperlink"/>
            <w:rFonts w:ascii="Arial" w:hAnsi="Arial" w:cs="Arial"/>
            <w:b/>
            <w:bCs/>
            <w:noProof/>
            <w:lang w:val="en-AU"/>
          </w:rPr>
          <w:t>3.2 The ICCP Project Portfolio</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_Toc530307596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14</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7" w:history="1">
        <w:r w:rsidR="00F81A14" w:rsidRPr="00F81A14">
          <w:rPr>
            <w:rStyle w:val="Hyperlink"/>
            <w:rFonts w:ascii="Arial" w:hAnsi="Arial" w:cs="Arial"/>
            <w:b/>
            <w:bCs/>
            <w:noProof/>
            <w:lang w:val="en-AU"/>
          </w:rPr>
          <w:t>3.3 Governance Arrangements</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_Toc530307597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17</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8" w:history="1">
        <w:r w:rsidR="00F81A14" w:rsidRPr="00F81A14">
          <w:rPr>
            <w:rStyle w:val="Hyperlink"/>
            <w:rFonts w:ascii="Arial" w:hAnsi="Arial" w:cs="Arial"/>
            <w:b/>
            <w:bCs/>
            <w:noProof/>
            <w:lang w:val="en-AU"/>
          </w:rPr>
          <w:t>3.4 Progress Reporting</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_Toc530307598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18</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599" w:history="1">
        <w:r w:rsidR="00F81A14" w:rsidRPr="00F81A14">
          <w:rPr>
            <w:rStyle w:val="Hyperlink"/>
            <w:rFonts w:ascii="Arial" w:hAnsi="Arial" w:cs="Arial"/>
            <w:b/>
            <w:bCs/>
            <w:noProof/>
            <w:lang w:val="en-AU"/>
          </w:rPr>
          <w:t>3.5 Gender Mainstreaming</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_Toc530307599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19</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0" w:history="1">
        <w:r w:rsidR="00F81A14" w:rsidRPr="00F81A14">
          <w:rPr>
            <w:rStyle w:val="Hyperlink"/>
            <w:rFonts w:ascii="Arial" w:hAnsi="Arial" w:cs="Arial"/>
            <w:b/>
            <w:bCs/>
            <w:noProof/>
            <w:lang w:val="en-AU"/>
          </w:rPr>
          <w:t>3.6 Strategic Coherence and Synergies Across ICCP Projects</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_Toc530307600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20</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1" w:history="1">
        <w:r w:rsidR="00F81A14" w:rsidRPr="00F81A14">
          <w:rPr>
            <w:rStyle w:val="Hyperlink"/>
            <w:rFonts w:ascii="Arial" w:hAnsi="Arial" w:cs="Arial"/>
            <w:b/>
            <w:bCs/>
            <w:noProof/>
            <w:lang w:val="en-AU"/>
          </w:rPr>
          <w:t>3.7 Relationship with the IFC and Branding</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_Toc530307601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20</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2" w:history="1">
        <w:r w:rsidR="00F81A14" w:rsidRPr="00F81A14">
          <w:rPr>
            <w:rStyle w:val="Hyperlink"/>
            <w:rFonts w:ascii="Arial" w:hAnsi="Arial" w:cs="Arial"/>
            <w:b/>
            <w:bCs/>
            <w:noProof/>
            <w:lang w:val="en-AU"/>
          </w:rPr>
          <w:t>3.8 Lessons Learned</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_Toc530307602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21</w:t>
        </w:r>
        <w:r w:rsidR="00A16FE0" w:rsidRPr="00F81A14">
          <w:rPr>
            <w:rFonts w:ascii="Arial" w:hAnsi="Arial" w:cs="Arial"/>
            <w:noProof/>
            <w:webHidden/>
          </w:rPr>
          <w:fldChar w:fldCharType="end"/>
        </w:r>
      </w:hyperlink>
    </w:p>
    <w:p w:rsidR="00F81A14" w:rsidRPr="00F81A14" w:rsidRDefault="005540DD">
      <w:pPr>
        <w:pStyle w:val="TOC1"/>
        <w:rPr>
          <w:rFonts w:ascii="Arial" w:eastAsiaTheme="minorEastAsia" w:hAnsi="Arial" w:cs="Arial"/>
          <w:b w:val="0"/>
          <w:caps w:val="0"/>
          <w:noProof/>
          <w:color w:val="auto"/>
          <w:sz w:val="22"/>
          <w:lang w:val="en-PH" w:eastAsia="en-PH" w:bidi="my-MM"/>
        </w:rPr>
      </w:pPr>
      <w:hyperlink w:anchor="_Toc530307603" w:history="1">
        <w:r w:rsidR="00F81A14" w:rsidRPr="00F81A14">
          <w:rPr>
            <w:rStyle w:val="Hyperlink"/>
            <w:rFonts w:ascii="Arial" w:hAnsi="Arial" w:cs="Arial"/>
            <w:noProof/>
            <w:lang w:val="en-AU"/>
          </w:rPr>
          <w:t>4. CONCLUSIONS AND RECOMMENDATIONS</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_Toc530307603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23</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4" w:history="1">
        <w:r w:rsidR="00F81A14" w:rsidRPr="00F81A14">
          <w:rPr>
            <w:rStyle w:val="Hyperlink"/>
            <w:rFonts w:ascii="Arial" w:hAnsi="Arial" w:cs="Arial"/>
            <w:b/>
            <w:bCs/>
            <w:noProof/>
            <w:lang w:val="en-AU"/>
          </w:rPr>
          <w:t>4.1 ICCP as a Program</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_Toc530307604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23</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5" w:history="1">
        <w:r w:rsidR="00F81A14" w:rsidRPr="00F81A14">
          <w:rPr>
            <w:rStyle w:val="Hyperlink"/>
            <w:rFonts w:ascii="Arial" w:hAnsi="Arial" w:cs="Arial"/>
            <w:b/>
            <w:bCs/>
            <w:noProof/>
            <w:lang w:val="en-AU"/>
          </w:rPr>
          <w:t>4.2 The ICCP Project Portfolio</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_Toc530307605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23</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6" w:history="1">
        <w:r w:rsidR="00F81A14" w:rsidRPr="00F81A14">
          <w:rPr>
            <w:rStyle w:val="Hyperlink"/>
            <w:rFonts w:ascii="Arial" w:hAnsi="Arial" w:cs="Arial"/>
            <w:b/>
            <w:bCs/>
            <w:noProof/>
            <w:lang w:val="en-AU"/>
          </w:rPr>
          <w:t>4.3 Governance Arrangements and Reporting</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_Toc530307606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23</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7" w:history="1">
        <w:r w:rsidR="00F81A14" w:rsidRPr="00F81A14">
          <w:rPr>
            <w:rStyle w:val="Hyperlink"/>
            <w:rFonts w:ascii="Arial" w:hAnsi="Arial" w:cs="Arial"/>
            <w:b/>
            <w:bCs/>
            <w:noProof/>
            <w:lang w:val="en-AU"/>
          </w:rPr>
          <w:t>4.4 Gender Mainstreaming</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_Toc530307607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24</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8" w:history="1">
        <w:r w:rsidR="00F81A14" w:rsidRPr="00F81A14">
          <w:rPr>
            <w:rStyle w:val="Hyperlink"/>
            <w:rFonts w:ascii="Arial" w:hAnsi="Arial" w:cs="Arial"/>
            <w:b/>
            <w:bCs/>
            <w:noProof/>
            <w:lang w:val="en-AU"/>
          </w:rPr>
          <w:t>4.5 Relationship with the IFC and Branding</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_Toc530307608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24</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09" w:history="1">
        <w:r w:rsidR="00F81A14" w:rsidRPr="00F81A14">
          <w:rPr>
            <w:rStyle w:val="Hyperlink"/>
            <w:rFonts w:ascii="Arial" w:hAnsi="Arial" w:cs="Arial"/>
            <w:b/>
            <w:bCs/>
            <w:noProof/>
            <w:lang w:val="en-AU"/>
          </w:rPr>
          <w:t>4.6 Evaluation Criteria</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_Toc530307609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24</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0" w:history="1">
        <w:r w:rsidR="00F81A14" w:rsidRPr="00F81A14">
          <w:rPr>
            <w:rStyle w:val="Hyperlink"/>
            <w:rFonts w:ascii="Arial" w:hAnsi="Arial" w:cs="Arial"/>
            <w:b/>
            <w:bCs/>
            <w:noProof/>
            <w:lang w:val="en-AU"/>
          </w:rPr>
          <w:t>4.7 Recommendations to DFAT on Future Program Design and Modality for Investments in Economic Growth</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_Toc530307610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25</w:t>
        </w:r>
        <w:r w:rsidR="00A16FE0" w:rsidRPr="00F81A14">
          <w:rPr>
            <w:rFonts w:ascii="Arial" w:hAnsi="Arial" w:cs="Arial"/>
            <w:noProof/>
            <w:webHidden/>
          </w:rPr>
          <w:fldChar w:fldCharType="end"/>
        </w:r>
      </w:hyperlink>
    </w:p>
    <w:p w:rsidR="00F81A14" w:rsidRPr="00F81A14" w:rsidRDefault="005540DD">
      <w:pPr>
        <w:pStyle w:val="TOC1"/>
        <w:rPr>
          <w:rFonts w:ascii="Arial" w:eastAsiaTheme="minorEastAsia" w:hAnsi="Arial" w:cs="Arial"/>
          <w:b w:val="0"/>
          <w:caps w:val="0"/>
          <w:noProof/>
          <w:color w:val="auto"/>
          <w:sz w:val="22"/>
          <w:lang w:val="en-PH" w:eastAsia="en-PH" w:bidi="my-MM"/>
        </w:rPr>
      </w:pPr>
      <w:hyperlink w:anchor="_Toc530307611" w:history="1">
        <w:r w:rsidR="00F81A14" w:rsidRPr="00F81A14">
          <w:rPr>
            <w:rStyle w:val="Hyperlink"/>
            <w:rFonts w:ascii="Arial" w:hAnsi="Arial" w:cs="Arial"/>
            <w:noProof/>
            <w:lang w:val="en-AU"/>
          </w:rPr>
          <w:t>5. ANALYSIS AGAINST THE AUSTRALIAN GOVERNMENT’S AIP 2015-2020</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_Toc530307611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27</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2" w:history="1">
        <w:r w:rsidR="00F81A14" w:rsidRPr="00F81A14">
          <w:rPr>
            <w:rStyle w:val="Hyperlink"/>
            <w:rFonts w:ascii="Arial" w:hAnsi="Arial" w:cs="Arial"/>
            <w:b/>
            <w:bCs/>
            <w:noProof/>
            <w:lang w:val="en-AU"/>
          </w:rPr>
          <w:t>5.1 ICCP Performance Evaluation</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_Toc530307612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27</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3" w:history="1">
        <w:r w:rsidR="00F81A14" w:rsidRPr="00F81A14">
          <w:rPr>
            <w:rStyle w:val="Hyperlink"/>
            <w:rFonts w:ascii="Arial" w:hAnsi="Arial" w:cs="Arial"/>
            <w:b/>
            <w:bCs/>
            <w:noProof/>
            <w:lang w:val="en-AU"/>
          </w:rPr>
          <w:t>5.2 DFID’s PFM Evaluation</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_Toc530307613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28</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4" w:history="1">
        <w:r w:rsidR="00F81A14" w:rsidRPr="00F81A14">
          <w:rPr>
            <w:rStyle w:val="Hyperlink"/>
            <w:rFonts w:ascii="Arial" w:hAnsi="Arial" w:cs="Arial"/>
            <w:b/>
            <w:bCs/>
            <w:noProof/>
            <w:lang w:val="en-AU"/>
          </w:rPr>
          <w:t>5.3 Overall Assessment</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_Toc530307614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30</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5" w:history="1">
        <w:r w:rsidR="00F81A14" w:rsidRPr="00F81A14">
          <w:rPr>
            <w:rStyle w:val="Hyperlink"/>
            <w:rFonts w:ascii="Arial" w:hAnsi="Arial" w:cs="Arial"/>
            <w:b/>
            <w:bCs/>
            <w:noProof/>
            <w:lang w:val="en-AU"/>
          </w:rPr>
          <w:t>5.4 Recommendations to DFAT on Future Aid Investments in Economic Growth and Government Management</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_Toc530307615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31</w:t>
        </w:r>
        <w:r w:rsidR="00A16FE0" w:rsidRPr="00F81A14">
          <w:rPr>
            <w:rFonts w:ascii="Arial" w:hAnsi="Arial" w:cs="Arial"/>
            <w:noProof/>
            <w:webHidden/>
          </w:rPr>
          <w:fldChar w:fldCharType="end"/>
        </w:r>
      </w:hyperlink>
    </w:p>
    <w:p w:rsidR="00F81A14" w:rsidRPr="00F81A14" w:rsidRDefault="005540DD">
      <w:pPr>
        <w:pStyle w:val="TOC1"/>
        <w:rPr>
          <w:rFonts w:ascii="Arial" w:eastAsiaTheme="minorEastAsia" w:hAnsi="Arial" w:cs="Arial"/>
          <w:b w:val="0"/>
          <w:caps w:val="0"/>
          <w:noProof/>
          <w:color w:val="auto"/>
          <w:sz w:val="22"/>
          <w:lang w:val="en-PH" w:eastAsia="en-PH" w:bidi="my-MM"/>
        </w:rPr>
      </w:pPr>
      <w:hyperlink w:anchor="_Toc530307616" w:history="1">
        <w:r w:rsidR="00F81A14" w:rsidRPr="00F81A14">
          <w:rPr>
            <w:rStyle w:val="Hyperlink"/>
            <w:rFonts w:ascii="Arial" w:hAnsi="Arial" w:cs="Arial"/>
            <w:noProof/>
            <w:lang w:val="en-AU"/>
          </w:rPr>
          <w:t>ANNEXES</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_Toc530307616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32</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7" w:history="1">
        <w:r w:rsidR="00F81A14" w:rsidRPr="00F81A14">
          <w:rPr>
            <w:rStyle w:val="Hyperlink"/>
            <w:rFonts w:ascii="Arial" w:hAnsi="Arial" w:cs="Arial"/>
            <w:b/>
            <w:bCs/>
            <w:noProof/>
            <w:lang w:val="en-AU"/>
          </w:rPr>
          <w:t>Annex A – Implementation Plan / Terms of Reference (ToR)</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_Toc530307617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32</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8" w:history="1">
        <w:r w:rsidR="00F81A14" w:rsidRPr="00F81A14">
          <w:rPr>
            <w:rStyle w:val="Hyperlink"/>
            <w:rFonts w:ascii="Arial" w:hAnsi="Arial" w:cs="Arial"/>
            <w:b/>
            <w:bCs/>
            <w:noProof/>
            <w:lang w:val="en-AU"/>
          </w:rPr>
          <w:t>Annex B – Evaluation Plan</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_Toc530307618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32</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19" w:history="1">
        <w:r w:rsidR="00F81A14" w:rsidRPr="00F81A14">
          <w:rPr>
            <w:rStyle w:val="Hyperlink"/>
            <w:rFonts w:ascii="Arial" w:hAnsi="Arial" w:cs="Arial"/>
            <w:b/>
            <w:bCs/>
            <w:noProof/>
            <w:lang w:val="en-AU"/>
          </w:rPr>
          <w:t>Annex C – Aide Memoire</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_Toc530307619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32</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20" w:history="1">
        <w:r w:rsidR="00F81A14" w:rsidRPr="00F81A14">
          <w:rPr>
            <w:rStyle w:val="Hyperlink"/>
            <w:rFonts w:ascii="Arial" w:hAnsi="Arial" w:cs="Arial"/>
            <w:b/>
            <w:bCs/>
            <w:noProof/>
            <w:lang w:val="en-AU"/>
          </w:rPr>
          <w:t>Annex D – Documents Reviewed</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_Toc530307620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33</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21" w:history="1">
        <w:r w:rsidR="00F81A14" w:rsidRPr="00F81A14">
          <w:rPr>
            <w:rStyle w:val="Hyperlink"/>
            <w:rFonts w:ascii="Arial" w:hAnsi="Arial" w:cs="Arial"/>
            <w:b/>
            <w:bCs/>
            <w:noProof/>
            <w:lang w:val="en-AU"/>
          </w:rPr>
          <w:t>Annex E – Persons Consulted</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_Toc530307621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35</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22" w:history="1">
        <w:r w:rsidR="00F81A14" w:rsidRPr="00F81A14">
          <w:rPr>
            <w:rStyle w:val="Hyperlink"/>
            <w:rFonts w:ascii="Arial" w:hAnsi="Arial" w:cs="Arial"/>
            <w:b/>
            <w:bCs/>
            <w:noProof/>
            <w:lang w:val="en-AU"/>
          </w:rPr>
          <w:t>Annex F – ICCP Project Overview</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_Toc530307622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37</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23" w:history="1">
        <w:r w:rsidR="00F81A14" w:rsidRPr="00F81A14">
          <w:rPr>
            <w:rStyle w:val="Hyperlink"/>
            <w:rFonts w:ascii="Arial" w:hAnsi="Arial" w:cs="Arial"/>
            <w:b/>
            <w:bCs/>
            <w:noProof/>
            <w:lang w:val="en-AU"/>
          </w:rPr>
          <w:t>Annex G – ICCP Objectives as Stated Over Time</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_Toc530307623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38</w:t>
        </w:r>
        <w:r w:rsidR="00A16FE0" w:rsidRPr="00F81A14">
          <w:rPr>
            <w:rFonts w:ascii="Arial" w:hAnsi="Arial" w:cs="Arial"/>
            <w:noProof/>
            <w:webHidden/>
          </w:rPr>
          <w:fldChar w:fldCharType="end"/>
        </w:r>
      </w:hyperlink>
    </w:p>
    <w:p w:rsidR="00F81A14" w:rsidRPr="00F81A14" w:rsidRDefault="005540DD">
      <w:pPr>
        <w:pStyle w:val="TOC2"/>
        <w:rPr>
          <w:rFonts w:ascii="Arial" w:eastAsiaTheme="minorEastAsia" w:hAnsi="Arial" w:cs="Arial"/>
          <w:noProof/>
          <w:color w:val="auto"/>
          <w:lang w:val="en-PH" w:eastAsia="en-PH" w:bidi="my-MM"/>
        </w:rPr>
      </w:pPr>
      <w:hyperlink w:anchor="_Toc530307624" w:history="1">
        <w:r w:rsidR="00F81A14" w:rsidRPr="00F81A14">
          <w:rPr>
            <w:rStyle w:val="Hyperlink"/>
            <w:rFonts w:ascii="Arial" w:hAnsi="Arial" w:cs="Arial"/>
            <w:b/>
            <w:bCs/>
            <w:noProof/>
            <w:lang w:val="en-AU"/>
          </w:rPr>
          <w:t>Annex H – Myanmar’s DB Rankings and DTF Scores Over Time</w:t>
        </w:r>
        <w:r w:rsidR="00F81A14" w:rsidRPr="00F81A14">
          <w:rPr>
            <w:rFonts w:ascii="Arial" w:hAnsi="Arial" w:cs="Arial"/>
            <w:noProof/>
            <w:webHidden/>
          </w:rPr>
          <w:tab/>
        </w:r>
        <w:r w:rsidR="00A16FE0" w:rsidRPr="00F81A14">
          <w:rPr>
            <w:rFonts w:ascii="Arial" w:hAnsi="Arial" w:cs="Arial"/>
            <w:noProof/>
            <w:webHidden/>
          </w:rPr>
          <w:fldChar w:fldCharType="begin"/>
        </w:r>
        <w:r w:rsidR="00F81A14" w:rsidRPr="00F81A14">
          <w:rPr>
            <w:rFonts w:ascii="Arial" w:hAnsi="Arial" w:cs="Arial"/>
            <w:noProof/>
            <w:webHidden/>
          </w:rPr>
          <w:instrText xml:space="preserve"> PAGEREF _Toc530307624 \h </w:instrText>
        </w:r>
        <w:r w:rsidR="00A16FE0" w:rsidRPr="00F81A14">
          <w:rPr>
            <w:rFonts w:ascii="Arial" w:hAnsi="Arial" w:cs="Arial"/>
            <w:noProof/>
            <w:webHidden/>
          </w:rPr>
        </w:r>
        <w:r w:rsidR="00A16FE0" w:rsidRPr="00F81A14">
          <w:rPr>
            <w:rFonts w:ascii="Arial" w:hAnsi="Arial" w:cs="Arial"/>
            <w:noProof/>
            <w:webHidden/>
          </w:rPr>
          <w:fldChar w:fldCharType="separate"/>
        </w:r>
        <w:r w:rsidR="00F81A14" w:rsidRPr="00F81A14">
          <w:rPr>
            <w:rFonts w:ascii="Arial" w:hAnsi="Arial" w:cs="Arial"/>
            <w:noProof/>
            <w:webHidden/>
          </w:rPr>
          <w:t>40</w:t>
        </w:r>
        <w:r w:rsidR="00A16FE0" w:rsidRPr="00F81A14">
          <w:rPr>
            <w:rFonts w:ascii="Arial" w:hAnsi="Arial" w:cs="Arial"/>
            <w:noProof/>
            <w:webHidden/>
          </w:rPr>
          <w:fldChar w:fldCharType="end"/>
        </w:r>
      </w:hyperlink>
    </w:p>
    <w:p w:rsidR="004D0AEE" w:rsidRPr="00AB469F" w:rsidRDefault="00A16FE0" w:rsidP="00BF3A17">
      <w:pPr>
        <w:pStyle w:val="BodyText"/>
        <w:rPr>
          <w:rFonts w:ascii="Arial" w:hAnsi="Arial" w:cs="Arial"/>
          <w:color w:val="auto"/>
          <w:lang w:val="en-AU"/>
        </w:rPr>
      </w:pPr>
      <w:r w:rsidRPr="00F81A14">
        <w:rPr>
          <w:rFonts w:ascii="Arial" w:hAnsi="Arial" w:cs="Arial"/>
          <w:color w:val="auto"/>
          <w:lang w:val="en-AU"/>
        </w:rPr>
        <w:fldChar w:fldCharType="end"/>
      </w:r>
    </w:p>
    <w:p w:rsidR="00EF23EA" w:rsidRPr="00A769DE" w:rsidRDefault="00EF23EA" w:rsidP="00BF3A17">
      <w:pPr>
        <w:rPr>
          <w:rFonts w:ascii="Arial" w:hAnsi="Arial" w:cs="Arial"/>
          <w:color w:val="auto"/>
          <w:lang w:val="en-AU"/>
        </w:rPr>
      </w:pPr>
    </w:p>
    <w:p w:rsidR="0022186C" w:rsidRPr="00A769DE" w:rsidRDefault="0022186C" w:rsidP="0022186C">
      <w:pPr>
        <w:rPr>
          <w:rFonts w:ascii="Arial" w:hAnsi="Arial" w:cs="Arial"/>
          <w:color w:val="auto"/>
          <w:lang w:val="en-AU"/>
        </w:rPr>
        <w:sectPr w:rsidR="0022186C" w:rsidRPr="00A769DE" w:rsidSect="005A032E">
          <w:headerReference w:type="default" r:id="rId19"/>
          <w:footerReference w:type="default" r:id="rId20"/>
          <w:headerReference w:type="first" r:id="rId21"/>
          <w:footerReference w:type="first" r:id="rId22"/>
          <w:pgSz w:w="11906" w:h="16838" w:code="9"/>
          <w:pgMar w:top="1985" w:right="1134" w:bottom="1701" w:left="1134" w:header="567" w:footer="567" w:gutter="0"/>
          <w:pgNumType w:start="1"/>
          <w:cols w:space="708"/>
          <w:titlePg/>
          <w:docGrid w:linePitch="360"/>
        </w:sectPr>
      </w:pPr>
    </w:p>
    <w:p w:rsidR="000B785F" w:rsidRPr="00A769DE" w:rsidRDefault="000B785F" w:rsidP="00F81A14">
      <w:pPr>
        <w:pStyle w:val="Heading1"/>
        <w:spacing w:before="0" w:after="2280"/>
        <w:contextualSpacing w:val="0"/>
        <w:rPr>
          <w:rFonts w:ascii="Arial" w:hAnsi="Arial" w:cs="Arial"/>
          <w:szCs w:val="32"/>
          <w:lang w:val="en-AU"/>
        </w:rPr>
      </w:pPr>
      <w:bookmarkStart w:id="3" w:name="_Toc304542674"/>
      <w:bookmarkStart w:id="4" w:name="_Toc522800468"/>
      <w:bookmarkStart w:id="5" w:name="_Toc525930538"/>
      <w:bookmarkStart w:id="6" w:name="_Toc530307588"/>
      <w:bookmarkStart w:id="7" w:name="_Toc630039"/>
      <w:bookmarkStart w:id="8" w:name="_Toc863415"/>
      <w:bookmarkStart w:id="9" w:name="_Toc863963"/>
      <w:bookmarkStart w:id="10" w:name="_Toc873059"/>
      <w:bookmarkStart w:id="11" w:name="_Toc873797"/>
      <w:bookmarkStart w:id="12" w:name="_Toc876849"/>
      <w:r w:rsidRPr="00A769DE">
        <w:rPr>
          <w:rFonts w:ascii="Arial" w:hAnsi="Arial" w:cs="Arial"/>
          <w:szCs w:val="32"/>
          <w:lang w:val="en-AU"/>
        </w:rPr>
        <w:lastRenderedPageBreak/>
        <w:t>EXECUTIVE SUMMARY</w:t>
      </w:r>
      <w:bookmarkEnd w:id="3"/>
      <w:bookmarkEnd w:id="4"/>
      <w:bookmarkEnd w:id="5"/>
      <w:bookmarkEnd w:id="6"/>
    </w:p>
    <w:p w:rsidR="000B785F" w:rsidRPr="00A769DE" w:rsidRDefault="000B785F" w:rsidP="000B785F">
      <w:pPr>
        <w:pStyle w:val="ListParagraph"/>
        <w:tabs>
          <w:tab w:val="left" w:pos="357"/>
        </w:tabs>
        <w:spacing w:after="0" w:line="240" w:lineRule="auto"/>
        <w:ind w:left="0"/>
        <w:jc w:val="both"/>
        <w:rPr>
          <w:rFonts w:ascii="Arial" w:hAnsi="Arial" w:cs="Arial"/>
          <w:b/>
          <w:i/>
          <w:iCs/>
          <w:color w:val="auto"/>
          <w:lang w:val="en-AU"/>
        </w:rPr>
      </w:pPr>
      <w:r w:rsidRPr="00A769DE">
        <w:rPr>
          <w:rFonts w:ascii="Arial" w:hAnsi="Arial" w:cs="Arial"/>
          <w:b/>
          <w:i/>
          <w:iCs/>
          <w:color w:val="auto"/>
          <w:lang w:val="en-AU"/>
        </w:rPr>
        <w:t>Background</w:t>
      </w:r>
    </w:p>
    <w:p w:rsidR="006C3DEA" w:rsidRPr="00A769DE" w:rsidRDefault="006C3DEA" w:rsidP="006C3DE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 xml:space="preserve">Australia’s Aid Investment Plan (AIP) 2015-2020 for Myanmar </w:t>
      </w:r>
      <w:r w:rsidR="007F56DA" w:rsidRPr="00A769DE">
        <w:rPr>
          <w:rFonts w:ascii="Arial" w:hAnsi="Arial" w:cs="Arial"/>
          <w:color w:val="auto"/>
          <w:lang w:val="en-AU"/>
        </w:rPr>
        <w:t>includes the</w:t>
      </w:r>
      <w:r w:rsidRPr="00A769DE">
        <w:rPr>
          <w:rFonts w:ascii="Arial" w:hAnsi="Arial" w:cs="Arial"/>
          <w:color w:val="auto"/>
          <w:lang w:val="en-AU"/>
        </w:rPr>
        <w:t xml:space="preserve"> objective to ‘promote inclusive economic growth and government management’, which covers support for </w:t>
      </w:r>
      <w:r w:rsidR="007F56DA" w:rsidRPr="00A769DE">
        <w:rPr>
          <w:rFonts w:ascii="Arial" w:hAnsi="Arial" w:cs="Arial"/>
          <w:color w:val="auto"/>
          <w:lang w:val="en-AU"/>
        </w:rPr>
        <w:t>private sector development (</w:t>
      </w:r>
      <w:r w:rsidRPr="00A769DE">
        <w:rPr>
          <w:rFonts w:ascii="Arial" w:hAnsi="Arial" w:cs="Arial"/>
          <w:color w:val="auto"/>
          <w:lang w:val="en-AU"/>
        </w:rPr>
        <w:t>PSD</w:t>
      </w:r>
      <w:r w:rsidR="007F56DA" w:rsidRPr="00A769DE">
        <w:rPr>
          <w:rFonts w:ascii="Arial" w:hAnsi="Arial" w:cs="Arial"/>
          <w:color w:val="auto"/>
          <w:lang w:val="en-AU"/>
        </w:rPr>
        <w:t>)</w:t>
      </w:r>
      <w:r w:rsidRPr="00A769DE">
        <w:rPr>
          <w:rFonts w:ascii="Arial" w:hAnsi="Arial" w:cs="Arial"/>
          <w:color w:val="auto"/>
          <w:lang w:val="en-AU"/>
        </w:rPr>
        <w:t xml:space="preserve"> and </w:t>
      </w:r>
      <w:r w:rsidR="007F56DA" w:rsidRPr="00A769DE">
        <w:rPr>
          <w:rFonts w:ascii="Arial" w:hAnsi="Arial" w:cs="Arial"/>
          <w:color w:val="auto"/>
          <w:lang w:val="en-AU"/>
        </w:rPr>
        <w:t>public financial management (</w:t>
      </w:r>
      <w:r w:rsidRPr="00A769DE">
        <w:rPr>
          <w:rFonts w:ascii="Arial" w:hAnsi="Arial" w:cs="Arial"/>
          <w:color w:val="auto"/>
          <w:lang w:val="en-AU"/>
        </w:rPr>
        <w:t>PFM</w:t>
      </w:r>
      <w:r w:rsidR="007F56DA" w:rsidRPr="00A769DE">
        <w:rPr>
          <w:rFonts w:ascii="Arial" w:hAnsi="Arial" w:cs="Arial"/>
          <w:color w:val="auto"/>
          <w:lang w:val="en-AU"/>
        </w:rPr>
        <w:t>)</w:t>
      </w:r>
      <w:r w:rsidRPr="00A769DE">
        <w:rPr>
          <w:rFonts w:ascii="Arial" w:hAnsi="Arial" w:cs="Arial"/>
          <w:color w:val="auto"/>
          <w:lang w:val="en-AU"/>
        </w:rPr>
        <w:t xml:space="preserve"> reform. Australia has </w:t>
      </w:r>
      <w:r w:rsidR="007F56DA" w:rsidRPr="00A769DE">
        <w:rPr>
          <w:rFonts w:ascii="Arial" w:hAnsi="Arial" w:cs="Arial"/>
          <w:iCs/>
          <w:color w:val="auto"/>
          <w:lang w:val="en-AU"/>
        </w:rPr>
        <w:t xml:space="preserve">via the Department of Foreign Affairs and Trade (DFAT) </w:t>
      </w:r>
      <w:r w:rsidRPr="00A769DE">
        <w:rPr>
          <w:rFonts w:ascii="Arial" w:hAnsi="Arial" w:cs="Arial"/>
          <w:color w:val="auto"/>
          <w:lang w:val="en-AU"/>
        </w:rPr>
        <w:t xml:space="preserve">committed up to AUD 20 million for </w:t>
      </w:r>
      <w:r w:rsidR="007F56DA" w:rsidRPr="00A769DE">
        <w:rPr>
          <w:rFonts w:ascii="Arial" w:hAnsi="Arial" w:cs="Arial"/>
          <w:color w:val="auto"/>
          <w:lang w:val="en-AU"/>
        </w:rPr>
        <w:t>PSD</w:t>
      </w:r>
      <w:r w:rsidRPr="00A769DE">
        <w:rPr>
          <w:rFonts w:ascii="Arial" w:hAnsi="Arial" w:cs="Arial"/>
          <w:color w:val="auto"/>
          <w:lang w:val="en-AU"/>
        </w:rPr>
        <w:t xml:space="preserve"> </w:t>
      </w:r>
      <w:r w:rsidR="000C146B">
        <w:rPr>
          <w:rFonts w:ascii="Arial" w:hAnsi="Arial" w:cs="Arial"/>
          <w:color w:val="auto"/>
          <w:lang w:val="en-AU"/>
        </w:rPr>
        <w:t xml:space="preserve">from June 2015 to June 2020, </w:t>
      </w:r>
      <w:r w:rsidRPr="00A769DE">
        <w:rPr>
          <w:rFonts w:ascii="Arial" w:hAnsi="Arial" w:cs="Arial"/>
          <w:color w:val="auto"/>
          <w:lang w:val="en-AU"/>
        </w:rPr>
        <w:t>and AUD 12 million</w:t>
      </w:r>
      <w:r w:rsidR="000C146B">
        <w:rPr>
          <w:rFonts w:ascii="Arial" w:hAnsi="Arial" w:cs="Arial"/>
          <w:color w:val="auto"/>
          <w:lang w:val="en-AU"/>
        </w:rPr>
        <w:t xml:space="preserve"> from March 2014 to March 2019</w:t>
      </w:r>
      <w:r w:rsidRPr="00A769DE">
        <w:rPr>
          <w:rFonts w:ascii="Arial" w:hAnsi="Arial" w:cs="Arial"/>
          <w:color w:val="auto"/>
          <w:lang w:val="en-AU"/>
        </w:rPr>
        <w:t xml:space="preserve"> for PFM reform, which is channelled through the World Bank-managed Myanmar Partnership Multi-Donor Trust Fund (MDTF). Australia’s support conclude</w:t>
      </w:r>
      <w:r w:rsidR="007F56DA" w:rsidRPr="00A769DE">
        <w:rPr>
          <w:rFonts w:ascii="Arial" w:hAnsi="Arial" w:cs="Arial"/>
          <w:color w:val="auto"/>
          <w:lang w:val="en-AU"/>
        </w:rPr>
        <w:t>s</w:t>
      </w:r>
      <w:r w:rsidRPr="00A769DE">
        <w:rPr>
          <w:rFonts w:ascii="Arial" w:hAnsi="Arial" w:cs="Arial"/>
          <w:color w:val="auto"/>
          <w:lang w:val="en-AU"/>
        </w:rPr>
        <w:t xml:space="preserve"> in 2020.</w:t>
      </w:r>
    </w:p>
    <w:p w:rsidR="006C3DEA" w:rsidRPr="00A769DE" w:rsidRDefault="006C3DEA" w:rsidP="006C3DEA">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B76C89" w:rsidRPr="000473C2" w:rsidRDefault="00B76C89" w:rsidP="00B76C89">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0473C2">
        <w:rPr>
          <w:rFonts w:ascii="Arial" w:hAnsi="Arial" w:cs="Arial"/>
          <w:iCs/>
          <w:color w:val="auto"/>
          <w:lang w:val="en-AU"/>
        </w:rPr>
        <w:t>The Australian Government</w:t>
      </w:r>
      <w:r w:rsidR="007F56DA" w:rsidRPr="000473C2">
        <w:rPr>
          <w:rFonts w:ascii="Arial" w:hAnsi="Arial" w:cs="Arial"/>
          <w:iCs/>
          <w:color w:val="auto"/>
          <w:lang w:val="en-AU"/>
        </w:rPr>
        <w:t>’s</w:t>
      </w:r>
      <w:r w:rsidRPr="000473C2">
        <w:rPr>
          <w:rFonts w:ascii="Arial" w:hAnsi="Arial" w:cs="Arial"/>
          <w:iCs/>
          <w:color w:val="auto"/>
          <w:lang w:val="en-AU"/>
        </w:rPr>
        <w:t xml:space="preserve"> </w:t>
      </w:r>
      <w:r w:rsidR="007F56DA" w:rsidRPr="000473C2">
        <w:rPr>
          <w:rFonts w:ascii="Arial" w:hAnsi="Arial" w:cs="Arial"/>
          <w:iCs/>
          <w:color w:val="auto"/>
          <w:lang w:val="en-AU"/>
        </w:rPr>
        <w:t xml:space="preserve">PSD </w:t>
      </w:r>
      <w:r w:rsidR="008062D1" w:rsidRPr="000473C2">
        <w:rPr>
          <w:rFonts w:ascii="Arial" w:hAnsi="Arial" w:cs="Arial"/>
          <w:iCs/>
          <w:color w:val="auto"/>
          <w:lang w:val="en-AU"/>
        </w:rPr>
        <w:t xml:space="preserve">financial </w:t>
      </w:r>
      <w:r w:rsidR="007F56DA" w:rsidRPr="000473C2">
        <w:rPr>
          <w:rFonts w:ascii="Arial" w:hAnsi="Arial" w:cs="Arial"/>
          <w:iCs/>
          <w:color w:val="auto"/>
          <w:lang w:val="en-AU"/>
        </w:rPr>
        <w:t>assistance is provided</w:t>
      </w:r>
      <w:r w:rsidRPr="000473C2">
        <w:rPr>
          <w:rFonts w:ascii="Arial" w:hAnsi="Arial" w:cs="Arial"/>
          <w:iCs/>
          <w:color w:val="auto"/>
          <w:lang w:val="en-AU"/>
        </w:rPr>
        <w:t xml:space="preserve"> to the </w:t>
      </w:r>
      <w:r w:rsidR="000473C2" w:rsidRPr="000473C2">
        <w:rPr>
          <w:rFonts w:ascii="Arial" w:hAnsi="Arial" w:cs="Arial"/>
          <w:iCs/>
          <w:color w:val="auto"/>
          <w:lang w:val="en-AU"/>
        </w:rPr>
        <w:t xml:space="preserve">World Bank Group </w:t>
      </w:r>
      <w:r w:rsidRPr="000473C2">
        <w:rPr>
          <w:rFonts w:ascii="Arial" w:hAnsi="Arial" w:cs="Arial"/>
          <w:iCs/>
          <w:color w:val="auto"/>
          <w:lang w:val="en-AU"/>
        </w:rPr>
        <w:t>for implementing the Investment Climate and Competitiveness Program (ICCP)</w:t>
      </w:r>
      <w:r w:rsidR="006C3DEA" w:rsidRPr="000473C2">
        <w:rPr>
          <w:rFonts w:ascii="Arial" w:hAnsi="Arial" w:cs="Arial"/>
          <w:iCs/>
          <w:color w:val="auto"/>
          <w:lang w:val="en-AU"/>
        </w:rPr>
        <w:t xml:space="preserve">. The ICCP supports the Government of Myanmar (GoM) and the private sector to improve the investment climate, competitiveness, and trade integration. </w:t>
      </w:r>
      <w:r w:rsidR="007F56DA" w:rsidRPr="000473C2">
        <w:rPr>
          <w:rFonts w:ascii="Arial" w:hAnsi="Arial" w:cs="Arial"/>
          <w:iCs/>
          <w:color w:val="auto"/>
          <w:lang w:val="en-AU"/>
        </w:rPr>
        <w:t xml:space="preserve">The support for PFM reform is provided to the World Bank </w:t>
      </w:r>
      <w:r w:rsidR="008D5B03" w:rsidRPr="000473C2">
        <w:rPr>
          <w:rFonts w:ascii="Arial" w:hAnsi="Arial" w:cs="Arial"/>
          <w:iCs/>
          <w:color w:val="auto"/>
          <w:lang w:val="en-AU"/>
        </w:rPr>
        <w:t>and</w:t>
      </w:r>
      <w:r w:rsidR="004C4F2A" w:rsidRPr="000473C2">
        <w:rPr>
          <w:rFonts w:ascii="Arial" w:hAnsi="Arial" w:cs="Arial"/>
          <w:color w:val="auto"/>
          <w:lang w:val="en-AU"/>
        </w:rPr>
        <w:t xml:space="preserve"> the Asia Foundation (TAF) for </w:t>
      </w:r>
      <w:r w:rsidR="008D5B03" w:rsidRPr="000473C2">
        <w:rPr>
          <w:rFonts w:ascii="Arial" w:hAnsi="Arial" w:cs="Arial"/>
          <w:color w:val="auto"/>
          <w:lang w:val="en-AU"/>
        </w:rPr>
        <w:t>three separate project initiatives.</w:t>
      </w:r>
    </w:p>
    <w:p w:rsidR="00221DB0" w:rsidRPr="00A769DE" w:rsidRDefault="00221DB0" w:rsidP="00530B1F">
      <w:pPr>
        <w:pStyle w:val="ListParagraph"/>
        <w:tabs>
          <w:tab w:val="left" w:pos="357"/>
        </w:tabs>
        <w:spacing w:before="0" w:after="0" w:line="240" w:lineRule="auto"/>
        <w:ind w:left="0"/>
        <w:contextualSpacing w:val="0"/>
        <w:jc w:val="both"/>
        <w:rPr>
          <w:rFonts w:ascii="Arial" w:hAnsi="Arial" w:cs="Arial"/>
          <w:iCs/>
          <w:color w:val="auto"/>
          <w:lang w:val="en-AU"/>
        </w:rPr>
      </w:pPr>
    </w:p>
    <w:p w:rsidR="00B115E8" w:rsidRPr="000C146B" w:rsidRDefault="00B76C89" w:rsidP="00B76C89">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0C146B">
        <w:rPr>
          <w:rFonts w:ascii="Arial" w:hAnsi="Arial" w:cs="Arial"/>
          <w:iCs/>
          <w:color w:val="auto"/>
          <w:lang w:val="en-AU"/>
        </w:rPr>
        <w:t>DFAT</w:t>
      </w:r>
      <w:r w:rsidR="00E9571D" w:rsidRPr="000C146B">
        <w:rPr>
          <w:rFonts w:ascii="Arial" w:hAnsi="Arial" w:cs="Arial"/>
          <w:iCs/>
          <w:color w:val="auto"/>
          <w:lang w:val="en-AU"/>
        </w:rPr>
        <w:t xml:space="preserve"> carries out independent evaluations to ensure that </w:t>
      </w:r>
      <w:r w:rsidR="000C146B" w:rsidRPr="000C146B">
        <w:rPr>
          <w:rFonts w:ascii="Arial" w:hAnsi="Arial" w:cs="Arial"/>
          <w:iCs/>
          <w:color w:val="auto"/>
          <w:lang w:val="en-AU"/>
        </w:rPr>
        <w:t>it</w:t>
      </w:r>
      <w:r w:rsidR="00E9571D" w:rsidRPr="000C146B">
        <w:rPr>
          <w:rFonts w:ascii="Arial" w:hAnsi="Arial" w:cs="Arial"/>
          <w:iCs/>
          <w:color w:val="auto"/>
          <w:lang w:val="en-AU"/>
        </w:rPr>
        <w:t xml:space="preserve"> has credible and robust information on how aid investments </w:t>
      </w:r>
      <w:r w:rsidR="000C146B" w:rsidRPr="000C146B">
        <w:rPr>
          <w:rFonts w:ascii="Arial" w:hAnsi="Arial" w:cs="Arial"/>
          <w:iCs/>
          <w:color w:val="auto"/>
          <w:lang w:val="en-AU"/>
        </w:rPr>
        <w:t>are</w:t>
      </w:r>
      <w:r w:rsidR="00E9571D" w:rsidRPr="000C146B">
        <w:rPr>
          <w:rFonts w:ascii="Arial" w:hAnsi="Arial" w:cs="Arial"/>
          <w:iCs/>
          <w:color w:val="auto"/>
          <w:lang w:val="en-AU"/>
        </w:rPr>
        <w:t xml:space="preserve"> perform</w:t>
      </w:r>
      <w:r w:rsidR="000C146B" w:rsidRPr="000C146B">
        <w:rPr>
          <w:rFonts w:ascii="Arial" w:hAnsi="Arial" w:cs="Arial"/>
          <w:iCs/>
          <w:color w:val="auto"/>
          <w:lang w:val="en-AU"/>
        </w:rPr>
        <w:t xml:space="preserve">ing. </w:t>
      </w:r>
      <w:r w:rsidR="00D26665" w:rsidRPr="000C146B">
        <w:rPr>
          <w:rFonts w:ascii="Arial" w:hAnsi="Arial" w:cs="Arial"/>
          <w:iCs/>
          <w:color w:val="auto"/>
          <w:lang w:val="en-AU"/>
        </w:rPr>
        <w:t xml:space="preserve">DFAT therefore initiated </w:t>
      </w:r>
      <w:r w:rsidR="008567F3" w:rsidRPr="000C146B">
        <w:rPr>
          <w:rFonts w:ascii="Arial" w:hAnsi="Arial" w:cs="Arial"/>
          <w:iCs/>
          <w:color w:val="auto"/>
          <w:lang w:val="en-AU"/>
        </w:rPr>
        <w:t>a</w:t>
      </w:r>
      <w:r w:rsidR="00B115E8" w:rsidRPr="000C146B">
        <w:rPr>
          <w:rFonts w:ascii="Arial" w:hAnsi="Arial" w:cs="Arial"/>
          <w:iCs/>
          <w:color w:val="auto"/>
          <w:lang w:val="en-AU"/>
        </w:rPr>
        <w:t>n</w:t>
      </w:r>
      <w:r w:rsidR="008567F3" w:rsidRPr="000C146B">
        <w:rPr>
          <w:rFonts w:ascii="Arial" w:hAnsi="Arial" w:cs="Arial"/>
          <w:iCs/>
          <w:color w:val="auto"/>
          <w:lang w:val="en-AU"/>
        </w:rPr>
        <w:t xml:space="preserve"> evaluation of </w:t>
      </w:r>
      <w:r w:rsidR="00D860E9" w:rsidRPr="000C146B">
        <w:rPr>
          <w:rFonts w:ascii="Arial" w:hAnsi="Arial" w:cs="Arial"/>
          <w:iCs/>
          <w:color w:val="auto"/>
          <w:lang w:val="en-AU"/>
        </w:rPr>
        <w:t xml:space="preserve">its economic growth program, which has two parts. The </w:t>
      </w:r>
      <w:r w:rsidR="00D860E9" w:rsidRPr="000C146B">
        <w:rPr>
          <w:rFonts w:ascii="Arial" w:hAnsi="Arial" w:cs="Arial"/>
          <w:i/>
          <w:color w:val="auto"/>
          <w:lang w:val="en-AU"/>
        </w:rPr>
        <w:t>first part</w:t>
      </w:r>
      <w:r w:rsidR="00D860E9" w:rsidRPr="000C146B">
        <w:rPr>
          <w:rFonts w:ascii="Arial" w:hAnsi="Arial" w:cs="Arial"/>
          <w:iCs/>
          <w:color w:val="auto"/>
          <w:lang w:val="en-AU"/>
        </w:rPr>
        <w:t xml:space="preserve"> reviews the </w:t>
      </w:r>
      <w:r w:rsidRPr="000C146B">
        <w:rPr>
          <w:rFonts w:ascii="Arial" w:hAnsi="Arial" w:cs="Arial"/>
          <w:color w:val="auto"/>
          <w:lang w:val="en-AU"/>
        </w:rPr>
        <w:t xml:space="preserve">ICCP </w:t>
      </w:r>
      <w:r w:rsidR="00B115E8" w:rsidRPr="000C146B">
        <w:rPr>
          <w:rFonts w:ascii="Arial" w:hAnsi="Arial" w:cs="Arial"/>
          <w:color w:val="auto"/>
          <w:lang w:val="en-AU"/>
        </w:rPr>
        <w:t>in terms of its delivery of</w:t>
      </w:r>
      <w:r w:rsidRPr="000C146B">
        <w:rPr>
          <w:rFonts w:ascii="Arial" w:hAnsi="Arial" w:cs="Arial"/>
          <w:color w:val="auto"/>
          <w:lang w:val="en-AU"/>
        </w:rPr>
        <w:t xml:space="preserve"> intended outputs and outcomes.</w:t>
      </w:r>
      <w:r w:rsidR="008062D1" w:rsidRPr="000C146B">
        <w:rPr>
          <w:rFonts w:ascii="Arial" w:hAnsi="Arial" w:cs="Arial"/>
          <w:iCs/>
          <w:color w:val="auto"/>
          <w:lang w:val="en-AU"/>
        </w:rPr>
        <w:t xml:space="preserve"> The </w:t>
      </w:r>
      <w:r w:rsidR="008062D1" w:rsidRPr="000C146B">
        <w:rPr>
          <w:rFonts w:ascii="Arial" w:hAnsi="Arial" w:cs="Arial"/>
          <w:i/>
          <w:color w:val="auto"/>
          <w:lang w:val="en-AU"/>
        </w:rPr>
        <w:t>second part</w:t>
      </w:r>
      <w:r w:rsidR="008062D1" w:rsidRPr="000C146B">
        <w:rPr>
          <w:rFonts w:ascii="Arial" w:hAnsi="Arial" w:cs="Arial"/>
          <w:iCs/>
          <w:color w:val="auto"/>
          <w:lang w:val="en-AU"/>
        </w:rPr>
        <w:t xml:space="preserve"> of the evaluation focuses specifically on </w:t>
      </w:r>
      <w:r w:rsidR="008062D1" w:rsidRPr="000C146B">
        <w:rPr>
          <w:rFonts w:ascii="Arial" w:hAnsi="Arial" w:cs="Arial"/>
          <w:color w:val="auto"/>
          <w:lang w:val="en-AU"/>
        </w:rPr>
        <w:t>the AIP objectives and the extent to which annual targets for PSD as well as PFM reform have been met. The latter applies the results of a PFM evaluation that was commissioned by t</w:t>
      </w:r>
      <w:r w:rsidR="008567F3" w:rsidRPr="000C146B">
        <w:rPr>
          <w:rFonts w:ascii="Arial" w:hAnsi="Arial" w:cs="Arial"/>
          <w:iCs/>
          <w:color w:val="auto"/>
          <w:lang w:val="en-AU"/>
        </w:rPr>
        <w:t>he United Kingdom’s Department for International Development (DFID)</w:t>
      </w:r>
      <w:r w:rsidR="008062D1" w:rsidRPr="000C146B">
        <w:rPr>
          <w:rFonts w:ascii="Arial" w:hAnsi="Arial" w:cs="Arial"/>
          <w:iCs/>
          <w:color w:val="auto"/>
          <w:lang w:val="en-AU"/>
        </w:rPr>
        <w:t xml:space="preserve"> in early 2018</w:t>
      </w:r>
      <w:r w:rsidRPr="000C146B">
        <w:rPr>
          <w:rFonts w:ascii="Arial" w:hAnsi="Arial" w:cs="Arial"/>
          <w:color w:val="auto"/>
          <w:lang w:val="en-AU"/>
        </w:rPr>
        <w:t>.</w:t>
      </w:r>
      <w:r w:rsidR="00B115E8" w:rsidRPr="000C146B">
        <w:rPr>
          <w:rFonts w:ascii="Arial" w:hAnsi="Arial" w:cs="Arial"/>
          <w:color w:val="auto"/>
          <w:lang w:val="en-AU"/>
        </w:rPr>
        <w:t xml:space="preserve"> Based on the findings and analyses, recommendations are made to DFAT on the implementation of the ICCP for the remaining two years as well as on the future program design and modality of Australia’s investments in economic growth in Myanmar.</w:t>
      </w:r>
    </w:p>
    <w:p w:rsidR="00B115E8" w:rsidRPr="00A769DE" w:rsidRDefault="00B115E8" w:rsidP="00B76C89">
      <w:pPr>
        <w:pStyle w:val="ListParagraph"/>
        <w:tabs>
          <w:tab w:val="left" w:pos="357"/>
        </w:tabs>
        <w:spacing w:before="0" w:after="0" w:line="240" w:lineRule="auto"/>
        <w:ind w:left="0"/>
        <w:contextualSpacing w:val="0"/>
        <w:jc w:val="both"/>
        <w:rPr>
          <w:rFonts w:ascii="Arial" w:hAnsi="Arial" w:cs="Arial"/>
          <w:iCs/>
          <w:color w:val="auto"/>
          <w:lang w:val="en-AU"/>
        </w:rPr>
      </w:pPr>
    </w:p>
    <w:p w:rsidR="00DA6299" w:rsidRPr="00A769DE" w:rsidRDefault="00DA6299" w:rsidP="0024127C">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iCs/>
          <w:color w:val="auto"/>
          <w:lang w:val="en-AU"/>
        </w:rPr>
        <w:t xml:space="preserve">The evaluation has been carried out </w:t>
      </w:r>
      <w:r w:rsidR="008B602B" w:rsidRPr="00A769DE">
        <w:rPr>
          <w:rFonts w:ascii="Arial" w:hAnsi="Arial" w:cs="Arial"/>
          <w:iCs/>
          <w:color w:val="auto"/>
          <w:lang w:val="en-AU"/>
        </w:rPr>
        <w:t>according to DFAT’s Monitoring and Evaluation Standards (April 2017). It has involved an extensive desk-based document reviews and a two-week in-country mission that included 29 meetings with about 60 stakeholders as well as field visits to meet project beneficiaries, and the preparation of an Evaluation Plan, Aide Memoire and this Evaluation Report.</w:t>
      </w:r>
      <w:r w:rsidRPr="00A769DE">
        <w:rPr>
          <w:rFonts w:ascii="Arial" w:hAnsi="Arial" w:cs="Arial"/>
          <w:color w:val="auto"/>
          <w:lang w:val="en-AU"/>
        </w:rPr>
        <w:t xml:space="preserve"> The information obtained has, considering the time available, been relevant and comprehensive</w:t>
      </w:r>
      <w:r w:rsidR="0024127C" w:rsidRPr="00A769DE">
        <w:rPr>
          <w:rFonts w:ascii="Arial" w:hAnsi="Arial" w:cs="Arial"/>
          <w:color w:val="auto"/>
          <w:lang w:val="en-AU"/>
        </w:rPr>
        <w:t xml:space="preserve">, although it </w:t>
      </w:r>
      <w:r w:rsidR="008062D1">
        <w:rPr>
          <w:rFonts w:ascii="Arial" w:hAnsi="Arial" w:cs="Arial"/>
          <w:color w:val="auto"/>
          <w:lang w:val="en-AU"/>
        </w:rPr>
        <w:t>is</w:t>
      </w:r>
      <w:r w:rsidR="0024127C" w:rsidRPr="00A769DE">
        <w:rPr>
          <w:rFonts w:ascii="Arial" w:hAnsi="Arial" w:cs="Arial"/>
          <w:color w:val="auto"/>
          <w:lang w:val="en-AU"/>
        </w:rPr>
        <w:t xml:space="preserve"> noted that there were some challenges in receiving project-specific information from the </w:t>
      </w:r>
      <w:r w:rsidR="000473C2" w:rsidRPr="00A769DE">
        <w:rPr>
          <w:rFonts w:ascii="Arial" w:hAnsi="Arial" w:cs="Arial"/>
          <w:iCs/>
          <w:color w:val="auto"/>
          <w:lang w:val="en-AU"/>
        </w:rPr>
        <w:t>International Finance Corporation (IFC)</w:t>
      </w:r>
      <w:r w:rsidR="0024127C" w:rsidRPr="00A769DE">
        <w:rPr>
          <w:rFonts w:ascii="Arial" w:hAnsi="Arial" w:cs="Arial"/>
          <w:color w:val="auto"/>
          <w:lang w:val="en-AU"/>
        </w:rPr>
        <w:t xml:space="preserve">, which </w:t>
      </w:r>
      <w:r w:rsidR="00862FFF" w:rsidRPr="00A769DE">
        <w:rPr>
          <w:rFonts w:ascii="Arial" w:hAnsi="Arial" w:cs="Arial"/>
          <w:color w:val="auto"/>
          <w:lang w:val="en-AU"/>
        </w:rPr>
        <w:t xml:space="preserve">to some extent </w:t>
      </w:r>
      <w:r w:rsidR="0024127C" w:rsidRPr="00A769DE">
        <w:rPr>
          <w:rFonts w:ascii="Arial" w:hAnsi="Arial" w:cs="Arial"/>
          <w:color w:val="auto"/>
          <w:lang w:val="en-AU"/>
        </w:rPr>
        <w:t>complicated the evaluation process</w:t>
      </w:r>
      <w:r w:rsidR="00862FFF" w:rsidRPr="00A769DE">
        <w:rPr>
          <w:rFonts w:ascii="Arial" w:hAnsi="Arial" w:cs="Arial"/>
          <w:color w:val="auto"/>
          <w:lang w:val="en-AU"/>
        </w:rPr>
        <w:t xml:space="preserve"> (explained further </w:t>
      </w:r>
      <w:r w:rsidR="008062D1">
        <w:rPr>
          <w:rFonts w:ascii="Arial" w:hAnsi="Arial" w:cs="Arial"/>
          <w:color w:val="auto"/>
          <w:lang w:val="en-AU"/>
        </w:rPr>
        <w:t>in the report</w:t>
      </w:r>
      <w:r w:rsidR="00862FFF" w:rsidRPr="00A769DE">
        <w:rPr>
          <w:rFonts w:ascii="Arial" w:hAnsi="Arial" w:cs="Arial"/>
          <w:color w:val="auto"/>
          <w:lang w:val="en-AU"/>
        </w:rPr>
        <w:t>)</w:t>
      </w:r>
      <w:r w:rsidR="0024127C" w:rsidRPr="00A769DE">
        <w:rPr>
          <w:rFonts w:ascii="Arial" w:hAnsi="Arial" w:cs="Arial"/>
          <w:color w:val="auto"/>
          <w:lang w:val="en-AU"/>
        </w:rPr>
        <w:t>.</w:t>
      </w:r>
    </w:p>
    <w:p w:rsidR="00DA6299" w:rsidRDefault="00DA6299" w:rsidP="00DA6299">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477E6A" w:rsidP="00530B1F">
      <w:pPr>
        <w:spacing w:before="0" w:after="0" w:line="240" w:lineRule="auto"/>
        <w:jc w:val="both"/>
        <w:rPr>
          <w:rFonts w:ascii="Arial" w:hAnsi="Arial" w:cs="Arial"/>
          <w:b/>
          <w:i/>
          <w:color w:val="auto"/>
          <w:lang w:val="en-AU"/>
        </w:rPr>
      </w:pPr>
      <w:r w:rsidRPr="00A769DE">
        <w:rPr>
          <w:rFonts w:ascii="Arial" w:hAnsi="Arial" w:cs="Arial"/>
          <w:b/>
          <w:i/>
          <w:color w:val="auto"/>
          <w:lang w:val="en-AU"/>
        </w:rPr>
        <w:t>Evaluation</w:t>
      </w:r>
      <w:r w:rsidR="000B785F" w:rsidRPr="00A769DE">
        <w:rPr>
          <w:rFonts w:ascii="Arial" w:hAnsi="Arial" w:cs="Arial"/>
          <w:b/>
          <w:i/>
          <w:color w:val="auto"/>
          <w:lang w:val="en-AU"/>
        </w:rPr>
        <w:t xml:space="preserve"> </w:t>
      </w:r>
      <w:r w:rsidR="00AD799B" w:rsidRPr="00A769DE">
        <w:rPr>
          <w:rFonts w:ascii="Arial" w:hAnsi="Arial" w:cs="Arial"/>
          <w:b/>
          <w:i/>
          <w:color w:val="auto"/>
          <w:lang w:val="en-AU"/>
        </w:rPr>
        <w:t>f</w:t>
      </w:r>
      <w:r w:rsidR="000B785F" w:rsidRPr="00A769DE">
        <w:rPr>
          <w:rFonts w:ascii="Arial" w:hAnsi="Arial" w:cs="Arial"/>
          <w:b/>
          <w:i/>
          <w:color w:val="auto"/>
          <w:lang w:val="en-AU"/>
        </w:rPr>
        <w:t>indings</w:t>
      </w:r>
      <w:r w:rsidRPr="00A769DE">
        <w:rPr>
          <w:rFonts w:ascii="Arial" w:hAnsi="Arial" w:cs="Arial"/>
          <w:b/>
          <w:i/>
          <w:color w:val="auto"/>
          <w:lang w:val="en-AU"/>
        </w:rPr>
        <w:t xml:space="preserve"> and conclusions</w:t>
      </w:r>
    </w:p>
    <w:p w:rsidR="00D25C0B" w:rsidRPr="00D25C0B" w:rsidRDefault="00D25C0B" w:rsidP="00D25C0B">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t>In assessing the</w:t>
      </w:r>
      <w:r w:rsidRPr="00D25C0B">
        <w:rPr>
          <w:rFonts w:ascii="Arial" w:hAnsi="Arial" w:cs="Arial"/>
          <w:color w:val="auto"/>
          <w:lang w:val="en-AU"/>
        </w:rPr>
        <w:t xml:space="preserve"> </w:t>
      </w:r>
      <w:r w:rsidRPr="00D25C0B">
        <w:rPr>
          <w:rFonts w:ascii="Arial" w:hAnsi="Arial" w:cs="Arial"/>
          <w:color w:val="auto"/>
          <w:u w:val="single"/>
          <w:lang w:val="en-AU"/>
        </w:rPr>
        <w:t>ICCP as a program</w:t>
      </w:r>
      <w:r>
        <w:rPr>
          <w:rFonts w:ascii="Arial" w:hAnsi="Arial" w:cs="Arial"/>
          <w:color w:val="auto"/>
          <w:lang w:val="en-AU"/>
        </w:rPr>
        <w:t xml:space="preserve">, it is clear that while </w:t>
      </w:r>
      <w:r w:rsidR="002C55E2">
        <w:rPr>
          <w:rFonts w:ascii="Arial" w:hAnsi="Arial" w:cs="Arial"/>
          <w:color w:val="auto"/>
          <w:lang w:val="en-AU"/>
        </w:rPr>
        <w:t>the ICCP</w:t>
      </w:r>
      <w:r>
        <w:rPr>
          <w:rFonts w:ascii="Arial" w:hAnsi="Arial" w:cs="Arial"/>
          <w:color w:val="auto"/>
          <w:lang w:val="en-AU"/>
        </w:rPr>
        <w:t xml:space="preserve"> was </w:t>
      </w:r>
      <w:r w:rsidRPr="00D25C0B">
        <w:rPr>
          <w:rFonts w:ascii="Arial" w:hAnsi="Arial" w:cs="Arial"/>
          <w:color w:val="auto"/>
          <w:lang w:val="en-AU"/>
        </w:rPr>
        <w:t>conceptualised as a program</w:t>
      </w:r>
      <w:r>
        <w:rPr>
          <w:rFonts w:ascii="Arial" w:hAnsi="Arial" w:cs="Arial"/>
          <w:color w:val="auto"/>
          <w:lang w:val="en-AU"/>
        </w:rPr>
        <w:t xml:space="preserve"> when designed in early 2015</w:t>
      </w:r>
      <w:r w:rsidRPr="00D25C0B">
        <w:rPr>
          <w:rFonts w:ascii="Arial" w:hAnsi="Arial" w:cs="Arial"/>
          <w:color w:val="auto"/>
          <w:lang w:val="en-AU"/>
        </w:rPr>
        <w:t xml:space="preserve">, during implementation </w:t>
      </w:r>
      <w:r>
        <w:rPr>
          <w:rFonts w:ascii="Arial" w:hAnsi="Arial" w:cs="Arial"/>
          <w:color w:val="auto"/>
          <w:lang w:val="en-AU"/>
        </w:rPr>
        <w:t xml:space="preserve">it has </w:t>
      </w:r>
      <w:r w:rsidRPr="00D25C0B">
        <w:rPr>
          <w:rFonts w:ascii="Arial" w:hAnsi="Arial" w:cs="Arial"/>
          <w:color w:val="auto"/>
          <w:lang w:val="en-AU"/>
        </w:rPr>
        <w:t>functioned solely as a framework for a number of separate projects</w:t>
      </w:r>
      <w:r>
        <w:rPr>
          <w:rFonts w:ascii="Arial" w:hAnsi="Arial" w:cs="Arial"/>
          <w:color w:val="auto"/>
          <w:lang w:val="en-AU"/>
        </w:rPr>
        <w:t xml:space="preserve">. This is clearly illustrated by there </w:t>
      </w:r>
      <w:r w:rsidRPr="00D25C0B">
        <w:rPr>
          <w:rFonts w:ascii="Arial" w:hAnsi="Arial" w:cs="Arial"/>
          <w:color w:val="auto"/>
          <w:lang w:val="en-AU"/>
        </w:rPr>
        <w:t xml:space="preserve">being no </w:t>
      </w:r>
      <w:r w:rsidRPr="00D25C0B">
        <w:rPr>
          <w:rFonts w:ascii="Arial" w:hAnsi="Arial" w:cs="Arial"/>
          <w:iCs/>
          <w:color w:val="auto"/>
          <w:lang w:val="en-AU"/>
        </w:rPr>
        <w:t>ICCP results framework/logframe or program logic in place</w:t>
      </w:r>
      <w:r w:rsidRPr="00D25C0B">
        <w:rPr>
          <w:rFonts w:ascii="Arial" w:hAnsi="Arial" w:cs="Arial"/>
          <w:color w:val="auto"/>
          <w:lang w:val="en-AU"/>
        </w:rPr>
        <w:t>.</w:t>
      </w:r>
      <w:r>
        <w:rPr>
          <w:rFonts w:ascii="Arial" w:hAnsi="Arial" w:cs="Arial"/>
          <w:color w:val="auto"/>
          <w:lang w:val="en-AU"/>
        </w:rPr>
        <w:t xml:space="preserve"> T</w:t>
      </w:r>
      <w:r w:rsidRPr="00D25C0B">
        <w:rPr>
          <w:rFonts w:ascii="Arial" w:hAnsi="Arial" w:cs="Arial"/>
          <w:iCs/>
          <w:color w:val="auto"/>
          <w:lang w:val="en-AU"/>
        </w:rPr>
        <w:t xml:space="preserve">he absence of a program-level focus has meant that impact and outcome indicators, which should define progress towards achieving the </w:t>
      </w:r>
      <w:r w:rsidRPr="00D25C0B">
        <w:rPr>
          <w:rFonts w:ascii="Arial" w:hAnsi="Arial" w:cs="Arial"/>
          <w:iCs/>
          <w:color w:val="auto"/>
          <w:lang w:val="en-AU"/>
        </w:rPr>
        <w:lastRenderedPageBreak/>
        <w:t xml:space="preserve">overall goal and objectives of the ICCP, were not formulated and measured. Hence, </w:t>
      </w:r>
      <w:r>
        <w:rPr>
          <w:rFonts w:ascii="Arial" w:hAnsi="Arial" w:cs="Arial"/>
          <w:iCs/>
          <w:color w:val="auto"/>
          <w:lang w:val="en-AU"/>
        </w:rPr>
        <w:t xml:space="preserve">at </w:t>
      </w:r>
      <w:r w:rsidRPr="00D25C0B">
        <w:rPr>
          <w:rFonts w:ascii="Arial" w:hAnsi="Arial" w:cs="Arial"/>
          <w:iCs/>
          <w:color w:val="auto"/>
          <w:lang w:val="en-AU"/>
        </w:rPr>
        <w:t>the program-level</w:t>
      </w:r>
      <w:r>
        <w:rPr>
          <w:rFonts w:ascii="Arial" w:hAnsi="Arial" w:cs="Arial"/>
          <w:iCs/>
          <w:color w:val="auto"/>
          <w:lang w:val="en-AU"/>
        </w:rPr>
        <w:t>,</w:t>
      </w:r>
      <w:r w:rsidRPr="00D25C0B">
        <w:rPr>
          <w:rFonts w:ascii="Arial" w:hAnsi="Arial" w:cs="Arial"/>
          <w:iCs/>
          <w:color w:val="auto"/>
          <w:lang w:val="en-AU"/>
        </w:rPr>
        <w:t xml:space="preserve"> </w:t>
      </w:r>
      <w:r>
        <w:rPr>
          <w:rFonts w:ascii="Arial" w:hAnsi="Arial" w:cs="Arial"/>
          <w:iCs/>
          <w:color w:val="auto"/>
          <w:lang w:val="en-AU"/>
        </w:rPr>
        <w:t xml:space="preserve">the </w:t>
      </w:r>
      <w:r w:rsidRPr="00D25C0B">
        <w:rPr>
          <w:rFonts w:ascii="Arial" w:hAnsi="Arial" w:cs="Arial"/>
          <w:iCs/>
          <w:color w:val="auto"/>
          <w:lang w:val="en-AU"/>
        </w:rPr>
        <w:t>results of the ICCP are not clear.</w:t>
      </w:r>
    </w:p>
    <w:p w:rsidR="00D25C0B" w:rsidRDefault="00D25C0B" w:rsidP="00D25C0B">
      <w:pPr>
        <w:pStyle w:val="nm"/>
        <w:spacing w:after="0"/>
        <w:ind w:left="0"/>
        <w:rPr>
          <w:rFonts w:ascii="Arial" w:hAnsi="Arial" w:cs="Arial"/>
          <w:lang w:val="en-AU"/>
        </w:rPr>
      </w:pPr>
    </w:p>
    <w:p w:rsidR="00D25C0B" w:rsidRPr="00704E11" w:rsidRDefault="002A2E7E" w:rsidP="00704E11">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t>T</w:t>
      </w:r>
      <w:r w:rsidR="00D25C0B" w:rsidRPr="00704E11">
        <w:rPr>
          <w:rFonts w:ascii="Arial" w:hAnsi="Arial" w:cs="Arial"/>
          <w:color w:val="auto"/>
          <w:lang w:val="en-AU"/>
        </w:rPr>
        <w:t xml:space="preserve">he </w:t>
      </w:r>
      <w:r w:rsidR="00D25C0B" w:rsidRPr="00704E11">
        <w:rPr>
          <w:rFonts w:ascii="Arial" w:hAnsi="Arial" w:cs="Arial"/>
          <w:color w:val="auto"/>
          <w:u w:val="single"/>
          <w:lang w:val="en-AU"/>
        </w:rPr>
        <w:t>ICCP project portfolio</w:t>
      </w:r>
      <w:r w:rsidR="00D25C0B" w:rsidRPr="00704E11">
        <w:rPr>
          <w:rFonts w:ascii="Arial" w:hAnsi="Arial" w:cs="Arial"/>
          <w:color w:val="auto"/>
          <w:lang w:val="en-AU"/>
        </w:rPr>
        <w:t xml:space="preserve"> </w:t>
      </w:r>
      <w:r>
        <w:rPr>
          <w:rFonts w:ascii="Arial" w:hAnsi="Arial" w:cs="Arial"/>
          <w:color w:val="auto"/>
          <w:lang w:val="en-AU"/>
        </w:rPr>
        <w:t>consists of</w:t>
      </w:r>
      <w:r w:rsidR="00E15A9B">
        <w:rPr>
          <w:rFonts w:ascii="Arial" w:hAnsi="Arial" w:cs="Arial"/>
          <w:iCs/>
          <w:color w:val="auto"/>
          <w:lang w:val="en-AU"/>
        </w:rPr>
        <w:t xml:space="preserve"> well-</w:t>
      </w:r>
      <w:r w:rsidR="00E15A9B" w:rsidRPr="00704E11">
        <w:rPr>
          <w:rFonts w:ascii="Arial" w:hAnsi="Arial" w:cs="Arial"/>
          <w:iCs/>
          <w:color w:val="auto"/>
          <w:lang w:val="en-AU"/>
        </w:rPr>
        <w:t>designed</w:t>
      </w:r>
      <w:r w:rsidR="00D25C0B" w:rsidRPr="00704E11">
        <w:rPr>
          <w:rFonts w:ascii="Arial" w:hAnsi="Arial" w:cs="Arial"/>
          <w:iCs/>
          <w:color w:val="auto"/>
          <w:lang w:val="en-AU"/>
        </w:rPr>
        <w:t xml:space="preserve"> </w:t>
      </w:r>
      <w:r w:rsidRPr="00704E11">
        <w:rPr>
          <w:rFonts w:ascii="Arial" w:hAnsi="Arial" w:cs="Arial"/>
          <w:iCs/>
          <w:color w:val="auto"/>
          <w:lang w:val="en-AU"/>
        </w:rPr>
        <w:t xml:space="preserve">projects </w:t>
      </w:r>
      <w:r w:rsidR="00D25C0B" w:rsidRPr="00704E11">
        <w:rPr>
          <w:rFonts w:ascii="Arial" w:hAnsi="Arial" w:cs="Arial"/>
          <w:iCs/>
          <w:color w:val="auto"/>
          <w:lang w:val="en-AU"/>
        </w:rPr>
        <w:t>with clearly stated objectives, relevant targeted outcomes, and appropriately sequenced components. Implementation appears to follow the project plans, with some time and activity adjustments having been necessary in some cases, and the projects generally seem to perform well and generate a number of important results for the PSD sector.</w:t>
      </w:r>
      <w:r w:rsidR="00704E11" w:rsidRPr="00704E11">
        <w:rPr>
          <w:rFonts w:ascii="Arial" w:hAnsi="Arial" w:cs="Arial"/>
          <w:iCs/>
          <w:color w:val="auto"/>
          <w:lang w:val="en-AU"/>
        </w:rPr>
        <w:t xml:space="preserve"> </w:t>
      </w:r>
      <w:r w:rsidR="00D25C0B" w:rsidRPr="00704E11">
        <w:rPr>
          <w:rFonts w:ascii="Arial" w:hAnsi="Arial" w:cs="Arial"/>
          <w:iCs/>
          <w:color w:val="auto"/>
          <w:lang w:val="en-AU"/>
        </w:rPr>
        <w:t xml:space="preserve">The </w:t>
      </w:r>
      <w:r w:rsidR="00704E11" w:rsidRPr="00704E11">
        <w:rPr>
          <w:rFonts w:ascii="Arial" w:hAnsi="Arial" w:cs="Arial"/>
          <w:iCs/>
          <w:color w:val="auto"/>
          <w:lang w:val="en-AU"/>
        </w:rPr>
        <w:t>project teams h</w:t>
      </w:r>
      <w:r w:rsidR="00D25C0B" w:rsidRPr="00704E11">
        <w:rPr>
          <w:rFonts w:ascii="Arial" w:hAnsi="Arial" w:cs="Arial"/>
          <w:iCs/>
          <w:color w:val="auto"/>
          <w:lang w:val="en-AU"/>
        </w:rPr>
        <w:t>ave established good contacts with GoM counterparts and project beneficiaries</w:t>
      </w:r>
      <w:r w:rsidR="00704E11" w:rsidRPr="00704E11">
        <w:rPr>
          <w:rFonts w:ascii="Arial" w:hAnsi="Arial" w:cs="Arial"/>
          <w:iCs/>
          <w:color w:val="auto"/>
          <w:lang w:val="en-AU"/>
        </w:rPr>
        <w:t xml:space="preserve">, and relevant linkages have been established </w:t>
      </w:r>
      <w:r w:rsidR="00704E11" w:rsidRPr="00704E11">
        <w:rPr>
          <w:rFonts w:ascii="Arial" w:hAnsi="Arial" w:cs="Arial"/>
          <w:bCs/>
          <w:iCs/>
          <w:color w:val="auto"/>
          <w:lang w:val="en-AU"/>
        </w:rPr>
        <w:t xml:space="preserve">across and between projects. </w:t>
      </w:r>
      <w:r w:rsidR="00D25C0B" w:rsidRPr="00704E11">
        <w:rPr>
          <w:rFonts w:ascii="Arial" w:hAnsi="Arial" w:cs="Arial"/>
          <w:iCs/>
          <w:color w:val="auto"/>
          <w:lang w:val="en-AU"/>
        </w:rPr>
        <w:t>Budget execution was somewhat low in the initial years, mainly due to limited GoM absorption capacity</w:t>
      </w:r>
      <w:r w:rsidR="00704E11" w:rsidRPr="00704E11">
        <w:rPr>
          <w:rFonts w:ascii="Arial" w:hAnsi="Arial" w:cs="Arial"/>
          <w:iCs/>
          <w:color w:val="auto"/>
          <w:lang w:val="en-AU"/>
        </w:rPr>
        <w:t>, but is improving, also due to new projects having been added to the portfolio.</w:t>
      </w:r>
    </w:p>
    <w:p w:rsidR="00D25C0B" w:rsidRPr="00A769DE" w:rsidRDefault="00D25C0B" w:rsidP="00D25C0B">
      <w:pPr>
        <w:pStyle w:val="nm"/>
        <w:spacing w:after="0"/>
        <w:ind w:left="0"/>
        <w:rPr>
          <w:rFonts w:ascii="Arial" w:hAnsi="Arial" w:cs="Arial"/>
          <w:lang w:val="en-AU"/>
        </w:rPr>
      </w:pPr>
    </w:p>
    <w:p w:rsidR="00D25C0B" w:rsidRPr="000473C2" w:rsidRDefault="00D25C0B" w:rsidP="00A5330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0473C2">
        <w:rPr>
          <w:rFonts w:ascii="Arial" w:hAnsi="Arial" w:cs="Arial"/>
          <w:color w:val="auto"/>
          <w:lang w:val="en-AU"/>
        </w:rPr>
        <w:t xml:space="preserve">The </w:t>
      </w:r>
      <w:r w:rsidRPr="000473C2">
        <w:rPr>
          <w:rFonts w:ascii="Arial" w:hAnsi="Arial" w:cs="Arial"/>
          <w:color w:val="auto"/>
          <w:u w:val="single"/>
          <w:lang w:val="en-AU"/>
        </w:rPr>
        <w:t>governance arrangements</w:t>
      </w:r>
      <w:r w:rsidRPr="000473C2">
        <w:rPr>
          <w:rFonts w:ascii="Arial" w:hAnsi="Arial" w:cs="Arial"/>
          <w:color w:val="auto"/>
          <w:lang w:val="en-AU"/>
        </w:rPr>
        <w:t xml:space="preserve"> </w:t>
      </w:r>
      <w:r w:rsidR="002A2E7E" w:rsidRPr="000473C2">
        <w:rPr>
          <w:rFonts w:ascii="Arial" w:hAnsi="Arial" w:cs="Arial"/>
          <w:color w:val="auto"/>
          <w:lang w:val="en-AU"/>
        </w:rPr>
        <w:t xml:space="preserve">of </w:t>
      </w:r>
      <w:r w:rsidRPr="000473C2">
        <w:rPr>
          <w:rFonts w:ascii="Arial" w:hAnsi="Arial" w:cs="Arial"/>
          <w:color w:val="auto"/>
          <w:lang w:val="en-AU"/>
        </w:rPr>
        <w:t>the ICCP</w:t>
      </w:r>
      <w:r w:rsidR="00440229" w:rsidRPr="000473C2">
        <w:rPr>
          <w:rFonts w:ascii="Arial" w:hAnsi="Arial" w:cs="Arial"/>
          <w:color w:val="auto"/>
          <w:lang w:val="en-AU"/>
        </w:rPr>
        <w:t xml:space="preserve"> are characterised by some overlaps in terms of</w:t>
      </w:r>
      <w:r w:rsidRPr="000473C2">
        <w:rPr>
          <w:rFonts w:ascii="Arial" w:hAnsi="Arial" w:cs="Arial"/>
          <w:iCs/>
          <w:color w:val="auto"/>
          <w:lang w:val="en-AU"/>
        </w:rPr>
        <w:t xml:space="preserve"> tasks and responsibilities </w:t>
      </w:r>
      <w:r w:rsidR="00440229" w:rsidRPr="000473C2">
        <w:rPr>
          <w:rFonts w:ascii="Arial" w:hAnsi="Arial" w:cs="Arial"/>
          <w:iCs/>
          <w:color w:val="auto"/>
          <w:lang w:val="en-AU"/>
        </w:rPr>
        <w:t xml:space="preserve">between </w:t>
      </w:r>
      <w:r w:rsidRPr="000473C2">
        <w:rPr>
          <w:rFonts w:ascii="Arial" w:hAnsi="Arial" w:cs="Arial"/>
          <w:iCs/>
          <w:color w:val="auto"/>
          <w:lang w:val="en-AU"/>
        </w:rPr>
        <w:t xml:space="preserve">the </w:t>
      </w:r>
      <w:r w:rsidR="00A10AD6" w:rsidRPr="000473C2">
        <w:rPr>
          <w:rFonts w:ascii="Arial" w:hAnsi="Arial" w:cs="Arial"/>
          <w:iCs/>
          <w:color w:val="auto"/>
          <w:lang w:val="en-AU"/>
        </w:rPr>
        <w:t xml:space="preserve">Myanmar Partnership </w:t>
      </w:r>
      <w:r w:rsidRPr="000473C2">
        <w:rPr>
          <w:rFonts w:ascii="Arial" w:hAnsi="Arial" w:cs="Arial"/>
          <w:iCs/>
          <w:color w:val="auto"/>
          <w:lang w:val="en-AU"/>
        </w:rPr>
        <w:t xml:space="preserve">MDTF Steering Committee </w:t>
      </w:r>
      <w:r w:rsidR="00A5330A" w:rsidRPr="000473C2">
        <w:rPr>
          <w:rFonts w:ascii="Arial" w:hAnsi="Arial" w:cs="Arial"/>
          <w:iCs/>
          <w:color w:val="auto"/>
          <w:lang w:val="en-AU"/>
        </w:rPr>
        <w:t xml:space="preserve">(which formally is the main decision-making body) </w:t>
      </w:r>
      <w:r w:rsidRPr="000473C2">
        <w:rPr>
          <w:rFonts w:ascii="Arial" w:hAnsi="Arial" w:cs="Arial"/>
          <w:iCs/>
          <w:color w:val="auto"/>
          <w:lang w:val="en-AU"/>
        </w:rPr>
        <w:t>and the ICCP quarterly forum</w:t>
      </w:r>
      <w:r w:rsidR="00A5330A" w:rsidRPr="000473C2">
        <w:rPr>
          <w:rFonts w:ascii="Arial" w:hAnsi="Arial" w:cs="Arial"/>
          <w:iCs/>
          <w:color w:val="auto"/>
          <w:lang w:val="en-AU"/>
        </w:rPr>
        <w:t xml:space="preserve"> (which is where actual decisions relevant for the ICCP are made)</w:t>
      </w:r>
      <w:r w:rsidRPr="000473C2">
        <w:rPr>
          <w:rFonts w:ascii="Arial" w:hAnsi="Arial" w:cs="Arial"/>
          <w:iCs/>
          <w:color w:val="auto"/>
          <w:lang w:val="en-AU"/>
        </w:rPr>
        <w:t>.</w:t>
      </w:r>
      <w:r w:rsidR="00A5330A" w:rsidRPr="000473C2">
        <w:rPr>
          <w:rFonts w:ascii="Arial" w:hAnsi="Arial" w:cs="Arial"/>
          <w:iCs/>
          <w:color w:val="auto"/>
          <w:lang w:val="en-AU"/>
        </w:rPr>
        <w:t xml:space="preserve"> </w:t>
      </w:r>
      <w:r w:rsidR="000473C2" w:rsidRPr="000473C2">
        <w:rPr>
          <w:rFonts w:ascii="Arial" w:hAnsi="Arial" w:cs="Arial"/>
          <w:iCs/>
          <w:color w:val="auto"/>
          <w:lang w:val="en-AU"/>
        </w:rPr>
        <w:t>The structure of the MDTF includes a Steering Committee and Working Groups</w:t>
      </w:r>
      <w:r w:rsidR="00521B15">
        <w:rPr>
          <w:rFonts w:ascii="Arial" w:hAnsi="Arial" w:cs="Arial"/>
          <w:iCs/>
          <w:color w:val="auto"/>
          <w:lang w:val="en-AU"/>
        </w:rPr>
        <w:t>. It</w:t>
      </w:r>
      <w:r w:rsidR="000473C2" w:rsidRPr="000473C2">
        <w:rPr>
          <w:rFonts w:ascii="Arial" w:hAnsi="Arial" w:cs="Arial"/>
          <w:iCs/>
          <w:color w:val="auto"/>
          <w:lang w:val="en-AU"/>
        </w:rPr>
        <w:t xml:space="preserve"> </w:t>
      </w:r>
      <w:r w:rsidRPr="000473C2">
        <w:rPr>
          <w:rFonts w:ascii="Arial" w:hAnsi="Arial" w:cs="Arial"/>
          <w:color w:val="auto"/>
          <w:lang w:val="en-AU"/>
        </w:rPr>
        <w:t xml:space="preserve">does not appear that the </w:t>
      </w:r>
      <w:r w:rsidRPr="000473C2">
        <w:rPr>
          <w:rFonts w:ascii="Arial" w:hAnsi="Arial" w:cs="Arial"/>
          <w:iCs/>
          <w:color w:val="auto"/>
          <w:lang w:val="en-AU"/>
        </w:rPr>
        <w:t xml:space="preserve">Steering Committee is providing strategic guidance </w:t>
      </w:r>
      <w:r w:rsidR="004A475A">
        <w:rPr>
          <w:rFonts w:ascii="Arial" w:hAnsi="Arial" w:cs="Arial"/>
          <w:iCs/>
          <w:color w:val="auto"/>
          <w:lang w:val="en-AU"/>
        </w:rPr>
        <w:t>of</w:t>
      </w:r>
      <w:r w:rsidR="00A5330A" w:rsidRPr="000473C2">
        <w:rPr>
          <w:rFonts w:ascii="Arial" w:hAnsi="Arial" w:cs="Arial"/>
          <w:iCs/>
          <w:color w:val="auto"/>
          <w:lang w:val="en-AU"/>
        </w:rPr>
        <w:t xml:space="preserve"> the ICCP</w:t>
      </w:r>
      <w:r w:rsidRPr="000473C2">
        <w:rPr>
          <w:rFonts w:ascii="Arial" w:hAnsi="Arial" w:cs="Arial"/>
          <w:iCs/>
          <w:color w:val="auto"/>
          <w:lang w:val="en-AU"/>
        </w:rPr>
        <w:t>.</w:t>
      </w:r>
      <w:r w:rsidR="00A5330A" w:rsidRPr="000473C2">
        <w:rPr>
          <w:rFonts w:ascii="Arial" w:hAnsi="Arial" w:cs="Arial"/>
          <w:iCs/>
          <w:color w:val="auto"/>
          <w:lang w:val="en-AU"/>
        </w:rPr>
        <w:t xml:space="preserve"> Also, t</w:t>
      </w:r>
      <w:r w:rsidRPr="000473C2">
        <w:rPr>
          <w:rFonts w:ascii="Arial" w:hAnsi="Arial" w:cs="Arial"/>
          <w:color w:val="auto"/>
          <w:lang w:val="en-AU"/>
        </w:rPr>
        <w:t xml:space="preserve">he role and </w:t>
      </w:r>
      <w:r w:rsidR="00A5330A" w:rsidRPr="000473C2">
        <w:rPr>
          <w:rFonts w:ascii="Arial" w:hAnsi="Arial" w:cs="Arial"/>
          <w:color w:val="auto"/>
          <w:lang w:val="en-AU"/>
        </w:rPr>
        <w:t xml:space="preserve">tasks </w:t>
      </w:r>
      <w:r w:rsidRPr="000473C2">
        <w:rPr>
          <w:rFonts w:ascii="Arial" w:hAnsi="Arial" w:cs="Arial"/>
          <w:color w:val="auto"/>
          <w:lang w:val="en-AU"/>
        </w:rPr>
        <w:t xml:space="preserve">of the IFC’s ICCP Coordinator have not been discussed or formally defined, which may have contributed to the </w:t>
      </w:r>
      <w:r w:rsidR="00A5330A" w:rsidRPr="000473C2">
        <w:rPr>
          <w:rFonts w:ascii="Arial" w:hAnsi="Arial" w:cs="Arial"/>
          <w:color w:val="auto"/>
          <w:lang w:val="en-AU"/>
        </w:rPr>
        <w:t xml:space="preserve">above-mentioned lack of </w:t>
      </w:r>
      <w:r w:rsidRPr="000473C2">
        <w:rPr>
          <w:rFonts w:ascii="Arial" w:hAnsi="Arial" w:cs="Arial"/>
          <w:color w:val="auto"/>
          <w:lang w:val="en-AU"/>
        </w:rPr>
        <w:t>program focus in the ICCP.</w:t>
      </w:r>
      <w:r w:rsidR="00A5330A" w:rsidRPr="000473C2">
        <w:rPr>
          <w:rFonts w:ascii="Arial" w:hAnsi="Arial" w:cs="Arial"/>
          <w:color w:val="auto"/>
          <w:lang w:val="en-AU"/>
        </w:rPr>
        <w:t xml:space="preserve"> </w:t>
      </w:r>
      <w:r w:rsidRPr="000473C2">
        <w:rPr>
          <w:rFonts w:ascii="Arial" w:hAnsi="Arial" w:cs="Arial"/>
          <w:iCs/>
          <w:color w:val="auto"/>
          <w:lang w:val="en-AU"/>
        </w:rPr>
        <w:t xml:space="preserve">ICCP </w:t>
      </w:r>
      <w:r w:rsidRPr="000473C2">
        <w:rPr>
          <w:rFonts w:ascii="Arial" w:hAnsi="Arial" w:cs="Arial"/>
          <w:iCs/>
          <w:color w:val="auto"/>
          <w:u w:val="single"/>
          <w:lang w:val="en-AU"/>
        </w:rPr>
        <w:t>progress reporting</w:t>
      </w:r>
      <w:r w:rsidRPr="000473C2">
        <w:rPr>
          <w:rFonts w:ascii="Arial" w:hAnsi="Arial" w:cs="Arial"/>
          <w:iCs/>
          <w:color w:val="auto"/>
          <w:lang w:val="en-AU"/>
        </w:rPr>
        <w:t xml:space="preserve"> has been solely project-oriented (due to the lack of a program-focus) and </w:t>
      </w:r>
      <w:r w:rsidR="00A5330A" w:rsidRPr="000473C2">
        <w:rPr>
          <w:rFonts w:ascii="Arial" w:hAnsi="Arial" w:cs="Arial"/>
          <w:iCs/>
          <w:color w:val="auto"/>
          <w:lang w:val="en-AU"/>
        </w:rPr>
        <w:t>the</w:t>
      </w:r>
      <w:r w:rsidRPr="000473C2">
        <w:rPr>
          <w:rFonts w:ascii="Arial" w:hAnsi="Arial" w:cs="Arial"/>
          <w:iCs/>
          <w:color w:val="auto"/>
          <w:lang w:val="en-AU"/>
        </w:rPr>
        <w:t xml:space="preserve"> quarterly reports </w:t>
      </w:r>
      <w:r w:rsidR="00A5330A" w:rsidRPr="000473C2">
        <w:rPr>
          <w:rFonts w:ascii="Arial" w:hAnsi="Arial" w:cs="Arial"/>
          <w:iCs/>
          <w:color w:val="auto"/>
          <w:lang w:val="en-AU"/>
        </w:rPr>
        <w:t>prepared by the IFC</w:t>
      </w:r>
      <w:r w:rsidRPr="000473C2">
        <w:rPr>
          <w:rFonts w:ascii="Arial" w:hAnsi="Arial" w:cs="Arial"/>
          <w:iCs/>
          <w:color w:val="auto"/>
          <w:lang w:val="en-AU"/>
        </w:rPr>
        <w:t xml:space="preserve"> do not provide a clear and systematic overview of technical delivery and financial progress vis-à-vis plans.</w:t>
      </w:r>
    </w:p>
    <w:p w:rsidR="00D25C0B" w:rsidRDefault="00D25C0B" w:rsidP="00D25C0B">
      <w:pPr>
        <w:pStyle w:val="ListParagraph"/>
        <w:tabs>
          <w:tab w:val="left" w:pos="357"/>
        </w:tabs>
        <w:spacing w:before="0" w:after="0" w:line="240" w:lineRule="auto"/>
        <w:ind w:left="0"/>
        <w:contextualSpacing w:val="0"/>
        <w:jc w:val="both"/>
        <w:rPr>
          <w:rFonts w:ascii="Arial" w:hAnsi="Arial" w:cs="Arial"/>
          <w:iCs/>
          <w:color w:val="auto"/>
          <w:lang w:val="en-AU"/>
        </w:rPr>
      </w:pPr>
    </w:p>
    <w:p w:rsidR="00D25C0B" w:rsidRPr="00A5330A" w:rsidRDefault="00D25C0B" w:rsidP="00A5330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5330A">
        <w:rPr>
          <w:rFonts w:ascii="Arial" w:hAnsi="Arial" w:cs="Arial"/>
          <w:color w:val="auto"/>
          <w:lang w:val="en-AU"/>
        </w:rPr>
        <w:t xml:space="preserve">Considerations about </w:t>
      </w:r>
      <w:r w:rsidR="007B6218">
        <w:rPr>
          <w:rFonts w:ascii="Arial" w:hAnsi="Arial" w:cs="Arial"/>
          <w:color w:val="auto"/>
          <w:u w:val="single"/>
          <w:lang w:val="en-AU"/>
        </w:rPr>
        <w:t xml:space="preserve">gender </w:t>
      </w:r>
      <w:r w:rsidR="00A5330A" w:rsidRPr="00A5330A">
        <w:rPr>
          <w:rFonts w:ascii="Arial" w:hAnsi="Arial" w:cs="Arial"/>
          <w:color w:val="auto"/>
          <w:u w:val="single"/>
          <w:lang w:val="en-AU"/>
        </w:rPr>
        <w:t>mainstreaming</w:t>
      </w:r>
      <w:r w:rsidRPr="00A5330A">
        <w:rPr>
          <w:rFonts w:ascii="Arial" w:hAnsi="Arial" w:cs="Arial"/>
          <w:color w:val="auto"/>
          <w:lang w:val="en-AU"/>
        </w:rPr>
        <w:t xml:space="preserve"> were absent when the ICCP was conceptualised</w:t>
      </w:r>
      <w:r w:rsidR="00A5330A">
        <w:rPr>
          <w:rFonts w:ascii="Arial" w:hAnsi="Arial" w:cs="Arial"/>
          <w:color w:val="auto"/>
          <w:lang w:val="en-AU"/>
        </w:rPr>
        <w:t xml:space="preserve"> in 2015</w:t>
      </w:r>
      <w:r w:rsidRPr="00A5330A">
        <w:rPr>
          <w:rFonts w:ascii="Arial" w:hAnsi="Arial" w:cs="Arial"/>
          <w:color w:val="auto"/>
          <w:lang w:val="en-AU"/>
        </w:rPr>
        <w:t xml:space="preserve">, </w:t>
      </w:r>
      <w:r w:rsidR="00A5330A">
        <w:rPr>
          <w:rFonts w:ascii="Arial" w:hAnsi="Arial" w:cs="Arial"/>
          <w:color w:val="auto"/>
          <w:lang w:val="en-AU"/>
        </w:rPr>
        <w:t>but</w:t>
      </w:r>
      <w:r w:rsidRPr="00A5330A">
        <w:rPr>
          <w:rFonts w:ascii="Arial" w:hAnsi="Arial" w:cs="Arial"/>
          <w:color w:val="auto"/>
          <w:lang w:val="en-AU"/>
        </w:rPr>
        <w:t xml:space="preserve"> </w:t>
      </w:r>
      <w:r w:rsidR="007B6218">
        <w:rPr>
          <w:rFonts w:ascii="Arial" w:hAnsi="Arial" w:cs="Arial"/>
          <w:color w:val="auto"/>
          <w:lang w:val="en-AU"/>
        </w:rPr>
        <w:t xml:space="preserve">continuing </w:t>
      </w:r>
      <w:r w:rsidRPr="00A5330A">
        <w:rPr>
          <w:rFonts w:ascii="Arial" w:hAnsi="Arial" w:cs="Arial"/>
          <w:color w:val="auto"/>
          <w:lang w:val="en-AU"/>
        </w:rPr>
        <w:t xml:space="preserve">efforts by DFAT </w:t>
      </w:r>
      <w:r w:rsidR="00A5330A">
        <w:rPr>
          <w:rFonts w:ascii="Arial" w:hAnsi="Arial" w:cs="Arial"/>
          <w:color w:val="auto"/>
          <w:lang w:val="en-AU"/>
        </w:rPr>
        <w:t>have ensured that</w:t>
      </w:r>
      <w:r w:rsidRPr="00A5330A">
        <w:rPr>
          <w:rFonts w:ascii="Arial" w:hAnsi="Arial" w:cs="Arial"/>
          <w:color w:val="auto"/>
          <w:lang w:val="en-AU"/>
        </w:rPr>
        <w:t xml:space="preserve"> such a focus </w:t>
      </w:r>
      <w:r w:rsidR="00A5330A">
        <w:rPr>
          <w:rFonts w:ascii="Arial" w:hAnsi="Arial" w:cs="Arial"/>
          <w:color w:val="auto"/>
          <w:lang w:val="en-AU"/>
        </w:rPr>
        <w:t xml:space="preserve">has over time been </w:t>
      </w:r>
      <w:r w:rsidRPr="00A5330A">
        <w:rPr>
          <w:rFonts w:ascii="Arial" w:hAnsi="Arial" w:cs="Arial"/>
          <w:color w:val="auto"/>
          <w:lang w:val="en-AU"/>
        </w:rPr>
        <w:t>developed.</w:t>
      </w:r>
      <w:r w:rsidR="00A5330A">
        <w:rPr>
          <w:rFonts w:ascii="Arial" w:hAnsi="Arial" w:cs="Arial"/>
          <w:color w:val="auto"/>
          <w:lang w:val="en-AU"/>
        </w:rPr>
        <w:t xml:space="preserve"> This includes a </w:t>
      </w:r>
      <w:r w:rsidRPr="00A5330A">
        <w:rPr>
          <w:rFonts w:ascii="Arial" w:hAnsi="Arial" w:cs="Arial"/>
          <w:color w:val="auto"/>
          <w:lang w:val="en-AU"/>
        </w:rPr>
        <w:t xml:space="preserve">Yangon-based Gender Operations Officer, funded by DFAT and DFID, </w:t>
      </w:r>
      <w:r w:rsidR="00A5330A">
        <w:rPr>
          <w:rFonts w:ascii="Arial" w:hAnsi="Arial" w:cs="Arial"/>
          <w:color w:val="auto"/>
          <w:lang w:val="en-AU"/>
        </w:rPr>
        <w:t>who</w:t>
      </w:r>
      <w:r w:rsidRPr="00A5330A">
        <w:rPr>
          <w:rFonts w:ascii="Arial" w:hAnsi="Arial" w:cs="Arial"/>
          <w:color w:val="auto"/>
          <w:lang w:val="en-AU"/>
        </w:rPr>
        <w:t xml:space="preserve"> </w:t>
      </w:r>
      <w:r w:rsidR="00A5330A">
        <w:rPr>
          <w:rFonts w:ascii="Arial" w:hAnsi="Arial" w:cs="Arial"/>
          <w:color w:val="auto"/>
          <w:lang w:val="en-AU"/>
        </w:rPr>
        <w:t xml:space="preserve">has </w:t>
      </w:r>
      <w:r w:rsidRPr="00A5330A">
        <w:rPr>
          <w:rFonts w:ascii="Arial" w:hAnsi="Arial" w:cs="Arial"/>
          <w:color w:val="auto"/>
          <w:lang w:val="en-AU"/>
        </w:rPr>
        <w:t>been in place since November 2017</w:t>
      </w:r>
      <w:r w:rsidR="00A5330A">
        <w:rPr>
          <w:rFonts w:ascii="Arial" w:hAnsi="Arial" w:cs="Arial"/>
          <w:color w:val="auto"/>
          <w:lang w:val="en-AU"/>
        </w:rPr>
        <w:t xml:space="preserve"> and h</w:t>
      </w:r>
      <w:r w:rsidRPr="00A5330A">
        <w:rPr>
          <w:rFonts w:ascii="Arial" w:hAnsi="Arial" w:cs="Arial"/>
          <w:color w:val="auto"/>
          <w:lang w:val="en-AU"/>
        </w:rPr>
        <w:t xml:space="preserve">as </w:t>
      </w:r>
      <w:r w:rsidR="00A5330A">
        <w:rPr>
          <w:rFonts w:ascii="Arial" w:hAnsi="Arial" w:cs="Arial"/>
          <w:color w:val="auto"/>
          <w:lang w:val="en-AU"/>
        </w:rPr>
        <w:t>initiated</w:t>
      </w:r>
      <w:r w:rsidRPr="00A5330A">
        <w:rPr>
          <w:rFonts w:ascii="Arial" w:hAnsi="Arial" w:cs="Arial"/>
          <w:color w:val="auto"/>
          <w:lang w:val="en-AU"/>
        </w:rPr>
        <w:t xml:space="preserve"> </w:t>
      </w:r>
      <w:r w:rsidR="00A80080">
        <w:rPr>
          <w:rFonts w:ascii="Arial" w:hAnsi="Arial" w:cs="Arial"/>
          <w:color w:val="auto"/>
          <w:lang w:val="en-AU"/>
        </w:rPr>
        <w:t>several</w:t>
      </w:r>
      <w:r w:rsidRPr="00A5330A">
        <w:rPr>
          <w:rFonts w:ascii="Arial" w:hAnsi="Arial" w:cs="Arial"/>
          <w:color w:val="auto"/>
          <w:lang w:val="en-AU"/>
        </w:rPr>
        <w:t xml:space="preserve"> gender-re</w:t>
      </w:r>
      <w:r w:rsidR="00A5330A">
        <w:rPr>
          <w:rFonts w:ascii="Arial" w:hAnsi="Arial" w:cs="Arial"/>
          <w:color w:val="auto"/>
          <w:lang w:val="en-AU"/>
        </w:rPr>
        <w:t>levant activities</w:t>
      </w:r>
      <w:r w:rsidRPr="00A5330A">
        <w:rPr>
          <w:rFonts w:ascii="Arial" w:hAnsi="Arial" w:cs="Arial"/>
          <w:color w:val="auto"/>
          <w:lang w:val="en-AU"/>
        </w:rPr>
        <w:t>.</w:t>
      </w:r>
    </w:p>
    <w:p w:rsidR="00D25C0B" w:rsidRPr="00A769DE" w:rsidRDefault="00D25C0B" w:rsidP="00D25C0B">
      <w:pPr>
        <w:pStyle w:val="nm"/>
        <w:spacing w:after="0"/>
        <w:ind w:left="0"/>
        <w:rPr>
          <w:rFonts w:ascii="Arial" w:hAnsi="Arial" w:cs="Arial"/>
          <w:lang w:val="en-AU"/>
        </w:rPr>
      </w:pPr>
    </w:p>
    <w:p w:rsidR="00D25C0B" w:rsidRPr="00A718C0" w:rsidRDefault="00C47B45" w:rsidP="00A718C0">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t>Th</w:t>
      </w:r>
      <w:r w:rsidR="00D25C0B" w:rsidRPr="00A769DE">
        <w:rPr>
          <w:rFonts w:ascii="Arial" w:hAnsi="Arial" w:cs="Arial"/>
          <w:color w:val="auto"/>
          <w:lang w:val="en-AU"/>
        </w:rPr>
        <w:t xml:space="preserve">e </w:t>
      </w:r>
      <w:r w:rsidR="00D25C0B" w:rsidRPr="00C47B45">
        <w:rPr>
          <w:rFonts w:ascii="Arial" w:hAnsi="Arial" w:cs="Arial"/>
          <w:color w:val="auto"/>
          <w:u w:val="single"/>
          <w:lang w:val="en-AU"/>
        </w:rPr>
        <w:t xml:space="preserve">relationship </w:t>
      </w:r>
      <w:r w:rsidRPr="00C47B45">
        <w:rPr>
          <w:rFonts w:ascii="Arial" w:hAnsi="Arial" w:cs="Arial"/>
          <w:color w:val="auto"/>
          <w:u w:val="single"/>
          <w:lang w:val="en-AU"/>
        </w:rPr>
        <w:t>between DFAT and</w:t>
      </w:r>
      <w:r w:rsidR="00D25C0B" w:rsidRPr="00C47B45">
        <w:rPr>
          <w:rFonts w:ascii="Arial" w:hAnsi="Arial" w:cs="Arial"/>
          <w:color w:val="auto"/>
          <w:u w:val="single"/>
          <w:lang w:val="en-AU"/>
        </w:rPr>
        <w:t xml:space="preserve"> the IFC</w:t>
      </w:r>
      <w:r>
        <w:rPr>
          <w:rFonts w:ascii="Arial" w:hAnsi="Arial" w:cs="Arial"/>
          <w:color w:val="auto"/>
          <w:lang w:val="en-AU"/>
        </w:rPr>
        <w:t xml:space="preserve"> is formally based on an</w:t>
      </w:r>
      <w:r w:rsidR="00D25C0B" w:rsidRPr="00C47B45">
        <w:rPr>
          <w:rFonts w:ascii="Arial" w:hAnsi="Arial" w:cs="Arial"/>
          <w:color w:val="auto"/>
          <w:lang w:val="en-AU"/>
        </w:rPr>
        <w:t xml:space="preserve"> Administration Agreement </w:t>
      </w:r>
      <w:r>
        <w:rPr>
          <w:rFonts w:ascii="Arial" w:hAnsi="Arial" w:cs="Arial"/>
          <w:color w:val="auto"/>
          <w:lang w:val="en-AU"/>
        </w:rPr>
        <w:t>for the</w:t>
      </w:r>
      <w:r w:rsidR="00D25C0B" w:rsidRPr="00C47B45">
        <w:rPr>
          <w:rFonts w:ascii="Arial" w:hAnsi="Arial" w:cs="Arial"/>
          <w:color w:val="auto"/>
          <w:lang w:val="en-AU"/>
        </w:rPr>
        <w:t xml:space="preserve"> </w:t>
      </w:r>
      <w:r w:rsidR="00A10AD6" w:rsidRPr="00A10AD6">
        <w:rPr>
          <w:rFonts w:ascii="Arial" w:hAnsi="Arial" w:cs="Arial"/>
          <w:iCs/>
          <w:color w:val="auto"/>
          <w:lang w:val="en-AU"/>
        </w:rPr>
        <w:t xml:space="preserve">Myanmar Partnership </w:t>
      </w:r>
      <w:r w:rsidR="00D25C0B" w:rsidRPr="00C47B45">
        <w:rPr>
          <w:rFonts w:ascii="Arial" w:hAnsi="Arial" w:cs="Arial"/>
          <w:color w:val="auto"/>
          <w:lang w:val="en-AU"/>
        </w:rPr>
        <w:t>MDTF</w:t>
      </w:r>
      <w:r w:rsidR="00970BED">
        <w:rPr>
          <w:rFonts w:ascii="Arial" w:hAnsi="Arial" w:cs="Arial"/>
          <w:color w:val="auto"/>
          <w:lang w:val="en-AU"/>
        </w:rPr>
        <w:t>, although it does not</w:t>
      </w:r>
      <w:r w:rsidR="007451A7">
        <w:rPr>
          <w:rFonts w:ascii="Arial" w:hAnsi="Arial" w:cs="Arial"/>
          <w:color w:val="auto"/>
          <w:lang w:val="en-AU"/>
        </w:rPr>
        <w:t xml:space="preserve"> </w:t>
      </w:r>
      <w:r w:rsidR="00B068B5">
        <w:rPr>
          <w:rFonts w:ascii="Arial" w:hAnsi="Arial" w:cs="Arial"/>
          <w:color w:val="auto"/>
          <w:lang w:val="en-AU"/>
        </w:rPr>
        <w:t>directly or explicitly</w:t>
      </w:r>
      <w:r>
        <w:rPr>
          <w:rFonts w:ascii="Arial" w:hAnsi="Arial" w:cs="Arial"/>
          <w:color w:val="auto"/>
          <w:lang w:val="en-AU"/>
        </w:rPr>
        <w:t xml:space="preserve"> </w:t>
      </w:r>
      <w:r w:rsidR="00B068B5">
        <w:rPr>
          <w:rFonts w:ascii="Arial" w:hAnsi="Arial" w:cs="Arial"/>
          <w:color w:val="auto"/>
          <w:lang w:val="en-AU"/>
        </w:rPr>
        <w:t>cover the ICCP</w:t>
      </w:r>
      <w:r>
        <w:rPr>
          <w:rFonts w:ascii="Arial" w:hAnsi="Arial" w:cs="Arial"/>
          <w:color w:val="auto"/>
          <w:lang w:val="en-AU"/>
        </w:rPr>
        <w:t>.</w:t>
      </w:r>
      <w:r w:rsidR="007451A7">
        <w:rPr>
          <w:rFonts w:ascii="Arial" w:hAnsi="Arial" w:cs="Arial"/>
          <w:color w:val="auto"/>
          <w:lang w:val="en-AU"/>
        </w:rPr>
        <w:t xml:space="preserve"> </w:t>
      </w:r>
      <w:r w:rsidR="00D25C0B" w:rsidRPr="00A718C0">
        <w:rPr>
          <w:rFonts w:ascii="Arial" w:hAnsi="Arial" w:cs="Arial"/>
          <w:color w:val="auto"/>
          <w:lang w:val="en-AU"/>
        </w:rPr>
        <w:t xml:space="preserve">The IFC understands the need of DFAT </w:t>
      </w:r>
      <w:r w:rsidR="00A718C0">
        <w:rPr>
          <w:rFonts w:ascii="Arial" w:hAnsi="Arial" w:cs="Arial"/>
          <w:color w:val="auto"/>
          <w:lang w:val="en-AU"/>
        </w:rPr>
        <w:t>(</w:t>
      </w:r>
      <w:r w:rsidR="00D25C0B" w:rsidRPr="00A718C0">
        <w:rPr>
          <w:rFonts w:ascii="Arial" w:hAnsi="Arial" w:cs="Arial"/>
          <w:color w:val="auto"/>
          <w:lang w:val="en-AU"/>
        </w:rPr>
        <w:t>and DFID</w:t>
      </w:r>
      <w:r w:rsidR="00A718C0">
        <w:rPr>
          <w:rFonts w:ascii="Arial" w:hAnsi="Arial" w:cs="Arial"/>
          <w:color w:val="auto"/>
          <w:lang w:val="en-AU"/>
        </w:rPr>
        <w:t>)</w:t>
      </w:r>
      <w:r w:rsidR="00D25C0B" w:rsidRPr="00A718C0">
        <w:rPr>
          <w:rFonts w:ascii="Arial" w:hAnsi="Arial" w:cs="Arial"/>
          <w:color w:val="auto"/>
          <w:lang w:val="en-AU"/>
        </w:rPr>
        <w:t xml:space="preserve"> for occasional ad-hoc information outside the quarterly reporting cycle, but there have been examples in the past were requests have remained unanswered or been provided only with significant delay.</w:t>
      </w:r>
      <w:r w:rsidR="00A718C0">
        <w:rPr>
          <w:rFonts w:ascii="Arial" w:hAnsi="Arial" w:cs="Arial"/>
          <w:color w:val="auto"/>
          <w:lang w:val="en-AU"/>
        </w:rPr>
        <w:t xml:space="preserve"> In terms of </w:t>
      </w:r>
      <w:r w:rsidR="00A718C0" w:rsidRPr="00A718C0">
        <w:rPr>
          <w:rFonts w:ascii="Arial" w:hAnsi="Arial" w:cs="Arial"/>
          <w:color w:val="auto"/>
          <w:u w:val="single"/>
          <w:lang w:val="en-AU"/>
        </w:rPr>
        <w:t>branding</w:t>
      </w:r>
      <w:r w:rsidR="00A718C0">
        <w:rPr>
          <w:rFonts w:ascii="Arial" w:hAnsi="Arial" w:cs="Arial"/>
          <w:color w:val="auto"/>
          <w:lang w:val="en-AU"/>
        </w:rPr>
        <w:t>, it is noted that while p</w:t>
      </w:r>
      <w:r w:rsidR="00D25C0B" w:rsidRPr="00A718C0">
        <w:rPr>
          <w:rFonts w:ascii="Arial" w:hAnsi="Arial" w:cs="Arial"/>
          <w:color w:val="auto"/>
          <w:lang w:val="en-AU"/>
        </w:rPr>
        <w:t xml:space="preserve">roject promotional material generally include relevant agency information and logos, </w:t>
      </w:r>
      <w:r w:rsidR="00A718C0">
        <w:rPr>
          <w:rFonts w:ascii="Arial" w:hAnsi="Arial" w:cs="Arial"/>
          <w:color w:val="auto"/>
          <w:lang w:val="en-AU"/>
        </w:rPr>
        <w:t>the</w:t>
      </w:r>
      <w:r w:rsidR="00D25C0B" w:rsidRPr="00A718C0">
        <w:rPr>
          <w:rFonts w:ascii="Arial" w:hAnsi="Arial" w:cs="Arial"/>
          <w:color w:val="auto"/>
          <w:lang w:val="en-AU"/>
        </w:rPr>
        <w:t xml:space="preserve"> IFC’s project-specific web pages do not mention that </w:t>
      </w:r>
      <w:r w:rsidR="00A718C0">
        <w:rPr>
          <w:rFonts w:ascii="Arial" w:hAnsi="Arial" w:cs="Arial"/>
          <w:color w:val="auto"/>
          <w:lang w:val="en-AU"/>
        </w:rPr>
        <w:t>project</w:t>
      </w:r>
      <w:r w:rsidR="00D25C0B" w:rsidRPr="00A718C0">
        <w:rPr>
          <w:rFonts w:ascii="Arial" w:hAnsi="Arial" w:cs="Arial"/>
          <w:color w:val="auto"/>
          <w:lang w:val="en-AU"/>
        </w:rPr>
        <w:t xml:space="preserve"> funding is provided by DFAT and DFID</w:t>
      </w:r>
    </w:p>
    <w:p w:rsidR="00D25C0B" w:rsidRPr="00A769DE" w:rsidRDefault="00D25C0B" w:rsidP="00D25C0B">
      <w:pPr>
        <w:pStyle w:val="ListParagraph"/>
        <w:tabs>
          <w:tab w:val="left" w:pos="357"/>
        </w:tabs>
        <w:spacing w:before="0" w:after="0" w:line="240" w:lineRule="auto"/>
        <w:ind w:left="0"/>
        <w:contextualSpacing w:val="0"/>
        <w:jc w:val="both"/>
        <w:rPr>
          <w:rFonts w:ascii="Arial" w:hAnsi="Arial" w:cs="Arial"/>
          <w:iCs/>
          <w:color w:val="auto"/>
          <w:lang w:val="en-AU"/>
        </w:rPr>
      </w:pPr>
    </w:p>
    <w:p w:rsidR="00D25C0B" w:rsidRPr="00A769DE" w:rsidRDefault="00A718C0" w:rsidP="00D25C0B">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t>T</w:t>
      </w:r>
      <w:r w:rsidR="00D25C0B" w:rsidRPr="00A769DE">
        <w:rPr>
          <w:rFonts w:ascii="Arial" w:hAnsi="Arial" w:cs="Arial"/>
          <w:color w:val="auto"/>
          <w:lang w:val="en-AU"/>
        </w:rPr>
        <w:t xml:space="preserve">he ICCP has </w:t>
      </w:r>
      <w:r>
        <w:rPr>
          <w:rFonts w:ascii="Arial" w:hAnsi="Arial" w:cs="Arial"/>
          <w:color w:val="auto"/>
          <w:lang w:val="en-AU"/>
        </w:rPr>
        <w:t xml:space="preserve">furthermore </w:t>
      </w:r>
      <w:r w:rsidR="00D25C0B" w:rsidRPr="00A769DE">
        <w:rPr>
          <w:rFonts w:ascii="Arial" w:hAnsi="Arial" w:cs="Arial"/>
          <w:color w:val="auto"/>
          <w:lang w:val="en-AU"/>
        </w:rPr>
        <w:t>been assessed against three specific evaluation criteria:</w:t>
      </w:r>
    </w:p>
    <w:p w:rsidR="00D25C0B" w:rsidRDefault="00D25C0B" w:rsidP="00D25C0B">
      <w:pPr>
        <w:spacing w:before="0" w:after="0" w:line="240" w:lineRule="auto"/>
        <w:jc w:val="both"/>
        <w:rPr>
          <w:rFonts w:ascii="Arial" w:hAnsi="Arial" w:cs="Arial"/>
          <w:color w:val="auto"/>
          <w:lang w:val="en-AU"/>
        </w:rPr>
      </w:pPr>
    </w:p>
    <w:p w:rsidR="00D25C0B" w:rsidRPr="005834D7" w:rsidRDefault="00D25C0B" w:rsidP="00D25C0B">
      <w:pPr>
        <w:pStyle w:val="ListParagraph"/>
        <w:numPr>
          <w:ilvl w:val="0"/>
          <w:numId w:val="18"/>
        </w:numPr>
        <w:suppressAutoHyphens w:val="0"/>
        <w:spacing w:before="0" w:after="0" w:line="240" w:lineRule="auto"/>
        <w:ind w:left="360"/>
        <w:contextualSpacing w:val="0"/>
        <w:jc w:val="both"/>
        <w:rPr>
          <w:rFonts w:ascii="Arial" w:hAnsi="Arial" w:cs="Arial"/>
          <w:color w:val="auto"/>
          <w:lang w:val="en-AU"/>
        </w:rPr>
      </w:pPr>
      <w:r w:rsidRPr="005834D7">
        <w:rPr>
          <w:rFonts w:ascii="Arial" w:hAnsi="Arial" w:cs="Arial"/>
          <w:b/>
          <w:color w:val="auto"/>
          <w:lang w:val="en-AU"/>
        </w:rPr>
        <w:t>Effectiveness</w:t>
      </w:r>
      <w:r w:rsidRPr="005834D7">
        <w:rPr>
          <w:rFonts w:ascii="Arial" w:hAnsi="Arial" w:cs="Arial"/>
          <w:color w:val="auto"/>
          <w:lang w:val="en-AU"/>
        </w:rPr>
        <w:t xml:space="preserve"> – </w:t>
      </w:r>
      <w:r w:rsidR="00A718C0" w:rsidRPr="005834D7">
        <w:rPr>
          <w:rFonts w:ascii="Arial" w:hAnsi="Arial" w:cs="Arial"/>
          <w:color w:val="auto"/>
          <w:lang w:val="en-AU"/>
        </w:rPr>
        <w:t>The</w:t>
      </w:r>
      <w:r w:rsidRPr="005834D7">
        <w:rPr>
          <w:rFonts w:ascii="Arial" w:hAnsi="Arial" w:cs="Arial"/>
          <w:color w:val="auto"/>
          <w:lang w:val="en-AU"/>
        </w:rPr>
        <w:t xml:space="preserve"> </w:t>
      </w:r>
      <w:r w:rsidR="005834D7" w:rsidRPr="005834D7">
        <w:rPr>
          <w:rFonts w:ascii="Arial" w:hAnsi="Arial" w:cs="Arial"/>
          <w:color w:val="auto"/>
          <w:lang w:val="en-AU"/>
        </w:rPr>
        <w:t xml:space="preserve">11 ICCP </w:t>
      </w:r>
      <w:r w:rsidRPr="005834D7">
        <w:rPr>
          <w:rFonts w:ascii="Arial" w:hAnsi="Arial" w:cs="Arial"/>
          <w:color w:val="auto"/>
          <w:lang w:val="en-AU"/>
        </w:rPr>
        <w:t xml:space="preserve">projects </w:t>
      </w:r>
      <w:r w:rsidR="00A718C0" w:rsidRPr="005834D7">
        <w:rPr>
          <w:rFonts w:ascii="Arial" w:hAnsi="Arial" w:cs="Arial"/>
          <w:color w:val="auto"/>
          <w:lang w:val="en-AU"/>
        </w:rPr>
        <w:t xml:space="preserve">are </w:t>
      </w:r>
      <w:r w:rsidR="00E15A9B">
        <w:rPr>
          <w:rFonts w:ascii="Arial" w:hAnsi="Arial" w:cs="Arial"/>
          <w:color w:val="auto"/>
          <w:lang w:val="en-AU"/>
        </w:rPr>
        <w:t>well-</w:t>
      </w:r>
      <w:r w:rsidR="00E15A9B" w:rsidRPr="005834D7">
        <w:rPr>
          <w:rFonts w:ascii="Arial" w:hAnsi="Arial" w:cs="Arial"/>
          <w:color w:val="auto"/>
          <w:lang w:val="en-AU"/>
        </w:rPr>
        <w:t>designed</w:t>
      </w:r>
      <w:r w:rsidR="00A718C0" w:rsidRPr="005834D7">
        <w:rPr>
          <w:rFonts w:ascii="Arial" w:hAnsi="Arial" w:cs="Arial"/>
          <w:color w:val="auto"/>
          <w:lang w:val="en-AU"/>
        </w:rPr>
        <w:t xml:space="preserve"> </w:t>
      </w:r>
      <w:r w:rsidR="00102316" w:rsidRPr="005834D7">
        <w:rPr>
          <w:rFonts w:ascii="Arial" w:hAnsi="Arial" w:cs="Arial"/>
          <w:color w:val="auto"/>
          <w:lang w:val="en-AU"/>
        </w:rPr>
        <w:t>and appear to be adequately implemented</w:t>
      </w:r>
      <w:r w:rsidRPr="005834D7">
        <w:rPr>
          <w:rFonts w:ascii="Arial" w:hAnsi="Arial" w:cs="Arial"/>
          <w:color w:val="auto"/>
          <w:lang w:val="en-AU"/>
        </w:rPr>
        <w:t xml:space="preserve"> but</w:t>
      </w:r>
      <w:r w:rsidR="00102316" w:rsidRPr="005834D7">
        <w:rPr>
          <w:rFonts w:ascii="Arial" w:hAnsi="Arial" w:cs="Arial"/>
          <w:color w:val="auto"/>
          <w:lang w:val="en-AU"/>
        </w:rPr>
        <w:t>,</w:t>
      </w:r>
      <w:r w:rsidRPr="005834D7">
        <w:rPr>
          <w:rFonts w:ascii="Arial" w:hAnsi="Arial" w:cs="Arial"/>
          <w:color w:val="auto"/>
          <w:lang w:val="en-AU"/>
        </w:rPr>
        <w:t xml:space="preserve"> due to the applied reporting </w:t>
      </w:r>
      <w:r w:rsidR="00102316" w:rsidRPr="005834D7">
        <w:rPr>
          <w:rFonts w:ascii="Arial" w:hAnsi="Arial" w:cs="Arial"/>
          <w:color w:val="auto"/>
          <w:lang w:val="en-AU"/>
        </w:rPr>
        <w:t xml:space="preserve">approach, </w:t>
      </w:r>
      <w:r w:rsidRPr="005834D7">
        <w:rPr>
          <w:rFonts w:ascii="Arial" w:hAnsi="Arial" w:cs="Arial"/>
          <w:color w:val="auto"/>
          <w:lang w:val="en-AU"/>
        </w:rPr>
        <w:t xml:space="preserve">it is not possible to assess conclusively to which extent </w:t>
      </w:r>
      <w:r w:rsidR="00102316" w:rsidRPr="005834D7">
        <w:rPr>
          <w:rFonts w:ascii="Arial" w:hAnsi="Arial" w:cs="Arial"/>
          <w:color w:val="auto"/>
          <w:lang w:val="en-AU"/>
        </w:rPr>
        <w:t>project-level objectives</w:t>
      </w:r>
      <w:r w:rsidRPr="005834D7">
        <w:rPr>
          <w:rFonts w:ascii="Arial" w:hAnsi="Arial" w:cs="Arial"/>
          <w:color w:val="auto"/>
          <w:lang w:val="en-AU"/>
        </w:rPr>
        <w:t xml:space="preserve"> are being met</w:t>
      </w:r>
      <w:r w:rsidR="00102316" w:rsidRPr="005834D7">
        <w:rPr>
          <w:rFonts w:ascii="Arial" w:hAnsi="Arial" w:cs="Arial"/>
          <w:color w:val="auto"/>
          <w:lang w:val="en-AU"/>
        </w:rPr>
        <w:t xml:space="preserve"> and activities carried out as planned</w:t>
      </w:r>
      <w:r w:rsidRPr="005834D7">
        <w:rPr>
          <w:rFonts w:ascii="Arial" w:hAnsi="Arial" w:cs="Arial"/>
          <w:color w:val="auto"/>
          <w:lang w:val="en-AU"/>
        </w:rPr>
        <w:t>.</w:t>
      </w:r>
      <w:r w:rsidR="00135D5D" w:rsidRPr="005834D7">
        <w:rPr>
          <w:rFonts w:ascii="Arial" w:hAnsi="Arial" w:cs="Arial"/>
          <w:color w:val="auto"/>
          <w:lang w:val="en-AU"/>
        </w:rPr>
        <w:t xml:space="preserve"> However, </w:t>
      </w:r>
      <w:r w:rsidRPr="005834D7">
        <w:rPr>
          <w:rFonts w:ascii="Arial" w:hAnsi="Arial" w:cs="Arial"/>
          <w:color w:val="auto"/>
          <w:lang w:val="en-AU"/>
        </w:rPr>
        <w:t>the achievement of program-level objectives and outcomes can</w:t>
      </w:r>
      <w:r w:rsidR="00135D5D" w:rsidRPr="005834D7">
        <w:rPr>
          <w:rFonts w:ascii="Arial" w:hAnsi="Arial" w:cs="Arial"/>
          <w:color w:val="auto"/>
          <w:lang w:val="en-AU"/>
        </w:rPr>
        <w:t>not</w:t>
      </w:r>
      <w:r w:rsidRPr="005834D7">
        <w:rPr>
          <w:rFonts w:ascii="Arial" w:hAnsi="Arial" w:cs="Arial"/>
          <w:color w:val="auto"/>
          <w:lang w:val="en-AU"/>
        </w:rPr>
        <w:t xml:space="preserve"> be </w:t>
      </w:r>
      <w:r w:rsidR="00135D5D" w:rsidRPr="005834D7">
        <w:rPr>
          <w:rFonts w:ascii="Arial" w:hAnsi="Arial" w:cs="Arial"/>
          <w:color w:val="auto"/>
          <w:lang w:val="en-AU"/>
        </w:rPr>
        <w:t xml:space="preserve">assessed until </w:t>
      </w:r>
      <w:r w:rsidRPr="005834D7">
        <w:rPr>
          <w:rFonts w:ascii="Arial" w:hAnsi="Arial" w:cs="Arial"/>
          <w:color w:val="auto"/>
          <w:lang w:val="en-AU"/>
        </w:rPr>
        <w:t xml:space="preserve">a program results framework/logframe has been developed and indicators </w:t>
      </w:r>
      <w:r w:rsidR="00135D5D" w:rsidRPr="005834D7">
        <w:rPr>
          <w:rFonts w:ascii="Arial" w:hAnsi="Arial" w:cs="Arial"/>
          <w:color w:val="auto"/>
          <w:lang w:val="en-AU"/>
        </w:rPr>
        <w:t>measured on that basis</w:t>
      </w:r>
      <w:r w:rsidRPr="005834D7">
        <w:rPr>
          <w:rFonts w:ascii="Arial" w:hAnsi="Arial" w:cs="Arial"/>
          <w:color w:val="auto"/>
          <w:lang w:val="en-AU"/>
        </w:rPr>
        <w:t xml:space="preserve">. </w:t>
      </w:r>
      <w:r w:rsidR="005834D7" w:rsidRPr="005834D7">
        <w:rPr>
          <w:rFonts w:ascii="Arial" w:hAnsi="Arial" w:cs="Arial"/>
          <w:color w:val="auto"/>
          <w:lang w:val="en-AU"/>
        </w:rPr>
        <w:t xml:space="preserve">The failure to establish this is likely due to the somewhat unclear division of responsibilities between the </w:t>
      </w:r>
      <w:r w:rsidR="00A10AD6" w:rsidRPr="00A10AD6">
        <w:rPr>
          <w:rFonts w:ascii="Arial" w:hAnsi="Arial" w:cs="Arial"/>
          <w:iCs/>
          <w:color w:val="auto"/>
          <w:lang w:val="en-AU"/>
        </w:rPr>
        <w:t xml:space="preserve">Myanmar Partnership </w:t>
      </w:r>
      <w:r w:rsidR="005834D7" w:rsidRPr="005834D7">
        <w:rPr>
          <w:rFonts w:ascii="Arial" w:hAnsi="Arial" w:cs="Arial"/>
          <w:color w:val="auto"/>
          <w:lang w:val="en-AU"/>
        </w:rPr>
        <w:t xml:space="preserve">MDTF Steering Committee and the quarterly ICCP forum as well as the fact that ICCP progress reporting has been entirely project-focused. </w:t>
      </w:r>
      <w:r w:rsidRPr="005834D7">
        <w:rPr>
          <w:rFonts w:ascii="Arial" w:hAnsi="Arial" w:cs="Arial"/>
          <w:color w:val="auto"/>
          <w:lang w:val="en-AU"/>
        </w:rPr>
        <w:t xml:space="preserve">The good relationships </w:t>
      </w:r>
      <w:r w:rsidR="00135D5D" w:rsidRPr="005834D7">
        <w:rPr>
          <w:rFonts w:ascii="Arial" w:hAnsi="Arial" w:cs="Arial"/>
          <w:color w:val="auto"/>
          <w:lang w:val="en-AU"/>
        </w:rPr>
        <w:t xml:space="preserve">established by the project teams </w:t>
      </w:r>
      <w:r w:rsidRPr="005834D7">
        <w:rPr>
          <w:rFonts w:ascii="Arial" w:hAnsi="Arial" w:cs="Arial"/>
          <w:color w:val="auto"/>
          <w:lang w:val="en-AU"/>
        </w:rPr>
        <w:t>with counterparts and beneficiaries</w:t>
      </w:r>
      <w:r w:rsidR="00135D5D" w:rsidRPr="005834D7">
        <w:rPr>
          <w:rFonts w:ascii="Arial" w:hAnsi="Arial" w:cs="Arial"/>
          <w:color w:val="auto"/>
          <w:lang w:val="en-AU"/>
        </w:rPr>
        <w:t xml:space="preserve"> c</w:t>
      </w:r>
      <w:r w:rsidRPr="005834D7">
        <w:rPr>
          <w:rFonts w:ascii="Arial" w:hAnsi="Arial" w:cs="Arial"/>
          <w:color w:val="auto"/>
          <w:lang w:val="en-AU"/>
        </w:rPr>
        <w:t xml:space="preserve">ontribute to effectiveness. </w:t>
      </w:r>
      <w:r w:rsidR="00135D5D" w:rsidRPr="005834D7">
        <w:rPr>
          <w:rFonts w:ascii="Arial" w:hAnsi="Arial" w:cs="Arial"/>
          <w:color w:val="auto"/>
          <w:lang w:val="en-AU"/>
        </w:rPr>
        <w:t xml:space="preserve">It is noted though that as regards </w:t>
      </w:r>
      <w:r w:rsidRPr="005834D7">
        <w:rPr>
          <w:rFonts w:ascii="Arial" w:hAnsi="Arial" w:cs="Arial"/>
          <w:color w:val="auto"/>
          <w:lang w:val="en-AU"/>
        </w:rPr>
        <w:t>capacity building, it does not appear that baselines have been created or changes are being tracked</w:t>
      </w:r>
      <w:r w:rsidR="00135D5D" w:rsidRPr="005834D7">
        <w:rPr>
          <w:rFonts w:ascii="Arial" w:hAnsi="Arial" w:cs="Arial"/>
          <w:color w:val="auto"/>
          <w:lang w:val="en-AU"/>
        </w:rPr>
        <w:t xml:space="preserve"> by the IFC</w:t>
      </w:r>
      <w:r w:rsidRPr="005834D7">
        <w:rPr>
          <w:rFonts w:ascii="Arial" w:hAnsi="Arial" w:cs="Arial"/>
          <w:color w:val="auto"/>
          <w:lang w:val="en-AU"/>
        </w:rPr>
        <w:t>.</w:t>
      </w:r>
    </w:p>
    <w:p w:rsidR="005834D7" w:rsidRPr="005834D7" w:rsidRDefault="00D25C0B" w:rsidP="00A80080">
      <w:pPr>
        <w:pStyle w:val="ListParagraph"/>
        <w:numPr>
          <w:ilvl w:val="0"/>
          <w:numId w:val="18"/>
        </w:numPr>
        <w:suppressAutoHyphens w:val="0"/>
        <w:spacing w:before="40" w:after="40" w:line="240" w:lineRule="auto"/>
        <w:ind w:left="360"/>
        <w:contextualSpacing w:val="0"/>
        <w:jc w:val="both"/>
        <w:rPr>
          <w:rFonts w:ascii="Arial" w:hAnsi="Arial" w:cs="Arial"/>
          <w:color w:val="auto"/>
          <w:lang w:val="en-AU"/>
        </w:rPr>
      </w:pPr>
      <w:r w:rsidRPr="005834D7">
        <w:rPr>
          <w:rFonts w:ascii="Arial" w:hAnsi="Arial" w:cs="Arial"/>
          <w:b/>
          <w:color w:val="auto"/>
          <w:lang w:val="en-AU"/>
        </w:rPr>
        <w:t>Efficiency</w:t>
      </w:r>
      <w:r w:rsidRPr="005834D7">
        <w:rPr>
          <w:rFonts w:ascii="Arial" w:hAnsi="Arial" w:cs="Arial"/>
          <w:color w:val="auto"/>
          <w:lang w:val="en-AU"/>
        </w:rPr>
        <w:t xml:space="preserve"> – All projects appear to be implemented within budget and</w:t>
      </w:r>
      <w:r w:rsidR="00A65798" w:rsidRPr="005834D7">
        <w:rPr>
          <w:rFonts w:ascii="Arial" w:hAnsi="Arial" w:cs="Arial"/>
          <w:color w:val="auto"/>
          <w:lang w:val="en-AU"/>
        </w:rPr>
        <w:t xml:space="preserve">, although </w:t>
      </w:r>
      <w:r w:rsidRPr="005834D7">
        <w:rPr>
          <w:rFonts w:ascii="Arial" w:hAnsi="Arial" w:cs="Arial"/>
          <w:color w:val="auto"/>
          <w:lang w:val="en-AU"/>
        </w:rPr>
        <w:t>some have experienced time delays</w:t>
      </w:r>
      <w:r w:rsidR="00A65798" w:rsidRPr="005834D7">
        <w:rPr>
          <w:rFonts w:ascii="Arial" w:hAnsi="Arial" w:cs="Arial"/>
          <w:color w:val="auto"/>
          <w:lang w:val="en-AU"/>
        </w:rPr>
        <w:t>,</w:t>
      </w:r>
      <w:r w:rsidRPr="005834D7">
        <w:rPr>
          <w:rFonts w:ascii="Arial" w:hAnsi="Arial" w:cs="Arial"/>
          <w:color w:val="auto"/>
          <w:lang w:val="en-AU"/>
        </w:rPr>
        <w:t xml:space="preserve"> this has not been a major issue. Value-for-money aspects are not </w:t>
      </w:r>
      <w:r w:rsidRPr="005834D7">
        <w:rPr>
          <w:rFonts w:ascii="Arial" w:hAnsi="Arial" w:cs="Arial"/>
          <w:color w:val="auto"/>
          <w:lang w:val="en-AU"/>
        </w:rPr>
        <w:lastRenderedPageBreak/>
        <w:t xml:space="preserve">possible to measure </w:t>
      </w:r>
      <w:r w:rsidR="00A65798" w:rsidRPr="005834D7">
        <w:rPr>
          <w:rFonts w:ascii="Arial" w:hAnsi="Arial" w:cs="Arial"/>
          <w:color w:val="auto"/>
          <w:lang w:val="en-AU"/>
        </w:rPr>
        <w:t xml:space="preserve">as part of this evaluation as the IFC has not shared </w:t>
      </w:r>
      <w:r w:rsidRPr="005834D7">
        <w:rPr>
          <w:rFonts w:ascii="Arial" w:hAnsi="Arial" w:cs="Arial"/>
          <w:color w:val="auto"/>
          <w:lang w:val="en-AU"/>
        </w:rPr>
        <w:t xml:space="preserve">detailed budget and expenditure </w:t>
      </w:r>
      <w:r w:rsidR="00E15A9B" w:rsidRPr="005834D7">
        <w:rPr>
          <w:rFonts w:ascii="Arial" w:hAnsi="Arial" w:cs="Arial"/>
          <w:color w:val="auto"/>
          <w:lang w:val="en-AU"/>
        </w:rPr>
        <w:t>data, which</w:t>
      </w:r>
      <w:r w:rsidRPr="005834D7">
        <w:rPr>
          <w:rFonts w:ascii="Arial" w:hAnsi="Arial" w:cs="Arial"/>
          <w:color w:val="auto"/>
          <w:lang w:val="en-AU"/>
        </w:rPr>
        <w:t xml:space="preserve"> </w:t>
      </w:r>
      <w:r w:rsidR="00A65798" w:rsidRPr="005834D7">
        <w:rPr>
          <w:rFonts w:ascii="Arial" w:hAnsi="Arial" w:cs="Arial"/>
          <w:color w:val="auto"/>
          <w:lang w:val="en-AU"/>
        </w:rPr>
        <w:t>would be required</w:t>
      </w:r>
      <w:r w:rsidRPr="005834D7">
        <w:rPr>
          <w:rFonts w:ascii="Arial" w:hAnsi="Arial" w:cs="Arial"/>
          <w:color w:val="auto"/>
          <w:lang w:val="en-AU"/>
        </w:rPr>
        <w:t>. It is understood that the IFC has internal assessment procedures that include efficiency measures, but the details are not available.</w:t>
      </w:r>
      <w:r w:rsidR="005834D7" w:rsidRPr="005834D7">
        <w:rPr>
          <w:rFonts w:ascii="Arial" w:hAnsi="Arial" w:cs="Arial"/>
          <w:color w:val="auto"/>
          <w:lang w:val="en-AU"/>
        </w:rPr>
        <w:t xml:space="preserve"> It </w:t>
      </w:r>
      <w:r w:rsidR="00E15A9B">
        <w:rPr>
          <w:rFonts w:ascii="Arial" w:hAnsi="Arial" w:cs="Arial"/>
          <w:color w:val="auto"/>
          <w:lang w:val="en-AU"/>
        </w:rPr>
        <w:t>i</w:t>
      </w:r>
      <w:r w:rsidR="005834D7" w:rsidRPr="005834D7">
        <w:rPr>
          <w:rFonts w:ascii="Arial" w:hAnsi="Arial" w:cs="Arial"/>
          <w:color w:val="auto"/>
          <w:lang w:val="en-AU"/>
        </w:rPr>
        <w:t xml:space="preserve">s furthermore noted that while discussions of gender-related issues took place early on during implementation, a proper focus on gender issues has only come about following the engagement of a partner-funded Gender Operations Officer placed </w:t>
      </w:r>
      <w:r w:rsidR="00E15A9B" w:rsidRPr="005834D7">
        <w:rPr>
          <w:rFonts w:ascii="Arial" w:hAnsi="Arial" w:cs="Arial"/>
          <w:color w:val="auto"/>
          <w:lang w:val="en-AU"/>
        </w:rPr>
        <w:t>in country</w:t>
      </w:r>
      <w:r w:rsidR="005834D7" w:rsidRPr="005834D7">
        <w:rPr>
          <w:rFonts w:ascii="Arial" w:hAnsi="Arial" w:cs="Arial"/>
          <w:color w:val="auto"/>
          <w:lang w:val="en-AU"/>
        </w:rPr>
        <w:t xml:space="preserve"> in late 2017.</w:t>
      </w:r>
    </w:p>
    <w:p w:rsidR="005834D7" w:rsidRPr="005834D7" w:rsidRDefault="00D25C0B" w:rsidP="005834D7">
      <w:pPr>
        <w:pStyle w:val="ListParagraph"/>
        <w:numPr>
          <w:ilvl w:val="0"/>
          <w:numId w:val="18"/>
        </w:numPr>
        <w:suppressAutoHyphens w:val="0"/>
        <w:spacing w:before="0" w:after="0" w:line="240" w:lineRule="auto"/>
        <w:ind w:left="360"/>
        <w:contextualSpacing w:val="0"/>
        <w:jc w:val="both"/>
        <w:rPr>
          <w:rFonts w:ascii="Arial" w:hAnsi="Arial" w:cs="Arial"/>
          <w:color w:val="auto"/>
          <w:lang w:val="en-AU"/>
        </w:rPr>
      </w:pPr>
      <w:r w:rsidRPr="00A769DE">
        <w:rPr>
          <w:rFonts w:ascii="Arial" w:hAnsi="Arial" w:cs="Arial"/>
          <w:b/>
          <w:color w:val="auto"/>
          <w:lang w:val="en-AU"/>
        </w:rPr>
        <w:t>Relevance</w:t>
      </w:r>
      <w:r w:rsidRPr="00A769DE">
        <w:rPr>
          <w:rFonts w:ascii="Arial" w:hAnsi="Arial" w:cs="Arial"/>
          <w:color w:val="auto"/>
          <w:lang w:val="en-AU"/>
        </w:rPr>
        <w:t xml:space="preserve"> – Support for PSD </w:t>
      </w:r>
      <w:r w:rsidR="00A65798" w:rsidRPr="00A769DE">
        <w:rPr>
          <w:rFonts w:ascii="Arial" w:hAnsi="Arial" w:cs="Arial"/>
          <w:color w:val="auto"/>
          <w:lang w:val="en-AU"/>
        </w:rPr>
        <w:t xml:space="preserve">in Myanmar </w:t>
      </w:r>
      <w:r w:rsidRPr="00A769DE">
        <w:rPr>
          <w:rFonts w:ascii="Arial" w:hAnsi="Arial" w:cs="Arial"/>
          <w:color w:val="auto"/>
          <w:lang w:val="en-AU"/>
        </w:rPr>
        <w:t>remains highly relevant as a key priority for generating economic growth and alleviating poverty. The applied delivery modalities –</w:t>
      </w:r>
      <w:r w:rsidR="00A65798">
        <w:rPr>
          <w:rFonts w:ascii="Arial" w:hAnsi="Arial" w:cs="Arial"/>
          <w:color w:val="auto"/>
          <w:lang w:val="en-AU"/>
        </w:rPr>
        <w:t xml:space="preserve"> </w:t>
      </w:r>
      <w:r>
        <w:rPr>
          <w:rFonts w:ascii="Arial" w:hAnsi="Arial" w:cs="Arial"/>
          <w:color w:val="auto"/>
          <w:lang w:val="en-AU"/>
        </w:rPr>
        <w:t>focus</w:t>
      </w:r>
      <w:r w:rsidR="00A65798">
        <w:rPr>
          <w:rFonts w:ascii="Arial" w:hAnsi="Arial" w:cs="Arial"/>
          <w:color w:val="auto"/>
          <w:lang w:val="en-AU"/>
        </w:rPr>
        <w:t>ing</w:t>
      </w:r>
      <w:r>
        <w:rPr>
          <w:rFonts w:ascii="Arial" w:hAnsi="Arial" w:cs="Arial"/>
          <w:color w:val="auto"/>
          <w:lang w:val="en-AU"/>
        </w:rPr>
        <w:t xml:space="preserve"> mainly on </w:t>
      </w:r>
      <w:r w:rsidRPr="00A769DE">
        <w:rPr>
          <w:rFonts w:ascii="Arial" w:hAnsi="Arial" w:cs="Arial"/>
          <w:color w:val="auto"/>
          <w:lang w:val="en-AU"/>
        </w:rPr>
        <w:t>advisory services and TA –</w:t>
      </w:r>
      <w:r w:rsidR="00A65798">
        <w:rPr>
          <w:rFonts w:ascii="Arial" w:hAnsi="Arial" w:cs="Arial"/>
          <w:color w:val="auto"/>
          <w:lang w:val="en-AU"/>
        </w:rPr>
        <w:t xml:space="preserve"> likewise </w:t>
      </w:r>
      <w:r w:rsidRPr="00A769DE">
        <w:rPr>
          <w:rFonts w:ascii="Arial" w:hAnsi="Arial" w:cs="Arial"/>
          <w:color w:val="auto"/>
          <w:lang w:val="en-AU"/>
        </w:rPr>
        <w:t xml:space="preserve">remain very relevant, </w:t>
      </w:r>
      <w:r w:rsidR="00A65798">
        <w:rPr>
          <w:rFonts w:ascii="Arial" w:hAnsi="Arial" w:cs="Arial"/>
          <w:color w:val="auto"/>
          <w:lang w:val="en-AU"/>
        </w:rPr>
        <w:t>although</w:t>
      </w:r>
      <w:r w:rsidRPr="00A769DE">
        <w:rPr>
          <w:rFonts w:ascii="Arial" w:hAnsi="Arial" w:cs="Arial"/>
          <w:color w:val="auto"/>
          <w:lang w:val="en-AU"/>
        </w:rPr>
        <w:t xml:space="preserve"> a more targeted and systematic approach towards capacity building will be req</w:t>
      </w:r>
      <w:r w:rsidR="00A65798">
        <w:rPr>
          <w:rFonts w:ascii="Arial" w:hAnsi="Arial" w:cs="Arial"/>
          <w:color w:val="auto"/>
          <w:lang w:val="en-AU"/>
        </w:rPr>
        <w:t>uired across all project areas in t</w:t>
      </w:r>
      <w:r w:rsidRPr="00A769DE">
        <w:rPr>
          <w:rFonts w:ascii="Arial" w:hAnsi="Arial" w:cs="Arial"/>
          <w:color w:val="auto"/>
          <w:lang w:val="en-AU"/>
        </w:rPr>
        <w:t xml:space="preserve">he longer term (i.e. beyond the lifetime of the ICCP). </w:t>
      </w:r>
      <w:r>
        <w:rPr>
          <w:rFonts w:ascii="Arial" w:hAnsi="Arial" w:cs="Arial"/>
          <w:color w:val="auto"/>
          <w:lang w:val="en-AU"/>
        </w:rPr>
        <w:t>Hence a</w:t>
      </w:r>
      <w:r w:rsidRPr="00A769DE">
        <w:rPr>
          <w:rFonts w:ascii="Arial" w:hAnsi="Arial" w:cs="Arial"/>
          <w:color w:val="auto"/>
          <w:lang w:val="en-AU"/>
        </w:rPr>
        <w:t xml:space="preserve"> focus on capacity building in GoM entities </w:t>
      </w:r>
      <w:r>
        <w:rPr>
          <w:rFonts w:ascii="Arial" w:hAnsi="Arial" w:cs="Arial"/>
          <w:color w:val="auto"/>
          <w:lang w:val="en-AU"/>
        </w:rPr>
        <w:t>should be a future priority, which</w:t>
      </w:r>
      <w:r w:rsidRPr="00A769DE">
        <w:rPr>
          <w:rFonts w:ascii="Arial" w:hAnsi="Arial" w:cs="Arial"/>
          <w:color w:val="auto"/>
          <w:lang w:val="en-AU"/>
        </w:rPr>
        <w:t xml:space="preserve"> </w:t>
      </w:r>
      <w:r>
        <w:rPr>
          <w:rFonts w:ascii="Arial" w:hAnsi="Arial" w:cs="Arial"/>
          <w:color w:val="auto"/>
          <w:lang w:val="en-AU"/>
        </w:rPr>
        <w:t xml:space="preserve">could also include </w:t>
      </w:r>
      <w:r w:rsidRPr="00A769DE">
        <w:rPr>
          <w:rFonts w:ascii="Arial" w:hAnsi="Arial" w:cs="Arial"/>
          <w:color w:val="auto"/>
          <w:lang w:val="en-AU"/>
        </w:rPr>
        <w:t>private sector organisations.</w:t>
      </w:r>
      <w:r w:rsidR="005834D7">
        <w:rPr>
          <w:rFonts w:ascii="Arial" w:hAnsi="Arial" w:cs="Arial"/>
          <w:color w:val="auto"/>
          <w:lang w:val="en-AU"/>
        </w:rPr>
        <w:t xml:space="preserve"> Also, t</w:t>
      </w:r>
      <w:r w:rsidR="005834D7" w:rsidRPr="005834D7">
        <w:rPr>
          <w:rFonts w:ascii="Arial" w:hAnsi="Arial" w:cs="Arial"/>
          <w:color w:val="auto"/>
          <w:lang w:val="en-AU"/>
        </w:rPr>
        <w:t xml:space="preserve">he </w:t>
      </w:r>
      <w:r w:rsidR="005834D7">
        <w:rPr>
          <w:rFonts w:ascii="Arial" w:hAnsi="Arial" w:cs="Arial"/>
          <w:color w:val="auto"/>
          <w:lang w:val="en-AU"/>
        </w:rPr>
        <w:t xml:space="preserve">relevance of PSD support would </w:t>
      </w:r>
      <w:r w:rsidR="005834D7" w:rsidRPr="005834D7">
        <w:rPr>
          <w:rFonts w:ascii="Arial" w:hAnsi="Arial" w:cs="Arial"/>
          <w:color w:val="auto"/>
          <w:lang w:val="en-AU"/>
        </w:rPr>
        <w:t xml:space="preserve">be enhanced if better </w:t>
      </w:r>
      <w:r w:rsidR="009D6A21" w:rsidRPr="009D6A21">
        <w:rPr>
          <w:rFonts w:ascii="Arial" w:hAnsi="Arial" w:cs="Arial"/>
          <w:color w:val="auto"/>
          <w:lang w:val="en-AU"/>
        </w:rPr>
        <w:t xml:space="preserve">public private dialogue </w:t>
      </w:r>
      <w:r w:rsidR="009D6A21">
        <w:rPr>
          <w:rFonts w:ascii="Arial" w:hAnsi="Arial" w:cs="Arial"/>
          <w:color w:val="auto"/>
          <w:lang w:val="en-AU"/>
        </w:rPr>
        <w:t>(</w:t>
      </w:r>
      <w:r w:rsidR="005834D7" w:rsidRPr="005834D7">
        <w:rPr>
          <w:rFonts w:ascii="Arial" w:hAnsi="Arial" w:cs="Arial"/>
          <w:color w:val="auto"/>
          <w:lang w:val="en-AU"/>
        </w:rPr>
        <w:t>PPD</w:t>
      </w:r>
      <w:r w:rsidR="009D6A21">
        <w:rPr>
          <w:rFonts w:ascii="Arial" w:hAnsi="Arial" w:cs="Arial"/>
          <w:color w:val="auto"/>
          <w:lang w:val="en-AU"/>
        </w:rPr>
        <w:t>)</w:t>
      </w:r>
      <w:r w:rsidR="005834D7" w:rsidRPr="005834D7">
        <w:rPr>
          <w:rFonts w:ascii="Arial" w:hAnsi="Arial" w:cs="Arial"/>
          <w:color w:val="auto"/>
          <w:lang w:val="en-AU"/>
        </w:rPr>
        <w:t xml:space="preserve"> practices and structures can be (re-)introduced.</w:t>
      </w:r>
    </w:p>
    <w:p w:rsidR="005834D7" w:rsidRDefault="005834D7" w:rsidP="00D25C0B">
      <w:pPr>
        <w:spacing w:before="0" w:after="0" w:line="240" w:lineRule="auto"/>
        <w:rPr>
          <w:rFonts w:ascii="Arial" w:hAnsi="Arial" w:cs="Arial"/>
          <w:color w:val="auto"/>
          <w:lang w:val="en-AU"/>
        </w:rPr>
      </w:pPr>
    </w:p>
    <w:p w:rsidR="00410145" w:rsidRPr="00A41A91" w:rsidRDefault="00410145" w:rsidP="00410145">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41A91">
        <w:rPr>
          <w:rFonts w:ascii="Arial" w:hAnsi="Arial" w:cs="Arial"/>
          <w:iCs/>
          <w:color w:val="auto"/>
          <w:lang w:val="en-AU"/>
        </w:rPr>
        <w:t>The evaluation has, as per the Terms of Reference (ToR), furthermore assessed DFAT’s support for PSD and PFM reforms vis-à-vis t</w:t>
      </w:r>
      <w:r w:rsidRPr="00A41A91">
        <w:rPr>
          <w:rFonts w:ascii="Arial" w:hAnsi="Arial" w:cs="Arial"/>
          <w:color w:val="auto"/>
          <w:lang w:val="en-AU"/>
        </w:rPr>
        <w:t xml:space="preserve">he targets stated in </w:t>
      </w:r>
      <w:r w:rsidR="00A41A91">
        <w:rPr>
          <w:rFonts w:ascii="Arial" w:hAnsi="Arial" w:cs="Arial"/>
          <w:color w:val="auto"/>
          <w:lang w:val="en-AU"/>
        </w:rPr>
        <w:t xml:space="preserve">DFAT’s </w:t>
      </w:r>
      <w:r w:rsidRPr="00A41A91">
        <w:rPr>
          <w:rFonts w:ascii="Arial" w:hAnsi="Arial" w:cs="Arial"/>
          <w:color w:val="auto"/>
          <w:lang w:val="en-AU"/>
        </w:rPr>
        <w:t>AIP 2015-2020</w:t>
      </w:r>
      <w:r w:rsidR="00F2097A" w:rsidRPr="00A41A91">
        <w:rPr>
          <w:rFonts w:ascii="Arial" w:hAnsi="Arial" w:cs="Arial"/>
          <w:color w:val="auto"/>
          <w:lang w:val="en-AU"/>
        </w:rPr>
        <w:t xml:space="preserve"> (</w:t>
      </w:r>
      <w:r w:rsidR="00A41A91">
        <w:rPr>
          <w:rFonts w:ascii="Arial" w:hAnsi="Arial" w:cs="Arial"/>
          <w:color w:val="auto"/>
          <w:lang w:val="en-AU"/>
        </w:rPr>
        <w:t>part two</w:t>
      </w:r>
      <w:r w:rsidR="00F2097A" w:rsidRPr="00A41A91">
        <w:rPr>
          <w:rFonts w:ascii="Arial" w:hAnsi="Arial" w:cs="Arial"/>
          <w:color w:val="auto"/>
          <w:lang w:val="en-AU"/>
        </w:rPr>
        <w:t xml:space="preserve"> of the evaluation)</w:t>
      </w:r>
      <w:r w:rsidRPr="00A41A91">
        <w:rPr>
          <w:rFonts w:ascii="Arial" w:hAnsi="Arial" w:cs="Arial"/>
          <w:color w:val="auto"/>
          <w:lang w:val="en-AU"/>
        </w:rPr>
        <w:t xml:space="preserve">. </w:t>
      </w:r>
      <w:r w:rsidRPr="00A41A91">
        <w:rPr>
          <w:rFonts w:ascii="Arial" w:hAnsi="Arial" w:cs="Arial"/>
          <w:iCs/>
          <w:color w:val="auto"/>
          <w:lang w:val="en-AU"/>
        </w:rPr>
        <w:t>The performance benchmark for the PSD area is formulated as “</w:t>
      </w:r>
      <w:r w:rsidRPr="00A41A91">
        <w:rPr>
          <w:rFonts w:ascii="Arial" w:hAnsi="Arial" w:cs="Arial"/>
          <w:i/>
          <w:color w:val="auto"/>
          <w:lang w:val="en-AU"/>
        </w:rPr>
        <w:t>establishment of an effective and responsible investment environment</w:t>
      </w:r>
      <w:r w:rsidRPr="00A41A91">
        <w:rPr>
          <w:rFonts w:ascii="Arial" w:hAnsi="Arial" w:cs="Arial"/>
          <w:iCs/>
          <w:color w:val="auto"/>
          <w:lang w:val="en-AU"/>
        </w:rPr>
        <w:t xml:space="preserve">” </w:t>
      </w:r>
      <w:r w:rsidR="00235986" w:rsidRPr="00A41A91">
        <w:rPr>
          <w:rFonts w:ascii="Arial" w:hAnsi="Arial" w:cs="Arial"/>
          <w:iCs/>
          <w:color w:val="auto"/>
          <w:lang w:val="en-AU"/>
        </w:rPr>
        <w:t>with specific annual targets</w:t>
      </w:r>
      <w:r w:rsidR="00F2097A" w:rsidRPr="00A41A91">
        <w:rPr>
          <w:rFonts w:ascii="Arial" w:hAnsi="Arial" w:cs="Arial"/>
          <w:iCs/>
          <w:color w:val="auto"/>
          <w:lang w:val="en-AU"/>
        </w:rPr>
        <w:t>,</w:t>
      </w:r>
      <w:r w:rsidR="00235986" w:rsidRPr="00A769DE">
        <w:rPr>
          <w:rStyle w:val="FootnoteReference"/>
          <w:rFonts w:ascii="Arial" w:hAnsi="Arial" w:cs="Arial"/>
          <w:color w:val="auto"/>
          <w:lang w:val="en-AU"/>
        </w:rPr>
        <w:footnoteReference w:id="1"/>
      </w:r>
      <w:r w:rsidR="00235986" w:rsidRPr="00A41A91">
        <w:rPr>
          <w:rFonts w:ascii="Arial" w:hAnsi="Arial" w:cs="Arial"/>
          <w:iCs/>
          <w:color w:val="auto"/>
          <w:lang w:val="en-AU"/>
        </w:rPr>
        <w:t xml:space="preserve"> </w:t>
      </w:r>
      <w:r w:rsidR="00F2097A" w:rsidRPr="00A41A91">
        <w:rPr>
          <w:rFonts w:ascii="Arial" w:hAnsi="Arial" w:cs="Arial"/>
          <w:iCs/>
          <w:color w:val="auto"/>
          <w:lang w:val="en-AU"/>
        </w:rPr>
        <w:t>while the performance benchmark for the PFM area is “</w:t>
      </w:r>
      <w:r w:rsidR="00F2097A" w:rsidRPr="00A41A91">
        <w:rPr>
          <w:rFonts w:ascii="Arial" w:hAnsi="Arial" w:cs="Arial"/>
          <w:i/>
          <w:color w:val="auto"/>
          <w:lang w:val="en-AU"/>
        </w:rPr>
        <w:t>strengthened public financial management systems and improved fiscal transparency</w:t>
      </w:r>
      <w:r w:rsidR="00F2097A" w:rsidRPr="00A41A91">
        <w:rPr>
          <w:rFonts w:ascii="Arial" w:hAnsi="Arial" w:cs="Arial"/>
          <w:iCs/>
          <w:color w:val="auto"/>
          <w:lang w:val="en-AU"/>
        </w:rPr>
        <w:t>” with specific annual targets.</w:t>
      </w:r>
      <w:r w:rsidR="00F2097A" w:rsidRPr="00A769DE">
        <w:rPr>
          <w:rStyle w:val="FootnoteReference"/>
          <w:rFonts w:ascii="Arial" w:hAnsi="Arial" w:cs="Arial"/>
          <w:color w:val="auto"/>
          <w:lang w:val="en-AU"/>
        </w:rPr>
        <w:footnoteReference w:id="2"/>
      </w:r>
      <w:r w:rsidR="00F2097A" w:rsidRPr="00A41A91">
        <w:rPr>
          <w:rFonts w:ascii="Arial" w:hAnsi="Arial" w:cs="Arial"/>
          <w:iCs/>
          <w:color w:val="auto"/>
          <w:lang w:val="en-AU"/>
        </w:rPr>
        <w:t xml:space="preserve"> When measured against these benchmarks and targets, it is –</w:t>
      </w:r>
      <w:r w:rsidR="00A41A91" w:rsidRPr="00A41A91">
        <w:rPr>
          <w:rFonts w:ascii="Arial" w:hAnsi="Arial" w:cs="Arial"/>
          <w:iCs/>
          <w:color w:val="auto"/>
          <w:lang w:val="en-AU"/>
        </w:rPr>
        <w:t xml:space="preserve"> as evidenced in Chapter 5 of this report – </w:t>
      </w:r>
      <w:r w:rsidRPr="00A41A91">
        <w:rPr>
          <w:rFonts w:ascii="Arial" w:hAnsi="Arial" w:cs="Arial"/>
          <w:iCs/>
          <w:color w:val="auto"/>
          <w:lang w:val="en-AU"/>
        </w:rPr>
        <w:t>reasonable to conclude that Australia’s investments in PSD and PFM reforms</w:t>
      </w:r>
      <w:r w:rsidR="00A41A91">
        <w:rPr>
          <w:rFonts w:ascii="Arial" w:hAnsi="Arial" w:cs="Arial"/>
          <w:iCs/>
          <w:color w:val="auto"/>
          <w:lang w:val="en-AU"/>
        </w:rPr>
        <w:t xml:space="preserve"> </w:t>
      </w:r>
      <w:r w:rsidRPr="00A41A91">
        <w:rPr>
          <w:rFonts w:ascii="Arial" w:hAnsi="Arial" w:cs="Arial"/>
          <w:iCs/>
          <w:color w:val="auto"/>
          <w:lang w:val="en-AU"/>
        </w:rPr>
        <w:t xml:space="preserve">are achieving the </w:t>
      </w:r>
      <w:r w:rsidR="00A41A91">
        <w:rPr>
          <w:rFonts w:ascii="Arial" w:hAnsi="Arial" w:cs="Arial"/>
          <w:iCs/>
          <w:color w:val="auto"/>
          <w:lang w:val="en-AU"/>
        </w:rPr>
        <w:t xml:space="preserve">pursued </w:t>
      </w:r>
      <w:r w:rsidRPr="00A41A91">
        <w:rPr>
          <w:rFonts w:ascii="Arial" w:hAnsi="Arial" w:cs="Arial"/>
          <w:iCs/>
          <w:color w:val="auto"/>
          <w:lang w:val="en-AU"/>
        </w:rPr>
        <w:t>aim</w:t>
      </w:r>
      <w:r w:rsidR="00A41A91">
        <w:rPr>
          <w:rFonts w:ascii="Arial" w:hAnsi="Arial" w:cs="Arial"/>
          <w:iCs/>
          <w:color w:val="auto"/>
          <w:lang w:val="en-AU"/>
        </w:rPr>
        <w:t>s</w:t>
      </w:r>
      <w:r w:rsidRPr="00A41A91">
        <w:rPr>
          <w:rFonts w:ascii="Arial" w:hAnsi="Arial" w:cs="Arial"/>
          <w:iCs/>
          <w:color w:val="auto"/>
          <w:lang w:val="en-AU"/>
        </w:rPr>
        <w:t xml:space="preserve"> of promoting inclusive economic growth and improved government management</w:t>
      </w:r>
      <w:r w:rsidR="00A41A91" w:rsidRPr="00A41A91">
        <w:rPr>
          <w:rFonts w:ascii="Arial" w:hAnsi="Arial" w:cs="Arial"/>
          <w:iCs/>
          <w:color w:val="auto"/>
          <w:lang w:val="en-AU"/>
        </w:rPr>
        <w:t xml:space="preserve"> </w:t>
      </w:r>
      <w:r w:rsidR="00A41A91">
        <w:rPr>
          <w:rFonts w:ascii="Arial" w:hAnsi="Arial" w:cs="Arial"/>
          <w:iCs/>
          <w:color w:val="auto"/>
          <w:lang w:val="en-AU"/>
        </w:rPr>
        <w:t>in Myanmar</w:t>
      </w:r>
      <w:r w:rsidRPr="00A41A91">
        <w:rPr>
          <w:rFonts w:ascii="Arial" w:hAnsi="Arial" w:cs="Arial"/>
          <w:iCs/>
          <w:color w:val="auto"/>
          <w:lang w:val="en-AU"/>
        </w:rPr>
        <w:t>.</w:t>
      </w:r>
      <w:r w:rsidR="00A41A91">
        <w:rPr>
          <w:rFonts w:ascii="Arial" w:hAnsi="Arial" w:cs="Arial"/>
          <w:iCs/>
          <w:color w:val="auto"/>
          <w:lang w:val="en-AU"/>
        </w:rPr>
        <w:t xml:space="preserve"> This does not conflict with the findings and conclusions of the evaluation of the ICCP summarised above (</w:t>
      </w:r>
      <w:r w:rsidR="00A41A91">
        <w:rPr>
          <w:rFonts w:ascii="Arial" w:hAnsi="Arial" w:cs="Arial"/>
          <w:color w:val="auto"/>
          <w:lang w:val="en-AU"/>
        </w:rPr>
        <w:t>part one</w:t>
      </w:r>
      <w:r w:rsidR="00A41A91" w:rsidRPr="00A41A91">
        <w:rPr>
          <w:rFonts w:ascii="Arial" w:hAnsi="Arial" w:cs="Arial"/>
          <w:color w:val="auto"/>
          <w:lang w:val="en-AU"/>
        </w:rPr>
        <w:t xml:space="preserve"> of the evaluation</w:t>
      </w:r>
      <w:r w:rsidR="00A41A91">
        <w:rPr>
          <w:rFonts w:ascii="Arial" w:hAnsi="Arial" w:cs="Arial"/>
          <w:iCs/>
          <w:color w:val="auto"/>
          <w:lang w:val="en-AU"/>
        </w:rPr>
        <w:t>) since the two evaluation parts have different bases and differing focuses.</w:t>
      </w:r>
    </w:p>
    <w:p w:rsidR="00410145" w:rsidRPr="00A769DE" w:rsidRDefault="00410145" w:rsidP="00D25C0B">
      <w:pPr>
        <w:spacing w:before="0" w:after="0" w:line="240" w:lineRule="auto"/>
        <w:rPr>
          <w:rFonts w:ascii="Arial" w:hAnsi="Arial" w:cs="Arial"/>
          <w:color w:val="auto"/>
          <w:lang w:val="en-AU"/>
        </w:rPr>
      </w:pPr>
    </w:p>
    <w:p w:rsidR="000B785F" w:rsidRPr="00A769DE" w:rsidRDefault="002122E4" w:rsidP="00530B1F">
      <w:pPr>
        <w:pStyle w:val="ListParagraph"/>
        <w:tabs>
          <w:tab w:val="left" w:pos="357"/>
        </w:tabs>
        <w:spacing w:before="0" w:after="0" w:line="240" w:lineRule="auto"/>
        <w:ind w:left="0"/>
        <w:contextualSpacing w:val="0"/>
        <w:jc w:val="both"/>
        <w:rPr>
          <w:rFonts w:ascii="Arial" w:hAnsi="Arial" w:cs="Arial"/>
          <w:b/>
          <w:i/>
          <w:iCs/>
          <w:color w:val="auto"/>
          <w:lang w:val="en-AU"/>
        </w:rPr>
      </w:pPr>
      <w:r w:rsidRPr="00A769DE">
        <w:rPr>
          <w:rFonts w:ascii="Arial" w:hAnsi="Arial" w:cs="Arial"/>
          <w:b/>
          <w:i/>
          <w:iCs/>
          <w:color w:val="auto"/>
          <w:lang w:val="en-AU"/>
        </w:rPr>
        <w:t>Recommendations</w:t>
      </w:r>
      <w:r w:rsidR="00AD799B" w:rsidRPr="00A769DE">
        <w:rPr>
          <w:rFonts w:ascii="Arial" w:hAnsi="Arial" w:cs="Arial"/>
          <w:b/>
          <w:i/>
          <w:iCs/>
          <w:color w:val="auto"/>
          <w:lang w:val="en-AU"/>
        </w:rPr>
        <w:t xml:space="preserve"> for the on-going p</w:t>
      </w:r>
      <w:r w:rsidRPr="00A769DE">
        <w:rPr>
          <w:rFonts w:ascii="Arial" w:hAnsi="Arial" w:cs="Arial"/>
          <w:b/>
          <w:i/>
          <w:iCs/>
          <w:color w:val="auto"/>
          <w:lang w:val="en-AU"/>
        </w:rPr>
        <w:t>rogram</w:t>
      </w:r>
    </w:p>
    <w:p w:rsidR="00477E6A" w:rsidRPr="00A769DE" w:rsidRDefault="00477E6A" w:rsidP="00477E6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The following recommendations are made on the</w:t>
      </w:r>
      <w:r w:rsidR="003B71EC" w:rsidRPr="00A769DE">
        <w:rPr>
          <w:rFonts w:ascii="Arial" w:hAnsi="Arial" w:cs="Arial"/>
          <w:color w:val="auto"/>
          <w:lang w:val="en-AU"/>
        </w:rPr>
        <w:t xml:space="preserve"> ICCP</w:t>
      </w:r>
      <w:r w:rsidRPr="00A769DE">
        <w:rPr>
          <w:rFonts w:ascii="Arial" w:hAnsi="Arial" w:cs="Arial"/>
          <w:color w:val="auto"/>
          <w:lang w:val="en-AU"/>
        </w:rPr>
        <w:t xml:space="preserve"> implementation</w:t>
      </w:r>
      <w:r w:rsidR="003B71EC" w:rsidRPr="00A769DE">
        <w:rPr>
          <w:rFonts w:ascii="Arial" w:hAnsi="Arial" w:cs="Arial"/>
          <w:color w:val="auto"/>
          <w:lang w:val="en-AU"/>
        </w:rPr>
        <w:t xml:space="preserve"> up to 2020</w:t>
      </w:r>
      <w:r w:rsidRPr="00A769DE">
        <w:rPr>
          <w:rFonts w:ascii="Arial" w:hAnsi="Arial" w:cs="Arial"/>
          <w:color w:val="auto"/>
          <w:lang w:val="en-AU"/>
        </w:rPr>
        <w:t>:</w:t>
      </w:r>
    </w:p>
    <w:p w:rsidR="002122E4" w:rsidRPr="00A769DE" w:rsidRDefault="002122E4" w:rsidP="002122E4">
      <w:pPr>
        <w:spacing w:before="0" w:after="0" w:line="240" w:lineRule="auto"/>
        <w:jc w:val="both"/>
        <w:rPr>
          <w:rFonts w:ascii="Arial" w:hAnsi="Arial" w:cs="Arial"/>
          <w:color w:val="auto"/>
          <w:lang w:val="en-AU"/>
        </w:rPr>
      </w:pPr>
    </w:p>
    <w:p w:rsidR="00094F84" w:rsidRDefault="00094F84" w:rsidP="00A80080">
      <w:pPr>
        <w:pStyle w:val="ListParagraph"/>
        <w:numPr>
          <w:ilvl w:val="0"/>
          <w:numId w:val="25"/>
        </w:numPr>
        <w:suppressAutoHyphens w:val="0"/>
        <w:spacing w:before="0" w:line="240" w:lineRule="auto"/>
        <w:ind w:left="360"/>
        <w:contextualSpacing w:val="0"/>
        <w:jc w:val="both"/>
        <w:rPr>
          <w:rFonts w:ascii="Arial" w:hAnsi="Arial" w:cs="Arial"/>
          <w:color w:val="auto"/>
          <w:lang w:val="en-AU"/>
        </w:rPr>
      </w:pPr>
      <w:r w:rsidRPr="00094F84">
        <w:rPr>
          <w:rFonts w:ascii="Arial" w:hAnsi="Arial" w:cs="Arial"/>
          <w:color w:val="auto"/>
          <w:lang w:val="en-AU"/>
        </w:rPr>
        <w:t>The IFC to develop a program logic for the ICCP based on a results framework/logframe – encompassing relevant impact-, outcome- and output-indicators – which will be monitored on a regular basis.</w:t>
      </w:r>
      <w:r w:rsidR="004E672C" w:rsidRPr="00A769DE">
        <w:rPr>
          <w:rStyle w:val="FootnoteReference"/>
          <w:rFonts w:ascii="Arial" w:hAnsi="Arial" w:cs="Arial"/>
          <w:color w:val="auto"/>
          <w:lang w:val="en-AU"/>
        </w:rPr>
        <w:footnoteReference w:id="3"/>
      </w:r>
    </w:p>
    <w:p w:rsidR="00094F84" w:rsidRDefault="00094F84" w:rsidP="00A80080">
      <w:pPr>
        <w:pStyle w:val="ListParagraph"/>
        <w:numPr>
          <w:ilvl w:val="0"/>
          <w:numId w:val="25"/>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The IFC to develop an outline of an ICCP program/portfolio management approach which is discussed at a quarterly meeting to ensure that the IFC, DFAT and DFID have an agreed and common understanding. This should include the role and tasks of the IFC’s ICCP Coordinator, for example in the form of a short ToR.</w:t>
      </w:r>
    </w:p>
    <w:p w:rsidR="00094F84" w:rsidRDefault="00094F84" w:rsidP="00A80080">
      <w:pPr>
        <w:pStyle w:val="ListParagraph"/>
        <w:numPr>
          <w:ilvl w:val="0"/>
          <w:numId w:val="25"/>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The IFC, DFAT and DFID to agree on a new reporting format for the ICCP quarterly forum that provides an adequate program-level overview, properly compares project-level plans with actual progress, and also include relevant financial data and gender aspects.</w:t>
      </w:r>
      <w:r w:rsidR="004E672C" w:rsidRPr="00A769DE">
        <w:rPr>
          <w:rStyle w:val="FootnoteReference"/>
          <w:rFonts w:ascii="Arial" w:hAnsi="Arial" w:cs="Arial"/>
          <w:color w:val="auto"/>
          <w:lang w:val="en-AU"/>
        </w:rPr>
        <w:footnoteReference w:id="4"/>
      </w:r>
    </w:p>
    <w:p w:rsidR="00094F84" w:rsidRDefault="00094F84" w:rsidP="00A80080">
      <w:pPr>
        <w:pStyle w:val="ListParagraph"/>
        <w:numPr>
          <w:ilvl w:val="0"/>
          <w:numId w:val="25"/>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lastRenderedPageBreak/>
        <w:t xml:space="preserve">DFAT to follow up vis-à-vis the IFC to ensure that the </w:t>
      </w:r>
      <w:r w:rsidR="00DC2555">
        <w:rPr>
          <w:rFonts w:ascii="Arial" w:hAnsi="Arial" w:cs="Arial"/>
          <w:color w:val="auto"/>
          <w:lang w:val="en-AU"/>
        </w:rPr>
        <w:t xml:space="preserve">IFC </w:t>
      </w:r>
      <w:r w:rsidRPr="00094F84">
        <w:rPr>
          <w:rFonts w:ascii="Arial" w:hAnsi="Arial" w:cs="Arial"/>
          <w:color w:val="auto"/>
          <w:lang w:val="en-AU"/>
        </w:rPr>
        <w:t>Gender Operations Officer is actively involved in relevant ICCP activities, including the quarterly meetings.</w:t>
      </w:r>
    </w:p>
    <w:p w:rsidR="00094F84" w:rsidRDefault="00094F84" w:rsidP="00A80080">
      <w:pPr>
        <w:pStyle w:val="ListParagraph"/>
        <w:numPr>
          <w:ilvl w:val="0"/>
          <w:numId w:val="25"/>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 xml:space="preserve">DFAT to consider if and how, in the context of the ICCP, it can engage with and use the new </w:t>
      </w:r>
      <w:r w:rsidR="00DC2555">
        <w:rPr>
          <w:rFonts w:ascii="Arial" w:hAnsi="Arial" w:cs="Arial"/>
          <w:color w:val="auto"/>
          <w:lang w:val="en-AU"/>
        </w:rPr>
        <w:t xml:space="preserve">IFC </w:t>
      </w:r>
      <w:r w:rsidRPr="00094F84">
        <w:rPr>
          <w:rFonts w:ascii="Arial" w:hAnsi="Arial" w:cs="Arial"/>
          <w:color w:val="auto"/>
          <w:lang w:val="en-AU"/>
        </w:rPr>
        <w:t>Yangon-based Communications Officer.</w:t>
      </w:r>
    </w:p>
    <w:p w:rsidR="00094F84" w:rsidRDefault="00094F84" w:rsidP="00A80080">
      <w:pPr>
        <w:pStyle w:val="ListParagraph"/>
        <w:numPr>
          <w:ilvl w:val="0"/>
          <w:numId w:val="25"/>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 xml:space="preserve">DFAT to consider how, based on the existing Administration Agreement with the World Bank Group, it can strengthen its relationship management vis-à-vis the IFC as regards the ICCP and vis-à-vis the World Bank as regards the </w:t>
      </w:r>
      <w:r w:rsidR="00A10AD6" w:rsidRPr="00A10AD6">
        <w:rPr>
          <w:rFonts w:ascii="Arial" w:hAnsi="Arial" w:cs="Arial"/>
          <w:iCs/>
          <w:color w:val="auto"/>
          <w:lang w:val="en-AU"/>
        </w:rPr>
        <w:t xml:space="preserve">Myanmar Partnership </w:t>
      </w:r>
      <w:r w:rsidRPr="00094F84">
        <w:rPr>
          <w:rFonts w:ascii="Arial" w:hAnsi="Arial" w:cs="Arial"/>
          <w:color w:val="auto"/>
          <w:lang w:val="en-AU"/>
        </w:rPr>
        <w:t>MDTF.</w:t>
      </w:r>
    </w:p>
    <w:p w:rsidR="00094F84" w:rsidRDefault="00094F84" w:rsidP="00A80080">
      <w:pPr>
        <w:pStyle w:val="ListParagraph"/>
        <w:numPr>
          <w:ilvl w:val="0"/>
          <w:numId w:val="25"/>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DFAT and DFID to formally discuss with the IFC their expectations and requirements as regards branding, technical ad-hoc inputs (e.g. briefings) and information distribution (about events, tenders, etc</w:t>
      </w:r>
      <w:r w:rsidRPr="00B459BE">
        <w:rPr>
          <w:rFonts w:ascii="Arial" w:hAnsi="Arial" w:cs="Arial"/>
          <w:color w:val="auto"/>
          <w:lang w:val="en-AU"/>
        </w:rPr>
        <w:t>.)</w:t>
      </w:r>
      <w:r w:rsidR="00B459BE" w:rsidRPr="00B459BE">
        <w:rPr>
          <w:rFonts w:ascii="Arial" w:hAnsi="Arial" w:cs="Arial"/>
          <w:color w:val="auto"/>
          <w:lang w:val="en-AU"/>
        </w:rPr>
        <w:t xml:space="preserve"> as we</w:t>
      </w:r>
      <w:r w:rsidR="002C2A1C">
        <w:rPr>
          <w:rFonts w:ascii="Arial" w:hAnsi="Arial" w:cs="Arial"/>
          <w:color w:val="auto"/>
          <w:lang w:val="en-AU"/>
        </w:rPr>
        <w:t>ll as how donors are recognis</w:t>
      </w:r>
      <w:r w:rsidR="00B459BE" w:rsidRPr="00B459BE">
        <w:rPr>
          <w:rFonts w:ascii="Arial" w:hAnsi="Arial" w:cs="Arial"/>
          <w:color w:val="auto"/>
          <w:lang w:val="en-AU"/>
        </w:rPr>
        <w:t>ed on project materials</w:t>
      </w:r>
      <w:r w:rsidRPr="00B459BE">
        <w:rPr>
          <w:rFonts w:ascii="Arial" w:hAnsi="Arial" w:cs="Arial"/>
          <w:color w:val="auto"/>
          <w:lang w:val="en-AU"/>
        </w:rPr>
        <w:t>.</w:t>
      </w:r>
    </w:p>
    <w:p w:rsidR="00094F84" w:rsidRDefault="00094F84" w:rsidP="00A80080">
      <w:pPr>
        <w:pStyle w:val="ListParagraph"/>
        <w:numPr>
          <w:ilvl w:val="0"/>
          <w:numId w:val="25"/>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DFAT to request the IFC to prepare a note on the capacity building approach used for the ICCP projects and the extent to which this meets the current requirements of GoM counterparts and project beneficiaries, so that corrective measures – if needed – can be agreed.</w:t>
      </w:r>
      <w:r w:rsidR="00882212">
        <w:rPr>
          <w:rFonts w:ascii="Arial" w:hAnsi="Arial" w:cs="Arial"/>
          <w:color w:val="auto"/>
          <w:lang w:val="en-AU"/>
        </w:rPr>
        <w:t xml:space="preserve"> The note could be presented and discussed at a quarterly meeting.</w:t>
      </w:r>
    </w:p>
    <w:p w:rsidR="00094F84" w:rsidRPr="00094F84" w:rsidRDefault="00094F84" w:rsidP="00A80080">
      <w:pPr>
        <w:pStyle w:val="ListParagraph"/>
        <w:numPr>
          <w:ilvl w:val="0"/>
          <w:numId w:val="25"/>
        </w:numPr>
        <w:suppressAutoHyphens w:val="0"/>
        <w:spacing w:before="60" w:after="0" w:line="240" w:lineRule="auto"/>
        <w:ind w:left="360"/>
        <w:contextualSpacing w:val="0"/>
        <w:jc w:val="both"/>
        <w:rPr>
          <w:rFonts w:ascii="Arial" w:hAnsi="Arial" w:cs="Arial"/>
          <w:color w:val="auto"/>
          <w:lang w:val="en-AU"/>
        </w:rPr>
      </w:pPr>
      <w:r w:rsidRPr="00094F84">
        <w:rPr>
          <w:rFonts w:ascii="Arial" w:hAnsi="Arial" w:cs="Arial"/>
          <w:color w:val="auto"/>
          <w:lang w:val="en-AU"/>
        </w:rPr>
        <w:t>DFAT to consider if and how the functioning of the MDTF Steering Committee can be strengthened so as to ensure a high-level and strategic focus as well as to avoid overlaps with the ICCP quarterly forum.</w:t>
      </w:r>
    </w:p>
    <w:p w:rsidR="000B785F" w:rsidRPr="00A769DE" w:rsidRDefault="000B785F" w:rsidP="00530B1F">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530B1F">
      <w:pPr>
        <w:pStyle w:val="ListParagraph"/>
        <w:tabs>
          <w:tab w:val="left" w:pos="357"/>
        </w:tabs>
        <w:spacing w:before="0" w:after="0" w:line="240" w:lineRule="auto"/>
        <w:ind w:left="0"/>
        <w:contextualSpacing w:val="0"/>
        <w:jc w:val="both"/>
        <w:rPr>
          <w:rFonts w:ascii="Arial" w:hAnsi="Arial" w:cs="Arial"/>
          <w:b/>
          <w:i/>
          <w:iCs/>
          <w:color w:val="auto"/>
          <w:lang w:val="en-AU"/>
        </w:rPr>
      </w:pPr>
      <w:r w:rsidRPr="00A769DE">
        <w:rPr>
          <w:rFonts w:ascii="Arial" w:hAnsi="Arial" w:cs="Arial"/>
          <w:b/>
          <w:i/>
          <w:iCs/>
          <w:color w:val="auto"/>
          <w:lang w:val="en-AU"/>
        </w:rPr>
        <w:t>Recommendations</w:t>
      </w:r>
      <w:r w:rsidR="00AD799B" w:rsidRPr="00A769DE">
        <w:rPr>
          <w:lang w:val="en-AU"/>
        </w:rPr>
        <w:t xml:space="preserve"> </w:t>
      </w:r>
      <w:r w:rsidR="00AD799B" w:rsidRPr="00A769DE">
        <w:rPr>
          <w:rFonts w:ascii="Arial" w:hAnsi="Arial" w:cs="Arial"/>
          <w:b/>
          <w:i/>
          <w:iCs/>
          <w:color w:val="auto"/>
          <w:lang w:val="en-AU"/>
        </w:rPr>
        <w:t>for future program design and modality</w:t>
      </w:r>
    </w:p>
    <w:p w:rsidR="000B785F" w:rsidRPr="00A769DE" w:rsidRDefault="00477E6A" w:rsidP="00477E6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The following recommendations are made for DFAT going forward</w:t>
      </w:r>
      <w:r w:rsidR="003B71EC" w:rsidRPr="00A769DE">
        <w:rPr>
          <w:rFonts w:ascii="Arial" w:hAnsi="Arial" w:cs="Arial"/>
          <w:color w:val="auto"/>
          <w:lang w:val="en-AU"/>
        </w:rPr>
        <w:t xml:space="preserve"> </w:t>
      </w:r>
      <w:r w:rsidR="00094F84">
        <w:rPr>
          <w:rFonts w:ascii="Arial" w:hAnsi="Arial" w:cs="Arial"/>
          <w:color w:val="auto"/>
          <w:lang w:val="en-AU"/>
        </w:rPr>
        <w:t>if and when planning</w:t>
      </w:r>
      <w:r w:rsidR="003B71EC" w:rsidRPr="00A769DE">
        <w:rPr>
          <w:rFonts w:ascii="Arial" w:hAnsi="Arial" w:cs="Arial"/>
          <w:color w:val="auto"/>
          <w:lang w:val="en-AU"/>
        </w:rPr>
        <w:t xml:space="preserve"> a </w:t>
      </w:r>
      <w:r w:rsidR="00445272" w:rsidRPr="00A769DE">
        <w:rPr>
          <w:rFonts w:ascii="Arial" w:hAnsi="Arial" w:cs="Arial"/>
          <w:color w:val="auto"/>
          <w:lang w:val="en-AU"/>
        </w:rPr>
        <w:t>new investment</w:t>
      </w:r>
      <w:r w:rsidR="00094F84">
        <w:rPr>
          <w:rFonts w:ascii="Arial" w:hAnsi="Arial" w:cs="Arial"/>
          <w:color w:val="auto"/>
          <w:lang w:val="en-AU"/>
        </w:rPr>
        <w:t xml:space="preserve"> for post-2020</w:t>
      </w:r>
      <w:r w:rsidRPr="00A769DE">
        <w:rPr>
          <w:rFonts w:ascii="Arial" w:hAnsi="Arial" w:cs="Arial"/>
          <w:color w:val="auto"/>
          <w:lang w:val="en-AU"/>
        </w:rPr>
        <w:t>:</w:t>
      </w:r>
    </w:p>
    <w:p w:rsidR="000B785F" w:rsidRPr="00A769DE" w:rsidRDefault="000B785F" w:rsidP="00530B1F">
      <w:pPr>
        <w:spacing w:before="0" w:after="0" w:line="240" w:lineRule="auto"/>
        <w:jc w:val="both"/>
        <w:rPr>
          <w:rFonts w:ascii="Arial" w:hAnsi="Arial" w:cs="Arial"/>
          <w:color w:val="auto"/>
          <w:lang w:val="en-AU"/>
        </w:rPr>
      </w:pPr>
    </w:p>
    <w:p w:rsidR="00094F84" w:rsidRDefault="00094F84" w:rsidP="00A80080">
      <w:pPr>
        <w:pStyle w:val="ListParagraph"/>
        <w:numPr>
          <w:ilvl w:val="0"/>
          <w:numId w:val="41"/>
        </w:numPr>
        <w:suppressAutoHyphens w:val="0"/>
        <w:spacing w:before="0" w:line="240" w:lineRule="auto"/>
        <w:ind w:left="360"/>
        <w:contextualSpacing w:val="0"/>
        <w:jc w:val="both"/>
        <w:rPr>
          <w:rFonts w:ascii="Arial" w:hAnsi="Arial" w:cs="Arial"/>
          <w:color w:val="auto"/>
          <w:lang w:val="en-AU"/>
        </w:rPr>
      </w:pPr>
      <w:r w:rsidRPr="00094F84">
        <w:rPr>
          <w:rFonts w:ascii="Arial" w:hAnsi="Arial" w:cs="Arial"/>
          <w:color w:val="auto"/>
          <w:lang w:val="en-AU"/>
        </w:rPr>
        <w:t>DFAT should continue providing support for PSD and PFM reform activities in areas where Australia has specific expertise and interests, including investment climate and aid-for-trade, and so as to take forward effective economic diplomacy initiatives.</w:t>
      </w:r>
    </w:p>
    <w:p w:rsidR="00094F84" w:rsidRDefault="00094F84" w:rsidP="00A80080">
      <w:pPr>
        <w:pStyle w:val="ListParagraph"/>
        <w:numPr>
          <w:ilvl w:val="0"/>
          <w:numId w:val="41"/>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In determining performance benchmarks and other measures to assess the result of engagements, DFAT should ensure that targets selected are measurable and that implementing partners are able to provide regular updates on implementation progress.</w:t>
      </w:r>
    </w:p>
    <w:p w:rsidR="00094F84" w:rsidRDefault="00094F84" w:rsidP="00A80080">
      <w:pPr>
        <w:pStyle w:val="ListParagraph"/>
        <w:numPr>
          <w:ilvl w:val="0"/>
          <w:numId w:val="41"/>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Given the significant differences in implementation achievement between the PSD and PFM engagements, DFAT should pay critical attention to the modalities recommended by the World Bank Group (bank-executed versus recipient-executed) in terms of which approach may be most beneficial in the specific context.</w:t>
      </w:r>
    </w:p>
    <w:p w:rsidR="00094F84" w:rsidRDefault="00094F84" w:rsidP="00A80080">
      <w:pPr>
        <w:pStyle w:val="ListParagraph"/>
        <w:numPr>
          <w:ilvl w:val="0"/>
          <w:numId w:val="41"/>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DFAT should consider monitoring more directly and proactively the work and functioning of implementing partners, including the planning and implementation of program/project processes, through Post as well as using external resources.</w:t>
      </w:r>
    </w:p>
    <w:p w:rsidR="00094F84" w:rsidRDefault="00094F84" w:rsidP="00A80080">
      <w:pPr>
        <w:pStyle w:val="ListParagraph"/>
        <w:numPr>
          <w:ilvl w:val="0"/>
          <w:numId w:val="41"/>
        </w:numPr>
        <w:suppressAutoHyphens w:val="0"/>
        <w:spacing w:before="60" w:line="240" w:lineRule="auto"/>
        <w:ind w:left="360"/>
        <w:contextualSpacing w:val="0"/>
        <w:jc w:val="both"/>
        <w:rPr>
          <w:rFonts w:ascii="Arial" w:hAnsi="Arial" w:cs="Arial"/>
          <w:color w:val="auto"/>
          <w:lang w:val="en-AU"/>
        </w:rPr>
      </w:pPr>
      <w:r w:rsidRPr="00094F84">
        <w:rPr>
          <w:rFonts w:ascii="Arial" w:hAnsi="Arial" w:cs="Arial"/>
          <w:color w:val="auto"/>
          <w:lang w:val="en-AU"/>
        </w:rPr>
        <w:t>DFAT should, in addition to and/or instead of a multilateral partner, consider program delivery modalities such a managing contractor (to directly deliver activities in partnership with the GoM and other partners) and a reform fund (to provide funding on a case-by-case basis to specific initiatives).</w:t>
      </w:r>
    </w:p>
    <w:p w:rsidR="00094F84" w:rsidRPr="00094F84" w:rsidRDefault="00094F84" w:rsidP="00A80080">
      <w:pPr>
        <w:pStyle w:val="ListParagraph"/>
        <w:numPr>
          <w:ilvl w:val="0"/>
          <w:numId w:val="41"/>
        </w:numPr>
        <w:suppressAutoHyphens w:val="0"/>
        <w:spacing w:before="60" w:after="0" w:line="240" w:lineRule="auto"/>
        <w:ind w:left="360"/>
        <w:contextualSpacing w:val="0"/>
        <w:jc w:val="both"/>
        <w:rPr>
          <w:rFonts w:ascii="Arial" w:hAnsi="Arial" w:cs="Arial"/>
          <w:color w:val="auto"/>
          <w:lang w:val="en-AU"/>
        </w:rPr>
      </w:pPr>
      <w:r w:rsidRPr="00094F84">
        <w:rPr>
          <w:rFonts w:ascii="Arial" w:hAnsi="Arial" w:cs="Arial"/>
          <w:color w:val="auto"/>
          <w:lang w:val="en-AU"/>
        </w:rPr>
        <w:t>If DFAT decides to continue providing financial support directly to and via the World Bank Group, it should consider how it can strengthen the directive aspects of the relationship, including through a more elaborate agreement/side letter.</w:t>
      </w:r>
    </w:p>
    <w:p w:rsidR="000B785F" w:rsidRPr="00A769DE" w:rsidRDefault="000B785F" w:rsidP="00530B1F">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530B1F" w:rsidP="00530B1F">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w:t>
      </w:r>
      <w:r w:rsidR="000B785F" w:rsidRPr="00A769DE">
        <w:rPr>
          <w:rFonts w:ascii="Arial" w:hAnsi="Arial" w:cs="Arial"/>
          <w:color w:val="auto"/>
          <w:lang w:val="en-AU"/>
        </w:rPr>
        <w:t xml:space="preserve">he Australian Government will prepare a management response </w:t>
      </w:r>
      <w:r w:rsidRPr="00A769DE">
        <w:rPr>
          <w:rFonts w:ascii="Arial" w:hAnsi="Arial" w:cs="Arial"/>
          <w:color w:val="auto"/>
          <w:lang w:val="en-AU"/>
        </w:rPr>
        <w:t xml:space="preserve">to the Evaluation Report </w:t>
      </w:r>
      <w:r w:rsidR="000B785F" w:rsidRPr="00A769DE">
        <w:rPr>
          <w:rFonts w:ascii="Arial" w:hAnsi="Arial" w:cs="Arial"/>
          <w:color w:val="auto"/>
          <w:lang w:val="en-AU"/>
        </w:rPr>
        <w:t>that, in line with DFAT</w:t>
      </w:r>
      <w:r w:rsidRPr="00A769DE">
        <w:rPr>
          <w:rFonts w:ascii="Arial" w:hAnsi="Arial" w:cs="Arial"/>
          <w:color w:val="auto"/>
          <w:lang w:val="en-AU"/>
        </w:rPr>
        <w:t>’s</w:t>
      </w:r>
      <w:r w:rsidR="000B785F" w:rsidRPr="00A769DE">
        <w:rPr>
          <w:rFonts w:ascii="Arial" w:hAnsi="Arial" w:cs="Arial"/>
          <w:color w:val="auto"/>
          <w:lang w:val="en-AU"/>
        </w:rPr>
        <w:t xml:space="preserve"> </w:t>
      </w:r>
      <w:r w:rsidRPr="00A769DE">
        <w:rPr>
          <w:rFonts w:ascii="Arial" w:hAnsi="Arial" w:cs="Arial"/>
          <w:color w:val="auto"/>
          <w:lang w:val="en-AU"/>
        </w:rPr>
        <w:t>a</w:t>
      </w:r>
      <w:r w:rsidR="000B785F" w:rsidRPr="00A769DE">
        <w:rPr>
          <w:rFonts w:ascii="Arial" w:hAnsi="Arial" w:cs="Arial"/>
          <w:color w:val="auto"/>
          <w:lang w:val="en-AU"/>
        </w:rPr>
        <w:t xml:space="preserve">id </w:t>
      </w:r>
      <w:r w:rsidRPr="00A769DE">
        <w:rPr>
          <w:rFonts w:ascii="Arial" w:hAnsi="Arial" w:cs="Arial"/>
          <w:color w:val="auto"/>
          <w:lang w:val="en-AU"/>
        </w:rPr>
        <w:t>p</w:t>
      </w:r>
      <w:r w:rsidR="000B785F" w:rsidRPr="00A769DE">
        <w:rPr>
          <w:rFonts w:ascii="Arial" w:hAnsi="Arial" w:cs="Arial"/>
          <w:color w:val="auto"/>
          <w:lang w:val="en-AU"/>
        </w:rPr>
        <w:t xml:space="preserve">rogram evaluation approach, will be </w:t>
      </w:r>
      <w:r w:rsidRPr="00A769DE">
        <w:rPr>
          <w:rFonts w:ascii="Arial" w:hAnsi="Arial" w:cs="Arial"/>
          <w:color w:val="auto"/>
          <w:lang w:val="en-AU"/>
        </w:rPr>
        <w:t>shared with</w:t>
      </w:r>
      <w:r w:rsidR="000B785F" w:rsidRPr="00A769DE">
        <w:rPr>
          <w:rFonts w:ascii="Arial" w:hAnsi="Arial" w:cs="Arial"/>
          <w:color w:val="auto"/>
          <w:lang w:val="en-AU"/>
        </w:rPr>
        <w:t xml:space="preserve"> stakeholders.</w:t>
      </w:r>
    </w:p>
    <w:p w:rsidR="000B785F" w:rsidRPr="00A769DE" w:rsidRDefault="00874CEE" w:rsidP="007C72BD">
      <w:pPr>
        <w:pStyle w:val="Heading1"/>
        <w:spacing w:before="0" w:after="600"/>
        <w:contextualSpacing w:val="0"/>
        <w:rPr>
          <w:rFonts w:ascii="Arial" w:hAnsi="Arial" w:cs="Arial"/>
          <w:color w:val="auto"/>
          <w:szCs w:val="32"/>
          <w:lang w:val="en-AU"/>
        </w:rPr>
      </w:pPr>
      <w:bookmarkStart w:id="13" w:name="_Toc522800469"/>
      <w:bookmarkStart w:id="14" w:name="_Toc525930539"/>
      <w:bookmarkStart w:id="15" w:name="_Toc530307589"/>
      <w:r w:rsidRPr="00A769DE">
        <w:rPr>
          <w:rFonts w:ascii="Arial" w:hAnsi="Arial" w:cs="Arial"/>
          <w:color w:val="auto"/>
          <w:szCs w:val="32"/>
          <w:lang w:val="en-AU"/>
        </w:rPr>
        <w:lastRenderedPageBreak/>
        <w:t>1</w:t>
      </w:r>
      <w:r w:rsidR="000B785F" w:rsidRPr="00A769DE">
        <w:rPr>
          <w:rFonts w:ascii="Arial" w:hAnsi="Arial" w:cs="Arial"/>
          <w:color w:val="auto"/>
          <w:szCs w:val="32"/>
          <w:lang w:val="en-AU"/>
        </w:rPr>
        <w:t>. INTRODUCTION</w:t>
      </w:r>
      <w:bookmarkEnd w:id="13"/>
      <w:bookmarkEnd w:id="14"/>
      <w:bookmarkEnd w:id="15"/>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iCs/>
          <w:color w:val="auto"/>
          <w:lang w:val="en-AU"/>
        </w:rPr>
        <w:t xml:space="preserve">This chapter outlines the background for the ICCP and Australia’s support for the program, the purpose of the performance evaluation, and its scope and </w:t>
      </w:r>
      <w:r w:rsidR="006827B5" w:rsidRPr="00A769DE">
        <w:rPr>
          <w:rFonts w:ascii="Arial" w:hAnsi="Arial" w:cs="Arial"/>
          <w:iCs/>
          <w:color w:val="auto"/>
          <w:lang w:val="en-AU"/>
        </w:rPr>
        <w:t xml:space="preserve">applied </w:t>
      </w:r>
      <w:r w:rsidRPr="00A769DE">
        <w:rPr>
          <w:rFonts w:ascii="Arial" w:hAnsi="Arial" w:cs="Arial"/>
          <w:iCs/>
          <w:color w:val="auto"/>
          <w:lang w:val="en-AU"/>
        </w:rPr>
        <w:t>methods.</w:t>
      </w:r>
    </w:p>
    <w:p w:rsidR="000B785F" w:rsidRPr="00A769DE" w:rsidRDefault="000B785F" w:rsidP="00377443">
      <w:pPr>
        <w:pStyle w:val="nm"/>
        <w:spacing w:after="0"/>
        <w:ind w:left="0"/>
        <w:rPr>
          <w:rFonts w:ascii="Arial" w:hAnsi="Arial" w:cs="Arial"/>
          <w:lang w:val="en-AU"/>
        </w:rPr>
      </w:pPr>
    </w:p>
    <w:p w:rsidR="000B785F" w:rsidRPr="00A769DE" w:rsidRDefault="00874CEE" w:rsidP="00377443">
      <w:pPr>
        <w:pStyle w:val="Heading2"/>
        <w:spacing w:before="0" w:after="0" w:line="240" w:lineRule="auto"/>
        <w:ind w:left="272" w:hanging="272"/>
        <w:contextualSpacing w:val="0"/>
        <w:jc w:val="both"/>
        <w:rPr>
          <w:rFonts w:ascii="Arial" w:hAnsi="Arial" w:cs="Arial"/>
          <w:b/>
          <w:bCs/>
          <w:i/>
          <w:color w:val="auto"/>
          <w:sz w:val="24"/>
          <w:szCs w:val="24"/>
          <w:lang w:val="en-AU"/>
        </w:rPr>
      </w:pPr>
      <w:bookmarkStart w:id="16" w:name="_Toc522800470"/>
      <w:bookmarkStart w:id="17" w:name="_Toc525930540"/>
      <w:bookmarkStart w:id="18" w:name="_Toc530307590"/>
      <w:r w:rsidRPr="00A769DE">
        <w:rPr>
          <w:rFonts w:ascii="Arial" w:hAnsi="Arial" w:cs="Arial"/>
          <w:b/>
          <w:bCs/>
          <w:color w:val="auto"/>
          <w:sz w:val="24"/>
          <w:szCs w:val="24"/>
          <w:lang w:val="en-AU"/>
        </w:rPr>
        <w:t>1</w:t>
      </w:r>
      <w:r w:rsidR="000B785F" w:rsidRPr="00A769DE">
        <w:rPr>
          <w:rFonts w:ascii="Arial" w:hAnsi="Arial" w:cs="Arial"/>
          <w:b/>
          <w:bCs/>
          <w:color w:val="auto"/>
          <w:sz w:val="24"/>
          <w:szCs w:val="24"/>
          <w:lang w:val="en-AU"/>
        </w:rPr>
        <w:t>.1 Background</w:t>
      </w:r>
      <w:bookmarkEnd w:id="16"/>
      <w:bookmarkEnd w:id="17"/>
      <w:bookmarkEnd w:id="18"/>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iCs/>
          <w:color w:val="auto"/>
          <w:lang w:val="en-AU"/>
        </w:rPr>
        <w:t xml:space="preserve">After the </w:t>
      </w:r>
      <w:r w:rsidR="006827B5" w:rsidRPr="00A769DE">
        <w:rPr>
          <w:rFonts w:ascii="Arial" w:hAnsi="Arial" w:cs="Arial"/>
          <w:iCs/>
          <w:color w:val="auto"/>
          <w:lang w:val="en-AU"/>
        </w:rPr>
        <w:t xml:space="preserve">Government’s </w:t>
      </w:r>
      <w:r w:rsidRPr="00A769DE">
        <w:rPr>
          <w:rFonts w:ascii="Arial" w:hAnsi="Arial" w:cs="Arial"/>
          <w:iCs/>
          <w:color w:val="auto"/>
          <w:lang w:val="en-AU"/>
        </w:rPr>
        <w:t>start of reforms in 2011 and removal of economic sanctions</w:t>
      </w:r>
      <w:r w:rsidR="006827B5" w:rsidRPr="00A769DE">
        <w:rPr>
          <w:rFonts w:ascii="Arial" w:hAnsi="Arial" w:cs="Arial"/>
          <w:iCs/>
          <w:color w:val="auto"/>
          <w:lang w:val="en-AU"/>
        </w:rPr>
        <w:t xml:space="preserve"> by Western countries</w:t>
      </w:r>
      <w:r w:rsidRPr="00A769DE">
        <w:rPr>
          <w:rFonts w:ascii="Arial" w:hAnsi="Arial" w:cs="Arial"/>
          <w:iCs/>
          <w:color w:val="auto"/>
          <w:lang w:val="en-AU"/>
        </w:rPr>
        <w:t xml:space="preserve"> in the following years, Myanmar experienced high economic growth, substantial investments in various sectors</w:t>
      </w:r>
      <w:r w:rsidR="00965680">
        <w:rPr>
          <w:rFonts w:ascii="Arial" w:hAnsi="Arial" w:cs="Arial"/>
          <w:iCs/>
          <w:color w:val="auto"/>
          <w:lang w:val="en-AU"/>
        </w:rPr>
        <w:t>,</w:t>
      </w:r>
      <w:r w:rsidRPr="00A769DE">
        <w:rPr>
          <w:rFonts w:ascii="Arial" w:hAnsi="Arial" w:cs="Arial"/>
          <w:iCs/>
          <w:color w:val="auto"/>
          <w:lang w:val="en-AU"/>
        </w:rPr>
        <w:t xml:space="preserve"> and significantly improved international trade. However, despite Myanmar’s inexpensive and abundant labour force, natural resources and strategic location, it soon became clear that the potential for further </w:t>
      </w:r>
      <w:r w:rsidR="00965680">
        <w:rPr>
          <w:rFonts w:ascii="Arial" w:hAnsi="Arial" w:cs="Arial"/>
          <w:iCs/>
          <w:color w:val="auto"/>
          <w:lang w:val="en-AU"/>
        </w:rPr>
        <w:t xml:space="preserve">economic </w:t>
      </w:r>
      <w:r w:rsidRPr="00A769DE">
        <w:rPr>
          <w:rFonts w:ascii="Arial" w:hAnsi="Arial" w:cs="Arial"/>
          <w:iCs/>
          <w:color w:val="auto"/>
          <w:lang w:val="en-AU"/>
        </w:rPr>
        <w:t xml:space="preserve">growth would hinge upon reforms to improve the business environment for the private sector and increase competitiveness. This was because the </w:t>
      </w:r>
      <w:r w:rsidR="006827B5" w:rsidRPr="00A769DE">
        <w:rPr>
          <w:rFonts w:ascii="Arial" w:hAnsi="Arial" w:cs="Arial"/>
          <w:iCs/>
          <w:color w:val="auto"/>
          <w:lang w:val="en-AU"/>
        </w:rPr>
        <w:t>private sector</w:t>
      </w:r>
      <w:r w:rsidRPr="00A769DE">
        <w:rPr>
          <w:rFonts w:ascii="Arial" w:hAnsi="Arial" w:cs="Arial"/>
          <w:iCs/>
          <w:color w:val="auto"/>
          <w:lang w:val="en-AU"/>
        </w:rPr>
        <w:t xml:space="preserve"> environment was constraining (the ease of doing business in Myanmar was assessed as one of the most challenging worldwide</w:t>
      </w:r>
      <w:r w:rsidR="00965680">
        <w:rPr>
          <w:rFonts w:ascii="Arial" w:hAnsi="Arial" w:cs="Arial"/>
          <w:iCs/>
          <w:color w:val="auto"/>
          <w:lang w:val="en-AU"/>
        </w:rPr>
        <w:t>, see Annex H</w:t>
      </w:r>
      <w:r w:rsidRPr="00A769DE">
        <w:rPr>
          <w:rFonts w:ascii="Arial" w:hAnsi="Arial" w:cs="Arial"/>
          <w:iCs/>
          <w:color w:val="auto"/>
          <w:lang w:val="en-AU"/>
        </w:rPr>
        <w:t>), economic diversification was very low (the economy remained heavily concentrated on oil, gas and mining), and connectivity to internal and external markets was poor (in terms of transport and freight logistics as well as with regard to information and communication technology (ICT)). Furthermore, the capacity of GoM entities to formulate and implement policies to support a competitive private sector, including through direct interaction with the private sector, was very limited.</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iCs/>
          <w:color w:val="auto"/>
          <w:lang w:val="en-AU"/>
        </w:rPr>
        <w:t xml:space="preserve">Given this context, the World Bank Group during 2013-2014 worked with DFAT and DFID </w:t>
      </w:r>
      <w:r w:rsidR="00521B15">
        <w:rPr>
          <w:rFonts w:ascii="Arial" w:hAnsi="Arial" w:cs="Arial"/>
          <w:iCs/>
          <w:color w:val="auto"/>
          <w:lang w:val="en-AU"/>
        </w:rPr>
        <w:t xml:space="preserve">as well as the GoM </w:t>
      </w:r>
      <w:r w:rsidRPr="00A769DE">
        <w:rPr>
          <w:rFonts w:ascii="Arial" w:hAnsi="Arial" w:cs="Arial"/>
          <w:iCs/>
          <w:color w:val="auto"/>
          <w:lang w:val="en-AU"/>
        </w:rPr>
        <w:t xml:space="preserve">to establish the Myanmar Partnership MDTF, which includes a window designated to support PSD. </w:t>
      </w:r>
      <w:r w:rsidR="006827B5" w:rsidRPr="00A769DE">
        <w:rPr>
          <w:rFonts w:ascii="Arial" w:hAnsi="Arial" w:cs="Arial"/>
          <w:iCs/>
          <w:color w:val="auto"/>
          <w:lang w:val="en-AU"/>
        </w:rPr>
        <w:t xml:space="preserve">In 2014, four projects were initiated </w:t>
      </w:r>
      <w:r w:rsidR="001C0274">
        <w:rPr>
          <w:rFonts w:ascii="Arial" w:hAnsi="Arial" w:cs="Arial"/>
          <w:iCs/>
          <w:color w:val="auto"/>
          <w:lang w:val="en-AU"/>
        </w:rPr>
        <w:t>by the World Bank Group</w:t>
      </w:r>
      <w:r w:rsidR="007F56DA" w:rsidRPr="00A769DE">
        <w:rPr>
          <w:rFonts w:ascii="Arial" w:hAnsi="Arial" w:cs="Arial"/>
          <w:iCs/>
          <w:color w:val="auto"/>
          <w:lang w:val="en-AU"/>
        </w:rPr>
        <w:t xml:space="preserve"> </w:t>
      </w:r>
      <w:r w:rsidR="00965680">
        <w:rPr>
          <w:rFonts w:ascii="Arial" w:hAnsi="Arial" w:cs="Arial"/>
          <w:iCs/>
          <w:color w:val="auto"/>
          <w:lang w:val="en-AU"/>
        </w:rPr>
        <w:t xml:space="preserve">with DFAT and DFID funding </w:t>
      </w:r>
      <w:r w:rsidR="006827B5" w:rsidRPr="00A769DE">
        <w:rPr>
          <w:rFonts w:ascii="Arial" w:hAnsi="Arial" w:cs="Arial"/>
          <w:iCs/>
          <w:color w:val="auto"/>
          <w:lang w:val="en-AU"/>
        </w:rPr>
        <w:t>focus</w:t>
      </w:r>
      <w:r w:rsidR="001B62AA">
        <w:rPr>
          <w:rFonts w:ascii="Arial" w:hAnsi="Arial" w:cs="Arial"/>
          <w:iCs/>
          <w:color w:val="auto"/>
          <w:lang w:val="en-AU"/>
        </w:rPr>
        <w:t>ing</w:t>
      </w:r>
      <w:r w:rsidR="006827B5" w:rsidRPr="00A769DE">
        <w:rPr>
          <w:rFonts w:ascii="Arial" w:hAnsi="Arial" w:cs="Arial"/>
          <w:iCs/>
          <w:color w:val="auto"/>
          <w:lang w:val="en-AU"/>
        </w:rPr>
        <w:t xml:space="preserve"> on core PSD aspects</w:t>
      </w:r>
      <w:r w:rsidR="00965680">
        <w:rPr>
          <w:rFonts w:ascii="Arial" w:hAnsi="Arial" w:cs="Arial"/>
          <w:iCs/>
          <w:color w:val="auto"/>
          <w:lang w:val="en-AU"/>
        </w:rPr>
        <w:t>.</w:t>
      </w:r>
      <w:r w:rsidR="006827B5" w:rsidRPr="00A769DE">
        <w:rPr>
          <w:rStyle w:val="FootnoteReference"/>
          <w:rFonts w:ascii="Arial" w:hAnsi="Arial" w:cs="Arial"/>
          <w:color w:val="auto"/>
          <w:lang w:val="en-AU"/>
        </w:rPr>
        <w:footnoteReference w:id="5"/>
      </w:r>
      <w:r w:rsidR="006827B5" w:rsidRPr="00A769DE">
        <w:rPr>
          <w:rFonts w:ascii="Arial" w:hAnsi="Arial" w:cs="Arial"/>
          <w:iCs/>
          <w:color w:val="auto"/>
          <w:lang w:val="en-AU"/>
        </w:rPr>
        <w:t xml:space="preserve"> </w:t>
      </w:r>
      <w:r w:rsidR="00965680">
        <w:rPr>
          <w:rFonts w:ascii="Arial" w:hAnsi="Arial" w:cs="Arial"/>
          <w:iCs/>
          <w:color w:val="auto"/>
          <w:lang w:val="en-AU"/>
        </w:rPr>
        <w:t>These then</w:t>
      </w:r>
      <w:r w:rsidR="006827B5" w:rsidRPr="00A769DE">
        <w:rPr>
          <w:rFonts w:ascii="Arial" w:hAnsi="Arial" w:cs="Arial"/>
          <w:iCs/>
          <w:color w:val="auto"/>
          <w:lang w:val="en-AU"/>
        </w:rPr>
        <w:t xml:space="preserve"> made up the ICCP when it </w:t>
      </w:r>
      <w:r w:rsidRPr="00A769DE">
        <w:rPr>
          <w:rFonts w:ascii="Arial" w:hAnsi="Arial" w:cs="Arial"/>
          <w:iCs/>
          <w:color w:val="auto"/>
          <w:lang w:val="en-AU"/>
        </w:rPr>
        <w:t xml:space="preserve">was formulated and conceptualised </w:t>
      </w:r>
      <w:r w:rsidR="006827B5" w:rsidRPr="00A769DE">
        <w:rPr>
          <w:rFonts w:ascii="Arial" w:hAnsi="Arial" w:cs="Arial"/>
          <w:iCs/>
          <w:color w:val="auto"/>
          <w:lang w:val="en-AU"/>
        </w:rPr>
        <w:t xml:space="preserve">in 2015 to </w:t>
      </w:r>
      <w:r w:rsidRPr="00A769DE">
        <w:rPr>
          <w:rFonts w:ascii="Arial" w:hAnsi="Arial" w:cs="Arial"/>
          <w:iCs/>
          <w:color w:val="auto"/>
          <w:lang w:val="en-AU"/>
        </w:rPr>
        <w:t xml:space="preserve">support the GoM and the private sector covering </w:t>
      </w:r>
      <w:r w:rsidR="00405642" w:rsidRPr="00A769DE">
        <w:rPr>
          <w:rFonts w:ascii="Arial" w:hAnsi="Arial" w:cs="Arial"/>
          <w:iCs/>
          <w:color w:val="auto"/>
          <w:lang w:val="en-AU"/>
        </w:rPr>
        <w:t xml:space="preserve">the </w:t>
      </w:r>
      <w:r w:rsidRPr="00A769DE">
        <w:rPr>
          <w:rFonts w:ascii="Arial" w:hAnsi="Arial" w:cs="Arial"/>
          <w:iCs/>
          <w:color w:val="auto"/>
          <w:lang w:val="en-AU"/>
        </w:rPr>
        <w:t xml:space="preserve">three inter-linked areas of investment climate, competitiveness, and trade integration. The </w:t>
      </w:r>
      <w:r w:rsidRPr="00A769DE">
        <w:rPr>
          <w:rFonts w:ascii="Arial" w:hAnsi="Arial" w:cs="Arial"/>
          <w:iCs/>
          <w:color w:val="auto"/>
          <w:u w:val="single"/>
          <w:lang w:val="en-AU"/>
        </w:rPr>
        <w:t>overall goal</w:t>
      </w:r>
      <w:r w:rsidRPr="00A769DE">
        <w:rPr>
          <w:rFonts w:ascii="Arial" w:hAnsi="Arial" w:cs="Arial"/>
          <w:iCs/>
          <w:color w:val="auto"/>
          <w:lang w:val="en-AU"/>
        </w:rPr>
        <w:t xml:space="preserve"> of the ICCP was formulated as “</w:t>
      </w:r>
      <w:r w:rsidRPr="00A769DE">
        <w:rPr>
          <w:rFonts w:ascii="Arial" w:hAnsi="Arial" w:cs="Arial"/>
          <w:i/>
          <w:color w:val="auto"/>
          <w:lang w:val="en-AU"/>
        </w:rPr>
        <w:t>an increase in investment and trade resulting in more jobs and higher incomes, for firms and citizens throughout Myanmar</w:t>
      </w:r>
      <w:r w:rsidRPr="00A769DE">
        <w:rPr>
          <w:rFonts w:ascii="Arial" w:hAnsi="Arial" w:cs="Arial"/>
          <w:iCs/>
          <w:color w:val="auto"/>
          <w:lang w:val="en-AU"/>
        </w:rPr>
        <w:t xml:space="preserve">” and the </w:t>
      </w:r>
      <w:r w:rsidRPr="00A769DE">
        <w:rPr>
          <w:rFonts w:ascii="Arial" w:hAnsi="Arial" w:cs="Arial"/>
          <w:iCs/>
          <w:color w:val="auto"/>
          <w:u w:val="single"/>
          <w:lang w:val="en-AU"/>
        </w:rPr>
        <w:t>objective</w:t>
      </w:r>
      <w:r w:rsidRPr="00A769DE">
        <w:rPr>
          <w:rFonts w:ascii="Arial" w:hAnsi="Arial" w:cs="Arial"/>
          <w:iCs/>
          <w:color w:val="auto"/>
          <w:lang w:val="en-AU"/>
        </w:rPr>
        <w:t xml:space="preserve"> “</w:t>
      </w:r>
      <w:r w:rsidRPr="00A769DE">
        <w:rPr>
          <w:rFonts w:ascii="Arial" w:hAnsi="Arial" w:cs="Arial"/>
          <w:i/>
          <w:color w:val="auto"/>
          <w:lang w:val="en-AU"/>
        </w:rPr>
        <w:t>to improve the competitiveness and dynamism of the private sector to increase trade and investment and create jobs in Myanmar</w:t>
      </w:r>
      <w:r w:rsidRPr="00A769DE">
        <w:rPr>
          <w:rFonts w:ascii="Arial" w:hAnsi="Arial" w:cs="Arial"/>
          <w:iCs/>
          <w:color w:val="auto"/>
          <w:lang w:val="en-AU"/>
        </w:rPr>
        <w:t>”.</w:t>
      </w:r>
      <w:r w:rsidRPr="00A769DE">
        <w:rPr>
          <w:rStyle w:val="FootnoteReference"/>
          <w:rFonts w:ascii="Arial" w:hAnsi="Arial" w:cs="Arial"/>
          <w:color w:val="auto"/>
          <w:lang w:val="en-AU"/>
        </w:rPr>
        <w:footnoteReference w:id="6"/>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405642"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iCs/>
          <w:color w:val="auto"/>
          <w:lang w:val="en-AU"/>
        </w:rPr>
        <w:t>N</w:t>
      </w:r>
      <w:r w:rsidR="000B785F" w:rsidRPr="00A769DE">
        <w:rPr>
          <w:rFonts w:ascii="Arial" w:hAnsi="Arial" w:cs="Arial"/>
          <w:iCs/>
          <w:color w:val="auto"/>
          <w:lang w:val="en-AU"/>
        </w:rPr>
        <w:t xml:space="preserve">ew </w:t>
      </w:r>
      <w:r w:rsidRPr="00A769DE">
        <w:rPr>
          <w:rFonts w:ascii="Arial" w:hAnsi="Arial" w:cs="Arial"/>
          <w:iCs/>
          <w:color w:val="auto"/>
          <w:lang w:val="en-AU"/>
        </w:rPr>
        <w:t xml:space="preserve">projects were added to </w:t>
      </w:r>
      <w:r w:rsidR="00965680">
        <w:rPr>
          <w:rFonts w:ascii="Arial" w:hAnsi="Arial" w:cs="Arial"/>
          <w:iCs/>
          <w:color w:val="auto"/>
          <w:lang w:val="en-AU"/>
        </w:rPr>
        <w:t xml:space="preserve">the </w:t>
      </w:r>
      <w:r w:rsidRPr="00A769DE">
        <w:rPr>
          <w:rFonts w:ascii="Arial" w:hAnsi="Arial" w:cs="Arial"/>
          <w:iCs/>
          <w:color w:val="auto"/>
          <w:lang w:val="en-AU"/>
        </w:rPr>
        <w:t xml:space="preserve">ICCP in 2016 and </w:t>
      </w:r>
      <w:r w:rsidR="00C04212" w:rsidRPr="00A769DE">
        <w:rPr>
          <w:rFonts w:ascii="Arial" w:hAnsi="Arial" w:cs="Arial"/>
          <w:iCs/>
          <w:color w:val="auto"/>
          <w:lang w:val="en-AU"/>
        </w:rPr>
        <w:t>2017</w:t>
      </w:r>
      <w:r w:rsidR="000B785F" w:rsidRPr="00A769DE">
        <w:rPr>
          <w:rFonts w:ascii="Arial" w:hAnsi="Arial" w:cs="Arial"/>
          <w:iCs/>
          <w:color w:val="auto"/>
          <w:lang w:val="en-AU"/>
        </w:rPr>
        <w:t xml:space="preserve">, so </w:t>
      </w:r>
      <w:r w:rsidR="00E878D4" w:rsidRPr="00A769DE">
        <w:rPr>
          <w:rFonts w:ascii="Arial" w:hAnsi="Arial" w:cs="Arial"/>
          <w:iCs/>
          <w:color w:val="auto"/>
          <w:lang w:val="en-AU"/>
        </w:rPr>
        <w:t xml:space="preserve">it </w:t>
      </w:r>
      <w:r w:rsidR="001B62AA">
        <w:rPr>
          <w:rFonts w:ascii="Arial" w:hAnsi="Arial" w:cs="Arial"/>
          <w:iCs/>
          <w:color w:val="auto"/>
          <w:lang w:val="en-AU"/>
        </w:rPr>
        <w:t xml:space="preserve">now </w:t>
      </w:r>
      <w:r w:rsidR="000B785F" w:rsidRPr="00A769DE">
        <w:rPr>
          <w:rFonts w:ascii="Arial" w:hAnsi="Arial" w:cs="Arial"/>
          <w:iCs/>
          <w:color w:val="auto"/>
          <w:lang w:val="en-AU"/>
        </w:rPr>
        <w:t>consist</w:t>
      </w:r>
      <w:r w:rsidR="001B62AA">
        <w:rPr>
          <w:rFonts w:ascii="Arial" w:hAnsi="Arial" w:cs="Arial"/>
          <w:iCs/>
          <w:color w:val="auto"/>
          <w:lang w:val="en-AU"/>
        </w:rPr>
        <w:t>s</w:t>
      </w:r>
      <w:r w:rsidR="000B785F" w:rsidRPr="00A769DE">
        <w:rPr>
          <w:rFonts w:ascii="Arial" w:hAnsi="Arial" w:cs="Arial"/>
          <w:iCs/>
          <w:color w:val="auto"/>
          <w:lang w:val="en-AU"/>
        </w:rPr>
        <w:t xml:space="preserve"> of 11 projects</w:t>
      </w:r>
      <w:r w:rsidRPr="00A769DE">
        <w:rPr>
          <w:rFonts w:ascii="Arial" w:hAnsi="Arial" w:cs="Arial"/>
          <w:iCs/>
          <w:color w:val="auto"/>
          <w:lang w:val="en-AU"/>
        </w:rPr>
        <w:t xml:space="preserve"> that</w:t>
      </w:r>
      <w:r w:rsidR="000B785F" w:rsidRPr="00A769DE">
        <w:rPr>
          <w:rFonts w:ascii="Arial" w:hAnsi="Arial" w:cs="Arial"/>
          <w:iCs/>
          <w:color w:val="auto"/>
          <w:lang w:val="en-AU"/>
        </w:rPr>
        <w:t xml:space="preserve"> </w:t>
      </w:r>
      <w:r w:rsidRPr="00A769DE">
        <w:rPr>
          <w:rFonts w:ascii="Arial" w:hAnsi="Arial" w:cs="Arial"/>
          <w:color w:val="auto"/>
          <w:lang w:val="en-AU"/>
        </w:rPr>
        <w:t>provide advisory service and</w:t>
      </w:r>
      <w:r w:rsidR="000B785F" w:rsidRPr="00A769DE">
        <w:rPr>
          <w:rFonts w:ascii="Arial" w:hAnsi="Arial" w:cs="Arial"/>
          <w:color w:val="auto"/>
          <w:lang w:val="en-AU"/>
        </w:rPr>
        <w:t xml:space="preserve"> TA</w:t>
      </w:r>
      <w:r w:rsidR="004168F7" w:rsidRPr="00A769DE">
        <w:rPr>
          <w:rFonts w:ascii="Arial" w:hAnsi="Arial" w:cs="Arial"/>
          <w:color w:val="auto"/>
          <w:lang w:val="en-AU"/>
        </w:rPr>
        <w:t xml:space="preserve">, and to some extent </w:t>
      </w:r>
      <w:r w:rsidR="000B785F" w:rsidRPr="00A769DE">
        <w:rPr>
          <w:rFonts w:ascii="Arial" w:hAnsi="Arial" w:cs="Arial"/>
          <w:color w:val="auto"/>
          <w:lang w:val="en-AU"/>
        </w:rPr>
        <w:t>capacity building</w:t>
      </w:r>
      <w:r w:rsidR="004168F7" w:rsidRPr="00A769DE">
        <w:rPr>
          <w:rFonts w:ascii="Arial" w:hAnsi="Arial" w:cs="Arial"/>
          <w:color w:val="auto"/>
          <w:lang w:val="en-AU"/>
        </w:rPr>
        <w:t>,</w:t>
      </w:r>
      <w:r w:rsidR="000B785F" w:rsidRPr="00A769DE">
        <w:rPr>
          <w:rFonts w:ascii="Arial" w:hAnsi="Arial" w:cs="Arial"/>
          <w:color w:val="auto"/>
          <w:lang w:val="en-AU"/>
        </w:rPr>
        <w:t xml:space="preserve"> in three broad areas:</w:t>
      </w:r>
      <w:r w:rsidR="000B785F" w:rsidRPr="00A769DE">
        <w:rPr>
          <w:rStyle w:val="FootnoteReference"/>
          <w:rFonts w:ascii="Arial" w:hAnsi="Arial" w:cs="Arial"/>
          <w:color w:val="auto"/>
          <w:lang w:val="en-AU"/>
        </w:rPr>
        <w:footnoteReference w:id="7"/>
      </w:r>
    </w:p>
    <w:p w:rsidR="000B785F" w:rsidRPr="00A769DE" w:rsidRDefault="000B785F" w:rsidP="00377443">
      <w:pPr>
        <w:spacing w:before="0" w:after="0" w:line="240" w:lineRule="auto"/>
        <w:jc w:val="both"/>
        <w:rPr>
          <w:rFonts w:ascii="Arial" w:hAnsi="Arial" w:cs="Arial"/>
          <w:color w:val="auto"/>
          <w:lang w:val="en-AU"/>
        </w:rPr>
      </w:pPr>
    </w:p>
    <w:p w:rsidR="000B785F" w:rsidRPr="00A769DE" w:rsidRDefault="000B785F" w:rsidP="00377443">
      <w:pPr>
        <w:pStyle w:val="ListParagraph"/>
        <w:numPr>
          <w:ilvl w:val="0"/>
          <w:numId w:val="33"/>
        </w:numPr>
        <w:suppressAutoHyphens w:val="0"/>
        <w:spacing w:before="0" w:after="0" w:line="240" w:lineRule="auto"/>
        <w:contextualSpacing w:val="0"/>
        <w:jc w:val="both"/>
        <w:rPr>
          <w:rFonts w:ascii="Arial" w:hAnsi="Arial" w:cs="Arial"/>
          <w:b/>
          <w:bCs/>
          <w:color w:val="auto"/>
          <w:lang w:val="en-AU"/>
        </w:rPr>
      </w:pPr>
      <w:r w:rsidRPr="00A769DE">
        <w:rPr>
          <w:rFonts w:ascii="Arial" w:hAnsi="Arial" w:cs="Arial"/>
          <w:b/>
          <w:bCs/>
          <w:color w:val="auto"/>
          <w:lang w:val="en-AU"/>
        </w:rPr>
        <w:t>Improving the business environment</w:t>
      </w:r>
    </w:p>
    <w:p w:rsidR="000B785F" w:rsidRPr="00A769DE" w:rsidRDefault="00B14810"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Investment climate (b</w:t>
      </w:r>
      <w:r w:rsidR="000B785F" w:rsidRPr="00A769DE">
        <w:rPr>
          <w:rFonts w:ascii="Arial" w:hAnsi="Arial" w:cs="Arial"/>
          <w:color w:val="auto"/>
          <w:lang w:val="en-AU"/>
        </w:rPr>
        <w:t>usiness regulatory reform</w:t>
      </w:r>
      <w:r w:rsidRPr="00A769DE">
        <w:rPr>
          <w:rFonts w:ascii="Arial" w:hAnsi="Arial" w:cs="Arial"/>
          <w:color w:val="auto"/>
          <w:lang w:val="en-AU"/>
        </w:rPr>
        <w:t>)</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Investment policy reform</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Trade Competitiveness and enterprise development</w:t>
      </w:r>
    </w:p>
    <w:p w:rsidR="000B785F" w:rsidRPr="00A769DE" w:rsidRDefault="000B785F" w:rsidP="00377443">
      <w:pPr>
        <w:pStyle w:val="ListParagraph"/>
        <w:numPr>
          <w:ilvl w:val="0"/>
          <w:numId w:val="33"/>
        </w:numPr>
        <w:suppressAutoHyphens w:val="0"/>
        <w:spacing w:before="0" w:after="0" w:line="240" w:lineRule="auto"/>
        <w:contextualSpacing w:val="0"/>
        <w:jc w:val="both"/>
        <w:rPr>
          <w:rFonts w:ascii="Arial" w:hAnsi="Arial" w:cs="Arial"/>
          <w:b/>
          <w:bCs/>
          <w:color w:val="auto"/>
          <w:lang w:val="en-AU"/>
        </w:rPr>
      </w:pPr>
      <w:r w:rsidRPr="00A769DE">
        <w:rPr>
          <w:rFonts w:ascii="Arial" w:hAnsi="Arial" w:cs="Arial"/>
          <w:b/>
          <w:bCs/>
          <w:color w:val="auto"/>
          <w:lang w:val="en-AU"/>
        </w:rPr>
        <w:t>Enabling sector specific growth</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Supporting sustainable tourism development</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lastRenderedPageBreak/>
        <w:t>Reforming agri input regulation and standards</w:t>
      </w:r>
    </w:p>
    <w:p w:rsidR="000B785F" w:rsidRPr="00A769DE" w:rsidRDefault="00D55221"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Agri business a</w:t>
      </w:r>
      <w:r w:rsidR="000B785F" w:rsidRPr="00A769DE">
        <w:rPr>
          <w:rFonts w:ascii="Arial" w:hAnsi="Arial" w:cs="Arial"/>
          <w:color w:val="auto"/>
          <w:lang w:val="en-AU"/>
        </w:rPr>
        <w:t>dvisory and food safety</w:t>
      </w:r>
    </w:p>
    <w:p w:rsidR="000B785F" w:rsidRPr="00A769DE" w:rsidRDefault="000B785F" w:rsidP="00377443">
      <w:pPr>
        <w:pStyle w:val="ListParagraph"/>
        <w:numPr>
          <w:ilvl w:val="0"/>
          <w:numId w:val="33"/>
        </w:numPr>
        <w:suppressAutoHyphens w:val="0"/>
        <w:spacing w:before="0" w:after="0" w:line="240" w:lineRule="auto"/>
        <w:contextualSpacing w:val="0"/>
        <w:jc w:val="both"/>
        <w:rPr>
          <w:rFonts w:ascii="Arial" w:hAnsi="Arial" w:cs="Arial"/>
          <w:b/>
          <w:bCs/>
          <w:color w:val="auto"/>
          <w:lang w:val="en-AU"/>
        </w:rPr>
      </w:pPr>
      <w:r w:rsidRPr="00A769DE">
        <w:rPr>
          <w:rFonts w:ascii="Arial" w:hAnsi="Arial" w:cs="Arial"/>
          <w:b/>
          <w:bCs/>
          <w:color w:val="auto"/>
          <w:lang w:val="en-AU"/>
        </w:rPr>
        <w:t>Including private sector participation in development</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Energy access (Lighting Myanmar)</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Power advisory</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Corporate governance</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Environmental and social advisory</w:t>
      </w:r>
    </w:p>
    <w:p w:rsidR="000B785F" w:rsidRPr="00A769DE" w:rsidRDefault="000B785F" w:rsidP="00377443">
      <w:pPr>
        <w:pStyle w:val="ListParagraph"/>
        <w:numPr>
          <w:ilvl w:val="1"/>
          <w:numId w:val="33"/>
        </w:numPr>
        <w:suppressAutoHyphens w:val="0"/>
        <w:spacing w:before="0" w:after="0" w:line="240" w:lineRule="auto"/>
        <w:ind w:left="1080"/>
        <w:contextualSpacing w:val="0"/>
        <w:jc w:val="both"/>
        <w:rPr>
          <w:rFonts w:ascii="Arial" w:hAnsi="Arial" w:cs="Arial"/>
          <w:color w:val="auto"/>
          <w:lang w:val="en-AU"/>
        </w:rPr>
      </w:pPr>
      <w:r w:rsidRPr="00A769DE">
        <w:rPr>
          <w:rFonts w:ascii="Arial" w:hAnsi="Arial" w:cs="Arial"/>
          <w:color w:val="auto"/>
          <w:lang w:val="en-AU"/>
        </w:rPr>
        <w:t>Public-private partnership (PPP)</w:t>
      </w:r>
    </w:p>
    <w:p w:rsidR="000B785F" w:rsidRPr="00A769DE" w:rsidRDefault="000B785F" w:rsidP="00377443">
      <w:pPr>
        <w:spacing w:before="0" w:after="0" w:line="240" w:lineRule="auto"/>
        <w:jc w:val="both"/>
        <w:rPr>
          <w:rFonts w:ascii="Arial" w:hAnsi="Arial" w:cs="Arial"/>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Cross</w:t>
      </w:r>
      <w:r w:rsidR="00405642" w:rsidRPr="00A769DE">
        <w:rPr>
          <w:rFonts w:ascii="Arial" w:hAnsi="Arial" w:cs="Arial"/>
          <w:color w:val="auto"/>
          <w:lang w:val="en-AU"/>
        </w:rPr>
        <w:t xml:space="preserve">-cutting aspects include public </w:t>
      </w:r>
      <w:r w:rsidRPr="00A769DE">
        <w:rPr>
          <w:rFonts w:ascii="Arial" w:hAnsi="Arial" w:cs="Arial"/>
          <w:color w:val="auto"/>
          <w:lang w:val="en-AU"/>
        </w:rPr>
        <w:t xml:space="preserve">private dialogue </w:t>
      </w:r>
      <w:r w:rsidR="00405642" w:rsidRPr="00A769DE">
        <w:rPr>
          <w:rFonts w:ascii="Arial" w:hAnsi="Arial" w:cs="Arial"/>
          <w:color w:val="auto"/>
          <w:lang w:val="en-AU"/>
        </w:rPr>
        <w:t xml:space="preserve">(PPD) </w:t>
      </w:r>
      <w:r w:rsidRPr="00A769DE">
        <w:rPr>
          <w:rFonts w:ascii="Arial" w:hAnsi="Arial" w:cs="Arial"/>
          <w:color w:val="auto"/>
          <w:lang w:val="en-AU"/>
        </w:rPr>
        <w:t>and gender mainstreaming.</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4168F7" w:rsidRPr="00A769DE" w:rsidRDefault="004168F7"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Australia’s AIP 2015-2020 includes an overall objective to ‘promote inclusive economic growth and government management’, which covers support for PSD and PFM reform.</w:t>
      </w:r>
      <w:r w:rsidR="004C4F2A" w:rsidRPr="00A769DE">
        <w:rPr>
          <w:rStyle w:val="FootnoteReference"/>
          <w:rFonts w:ascii="Arial" w:hAnsi="Arial" w:cs="Arial"/>
          <w:color w:val="auto"/>
          <w:lang w:val="en-AU"/>
        </w:rPr>
        <w:footnoteReference w:id="8"/>
      </w:r>
      <w:r w:rsidRPr="00A769DE">
        <w:rPr>
          <w:rFonts w:ascii="Arial" w:hAnsi="Arial" w:cs="Arial"/>
          <w:color w:val="auto"/>
          <w:lang w:val="en-AU"/>
        </w:rPr>
        <w:t xml:space="preserve"> Australia has committed up to AUD 20 million for the ICCP and AUD 12 million for PFM reform,</w:t>
      </w:r>
      <w:r w:rsidRPr="00A769DE">
        <w:rPr>
          <w:rStyle w:val="FootnoteReference"/>
          <w:rFonts w:ascii="Arial" w:hAnsi="Arial" w:cs="Arial"/>
          <w:color w:val="auto"/>
          <w:lang w:val="en-AU"/>
        </w:rPr>
        <w:footnoteReference w:id="9"/>
      </w:r>
      <w:r w:rsidRPr="00A769DE">
        <w:rPr>
          <w:rFonts w:ascii="Arial" w:hAnsi="Arial" w:cs="Arial"/>
          <w:color w:val="auto"/>
          <w:lang w:val="en-AU"/>
        </w:rPr>
        <w:t xml:space="preserve"> which is channelled through the World Bank-managed Myanmar Partnership MDTF.</w:t>
      </w:r>
      <w:r w:rsidR="00850FFB" w:rsidRPr="00A769DE">
        <w:rPr>
          <w:rStyle w:val="FootnoteReference"/>
          <w:rFonts w:ascii="Arial" w:hAnsi="Arial" w:cs="Arial"/>
          <w:color w:val="auto"/>
          <w:lang w:val="en-AU"/>
        </w:rPr>
        <w:footnoteReference w:id="10"/>
      </w:r>
      <w:r w:rsidRPr="00A769DE">
        <w:rPr>
          <w:rFonts w:ascii="Arial" w:hAnsi="Arial" w:cs="Arial"/>
          <w:color w:val="auto"/>
          <w:lang w:val="en-AU"/>
        </w:rPr>
        <w:t xml:space="preserve"> Australia’s support is due to conclude in 2020.</w:t>
      </w:r>
    </w:p>
    <w:p w:rsidR="004C4F2A" w:rsidRPr="00A769DE" w:rsidRDefault="004C4F2A" w:rsidP="004C4F2A">
      <w:pPr>
        <w:tabs>
          <w:tab w:val="left" w:pos="357"/>
        </w:tabs>
        <w:suppressAutoHyphens w:val="0"/>
        <w:spacing w:before="0" w:after="0" w:line="240" w:lineRule="auto"/>
        <w:jc w:val="both"/>
        <w:rPr>
          <w:rFonts w:ascii="Arial" w:hAnsi="Arial" w:cs="Arial"/>
          <w:color w:val="auto"/>
          <w:lang w:val="en-AU"/>
        </w:rPr>
      </w:pPr>
    </w:p>
    <w:p w:rsidR="000B785F" w:rsidRPr="00A769DE" w:rsidRDefault="00874CEE" w:rsidP="00377443">
      <w:pPr>
        <w:pStyle w:val="Heading2"/>
        <w:spacing w:before="0" w:after="0" w:line="240" w:lineRule="auto"/>
        <w:ind w:left="272" w:hanging="272"/>
        <w:contextualSpacing w:val="0"/>
        <w:jc w:val="both"/>
        <w:rPr>
          <w:rFonts w:ascii="Arial" w:hAnsi="Arial" w:cs="Arial"/>
          <w:b/>
          <w:bCs/>
          <w:i/>
          <w:color w:val="auto"/>
          <w:sz w:val="24"/>
          <w:szCs w:val="24"/>
          <w:lang w:val="en-AU"/>
        </w:rPr>
      </w:pPr>
      <w:bookmarkStart w:id="19" w:name="_Toc522800471"/>
      <w:bookmarkStart w:id="20" w:name="_Toc525930541"/>
      <w:bookmarkStart w:id="21" w:name="_Toc530307591"/>
      <w:r w:rsidRPr="00A769DE">
        <w:rPr>
          <w:rFonts w:ascii="Arial" w:hAnsi="Arial" w:cs="Arial"/>
          <w:b/>
          <w:bCs/>
          <w:color w:val="auto"/>
          <w:sz w:val="24"/>
          <w:szCs w:val="24"/>
          <w:lang w:val="en-AU"/>
        </w:rPr>
        <w:t>1</w:t>
      </w:r>
      <w:r w:rsidR="000B785F" w:rsidRPr="00A769DE">
        <w:rPr>
          <w:rFonts w:ascii="Arial" w:hAnsi="Arial" w:cs="Arial"/>
          <w:b/>
          <w:bCs/>
          <w:color w:val="auto"/>
          <w:sz w:val="24"/>
          <w:szCs w:val="24"/>
          <w:lang w:val="en-AU"/>
        </w:rPr>
        <w:t>.2 Purpose and Questions</w:t>
      </w:r>
      <w:bookmarkEnd w:id="19"/>
      <w:bookmarkEnd w:id="20"/>
      <w:bookmarkEnd w:id="21"/>
    </w:p>
    <w:p w:rsidR="000B785F" w:rsidRPr="00A769DE" w:rsidRDefault="009C6992" w:rsidP="009C6992">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iCs/>
          <w:color w:val="auto"/>
          <w:lang w:val="en-AU"/>
        </w:rPr>
        <w:t>DFAT undertakes program evaluations based on an annual process of identification and prioritisation, and Posts have the flexibility to determine the highest priority issues that an evaluation should focus on.</w:t>
      </w:r>
      <w:r w:rsidRPr="00A769DE">
        <w:rPr>
          <w:rStyle w:val="FootnoteReference"/>
          <w:rFonts w:ascii="Arial" w:hAnsi="Arial" w:cs="Arial"/>
          <w:color w:val="auto"/>
          <w:lang w:val="en-AU"/>
        </w:rPr>
        <w:footnoteReference w:id="11"/>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The Implementation Plan (ToR) outlines two phases: (i) Performance evaluation of the ICCP, and (ii) Analysis of the ICCP and the PFM program against DFAT’s AIP objectives.</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spacing w:before="0" w:after="0" w:line="240" w:lineRule="auto"/>
        <w:jc w:val="both"/>
        <w:rPr>
          <w:rFonts w:ascii="Arial" w:hAnsi="Arial" w:cs="Arial"/>
          <w:i/>
          <w:iCs/>
          <w:color w:val="auto"/>
          <w:u w:val="single"/>
          <w:lang w:val="en-AU"/>
        </w:rPr>
      </w:pPr>
      <w:r w:rsidRPr="00A769DE">
        <w:rPr>
          <w:rFonts w:ascii="Arial" w:hAnsi="Arial" w:cs="Arial"/>
          <w:i/>
          <w:iCs/>
          <w:color w:val="auto"/>
          <w:u w:val="single"/>
          <w:lang w:val="en-AU"/>
        </w:rPr>
        <w:t>Part 1 – ICCP performance evaluation</w:t>
      </w: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This part review</w:t>
      </w:r>
      <w:r w:rsidR="00871BC3" w:rsidRPr="00A769DE">
        <w:rPr>
          <w:rFonts w:ascii="Arial" w:hAnsi="Arial" w:cs="Arial"/>
          <w:color w:val="auto"/>
          <w:lang w:val="en-AU"/>
        </w:rPr>
        <w:t>s</w:t>
      </w:r>
      <w:r w:rsidRPr="00A769DE">
        <w:rPr>
          <w:rFonts w:ascii="Arial" w:hAnsi="Arial" w:cs="Arial"/>
          <w:color w:val="auto"/>
          <w:lang w:val="en-AU"/>
        </w:rPr>
        <w:t xml:space="preserve"> the efficiency, effectiveness and relevance of the ICCP to deliver intended outputs and outcomes. The overall questions in this regard are:</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0C146B">
      <w:pPr>
        <w:pStyle w:val="ListParagraph"/>
        <w:numPr>
          <w:ilvl w:val="0"/>
          <w:numId w:val="34"/>
        </w:numPr>
        <w:tabs>
          <w:tab w:val="left" w:pos="357"/>
        </w:tabs>
        <w:suppressAutoHyphens w:val="0"/>
        <w:spacing w:before="0" w:after="40" w:line="240" w:lineRule="auto"/>
        <w:ind w:left="360"/>
        <w:contextualSpacing w:val="0"/>
        <w:jc w:val="both"/>
        <w:rPr>
          <w:rFonts w:ascii="Arial" w:hAnsi="Arial" w:cs="Arial"/>
          <w:iCs/>
          <w:color w:val="auto"/>
          <w:lang w:val="en-AU"/>
        </w:rPr>
      </w:pPr>
      <w:r w:rsidRPr="00A769DE">
        <w:rPr>
          <w:rFonts w:ascii="Arial" w:hAnsi="Arial" w:cs="Arial"/>
          <w:b/>
          <w:bCs/>
          <w:iCs/>
          <w:color w:val="auto"/>
          <w:lang w:val="en-AU"/>
        </w:rPr>
        <w:t>Effectiveness</w:t>
      </w:r>
      <w:r w:rsidRPr="00A769DE">
        <w:rPr>
          <w:rFonts w:ascii="Arial" w:hAnsi="Arial" w:cs="Arial"/>
          <w:iCs/>
          <w:color w:val="auto"/>
          <w:lang w:val="en-AU"/>
        </w:rPr>
        <w:t xml:space="preserve"> – Are the expected program outputs being delivered?</w:t>
      </w:r>
    </w:p>
    <w:p w:rsidR="000B785F" w:rsidRPr="00A769DE" w:rsidRDefault="000B785F" w:rsidP="000C146B">
      <w:pPr>
        <w:pStyle w:val="ListParagraph"/>
        <w:numPr>
          <w:ilvl w:val="0"/>
          <w:numId w:val="34"/>
        </w:numPr>
        <w:tabs>
          <w:tab w:val="left" w:pos="357"/>
        </w:tabs>
        <w:suppressAutoHyphens w:val="0"/>
        <w:spacing w:before="40" w:after="40" w:line="240" w:lineRule="auto"/>
        <w:ind w:left="360"/>
        <w:contextualSpacing w:val="0"/>
        <w:jc w:val="both"/>
        <w:rPr>
          <w:rFonts w:ascii="Arial" w:hAnsi="Arial" w:cs="Arial"/>
          <w:iCs/>
          <w:color w:val="auto"/>
          <w:lang w:val="en-AU"/>
        </w:rPr>
      </w:pPr>
      <w:r w:rsidRPr="00A769DE">
        <w:rPr>
          <w:rFonts w:ascii="Arial" w:hAnsi="Arial" w:cs="Arial"/>
          <w:b/>
          <w:bCs/>
          <w:iCs/>
          <w:color w:val="auto"/>
          <w:lang w:val="en-AU"/>
        </w:rPr>
        <w:t>Efficiency</w:t>
      </w:r>
      <w:r w:rsidRPr="00A769DE">
        <w:rPr>
          <w:rFonts w:ascii="Arial" w:hAnsi="Arial" w:cs="Arial"/>
          <w:iCs/>
          <w:color w:val="auto"/>
          <w:lang w:val="en-AU"/>
        </w:rPr>
        <w:t xml:space="preserve"> – Is the program being implemented within timeframes and budget to achieve outcomes?</w:t>
      </w:r>
    </w:p>
    <w:p w:rsidR="000B785F" w:rsidRPr="00A769DE" w:rsidRDefault="000B785F" w:rsidP="000C146B">
      <w:pPr>
        <w:pStyle w:val="ListParagraph"/>
        <w:numPr>
          <w:ilvl w:val="0"/>
          <w:numId w:val="34"/>
        </w:numPr>
        <w:tabs>
          <w:tab w:val="left" w:pos="357"/>
        </w:tabs>
        <w:suppressAutoHyphens w:val="0"/>
        <w:spacing w:before="40" w:after="0" w:line="240" w:lineRule="auto"/>
        <w:ind w:left="360"/>
        <w:contextualSpacing w:val="0"/>
        <w:jc w:val="both"/>
        <w:rPr>
          <w:rFonts w:ascii="Arial" w:hAnsi="Arial" w:cs="Arial"/>
          <w:iCs/>
          <w:color w:val="auto"/>
          <w:lang w:val="en-AU"/>
        </w:rPr>
      </w:pPr>
      <w:r w:rsidRPr="00A769DE">
        <w:rPr>
          <w:rFonts w:ascii="Arial" w:hAnsi="Arial" w:cs="Arial"/>
          <w:b/>
          <w:bCs/>
          <w:iCs/>
          <w:color w:val="auto"/>
          <w:lang w:val="en-AU"/>
        </w:rPr>
        <w:t>Relevance</w:t>
      </w:r>
      <w:r w:rsidRPr="00A769DE">
        <w:rPr>
          <w:rFonts w:ascii="Arial" w:hAnsi="Arial" w:cs="Arial"/>
          <w:iCs/>
          <w:color w:val="auto"/>
          <w:lang w:val="en-AU"/>
        </w:rPr>
        <w:t xml:space="preserve"> – Is the approach and implementation of the ICCP still relevant for Myanmar?</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On this basis</w:t>
      </w:r>
      <w:r w:rsidR="001E7F13">
        <w:rPr>
          <w:rFonts w:ascii="Arial" w:hAnsi="Arial" w:cs="Arial"/>
          <w:color w:val="auto"/>
          <w:lang w:val="en-AU"/>
        </w:rPr>
        <w:t>,</w:t>
      </w:r>
      <w:r w:rsidRPr="00A769DE">
        <w:rPr>
          <w:rFonts w:ascii="Arial" w:hAnsi="Arial" w:cs="Arial"/>
          <w:color w:val="auto"/>
          <w:lang w:val="en-AU"/>
        </w:rPr>
        <w:t xml:space="preserve"> recommendations are made to DFAT on future program design and modality for Australia’s investment in economic growth in Myanmar.</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spacing w:before="0" w:after="0" w:line="240" w:lineRule="auto"/>
        <w:jc w:val="both"/>
        <w:rPr>
          <w:rFonts w:ascii="Arial" w:hAnsi="Arial" w:cs="Arial"/>
          <w:i/>
          <w:iCs/>
          <w:color w:val="auto"/>
          <w:u w:val="single"/>
          <w:lang w:val="en-AU"/>
        </w:rPr>
      </w:pPr>
      <w:r w:rsidRPr="00A769DE">
        <w:rPr>
          <w:rFonts w:ascii="Arial" w:hAnsi="Arial" w:cs="Arial"/>
          <w:i/>
          <w:iCs/>
          <w:color w:val="auto"/>
          <w:u w:val="single"/>
          <w:lang w:val="en-AU"/>
        </w:rPr>
        <w:t>Part 2 – Analysis of ICCP evaluation and DFID PFM evaluation against AIP objectives</w:t>
      </w: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This part analyse</w:t>
      </w:r>
      <w:r w:rsidR="00871BC3" w:rsidRPr="00A769DE">
        <w:rPr>
          <w:rFonts w:ascii="Arial" w:hAnsi="Arial" w:cs="Arial"/>
          <w:color w:val="auto"/>
          <w:lang w:val="en-AU"/>
        </w:rPr>
        <w:t>s</w:t>
      </w:r>
      <w:r w:rsidRPr="00A769DE">
        <w:rPr>
          <w:rFonts w:ascii="Arial" w:hAnsi="Arial" w:cs="Arial"/>
          <w:color w:val="auto"/>
          <w:lang w:val="en-AU"/>
        </w:rPr>
        <w:t xml:space="preserve"> the ICCP evaluation and the DFID PFM evaluation against the AIP objectives of promoting inclusive economic growth and governance management. On this basis</w:t>
      </w:r>
      <w:r w:rsidR="001E7F13">
        <w:rPr>
          <w:rFonts w:ascii="Arial" w:hAnsi="Arial" w:cs="Arial"/>
          <w:color w:val="auto"/>
          <w:lang w:val="en-AU"/>
        </w:rPr>
        <w:t>,</w:t>
      </w:r>
      <w:r w:rsidRPr="00A769DE">
        <w:rPr>
          <w:rFonts w:ascii="Arial" w:hAnsi="Arial" w:cs="Arial"/>
          <w:color w:val="auto"/>
          <w:lang w:val="en-AU"/>
        </w:rPr>
        <w:t xml:space="preserve"> recommendations are made to DFAT for future aid investments in economic growth in Myanmar.</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7C72BD"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lastRenderedPageBreak/>
        <w:t>The two diagnostic</w:t>
      </w:r>
      <w:r w:rsidRPr="00A769DE">
        <w:rPr>
          <w:rFonts w:ascii="Arial" w:hAnsi="Arial" w:cs="Arial"/>
          <w:color w:val="auto"/>
          <w:lang w:val="en-AU"/>
        </w:rPr>
        <w:t xml:space="preserve"> parts will furthermore be used to develop written technical inputs to DFAT on background and contextual aspects to inform future programming documentation (if and as required by Post).</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The primary and immediate users of the Evaluation Report are:</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0C146B">
      <w:pPr>
        <w:pStyle w:val="ListParagraph"/>
        <w:numPr>
          <w:ilvl w:val="0"/>
          <w:numId w:val="34"/>
        </w:numPr>
        <w:tabs>
          <w:tab w:val="left" w:pos="357"/>
        </w:tabs>
        <w:suppressAutoHyphens w:val="0"/>
        <w:spacing w:before="0" w:after="40" w:line="240" w:lineRule="auto"/>
        <w:ind w:left="360"/>
        <w:contextualSpacing w:val="0"/>
        <w:jc w:val="both"/>
        <w:rPr>
          <w:rFonts w:ascii="Arial" w:hAnsi="Arial" w:cs="Arial"/>
          <w:iCs/>
          <w:color w:val="auto"/>
          <w:lang w:val="en-AU"/>
        </w:rPr>
      </w:pPr>
      <w:r w:rsidRPr="00A769DE">
        <w:rPr>
          <w:rFonts w:ascii="Arial" w:hAnsi="Arial" w:cs="Arial"/>
          <w:b/>
          <w:bCs/>
          <w:color w:val="auto"/>
          <w:lang w:val="en-AU"/>
        </w:rPr>
        <w:t>DFAT (Post and Southeast Asia Division)</w:t>
      </w:r>
      <w:r w:rsidRPr="00A769DE">
        <w:rPr>
          <w:rFonts w:ascii="Arial" w:hAnsi="Arial" w:cs="Arial"/>
          <w:color w:val="auto"/>
          <w:lang w:val="en-AU"/>
        </w:rPr>
        <w:t xml:space="preserve"> – to provide an evidence-based evaluation results and analysis as well as ensuing recommendations for the longer term decisions about future aid investments. And, also, to provide inputs to Post for its engagement with the IFC on program management for the remaining implementation period up to end-2020.</w:t>
      </w:r>
    </w:p>
    <w:p w:rsidR="000B785F" w:rsidRPr="00A769DE" w:rsidRDefault="000B785F" w:rsidP="000C146B">
      <w:pPr>
        <w:pStyle w:val="ListParagraph"/>
        <w:numPr>
          <w:ilvl w:val="0"/>
          <w:numId w:val="34"/>
        </w:numPr>
        <w:tabs>
          <w:tab w:val="left" w:pos="357"/>
        </w:tabs>
        <w:suppressAutoHyphens w:val="0"/>
        <w:spacing w:before="40" w:after="0" w:line="240" w:lineRule="auto"/>
        <w:ind w:left="360"/>
        <w:contextualSpacing w:val="0"/>
        <w:jc w:val="both"/>
        <w:rPr>
          <w:rFonts w:ascii="Arial" w:hAnsi="Arial" w:cs="Arial"/>
          <w:iCs/>
          <w:color w:val="auto"/>
          <w:lang w:val="en-AU"/>
        </w:rPr>
      </w:pPr>
      <w:r w:rsidRPr="00A769DE">
        <w:rPr>
          <w:rFonts w:ascii="Arial" w:hAnsi="Arial" w:cs="Arial"/>
          <w:b/>
          <w:bCs/>
          <w:color w:val="auto"/>
          <w:lang w:val="en-AU"/>
        </w:rPr>
        <w:t>IFC</w:t>
      </w:r>
      <w:r w:rsidRPr="00A769DE">
        <w:rPr>
          <w:rFonts w:ascii="Arial" w:hAnsi="Arial" w:cs="Arial"/>
          <w:color w:val="auto"/>
          <w:lang w:val="en-AU"/>
        </w:rPr>
        <w:t xml:space="preserve"> – to provide feedback on ICCP performance and hence inputs for informed decisions </w:t>
      </w:r>
      <w:r w:rsidR="00C04212" w:rsidRPr="00A769DE">
        <w:rPr>
          <w:rFonts w:ascii="Arial" w:hAnsi="Arial" w:cs="Arial"/>
          <w:color w:val="auto"/>
          <w:lang w:val="en-AU"/>
        </w:rPr>
        <w:t xml:space="preserve">on </w:t>
      </w:r>
      <w:r w:rsidRPr="00A769DE">
        <w:rPr>
          <w:rFonts w:ascii="Arial" w:hAnsi="Arial" w:cs="Arial"/>
          <w:color w:val="auto"/>
          <w:lang w:val="en-AU"/>
        </w:rPr>
        <w:t>program management, project management, reporting, and other relevant aspects.</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 xml:space="preserve">Other </w:t>
      </w:r>
      <w:r w:rsidR="001E7F13">
        <w:rPr>
          <w:rFonts w:ascii="Arial" w:hAnsi="Arial" w:cs="Arial"/>
          <w:color w:val="auto"/>
          <w:lang w:val="en-AU"/>
        </w:rPr>
        <w:t xml:space="preserve">possible </w:t>
      </w:r>
      <w:r w:rsidRPr="00A769DE">
        <w:rPr>
          <w:rFonts w:ascii="Arial" w:hAnsi="Arial" w:cs="Arial"/>
          <w:color w:val="auto"/>
          <w:lang w:val="en-AU"/>
        </w:rPr>
        <w:t>users of the report are GoM counterparts, private sector organisations, DFID as well as other donors supporting PSD activities in Myanmar, and other project beneficiaries.</w:t>
      </w:r>
    </w:p>
    <w:p w:rsidR="000B785F" w:rsidRPr="00A769DE" w:rsidRDefault="000B785F" w:rsidP="00377443">
      <w:pPr>
        <w:pStyle w:val="nm"/>
        <w:spacing w:after="0"/>
        <w:ind w:left="0"/>
        <w:rPr>
          <w:rFonts w:ascii="Arial" w:hAnsi="Arial" w:cs="Arial"/>
          <w:lang w:val="en-AU"/>
        </w:rPr>
      </w:pPr>
    </w:p>
    <w:p w:rsidR="000B785F" w:rsidRPr="00A769DE" w:rsidRDefault="00874CEE" w:rsidP="00377443">
      <w:pPr>
        <w:pStyle w:val="Heading2"/>
        <w:spacing w:before="0" w:after="0" w:line="240" w:lineRule="auto"/>
        <w:ind w:left="274" w:hanging="274"/>
        <w:contextualSpacing w:val="0"/>
        <w:jc w:val="both"/>
        <w:rPr>
          <w:rFonts w:ascii="Arial" w:hAnsi="Arial" w:cs="Arial"/>
          <w:b/>
          <w:bCs/>
          <w:i/>
          <w:color w:val="auto"/>
          <w:sz w:val="24"/>
          <w:szCs w:val="24"/>
          <w:lang w:val="en-AU"/>
        </w:rPr>
      </w:pPr>
      <w:bookmarkStart w:id="22" w:name="_Toc522800472"/>
      <w:bookmarkStart w:id="23" w:name="_Toc525930542"/>
      <w:bookmarkStart w:id="24" w:name="_Toc530307592"/>
      <w:r w:rsidRPr="00A769DE">
        <w:rPr>
          <w:rFonts w:ascii="Arial" w:hAnsi="Arial" w:cs="Arial"/>
          <w:b/>
          <w:bCs/>
          <w:color w:val="auto"/>
          <w:sz w:val="24"/>
          <w:szCs w:val="24"/>
          <w:lang w:val="en-AU"/>
        </w:rPr>
        <w:t>1</w:t>
      </w:r>
      <w:r w:rsidR="000B785F" w:rsidRPr="00A769DE">
        <w:rPr>
          <w:rFonts w:ascii="Arial" w:hAnsi="Arial" w:cs="Arial"/>
          <w:b/>
          <w:bCs/>
          <w:color w:val="auto"/>
          <w:sz w:val="24"/>
          <w:szCs w:val="24"/>
          <w:lang w:val="en-AU"/>
        </w:rPr>
        <w:t>.3 Scope and Methods</w:t>
      </w:r>
      <w:bookmarkEnd w:id="22"/>
      <w:bookmarkEnd w:id="23"/>
      <w:bookmarkEnd w:id="24"/>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The evaluation process has overall covered a period of five calendar months, from June 2018 to October 2018, with the following main activities:</w:t>
      </w:r>
    </w:p>
    <w:p w:rsidR="000B785F" w:rsidRPr="00A769DE" w:rsidRDefault="000B785F" w:rsidP="00377443">
      <w:pPr>
        <w:spacing w:before="0" w:after="0" w:line="240" w:lineRule="auto"/>
        <w:jc w:val="both"/>
        <w:rPr>
          <w:rFonts w:ascii="Arial" w:hAnsi="Arial" w:cs="Arial"/>
          <w:color w:val="auto"/>
          <w:lang w:val="en-AU"/>
        </w:rPr>
      </w:pPr>
    </w:p>
    <w:p w:rsidR="000B785F" w:rsidRPr="00A769DE" w:rsidRDefault="000B785F" w:rsidP="000C146B">
      <w:pPr>
        <w:pStyle w:val="ListParagraph"/>
        <w:numPr>
          <w:ilvl w:val="0"/>
          <w:numId w:val="18"/>
        </w:numPr>
        <w:suppressAutoHyphens w:val="0"/>
        <w:spacing w:before="0" w:after="0" w:line="240" w:lineRule="auto"/>
        <w:ind w:left="360"/>
        <w:contextualSpacing w:val="0"/>
        <w:jc w:val="both"/>
        <w:rPr>
          <w:rFonts w:ascii="Arial" w:hAnsi="Arial" w:cs="Arial"/>
          <w:color w:val="auto"/>
          <w:lang w:val="en-AU"/>
        </w:rPr>
      </w:pPr>
      <w:r w:rsidRPr="00A769DE">
        <w:rPr>
          <w:rFonts w:ascii="Arial" w:hAnsi="Arial" w:cs="Arial"/>
          <w:color w:val="auto"/>
          <w:lang w:val="en-AU"/>
        </w:rPr>
        <w:t>Developing the Implementation Plan (Annex A) by DFAT and engagement of the consultant;</w:t>
      </w:r>
    </w:p>
    <w:p w:rsidR="000B785F" w:rsidRPr="00A769DE" w:rsidRDefault="000B785F" w:rsidP="000C146B">
      <w:pPr>
        <w:pStyle w:val="ListParagraph"/>
        <w:numPr>
          <w:ilvl w:val="0"/>
          <w:numId w:val="18"/>
        </w:numPr>
        <w:suppressAutoHyphens w:val="0"/>
        <w:spacing w:before="40" w:after="40" w:line="240" w:lineRule="auto"/>
        <w:ind w:left="360"/>
        <w:contextualSpacing w:val="0"/>
        <w:jc w:val="both"/>
        <w:rPr>
          <w:rFonts w:ascii="Arial" w:hAnsi="Arial" w:cs="Arial"/>
          <w:color w:val="auto"/>
          <w:lang w:val="en-AU"/>
        </w:rPr>
      </w:pPr>
      <w:r w:rsidRPr="00A769DE">
        <w:rPr>
          <w:rFonts w:ascii="Arial" w:hAnsi="Arial" w:cs="Arial"/>
          <w:color w:val="auto"/>
          <w:lang w:val="en-AU"/>
        </w:rPr>
        <w:t>Prepar</w:t>
      </w:r>
      <w:r w:rsidR="00C04212" w:rsidRPr="00A769DE">
        <w:rPr>
          <w:rFonts w:ascii="Arial" w:hAnsi="Arial" w:cs="Arial"/>
          <w:color w:val="auto"/>
          <w:lang w:val="en-AU"/>
        </w:rPr>
        <w:t>ing</w:t>
      </w:r>
      <w:r w:rsidRPr="00A769DE">
        <w:rPr>
          <w:rFonts w:ascii="Arial" w:hAnsi="Arial" w:cs="Arial"/>
          <w:color w:val="auto"/>
          <w:lang w:val="en-AU"/>
        </w:rPr>
        <w:t xml:space="preserve"> an Evaluation Plan (Annex B), desk-based study of available documents (Annex D), and scheduling of meetings and consultations;</w:t>
      </w:r>
    </w:p>
    <w:p w:rsidR="00C04212" w:rsidRPr="00A769DE" w:rsidRDefault="00C04212" w:rsidP="000C146B">
      <w:pPr>
        <w:pStyle w:val="ListParagraph"/>
        <w:numPr>
          <w:ilvl w:val="0"/>
          <w:numId w:val="18"/>
        </w:numPr>
        <w:suppressAutoHyphens w:val="0"/>
        <w:spacing w:before="40" w:after="40" w:line="240" w:lineRule="auto"/>
        <w:ind w:left="360"/>
        <w:contextualSpacing w:val="0"/>
        <w:jc w:val="both"/>
        <w:rPr>
          <w:rFonts w:ascii="Arial" w:hAnsi="Arial" w:cs="Arial"/>
          <w:color w:val="auto"/>
          <w:lang w:val="en-AU"/>
        </w:rPr>
      </w:pPr>
      <w:r w:rsidRPr="00A769DE">
        <w:rPr>
          <w:rFonts w:ascii="Arial" w:hAnsi="Arial" w:cs="Arial"/>
          <w:color w:val="auto"/>
          <w:lang w:val="en-AU"/>
        </w:rPr>
        <w:t>Undertaking an i</w:t>
      </w:r>
      <w:r w:rsidR="000B785F" w:rsidRPr="00A769DE">
        <w:rPr>
          <w:rFonts w:ascii="Arial" w:hAnsi="Arial" w:cs="Arial"/>
          <w:color w:val="auto"/>
          <w:lang w:val="en-AU"/>
        </w:rPr>
        <w:t xml:space="preserve">n-country mission with </w:t>
      </w:r>
      <w:r w:rsidRPr="00A769DE">
        <w:rPr>
          <w:rFonts w:ascii="Arial" w:hAnsi="Arial" w:cs="Arial"/>
          <w:color w:val="auto"/>
          <w:lang w:val="en-AU"/>
        </w:rPr>
        <w:t>29</w:t>
      </w:r>
      <w:r w:rsidR="000B785F" w:rsidRPr="00A769DE">
        <w:rPr>
          <w:rFonts w:ascii="Arial" w:hAnsi="Arial" w:cs="Arial"/>
          <w:color w:val="auto"/>
          <w:lang w:val="en-AU"/>
        </w:rPr>
        <w:t xml:space="preserve"> </w:t>
      </w:r>
      <w:r w:rsidRPr="00A769DE">
        <w:rPr>
          <w:rFonts w:ascii="Arial" w:hAnsi="Arial" w:cs="Arial"/>
          <w:color w:val="auto"/>
          <w:lang w:val="en-AU"/>
        </w:rPr>
        <w:t>meetings</w:t>
      </w:r>
      <w:r w:rsidR="000B785F" w:rsidRPr="00A769DE">
        <w:rPr>
          <w:rFonts w:ascii="Arial" w:hAnsi="Arial" w:cs="Arial"/>
          <w:color w:val="auto"/>
          <w:lang w:val="en-AU"/>
        </w:rPr>
        <w:t xml:space="preserve"> totalling </w:t>
      </w:r>
      <w:r w:rsidRPr="00A769DE">
        <w:rPr>
          <w:rFonts w:ascii="Arial" w:hAnsi="Arial" w:cs="Arial"/>
          <w:color w:val="auto"/>
          <w:lang w:val="en-AU"/>
        </w:rPr>
        <w:t>about 60</w:t>
      </w:r>
      <w:r w:rsidR="000B785F" w:rsidRPr="00A769DE">
        <w:rPr>
          <w:rFonts w:ascii="Arial" w:hAnsi="Arial" w:cs="Arial"/>
          <w:color w:val="auto"/>
          <w:lang w:val="en-AU"/>
        </w:rPr>
        <w:t xml:space="preserve"> persons</w:t>
      </w:r>
      <w:r w:rsidRPr="00A769DE">
        <w:rPr>
          <w:rFonts w:ascii="Arial" w:hAnsi="Arial" w:cs="Arial"/>
          <w:color w:val="auto"/>
          <w:lang w:val="en-AU"/>
        </w:rPr>
        <w:t xml:space="preserve"> as well as carrying out field visits to consult project beneficiaries</w:t>
      </w:r>
      <w:r w:rsidR="000B785F" w:rsidRPr="00A769DE">
        <w:rPr>
          <w:rFonts w:ascii="Arial" w:hAnsi="Arial" w:cs="Arial"/>
          <w:color w:val="auto"/>
          <w:lang w:val="en-AU"/>
        </w:rPr>
        <w:t xml:space="preserve"> (Annex E)</w:t>
      </w:r>
      <w:r w:rsidRPr="00A769DE">
        <w:rPr>
          <w:rFonts w:ascii="Arial" w:hAnsi="Arial" w:cs="Arial"/>
          <w:color w:val="auto"/>
          <w:lang w:val="en-AU"/>
        </w:rPr>
        <w:t>;</w:t>
      </w:r>
    </w:p>
    <w:p w:rsidR="000B785F" w:rsidRPr="00A769DE" w:rsidRDefault="00C04212" w:rsidP="000C146B">
      <w:pPr>
        <w:pStyle w:val="ListParagraph"/>
        <w:numPr>
          <w:ilvl w:val="0"/>
          <w:numId w:val="18"/>
        </w:numPr>
        <w:suppressAutoHyphens w:val="0"/>
        <w:spacing w:before="40" w:after="40" w:line="240" w:lineRule="auto"/>
        <w:ind w:left="360"/>
        <w:contextualSpacing w:val="0"/>
        <w:jc w:val="both"/>
        <w:rPr>
          <w:rFonts w:ascii="Arial" w:hAnsi="Arial" w:cs="Arial"/>
          <w:color w:val="auto"/>
          <w:lang w:val="en-AU"/>
        </w:rPr>
      </w:pPr>
      <w:r w:rsidRPr="00A769DE">
        <w:rPr>
          <w:rFonts w:ascii="Arial" w:hAnsi="Arial" w:cs="Arial"/>
          <w:color w:val="auto"/>
          <w:lang w:val="en-AU"/>
        </w:rPr>
        <w:t>Preparing and submitting</w:t>
      </w:r>
      <w:r w:rsidR="000B785F" w:rsidRPr="00A769DE">
        <w:rPr>
          <w:rFonts w:ascii="Arial" w:hAnsi="Arial" w:cs="Arial"/>
          <w:color w:val="auto"/>
          <w:lang w:val="en-AU"/>
        </w:rPr>
        <w:t xml:space="preserve"> an Aide Memoire (Annex C);</w:t>
      </w:r>
    </w:p>
    <w:p w:rsidR="000B785F" w:rsidRPr="00A769DE" w:rsidRDefault="000B785F" w:rsidP="000C146B">
      <w:pPr>
        <w:pStyle w:val="ListParagraph"/>
        <w:numPr>
          <w:ilvl w:val="0"/>
          <w:numId w:val="18"/>
        </w:numPr>
        <w:suppressAutoHyphens w:val="0"/>
        <w:spacing w:before="40" w:after="40" w:line="240" w:lineRule="auto"/>
        <w:ind w:left="360"/>
        <w:contextualSpacing w:val="0"/>
        <w:jc w:val="both"/>
        <w:rPr>
          <w:rFonts w:ascii="Arial" w:hAnsi="Arial" w:cs="Arial"/>
          <w:color w:val="auto"/>
          <w:lang w:val="en-AU"/>
        </w:rPr>
      </w:pPr>
      <w:r w:rsidRPr="00A769DE">
        <w:rPr>
          <w:rFonts w:ascii="Arial" w:hAnsi="Arial" w:cs="Arial"/>
          <w:color w:val="auto"/>
          <w:lang w:val="en-AU"/>
        </w:rPr>
        <w:t>Drafting the Evaluation Report and submi</w:t>
      </w:r>
      <w:r w:rsidR="00C04212" w:rsidRPr="00A769DE">
        <w:rPr>
          <w:rFonts w:ascii="Arial" w:hAnsi="Arial" w:cs="Arial"/>
          <w:color w:val="auto"/>
          <w:lang w:val="en-AU"/>
        </w:rPr>
        <w:t>tting it to</w:t>
      </w:r>
      <w:r w:rsidRPr="00A769DE">
        <w:rPr>
          <w:rFonts w:ascii="Arial" w:hAnsi="Arial" w:cs="Arial"/>
          <w:color w:val="auto"/>
          <w:lang w:val="en-AU"/>
        </w:rPr>
        <w:t xml:space="preserve"> DFAT for review, including by the IFC; and,</w:t>
      </w:r>
    </w:p>
    <w:p w:rsidR="000B785F" w:rsidRPr="00A769DE" w:rsidRDefault="000B785F" w:rsidP="000C146B">
      <w:pPr>
        <w:pStyle w:val="ListParagraph"/>
        <w:numPr>
          <w:ilvl w:val="0"/>
          <w:numId w:val="18"/>
        </w:numPr>
        <w:suppressAutoHyphens w:val="0"/>
        <w:spacing w:before="0" w:after="0" w:line="240" w:lineRule="auto"/>
        <w:ind w:left="360"/>
        <w:contextualSpacing w:val="0"/>
        <w:jc w:val="both"/>
        <w:rPr>
          <w:rFonts w:ascii="Arial" w:hAnsi="Arial" w:cs="Arial"/>
          <w:color w:val="auto"/>
          <w:lang w:val="en-AU"/>
        </w:rPr>
      </w:pPr>
      <w:r w:rsidRPr="00A769DE">
        <w:rPr>
          <w:rFonts w:ascii="Arial" w:hAnsi="Arial" w:cs="Arial"/>
          <w:color w:val="auto"/>
          <w:lang w:val="en-AU"/>
        </w:rPr>
        <w:t>Finalising the final Evaluation Report and submission to DFAT.</w:t>
      </w:r>
    </w:p>
    <w:p w:rsidR="000B785F" w:rsidRPr="00A769DE" w:rsidRDefault="000B785F" w:rsidP="00377443">
      <w:pPr>
        <w:spacing w:before="0" w:after="0" w:line="240" w:lineRule="auto"/>
        <w:jc w:val="both"/>
        <w:rPr>
          <w:rFonts w:ascii="Arial" w:hAnsi="Arial" w:cs="Arial"/>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The Australian Government will prepare a formal management response which, in line with DFAT’s aid program evaluation approach, will be distributed to all stakeholders.</w:t>
      </w:r>
    </w:p>
    <w:p w:rsidR="000B785F" w:rsidRPr="00A769DE" w:rsidRDefault="000B785F"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color w:val="auto"/>
          <w:lang w:val="en-AU"/>
        </w:rPr>
        <w:t xml:space="preserve">The </w:t>
      </w:r>
      <w:r w:rsidR="00C04212" w:rsidRPr="00A769DE">
        <w:rPr>
          <w:rFonts w:ascii="Arial" w:hAnsi="Arial" w:cs="Arial"/>
          <w:color w:val="auto"/>
          <w:lang w:val="en-AU"/>
        </w:rPr>
        <w:t>evaluation</w:t>
      </w:r>
      <w:r w:rsidRPr="00A769DE">
        <w:rPr>
          <w:rFonts w:ascii="Arial" w:hAnsi="Arial" w:cs="Arial"/>
          <w:color w:val="auto"/>
          <w:lang w:val="en-AU"/>
        </w:rPr>
        <w:t xml:space="preserve"> has applied different </w:t>
      </w:r>
      <w:r w:rsidRPr="00A769DE">
        <w:rPr>
          <w:rFonts w:ascii="Arial" w:hAnsi="Arial" w:cs="Arial"/>
          <w:i/>
          <w:color w:val="auto"/>
          <w:lang w:val="en-AU"/>
        </w:rPr>
        <w:t>qualitative</w:t>
      </w:r>
      <w:r w:rsidRPr="00A769DE">
        <w:rPr>
          <w:rFonts w:ascii="Arial" w:hAnsi="Arial" w:cs="Arial"/>
          <w:color w:val="auto"/>
          <w:lang w:val="en-AU"/>
        </w:rPr>
        <w:t xml:space="preserve"> research methods, including:</w:t>
      </w:r>
    </w:p>
    <w:p w:rsidR="000B785F" w:rsidRPr="00A769DE" w:rsidRDefault="000B785F" w:rsidP="00377443">
      <w:pPr>
        <w:spacing w:before="0" w:after="0" w:line="240" w:lineRule="auto"/>
        <w:jc w:val="both"/>
        <w:rPr>
          <w:rFonts w:ascii="Arial" w:hAnsi="Arial" w:cs="Arial"/>
          <w:color w:val="auto"/>
          <w:lang w:val="en-AU"/>
        </w:rPr>
      </w:pPr>
    </w:p>
    <w:p w:rsidR="000B785F" w:rsidRPr="00A769DE" w:rsidRDefault="000B785F" w:rsidP="00E4720E">
      <w:pPr>
        <w:pStyle w:val="ListParagraph"/>
        <w:numPr>
          <w:ilvl w:val="0"/>
          <w:numId w:val="26"/>
        </w:numPr>
        <w:suppressAutoHyphens w:val="0"/>
        <w:spacing w:before="0" w:after="0" w:line="240" w:lineRule="auto"/>
        <w:ind w:left="360"/>
        <w:contextualSpacing w:val="0"/>
        <w:jc w:val="both"/>
        <w:rPr>
          <w:rFonts w:ascii="Arial" w:hAnsi="Arial" w:cs="Arial"/>
          <w:color w:val="auto"/>
          <w:lang w:val="en-AU"/>
        </w:rPr>
      </w:pPr>
      <w:r w:rsidRPr="00A769DE">
        <w:rPr>
          <w:rFonts w:ascii="Arial" w:hAnsi="Arial" w:cs="Arial"/>
          <w:b/>
          <w:color w:val="auto"/>
          <w:lang w:val="en-AU"/>
        </w:rPr>
        <w:t>Document review</w:t>
      </w:r>
      <w:r w:rsidRPr="00A769DE">
        <w:rPr>
          <w:rFonts w:ascii="Arial" w:hAnsi="Arial" w:cs="Arial"/>
          <w:color w:val="auto"/>
          <w:lang w:val="en-AU"/>
        </w:rPr>
        <w:t xml:space="preserve"> – A comprehensive review of available documentation to identify key issues for further investigation during the in-country mission.</w:t>
      </w:r>
    </w:p>
    <w:p w:rsidR="000B785F" w:rsidRPr="00A769DE" w:rsidRDefault="000B785F" w:rsidP="00E4720E">
      <w:pPr>
        <w:pStyle w:val="ListParagraph"/>
        <w:numPr>
          <w:ilvl w:val="0"/>
          <w:numId w:val="18"/>
        </w:numPr>
        <w:suppressAutoHyphens w:val="0"/>
        <w:spacing w:before="0" w:after="0" w:line="240" w:lineRule="auto"/>
        <w:ind w:left="360"/>
        <w:contextualSpacing w:val="0"/>
        <w:jc w:val="both"/>
        <w:rPr>
          <w:rFonts w:ascii="Arial" w:hAnsi="Arial" w:cs="Arial"/>
          <w:color w:val="auto"/>
          <w:lang w:val="en-AU"/>
        </w:rPr>
      </w:pPr>
      <w:r w:rsidRPr="00A769DE">
        <w:rPr>
          <w:rFonts w:ascii="Arial" w:hAnsi="Arial" w:cs="Arial"/>
          <w:b/>
          <w:color w:val="auto"/>
          <w:lang w:val="en-AU"/>
        </w:rPr>
        <w:t>Consultations</w:t>
      </w:r>
      <w:r w:rsidR="00C04212" w:rsidRPr="00A769DE">
        <w:rPr>
          <w:rFonts w:ascii="Arial" w:hAnsi="Arial" w:cs="Arial"/>
          <w:color w:val="auto"/>
          <w:lang w:val="en-AU"/>
        </w:rPr>
        <w:t xml:space="preserve"> – I</w:t>
      </w:r>
      <w:r w:rsidRPr="00A769DE">
        <w:rPr>
          <w:rFonts w:ascii="Arial" w:hAnsi="Arial" w:cs="Arial"/>
          <w:color w:val="auto"/>
          <w:lang w:val="en-AU"/>
        </w:rPr>
        <w:t xml:space="preserve">nterviews with representatives from five target groups </w:t>
      </w:r>
      <w:r w:rsidR="00C04212" w:rsidRPr="00A769DE">
        <w:rPr>
          <w:rFonts w:ascii="Arial" w:hAnsi="Arial" w:cs="Arial"/>
          <w:color w:val="auto"/>
          <w:lang w:val="en-AU"/>
        </w:rPr>
        <w:t>and stakeholders (DFAT, IFC/</w:t>
      </w:r>
      <w:r w:rsidRPr="00A769DE">
        <w:rPr>
          <w:rFonts w:ascii="Arial" w:hAnsi="Arial" w:cs="Arial"/>
          <w:color w:val="auto"/>
          <w:lang w:val="en-AU"/>
        </w:rPr>
        <w:t xml:space="preserve">World Bank, GoM, private sector organisations and firms, and </w:t>
      </w:r>
      <w:r w:rsidR="00C04212" w:rsidRPr="00A769DE">
        <w:rPr>
          <w:rFonts w:ascii="Arial" w:hAnsi="Arial" w:cs="Arial"/>
          <w:color w:val="auto"/>
          <w:lang w:val="en-AU"/>
        </w:rPr>
        <w:t>other donors</w:t>
      </w:r>
      <w:r w:rsidR="001E7F13">
        <w:rPr>
          <w:rFonts w:ascii="Arial" w:hAnsi="Arial" w:cs="Arial"/>
          <w:color w:val="auto"/>
          <w:lang w:val="en-AU"/>
        </w:rPr>
        <w:t>)</w:t>
      </w:r>
      <w:r w:rsidRPr="00A769DE">
        <w:rPr>
          <w:rFonts w:ascii="Arial" w:hAnsi="Arial" w:cs="Arial"/>
          <w:color w:val="auto"/>
          <w:lang w:val="en-AU"/>
        </w:rPr>
        <w:t>.</w:t>
      </w:r>
    </w:p>
    <w:p w:rsidR="00E4720E" w:rsidRPr="00E4720E" w:rsidRDefault="000B785F" w:rsidP="00E4720E">
      <w:pPr>
        <w:pStyle w:val="ListParagraph"/>
        <w:numPr>
          <w:ilvl w:val="0"/>
          <w:numId w:val="26"/>
        </w:numPr>
        <w:suppressAutoHyphens w:val="0"/>
        <w:spacing w:before="0" w:after="0" w:line="240" w:lineRule="auto"/>
        <w:ind w:left="357" w:hanging="357"/>
        <w:contextualSpacing w:val="0"/>
        <w:jc w:val="both"/>
        <w:rPr>
          <w:rFonts w:ascii="Arial" w:hAnsi="Arial" w:cs="Arial"/>
          <w:color w:val="auto"/>
          <w:lang w:val="en-AU"/>
        </w:rPr>
      </w:pPr>
      <w:r w:rsidRPr="00E4720E">
        <w:rPr>
          <w:rFonts w:ascii="Arial" w:hAnsi="Arial" w:cs="Arial"/>
          <w:b/>
          <w:color w:val="auto"/>
          <w:lang w:val="en-AU"/>
        </w:rPr>
        <w:t>Observation</w:t>
      </w:r>
      <w:r w:rsidRPr="00E4720E">
        <w:rPr>
          <w:rFonts w:ascii="Arial" w:hAnsi="Arial" w:cs="Arial"/>
          <w:color w:val="auto"/>
          <w:lang w:val="en-AU"/>
        </w:rPr>
        <w:t xml:space="preserve"> – General observations during the in-country mission to confirm and/or challenge preliminary conclusions arising from the other methods</w:t>
      </w:r>
      <w:r w:rsidR="00E4720E" w:rsidRPr="00E4720E">
        <w:rPr>
          <w:rFonts w:ascii="Arial" w:hAnsi="Arial" w:cs="Arial"/>
          <w:color w:val="auto"/>
          <w:lang w:val="en-AU"/>
        </w:rPr>
        <w:t>, which has enabled checking and establishing the validity of information obtained during research and provided in consultations.</w:t>
      </w:r>
    </w:p>
    <w:p w:rsidR="00E4720E" w:rsidRPr="00A769DE" w:rsidRDefault="00E4720E" w:rsidP="00377443">
      <w:pPr>
        <w:spacing w:before="0" w:after="0" w:line="240" w:lineRule="auto"/>
        <w:jc w:val="both"/>
        <w:rPr>
          <w:rFonts w:ascii="Arial" w:hAnsi="Arial" w:cs="Arial"/>
          <w:color w:val="auto"/>
          <w:lang w:val="en-AU"/>
        </w:rPr>
      </w:pPr>
    </w:p>
    <w:p w:rsidR="009F5DE2" w:rsidRPr="00E4720E"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E4720E">
        <w:rPr>
          <w:rFonts w:ascii="Arial" w:hAnsi="Arial" w:cs="Arial"/>
          <w:color w:val="auto"/>
          <w:lang w:val="en-AU"/>
        </w:rPr>
        <w:t xml:space="preserve">The methods applied have been complementary and enabled triangulation of key issues regarding program and project management, implementation and </w:t>
      </w:r>
      <w:r w:rsidR="00C04212" w:rsidRPr="00E4720E">
        <w:rPr>
          <w:rFonts w:ascii="Arial" w:hAnsi="Arial" w:cs="Arial"/>
          <w:color w:val="auto"/>
          <w:lang w:val="en-AU"/>
        </w:rPr>
        <w:t>other aspects</w:t>
      </w:r>
      <w:r w:rsidR="00E4720E" w:rsidRPr="00E4720E">
        <w:rPr>
          <w:rFonts w:ascii="Arial" w:hAnsi="Arial" w:cs="Arial"/>
          <w:color w:val="auto"/>
          <w:lang w:val="en-AU"/>
        </w:rPr>
        <w:t xml:space="preserve">, and have provided </w:t>
      </w:r>
      <w:r w:rsidR="00E4720E" w:rsidRPr="00E4720E">
        <w:rPr>
          <w:rFonts w:ascii="Arial" w:hAnsi="Arial" w:cs="Arial"/>
          <w:iCs/>
          <w:color w:val="auto"/>
          <w:lang w:val="en-AU"/>
        </w:rPr>
        <w:t xml:space="preserve">multiple perspectives so as to establish consistency across and between sources. </w:t>
      </w:r>
      <w:r w:rsidRPr="00E4720E">
        <w:rPr>
          <w:rFonts w:ascii="Arial" w:hAnsi="Arial" w:cs="Arial"/>
          <w:color w:val="auto"/>
          <w:lang w:val="en-AU"/>
        </w:rPr>
        <w:t xml:space="preserve">The information obtained has, </w:t>
      </w:r>
      <w:r w:rsidR="00C04212" w:rsidRPr="00E4720E">
        <w:rPr>
          <w:rFonts w:ascii="Arial" w:hAnsi="Arial" w:cs="Arial"/>
          <w:color w:val="auto"/>
          <w:lang w:val="en-AU"/>
        </w:rPr>
        <w:t>considering</w:t>
      </w:r>
      <w:r w:rsidRPr="00E4720E">
        <w:rPr>
          <w:rFonts w:ascii="Arial" w:hAnsi="Arial" w:cs="Arial"/>
          <w:color w:val="auto"/>
          <w:lang w:val="en-AU"/>
        </w:rPr>
        <w:t xml:space="preserve"> the time available, </w:t>
      </w:r>
      <w:r w:rsidR="00C04212" w:rsidRPr="00E4720E">
        <w:rPr>
          <w:rFonts w:ascii="Arial" w:hAnsi="Arial" w:cs="Arial"/>
          <w:color w:val="auto"/>
          <w:lang w:val="en-AU"/>
        </w:rPr>
        <w:t>been relevant and comprehensive</w:t>
      </w:r>
      <w:r w:rsidRPr="00E4720E">
        <w:rPr>
          <w:rFonts w:ascii="Arial" w:hAnsi="Arial" w:cs="Arial"/>
          <w:color w:val="auto"/>
          <w:lang w:val="en-AU"/>
        </w:rPr>
        <w:t>.</w:t>
      </w:r>
      <w:r w:rsidRPr="00A769DE">
        <w:rPr>
          <w:rFonts w:ascii="Arial" w:hAnsi="Arial" w:cs="Arial"/>
          <w:color w:val="auto"/>
          <w:lang w:val="en-AU"/>
        </w:rPr>
        <w:t xml:space="preserve"> </w:t>
      </w:r>
      <w:r w:rsidR="005C59D7">
        <w:rPr>
          <w:rFonts w:ascii="Arial" w:hAnsi="Arial" w:cs="Arial"/>
          <w:color w:val="auto"/>
          <w:lang w:val="en-AU"/>
        </w:rPr>
        <w:t>T</w:t>
      </w:r>
      <w:r w:rsidR="009F5DE2" w:rsidRPr="00A769DE">
        <w:rPr>
          <w:rFonts w:ascii="Arial" w:hAnsi="Arial" w:cs="Arial"/>
          <w:color w:val="auto"/>
          <w:lang w:val="en-AU"/>
        </w:rPr>
        <w:t>here were</w:t>
      </w:r>
      <w:r w:rsidR="005C59D7">
        <w:rPr>
          <w:rFonts w:ascii="Arial" w:hAnsi="Arial" w:cs="Arial"/>
          <w:color w:val="auto"/>
          <w:lang w:val="en-AU"/>
        </w:rPr>
        <w:t>, however,</w:t>
      </w:r>
      <w:r w:rsidRPr="00E4720E">
        <w:rPr>
          <w:rFonts w:ascii="Arial" w:hAnsi="Arial" w:cs="Arial"/>
          <w:color w:val="auto"/>
          <w:lang w:val="en-AU"/>
        </w:rPr>
        <w:t xml:space="preserve"> </w:t>
      </w:r>
      <w:r w:rsidR="009F5DE2" w:rsidRPr="00E4720E">
        <w:rPr>
          <w:rFonts w:ascii="Arial" w:hAnsi="Arial" w:cs="Arial"/>
          <w:color w:val="auto"/>
          <w:lang w:val="en-AU"/>
        </w:rPr>
        <w:t>some challenges in receiving project-specific information from the IFC,</w:t>
      </w:r>
      <w:r w:rsidR="005C59D7" w:rsidRPr="00A769DE">
        <w:rPr>
          <w:rStyle w:val="FootnoteReference"/>
          <w:rFonts w:ascii="Arial" w:hAnsi="Arial" w:cs="Arial"/>
          <w:color w:val="auto"/>
          <w:lang w:val="en-AU"/>
        </w:rPr>
        <w:footnoteReference w:id="12"/>
      </w:r>
      <w:r w:rsidR="009F5DE2" w:rsidRPr="00E4720E">
        <w:rPr>
          <w:rFonts w:ascii="Arial" w:hAnsi="Arial" w:cs="Arial"/>
          <w:color w:val="auto"/>
          <w:lang w:val="en-AU"/>
        </w:rPr>
        <w:t xml:space="preserve"> which </w:t>
      </w:r>
      <w:r w:rsidR="009F5DE2" w:rsidRPr="00E4720E">
        <w:rPr>
          <w:rFonts w:ascii="Arial" w:hAnsi="Arial" w:cs="Arial"/>
          <w:color w:val="auto"/>
          <w:lang w:val="en-AU"/>
        </w:rPr>
        <w:lastRenderedPageBreak/>
        <w:t>complicated the evaluation process. Also, the research undertaken does not allow for attributing observed results directly to project activities, given that these are implemented within ‘open systems’, i.e. other factors may h</w:t>
      </w:r>
      <w:r w:rsidR="001E7F13" w:rsidRPr="00E4720E">
        <w:rPr>
          <w:rFonts w:ascii="Arial" w:hAnsi="Arial" w:cs="Arial"/>
          <w:color w:val="auto"/>
          <w:lang w:val="en-AU"/>
        </w:rPr>
        <w:t xml:space="preserve">ave contributed to the observed/reported </w:t>
      </w:r>
      <w:r w:rsidR="009F5DE2" w:rsidRPr="00E4720E">
        <w:rPr>
          <w:rFonts w:ascii="Arial" w:hAnsi="Arial" w:cs="Arial"/>
          <w:color w:val="auto"/>
          <w:lang w:val="en-AU"/>
        </w:rPr>
        <w:t>developments.</w:t>
      </w:r>
    </w:p>
    <w:p w:rsidR="009F5DE2" w:rsidRPr="00A769DE" w:rsidRDefault="009F5DE2" w:rsidP="00377443">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Default="000B785F"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 xml:space="preserve">It </w:t>
      </w:r>
      <w:r w:rsidR="004C4F2A" w:rsidRPr="00A769DE">
        <w:rPr>
          <w:rFonts w:ascii="Arial" w:hAnsi="Arial" w:cs="Arial"/>
          <w:color w:val="auto"/>
          <w:lang w:val="en-AU"/>
        </w:rPr>
        <w:t>is</w:t>
      </w:r>
      <w:r w:rsidRPr="00A769DE">
        <w:rPr>
          <w:rFonts w:ascii="Arial" w:hAnsi="Arial" w:cs="Arial"/>
          <w:color w:val="auto"/>
          <w:lang w:val="en-AU"/>
        </w:rPr>
        <w:t xml:space="preserve"> furthermore noted that the selection of IFC/World Bank staff and project beneficiaries</w:t>
      </w:r>
      <w:r w:rsidR="004C4F2A" w:rsidRPr="00A769DE">
        <w:rPr>
          <w:rFonts w:ascii="Arial" w:hAnsi="Arial" w:cs="Arial"/>
          <w:color w:val="auto"/>
          <w:lang w:val="en-AU"/>
        </w:rPr>
        <w:t xml:space="preserve"> for meetings</w:t>
      </w:r>
      <w:r w:rsidRPr="00A769DE">
        <w:rPr>
          <w:rFonts w:ascii="Arial" w:hAnsi="Arial" w:cs="Arial"/>
          <w:color w:val="auto"/>
          <w:lang w:val="en-AU"/>
        </w:rPr>
        <w:t xml:space="preserve"> was undertaken by the IFC based on </w:t>
      </w:r>
      <w:r w:rsidR="004C4F2A" w:rsidRPr="00A769DE">
        <w:rPr>
          <w:rFonts w:ascii="Arial" w:hAnsi="Arial" w:cs="Arial"/>
          <w:color w:val="auto"/>
          <w:lang w:val="en-AU"/>
        </w:rPr>
        <w:t>their</w:t>
      </w:r>
      <w:r w:rsidRPr="00A769DE">
        <w:rPr>
          <w:rFonts w:ascii="Arial" w:hAnsi="Arial" w:cs="Arial"/>
          <w:color w:val="auto"/>
          <w:lang w:val="en-AU"/>
        </w:rPr>
        <w:t xml:space="preserve"> assessment of relevance as well as taking into account the availability </w:t>
      </w:r>
      <w:r w:rsidR="00C04212" w:rsidRPr="00A769DE">
        <w:rPr>
          <w:rFonts w:ascii="Arial" w:hAnsi="Arial" w:cs="Arial"/>
          <w:color w:val="auto"/>
          <w:lang w:val="en-AU"/>
        </w:rPr>
        <w:t xml:space="preserve">of staff </w:t>
      </w:r>
      <w:r w:rsidRPr="00A769DE">
        <w:rPr>
          <w:rFonts w:ascii="Arial" w:hAnsi="Arial" w:cs="Arial"/>
          <w:color w:val="auto"/>
          <w:lang w:val="en-AU"/>
        </w:rPr>
        <w:t xml:space="preserve">(given that </w:t>
      </w:r>
      <w:r w:rsidR="00C04212" w:rsidRPr="00A769DE">
        <w:rPr>
          <w:rFonts w:ascii="Arial" w:hAnsi="Arial" w:cs="Arial"/>
          <w:color w:val="auto"/>
          <w:lang w:val="en-AU"/>
        </w:rPr>
        <w:t>some</w:t>
      </w:r>
      <w:r w:rsidRPr="00A769DE">
        <w:rPr>
          <w:rFonts w:ascii="Arial" w:hAnsi="Arial" w:cs="Arial"/>
          <w:color w:val="auto"/>
          <w:lang w:val="en-AU"/>
        </w:rPr>
        <w:t xml:space="preserve"> are based outside Myanmar).</w:t>
      </w:r>
    </w:p>
    <w:p w:rsidR="007C72BD" w:rsidRDefault="007C72BD" w:rsidP="007C72BD">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7C72BD" w:rsidRPr="00A769DE" w:rsidRDefault="007C72BD" w:rsidP="007C72BD">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016888" w:rsidRDefault="00016888">
      <w:pPr>
        <w:suppressAutoHyphens w:val="0"/>
        <w:spacing w:before="0" w:after="120" w:line="440" w:lineRule="atLeast"/>
        <w:rPr>
          <w:rFonts w:ascii="Arial" w:eastAsiaTheme="majorEastAsia" w:hAnsi="Arial" w:cs="Arial"/>
          <w:b/>
          <w:bCs/>
          <w:caps/>
          <w:color w:val="auto"/>
          <w:sz w:val="38"/>
          <w:szCs w:val="32"/>
          <w:lang w:val="en-AU"/>
        </w:rPr>
      </w:pPr>
      <w:bookmarkStart w:id="25" w:name="_Toc522800473"/>
      <w:bookmarkStart w:id="26" w:name="_Toc525930543"/>
      <w:bookmarkStart w:id="27" w:name="_Toc530307593"/>
      <w:r>
        <w:rPr>
          <w:rFonts w:ascii="Arial" w:hAnsi="Arial" w:cs="Arial"/>
          <w:color w:val="auto"/>
          <w:szCs w:val="32"/>
          <w:lang w:val="en-AU"/>
        </w:rPr>
        <w:br w:type="page"/>
      </w:r>
    </w:p>
    <w:p w:rsidR="000B785F" w:rsidRPr="00A769DE" w:rsidRDefault="00874CEE" w:rsidP="00874CEE">
      <w:pPr>
        <w:pStyle w:val="Heading1"/>
        <w:spacing w:before="0" w:after="600"/>
        <w:contextualSpacing w:val="0"/>
        <w:rPr>
          <w:rFonts w:ascii="Arial" w:hAnsi="Arial" w:cs="Arial"/>
          <w:color w:val="auto"/>
          <w:szCs w:val="32"/>
          <w:lang w:val="en-AU"/>
        </w:rPr>
      </w:pPr>
      <w:r w:rsidRPr="00A769DE">
        <w:rPr>
          <w:rFonts w:ascii="Arial" w:hAnsi="Arial" w:cs="Arial"/>
          <w:color w:val="auto"/>
          <w:szCs w:val="32"/>
          <w:lang w:val="en-AU"/>
        </w:rPr>
        <w:lastRenderedPageBreak/>
        <w:t>2</w:t>
      </w:r>
      <w:r w:rsidR="000B785F" w:rsidRPr="00A769DE">
        <w:rPr>
          <w:rFonts w:ascii="Arial" w:hAnsi="Arial" w:cs="Arial"/>
          <w:color w:val="auto"/>
          <w:szCs w:val="32"/>
          <w:lang w:val="en-AU"/>
        </w:rPr>
        <w:t>. PRIVATE SECTOR DEVELOPMENT CONTEXT IN MYANMAR</w:t>
      </w:r>
      <w:bookmarkEnd w:id="25"/>
      <w:bookmarkEnd w:id="26"/>
      <w:bookmarkEnd w:id="27"/>
    </w:p>
    <w:p w:rsidR="006D689A" w:rsidRPr="00A769DE" w:rsidRDefault="00F71641" w:rsidP="006D689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 xml:space="preserve">Myanmar is </w:t>
      </w:r>
      <w:r w:rsidR="00C57390" w:rsidRPr="00A769DE">
        <w:rPr>
          <w:rFonts w:ascii="Arial" w:hAnsi="Arial" w:cs="Arial"/>
          <w:color w:val="auto"/>
          <w:lang w:val="en-AU"/>
        </w:rPr>
        <w:t>characterised by</w:t>
      </w:r>
      <w:r w:rsidRPr="00A769DE">
        <w:rPr>
          <w:rFonts w:ascii="Arial" w:hAnsi="Arial" w:cs="Arial"/>
          <w:color w:val="auto"/>
          <w:lang w:val="en-AU"/>
        </w:rPr>
        <w:t xml:space="preserve"> the dilemma that</w:t>
      </w:r>
      <w:r w:rsidR="00834E20" w:rsidRPr="00834E20">
        <w:rPr>
          <w:rFonts w:ascii="Arial" w:hAnsi="Arial" w:cs="Arial"/>
          <w:color w:val="auto"/>
          <w:lang w:val="en-AU"/>
        </w:rPr>
        <w:t xml:space="preserve"> </w:t>
      </w:r>
      <w:r w:rsidR="00834E20" w:rsidRPr="00A769DE">
        <w:rPr>
          <w:rFonts w:ascii="Arial" w:hAnsi="Arial" w:cs="Arial"/>
          <w:color w:val="auto"/>
          <w:lang w:val="en-AU"/>
        </w:rPr>
        <w:t>it</w:t>
      </w:r>
      <w:r w:rsidR="006C6918" w:rsidRPr="00A769DE">
        <w:rPr>
          <w:rFonts w:ascii="Arial" w:hAnsi="Arial" w:cs="Arial"/>
          <w:color w:val="auto"/>
          <w:lang w:val="en-AU"/>
        </w:rPr>
        <w:t xml:space="preserve">, </w:t>
      </w:r>
      <w:r w:rsidRPr="00A769DE">
        <w:rPr>
          <w:rFonts w:ascii="Arial" w:hAnsi="Arial" w:cs="Arial"/>
          <w:color w:val="auto"/>
          <w:lang w:val="en-AU"/>
        </w:rPr>
        <w:t>on one hand</w:t>
      </w:r>
      <w:r w:rsidR="006C6918" w:rsidRPr="00A769DE">
        <w:rPr>
          <w:rFonts w:ascii="Arial" w:hAnsi="Arial" w:cs="Arial"/>
          <w:color w:val="auto"/>
          <w:lang w:val="en-AU"/>
        </w:rPr>
        <w:t xml:space="preserve">, </w:t>
      </w:r>
      <w:r w:rsidRPr="00A769DE">
        <w:rPr>
          <w:rFonts w:ascii="Arial" w:hAnsi="Arial" w:cs="Arial"/>
          <w:color w:val="auto"/>
          <w:lang w:val="en-AU"/>
        </w:rPr>
        <w:t>requires very significant development and investment</w:t>
      </w:r>
      <w:r w:rsidR="006C6918" w:rsidRPr="00A769DE">
        <w:rPr>
          <w:rFonts w:ascii="Arial" w:hAnsi="Arial" w:cs="Arial"/>
          <w:color w:val="auto"/>
          <w:lang w:val="en-AU"/>
        </w:rPr>
        <w:t>s</w:t>
      </w:r>
      <w:r w:rsidRPr="00A769DE">
        <w:rPr>
          <w:rFonts w:ascii="Arial" w:hAnsi="Arial" w:cs="Arial"/>
          <w:color w:val="auto"/>
          <w:lang w:val="en-AU"/>
        </w:rPr>
        <w:t xml:space="preserve"> in order to create economic growth and reduce poverty but that it</w:t>
      </w:r>
      <w:r w:rsidR="006C6918" w:rsidRPr="00A769DE">
        <w:rPr>
          <w:rFonts w:ascii="Arial" w:hAnsi="Arial" w:cs="Arial"/>
          <w:color w:val="auto"/>
          <w:lang w:val="en-AU"/>
        </w:rPr>
        <w:t>,</w:t>
      </w:r>
      <w:r w:rsidRPr="00A769DE">
        <w:rPr>
          <w:rFonts w:ascii="Arial" w:hAnsi="Arial" w:cs="Arial"/>
          <w:color w:val="auto"/>
          <w:lang w:val="en-AU"/>
        </w:rPr>
        <w:t xml:space="preserve"> </w:t>
      </w:r>
      <w:r w:rsidR="00C57390" w:rsidRPr="00A769DE">
        <w:rPr>
          <w:rFonts w:ascii="Arial" w:hAnsi="Arial" w:cs="Arial"/>
          <w:color w:val="auto"/>
          <w:lang w:val="en-AU"/>
        </w:rPr>
        <w:t>on the other hand</w:t>
      </w:r>
      <w:r w:rsidR="006C6918" w:rsidRPr="00A769DE">
        <w:rPr>
          <w:rFonts w:ascii="Arial" w:hAnsi="Arial" w:cs="Arial"/>
          <w:color w:val="auto"/>
          <w:lang w:val="en-AU"/>
        </w:rPr>
        <w:t>,</w:t>
      </w:r>
      <w:r w:rsidR="00C57390" w:rsidRPr="00A769DE">
        <w:rPr>
          <w:rFonts w:ascii="Arial" w:hAnsi="Arial" w:cs="Arial"/>
          <w:color w:val="auto"/>
          <w:lang w:val="en-AU"/>
        </w:rPr>
        <w:t xml:space="preserve"> </w:t>
      </w:r>
      <w:r w:rsidRPr="00A769DE">
        <w:rPr>
          <w:rFonts w:ascii="Arial" w:hAnsi="Arial" w:cs="Arial"/>
          <w:color w:val="auto"/>
          <w:lang w:val="en-AU"/>
        </w:rPr>
        <w:t>is extraordinarily difficult to do business in Myanmar</w:t>
      </w:r>
      <w:r w:rsidR="00C57390" w:rsidRPr="00A769DE">
        <w:rPr>
          <w:rFonts w:ascii="Arial" w:hAnsi="Arial" w:cs="Arial"/>
          <w:color w:val="auto"/>
          <w:lang w:val="en-AU"/>
        </w:rPr>
        <w:t xml:space="preserve">. The latter aspect is clearly seen in </w:t>
      </w:r>
      <w:r w:rsidRPr="00A769DE">
        <w:rPr>
          <w:rFonts w:ascii="Arial" w:hAnsi="Arial" w:cs="Arial"/>
          <w:color w:val="auto"/>
          <w:lang w:val="en-AU"/>
        </w:rPr>
        <w:t xml:space="preserve">the World Bank’s annual </w:t>
      </w:r>
      <w:r w:rsidR="00C57390" w:rsidRPr="00A769DE">
        <w:rPr>
          <w:rFonts w:ascii="Arial" w:hAnsi="Arial" w:cs="Arial"/>
          <w:color w:val="auto"/>
          <w:lang w:val="en-AU"/>
        </w:rPr>
        <w:t>e</w:t>
      </w:r>
      <w:r w:rsidR="00626702" w:rsidRPr="00A769DE">
        <w:rPr>
          <w:rFonts w:ascii="Arial" w:hAnsi="Arial" w:cs="Arial"/>
          <w:color w:val="auto"/>
          <w:lang w:val="en-AU"/>
        </w:rPr>
        <w:t>ase-of-doing-</w:t>
      </w:r>
      <w:r w:rsidR="00C57390" w:rsidRPr="00A769DE">
        <w:rPr>
          <w:rFonts w:ascii="Arial" w:hAnsi="Arial" w:cs="Arial"/>
          <w:color w:val="auto"/>
          <w:lang w:val="en-AU"/>
        </w:rPr>
        <w:t>b</w:t>
      </w:r>
      <w:r w:rsidRPr="00A769DE">
        <w:rPr>
          <w:rFonts w:ascii="Arial" w:hAnsi="Arial" w:cs="Arial"/>
          <w:color w:val="auto"/>
          <w:lang w:val="en-AU"/>
        </w:rPr>
        <w:t xml:space="preserve">usiness </w:t>
      </w:r>
      <w:r w:rsidR="00C57390" w:rsidRPr="00A769DE">
        <w:rPr>
          <w:rFonts w:ascii="Arial" w:hAnsi="Arial" w:cs="Arial"/>
          <w:color w:val="auto"/>
          <w:lang w:val="en-AU"/>
        </w:rPr>
        <w:t>survey</w:t>
      </w:r>
      <w:r w:rsidRPr="00A769DE">
        <w:rPr>
          <w:rFonts w:ascii="Arial" w:hAnsi="Arial" w:cs="Arial"/>
          <w:color w:val="auto"/>
          <w:lang w:val="en-AU"/>
        </w:rPr>
        <w:t xml:space="preserve">, which </w:t>
      </w:r>
      <w:r w:rsidR="00C57390" w:rsidRPr="00A769DE">
        <w:rPr>
          <w:rFonts w:ascii="Arial" w:hAnsi="Arial" w:cs="Arial"/>
          <w:color w:val="auto"/>
          <w:lang w:val="en-AU"/>
        </w:rPr>
        <w:t>ranks</w:t>
      </w:r>
      <w:r w:rsidRPr="00A769DE">
        <w:rPr>
          <w:rFonts w:ascii="Arial" w:hAnsi="Arial" w:cs="Arial"/>
          <w:color w:val="auto"/>
          <w:lang w:val="en-AU"/>
        </w:rPr>
        <w:t xml:space="preserve"> Myanmar am</w:t>
      </w:r>
      <w:r w:rsidR="00C57390" w:rsidRPr="00A769DE">
        <w:rPr>
          <w:rFonts w:ascii="Arial" w:hAnsi="Arial" w:cs="Arial"/>
          <w:color w:val="auto"/>
          <w:lang w:val="en-AU"/>
        </w:rPr>
        <w:t>ong the bottom 10</w:t>
      </w:r>
      <w:r w:rsidR="00E45E9E">
        <w:rPr>
          <w:rFonts w:ascii="Arial" w:hAnsi="Arial" w:cs="Arial"/>
          <w:color w:val="auto"/>
          <w:lang w:val="en-AU"/>
        </w:rPr>
        <w:t xml:space="preserve"> per cent</w:t>
      </w:r>
      <w:r w:rsidR="00C57390" w:rsidRPr="00A769DE">
        <w:rPr>
          <w:rFonts w:ascii="Arial" w:hAnsi="Arial" w:cs="Arial"/>
          <w:color w:val="auto"/>
          <w:lang w:val="en-AU"/>
        </w:rPr>
        <w:t xml:space="preserve"> of economies</w:t>
      </w:r>
      <w:r w:rsidRPr="00A769DE">
        <w:rPr>
          <w:rFonts w:ascii="Arial" w:hAnsi="Arial" w:cs="Arial"/>
          <w:color w:val="auto"/>
          <w:lang w:val="en-AU"/>
        </w:rPr>
        <w:t>.</w:t>
      </w:r>
      <w:r w:rsidR="006D689A" w:rsidRPr="00A769DE">
        <w:rPr>
          <w:rFonts w:ascii="Arial" w:hAnsi="Arial" w:cs="Arial"/>
          <w:color w:val="auto"/>
          <w:lang w:val="en-AU"/>
        </w:rPr>
        <w:t xml:space="preserve"> While there have in the past few years been some improvements in specific indicators, e.g. ‘Starting a Business’ and ‘Dealing with Construction Permits’, the overall distance to frontier (DTF), which measures the absolute level of regulatory performance over time, has barely changed from 2014 to 2018 (see Annex H for further details).</w:t>
      </w:r>
    </w:p>
    <w:p w:rsidR="006D689A" w:rsidRPr="00A769DE" w:rsidRDefault="006D689A" w:rsidP="00377443">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BC462F" w:rsidRPr="00A769DE" w:rsidRDefault="00377443" w:rsidP="00BC462F">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T</w:t>
      </w:r>
      <w:r w:rsidR="00F71641" w:rsidRPr="00A769DE">
        <w:rPr>
          <w:rFonts w:ascii="Arial" w:hAnsi="Arial" w:cs="Arial"/>
          <w:color w:val="auto"/>
          <w:lang w:val="en-AU"/>
        </w:rPr>
        <w:t xml:space="preserve">he PSD </w:t>
      </w:r>
      <w:r w:rsidRPr="00A769DE">
        <w:rPr>
          <w:rFonts w:ascii="Arial" w:hAnsi="Arial" w:cs="Arial"/>
          <w:color w:val="auto"/>
          <w:lang w:val="en-AU"/>
        </w:rPr>
        <w:t xml:space="preserve">area </w:t>
      </w:r>
      <w:r w:rsidR="00F71641" w:rsidRPr="00A769DE">
        <w:rPr>
          <w:rFonts w:ascii="Arial" w:hAnsi="Arial" w:cs="Arial"/>
          <w:color w:val="auto"/>
          <w:lang w:val="en-AU"/>
        </w:rPr>
        <w:t xml:space="preserve">is </w:t>
      </w:r>
      <w:r w:rsidRPr="00A769DE">
        <w:rPr>
          <w:rFonts w:ascii="Arial" w:hAnsi="Arial" w:cs="Arial"/>
          <w:color w:val="auto"/>
          <w:lang w:val="en-AU"/>
        </w:rPr>
        <w:t xml:space="preserve">furthermore </w:t>
      </w:r>
      <w:r w:rsidR="00F71641" w:rsidRPr="00A769DE">
        <w:rPr>
          <w:rFonts w:ascii="Arial" w:hAnsi="Arial" w:cs="Arial"/>
          <w:color w:val="auto"/>
          <w:lang w:val="en-AU"/>
        </w:rPr>
        <w:t>characterised by a major contradiction between the ambitious goals</w:t>
      </w:r>
      <w:r w:rsidR="005F3EA2" w:rsidRPr="00A769DE">
        <w:rPr>
          <w:rFonts w:ascii="Arial" w:hAnsi="Arial" w:cs="Arial"/>
          <w:color w:val="auto"/>
          <w:lang w:val="en-AU"/>
        </w:rPr>
        <w:t xml:space="preserve"> of the Government</w:t>
      </w:r>
      <w:r w:rsidR="00F71641" w:rsidRPr="00A769DE">
        <w:rPr>
          <w:rFonts w:ascii="Arial" w:hAnsi="Arial" w:cs="Arial"/>
          <w:color w:val="auto"/>
          <w:lang w:val="en-AU"/>
        </w:rPr>
        <w:t>, and</w:t>
      </w:r>
      <w:r w:rsidR="005F3EA2" w:rsidRPr="00A769DE">
        <w:rPr>
          <w:rFonts w:ascii="Arial" w:hAnsi="Arial" w:cs="Arial"/>
          <w:color w:val="auto"/>
          <w:lang w:val="en-AU"/>
        </w:rPr>
        <w:t xml:space="preserve"> </w:t>
      </w:r>
      <w:r w:rsidR="00F71641" w:rsidRPr="00A769DE">
        <w:rPr>
          <w:rFonts w:ascii="Arial" w:hAnsi="Arial" w:cs="Arial"/>
          <w:color w:val="auto"/>
          <w:lang w:val="en-AU"/>
        </w:rPr>
        <w:t>ineffective institutional mechanisms and limited administrative capacity.</w:t>
      </w:r>
      <w:r w:rsidR="00C94DA2" w:rsidRPr="00A769DE">
        <w:rPr>
          <w:rStyle w:val="FootnoteReference"/>
          <w:rFonts w:ascii="Arial" w:hAnsi="Arial" w:cs="Arial"/>
          <w:color w:val="auto"/>
          <w:lang w:val="en-AU"/>
        </w:rPr>
        <w:footnoteReference w:id="13"/>
      </w:r>
      <w:r w:rsidR="00F71641" w:rsidRPr="00A769DE">
        <w:rPr>
          <w:rFonts w:ascii="Arial" w:hAnsi="Arial" w:cs="Arial"/>
          <w:color w:val="auto"/>
          <w:lang w:val="en-AU"/>
        </w:rPr>
        <w:t xml:space="preserve"> </w:t>
      </w:r>
      <w:r w:rsidR="00F42084" w:rsidRPr="00A769DE">
        <w:rPr>
          <w:rFonts w:ascii="Arial" w:hAnsi="Arial" w:cs="Arial"/>
          <w:color w:val="auto"/>
          <w:lang w:val="en-AU"/>
        </w:rPr>
        <w:t xml:space="preserve">While a PSD framework and action plan </w:t>
      </w:r>
      <w:r w:rsidR="005F3EA2" w:rsidRPr="00A769DE">
        <w:rPr>
          <w:rFonts w:ascii="Arial" w:hAnsi="Arial" w:cs="Arial"/>
          <w:color w:val="auto"/>
          <w:lang w:val="en-AU"/>
        </w:rPr>
        <w:t>w</w:t>
      </w:r>
      <w:r w:rsidR="00F42084" w:rsidRPr="00A769DE">
        <w:rPr>
          <w:rFonts w:ascii="Arial" w:hAnsi="Arial" w:cs="Arial"/>
          <w:color w:val="auto"/>
          <w:lang w:val="en-AU"/>
        </w:rPr>
        <w:t xml:space="preserve">as </w:t>
      </w:r>
      <w:r w:rsidR="005F3EA2" w:rsidRPr="00A769DE">
        <w:rPr>
          <w:rFonts w:ascii="Arial" w:hAnsi="Arial" w:cs="Arial"/>
          <w:color w:val="auto"/>
          <w:lang w:val="en-AU"/>
        </w:rPr>
        <w:t>agreed in</w:t>
      </w:r>
      <w:r w:rsidR="00F42084" w:rsidRPr="00A769DE">
        <w:rPr>
          <w:rFonts w:ascii="Arial" w:hAnsi="Arial" w:cs="Arial"/>
          <w:color w:val="auto"/>
          <w:lang w:val="en-AU"/>
        </w:rPr>
        <w:t xml:space="preserve"> March 2016 and a PSD Committee with </w:t>
      </w:r>
      <w:r w:rsidR="00B14810" w:rsidRPr="00A769DE">
        <w:rPr>
          <w:rFonts w:ascii="Arial" w:hAnsi="Arial" w:cs="Arial"/>
          <w:color w:val="auto"/>
          <w:lang w:val="en-AU"/>
        </w:rPr>
        <w:t xml:space="preserve">five </w:t>
      </w:r>
      <w:r w:rsidR="00F42084" w:rsidRPr="00A769DE">
        <w:rPr>
          <w:rFonts w:ascii="Arial" w:hAnsi="Arial" w:cs="Arial"/>
          <w:color w:val="auto"/>
          <w:lang w:val="en-AU"/>
        </w:rPr>
        <w:t>working groups was established in October 2016,</w:t>
      </w:r>
      <w:r w:rsidR="005F3EA2" w:rsidRPr="00A769DE">
        <w:rPr>
          <w:rStyle w:val="FootnoteReference"/>
          <w:rFonts w:ascii="Arial" w:hAnsi="Arial" w:cs="Arial"/>
          <w:color w:val="auto"/>
          <w:lang w:val="en-AU"/>
        </w:rPr>
        <w:footnoteReference w:id="14"/>
      </w:r>
      <w:r w:rsidR="00F42084" w:rsidRPr="00A769DE">
        <w:rPr>
          <w:rFonts w:ascii="Arial" w:hAnsi="Arial" w:cs="Arial"/>
          <w:color w:val="auto"/>
          <w:lang w:val="en-AU"/>
        </w:rPr>
        <w:t xml:space="preserve"> there </w:t>
      </w:r>
      <w:r w:rsidR="006C6918" w:rsidRPr="00A769DE">
        <w:rPr>
          <w:rFonts w:ascii="Arial" w:hAnsi="Arial" w:cs="Arial"/>
          <w:color w:val="auto"/>
          <w:lang w:val="en-AU"/>
        </w:rPr>
        <w:t>has been</w:t>
      </w:r>
      <w:r w:rsidR="00F42084" w:rsidRPr="00A769DE">
        <w:rPr>
          <w:rFonts w:ascii="Arial" w:hAnsi="Arial" w:cs="Arial"/>
          <w:color w:val="auto"/>
          <w:lang w:val="en-AU"/>
        </w:rPr>
        <w:t xml:space="preserve"> </w:t>
      </w:r>
      <w:r w:rsidR="005F3EA2" w:rsidRPr="00A769DE">
        <w:rPr>
          <w:rFonts w:ascii="Arial" w:hAnsi="Arial" w:cs="Arial"/>
          <w:color w:val="auto"/>
          <w:lang w:val="en-AU"/>
        </w:rPr>
        <w:t xml:space="preserve">very </w:t>
      </w:r>
      <w:r w:rsidR="00F42084" w:rsidRPr="00A769DE">
        <w:rPr>
          <w:rFonts w:ascii="Arial" w:hAnsi="Arial" w:cs="Arial"/>
          <w:color w:val="auto"/>
          <w:lang w:val="en-AU"/>
        </w:rPr>
        <w:t>limited progress in implementing the action plan</w:t>
      </w:r>
      <w:r w:rsidR="005F3EA2" w:rsidRPr="00A769DE">
        <w:rPr>
          <w:rFonts w:ascii="Arial" w:hAnsi="Arial" w:cs="Arial"/>
          <w:color w:val="auto"/>
          <w:lang w:val="en-AU"/>
        </w:rPr>
        <w:t xml:space="preserve"> (and no formal monitoring undertaken)</w:t>
      </w:r>
      <w:r w:rsidR="00834E20">
        <w:rPr>
          <w:rFonts w:ascii="Arial" w:hAnsi="Arial" w:cs="Arial"/>
          <w:color w:val="auto"/>
          <w:lang w:val="en-AU"/>
        </w:rPr>
        <w:t>,</w:t>
      </w:r>
      <w:r w:rsidR="00F42084" w:rsidRPr="00A769DE">
        <w:rPr>
          <w:rFonts w:ascii="Arial" w:hAnsi="Arial" w:cs="Arial"/>
          <w:color w:val="auto"/>
          <w:lang w:val="en-AU"/>
        </w:rPr>
        <w:t xml:space="preserve"> and the PSD </w:t>
      </w:r>
      <w:r w:rsidR="005F3EA2" w:rsidRPr="00A769DE">
        <w:rPr>
          <w:rFonts w:ascii="Arial" w:hAnsi="Arial" w:cs="Arial"/>
          <w:color w:val="auto"/>
          <w:lang w:val="en-AU"/>
        </w:rPr>
        <w:t xml:space="preserve">institutional </w:t>
      </w:r>
      <w:r w:rsidR="00F42084" w:rsidRPr="00A769DE">
        <w:rPr>
          <w:rFonts w:ascii="Arial" w:hAnsi="Arial" w:cs="Arial"/>
          <w:color w:val="auto"/>
          <w:lang w:val="en-AU"/>
        </w:rPr>
        <w:t xml:space="preserve">structure does </w:t>
      </w:r>
      <w:r w:rsidR="005F3EA2" w:rsidRPr="00A769DE">
        <w:rPr>
          <w:rFonts w:ascii="Arial" w:hAnsi="Arial" w:cs="Arial"/>
          <w:color w:val="auto"/>
          <w:lang w:val="en-AU"/>
        </w:rPr>
        <w:t xml:space="preserve">still </w:t>
      </w:r>
      <w:r w:rsidR="00F42084" w:rsidRPr="00A769DE">
        <w:rPr>
          <w:rFonts w:ascii="Arial" w:hAnsi="Arial" w:cs="Arial"/>
          <w:color w:val="auto"/>
          <w:lang w:val="en-AU"/>
        </w:rPr>
        <w:t>not function adequately.</w:t>
      </w:r>
      <w:r w:rsidR="00B14810" w:rsidRPr="00A769DE">
        <w:rPr>
          <w:rFonts w:ascii="Arial" w:hAnsi="Arial" w:cs="Arial"/>
          <w:color w:val="auto"/>
          <w:lang w:val="en-AU"/>
        </w:rPr>
        <w:t xml:space="preserve"> </w:t>
      </w:r>
      <w:r w:rsidR="006C6918" w:rsidRPr="00A769DE">
        <w:rPr>
          <w:rFonts w:ascii="Arial" w:hAnsi="Arial" w:cs="Arial"/>
          <w:color w:val="auto"/>
          <w:lang w:val="en-AU"/>
        </w:rPr>
        <w:t xml:space="preserve">Also, </w:t>
      </w:r>
      <w:r w:rsidR="00BC462F" w:rsidRPr="00A769DE">
        <w:rPr>
          <w:rFonts w:ascii="Arial" w:hAnsi="Arial" w:cs="Arial"/>
          <w:color w:val="auto"/>
          <w:lang w:val="en-AU"/>
        </w:rPr>
        <w:t xml:space="preserve">the roles and responsibilities </w:t>
      </w:r>
      <w:r w:rsidR="00834E20">
        <w:rPr>
          <w:rFonts w:ascii="Arial" w:hAnsi="Arial" w:cs="Arial"/>
          <w:color w:val="auto"/>
          <w:lang w:val="en-AU"/>
        </w:rPr>
        <w:t>of</w:t>
      </w:r>
      <w:r w:rsidR="00BC462F" w:rsidRPr="00A769DE">
        <w:rPr>
          <w:rFonts w:ascii="Arial" w:hAnsi="Arial" w:cs="Arial"/>
          <w:color w:val="auto"/>
          <w:lang w:val="en-AU"/>
        </w:rPr>
        <w:t xml:space="preserve"> the </w:t>
      </w:r>
      <w:r w:rsidR="00B62861" w:rsidRPr="00A769DE">
        <w:rPr>
          <w:rFonts w:ascii="Arial" w:hAnsi="Arial" w:cs="Arial"/>
          <w:color w:val="auto"/>
          <w:lang w:val="en-AU"/>
        </w:rPr>
        <w:t>PSD Committee</w:t>
      </w:r>
      <w:r w:rsidR="00BC462F" w:rsidRPr="00A769DE">
        <w:rPr>
          <w:rFonts w:ascii="Arial" w:hAnsi="Arial" w:cs="Arial"/>
          <w:color w:val="auto"/>
          <w:lang w:val="en-AU"/>
        </w:rPr>
        <w:t xml:space="preserve"> and its working groups,</w:t>
      </w:r>
      <w:r w:rsidR="00B62861" w:rsidRPr="00A769DE">
        <w:rPr>
          <w:rFonts w:ascii="Arial" w:hAnsi="Arial" w:cs="Arial"/>
          <w:color w:val="auto"/>
          <w:lang w:val="en-AU"/>
        </w:rPr>
        <w:t xml:space="preserve"> the Trade and Business Promotion Task Force (TBPTF)</w:t>
      </w:r>
      <w:r w:rsidR="00BC462F" w:rsidRPr="00A769DE">
        <w:rPr>
          <w:rFonts w:ascii="Arial" w:hAnsi="Arial" w:cs="Arial"/>
          <w:color w:val="auto"/>
          <w:lang w:val="en-AU"/>
        </w:rPr>
        <w:t xml:space="preserve"> and the Improving Myanmar’s Ease of Doing Business Ranking Working Group</w:t>
      </w:r>
      <w:r w:rsidR="00F31550" w:rsidRPr="00A769DE">
        <w:rPr>
          <w:rStyle w:val="FootnoteReference"/>
          <w:rFonts w:ascii="Arial" w:hAnsi="Arial" w:cs="Arial"/>
          <w:color w:val="auto"/>
          <w:lang w:val="en-AU"/>
        </w:rPr>
        <w:footnoteReference w:id="15"/>
      </w:r>
      <w:r w:rsidR="00BC462F" w:rsidRPr="00A769DE">
        <w:rPr>
          <w:rFonts w:ascii="Arial" w:hAnsi="Arial" w:cs="Arial"/>
          <w:color w:val="auto"/>
          <w:lang w:val="en-AU"/>
        </w:rPr>
        <w:t xml:space="preserve"> are </w:t>
      </w:r>
      <w:r w:rsidR="006C6918" w:rsidRPr="00A769DE">
        <w:rPr>
          <w:rFonts w:ascii="Arial" w:hAnsi="Arial" w:cs="Arial"/>
          <w:color w:val="auto"/>
          <w:lang w:val="en-AU"/>
        </w:rPr>
        <w:t xml:space="preserve">not </w:t>
      </w:r>
      <w:r w:rsidR="00BC462F" w:rsidRPr="00A769DE">
        <w:rPr>
          <w:rFonts w:ascii="Arial" w:hAnsi="Arial" w:cs="Arial"/>
          <w:color w:val="auto"/>
          <w:lang w:val="en-AU"/>
        </w:rPr>
        <w:t>effectively delineated</w:t>
      </w:r>
      <w:r w:rsidR="00F31550" w:rsidRPr="00A769DE">
        <w:rPr>
          <w:rFonts w:ascii="Arial" w:hAnsi="Arial" w:cs="Arial"/>
          <w:color w:val="auto"/>
          <w:lang w:val="en-AU"/>
        </w:rPr>
        <w:t xml:space="preserve"> to ensure coordinati</w:t>
      </w:r>
      <w:r w:rsidR="006C6918" w:rsidRPr="00A769DE">
        <w:rPr>
          <w:rFonts w:ascii="Arial" w:hAnsi="Arial" w:cs="Arial"/>
          <w:color w:val="auto"/>
          <w:lang w:val="en-AU"/>
        </w:rPr>
        <w:t xml:space="preserve">on </w:t>
      </w:r>
      <w:r w:rsidR="005F3EA2" w:rsidRPr="00A769DE">
        <w:rPr>
          <w:rFonts w:ascii="Arial" w:hAnsi="Arial" w:cs="Arial"/>
          <w:color w:val="auto"/>
          <w:lang w:val="en-AU"/>
        </w:rPr>
        <w:t xml:space="preserve">and implementation </w:t>
      </w:r>
      <w:r w:rsidR="006C6918" w:rsidRPr="00A769DE">
        <w:rPr>
          <w:rFonts w:ascii="Arial" w:hAnsi="Arial" w:cs="Arial"/>
          <w:color w:val="auto"/>
          <w:lang w:val="en-AU"/>
        </w:rPr>
        <w:t>of</w:t>
      </w:r>
      <w:r w:rsidR="00F31550" w:rsidRPr="00A769DE">
        <w:rPr>
          <w:rFonts w:ascii="Arial" w:hAnsi="Arial" w:cs="Arial"/>
          <w:color w:val="auto"/>
          <w:lang w:val="en-AU"/>
        </w:rPr>
        <w:t xml:space="preserve"> PSD polic</w:t>
      </w:r>
      <w:r w:rsidR="005F3EA2" w:rsidRPr="00A769DE">
        <w:rPr>
          <w:rFonts w:ascii="Arial" w:hAnsi="Arial" w:cs="Arial"/>
          <w:color w:val="auto"/>
          <w:lang w:val="en-AU"/>
        </w:rPr>
        <w:t>ies</w:t>
      </w:r>
      <w:r w:rsidR="00F31550" w:rsidRPr="00A769DE">
        <w:rPr>
          <w:rFonts w:ascii="Arial" w:hAnsi="Arial" w:cs="Arial"/>
          <w:color w:val="auto"/>
          <w:lang w:val="en-AU"/>
        </w:rPr>
        <w:t xml:space="preserve"> across </w:t>
      </w:r>
      <w:r w:rsidR="005F3EA2" w:rsidRPr="00A769DE">
        <w:rPr>
          <w:rFonts w:ascii="Arial" w:hAnsi="Arial" w:cs="Arial"/>
          <w:color w:val="auto"/>
          <w:lang w:val="en-AU"/>
        </w:rPr>
        <w:t xml:space="preserve">the </w:t>
      </w:r>
      <w:r w:rsidR="00F31550" w:rsidRPr="00A769DE">
        <w:rPr>
          <w:rFonts w:ascii="Arial" w:hAnsi="Arial" w:cs="Arial"/>
          <w:color w:val="auto"/>
          <w:lang w:val="en-AU"/>
        </w:rPr>
        <w:t>GoM.</w:t>
      </w:r>
      <w:r w:rsidR="006C6918" w:rsidRPr="00A769DE">
        <w:rPr>
          <w:rStyle w:val="FootnoteReference"/>
          <w:rFonts w:ascii="Arial" w:hAnsi="Arial" w:cs="Arial"/>
          <w:color w:val="auto"/>
          <w:lang w:val="en-AU"/>
        </w:rPr>
        <w:footnoteReference w:id="16"/>
      </w:r>
    </w:p>
    <w:p w:rsidR="00BC462F" w:rsidRPr="00A769DE" w:rsidRDefault="00BC462F" w:rsidP="00BC462F">
      <w:pPr>
        <w:tabs>
          <w:tab w:val="left" w:pos="357"/>
        </w:tabs>
        <w:suppressAutoHyphens w:val="0"/>
        <w:spacing w:before="0" w:after="0" w:line="240" w:lineRule="auto"/>
        <w:jc w:val="both"/>
        <w:rPr>
          <w:rFonts w:ascii="Arial" w:hAnsi="Arial" w:cs="Arial"/>
          <w:color w:val="auto"/>
          <w:lang w:val="en-AU"/>
        </w:rPr>
      </w:pPr>
    </w:p>
    <w:p w:rsidR="00F41FED" w:rsidRPr="00A769DE" w:rsidRDefault="00AB2900"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In terms of</w:t>
      </w:r>
      <w:r w:rsidR="00B14810" w:rsidRPr="00A769DE">
        <w:rPr>
          <w:rFonts w:ascii="Arial" w:hAnsi="Arial" w:cs="Arial"/>
          <w:color w:val="auto"/>
          <w:lang w:val="en-AU"/>
        </w:rPr>
        <w:t xml:space="preserve"> PPD,</w:t>
      </w:r>
      <w:r w:rsidR="00F71641" w:rsidRPr="00A769DE">
        <w:rPr>
          <w:rFonts w:ascii="Arial" w:hAnsi="Arial" w:cs="Arial"/>
          <w:color w:val="auto"/>
          <w:lang w:val="en-AU"/>
        </w:rPr>
        <w:t xml:space="preserve"> </w:t>
      </w:r>
      <w:r w:rsidR="00B14810" w:rsidRPr="00A769DE">
        <w:rPr>
          <w:rFonts w:ascii="Arial" w:hAnsi="Arial" w:cs="Arial"/>
          <w:color w:val="auto"/>
          <w:lang w:val="en-AU"/>
        </w:rPr>
        <w:t xml:space="preserve">developments have been regressive in that the </w:t>
      </w:r>
      <w:r w:rsidR="00F71641" w:rsidRPr="00A769DE">
        <w:rPr>
          <w:rFonts w:ascii="Arial" w:hAnsi="Arial" w:cs="Arial"/>
          <w:color w:val="auto"/>
          <w:lang w:val="en-AU"/>
        </w:rPr>
        <w:t>Myanmar Business Forum (MBF)</w:t>
      </w:r>
      <w:r w:rsidR="00B14810" w:rsidRPr="00A769DE">
        <w:rPr>
          <w:rFonts w:ascii="Arial" w:hAnsi="Arial" w:cs="Arial"/>
          <w:color w:val="auto"/>
          <w:lang w:val="en-AU"/>
        </w:rPr>
        <w:t xml:space="preserve">, which was successfully launched </w:t>
      </w:r>
      <w:r w:rsidR="00F71641" w:rsidRPr="00A769DE">
        <w:rPr>
          <w:rFonts w:ascii="Arial" w:hAnsi="Arial" w:cs="Arial"/>
          <w:color w:val="auto"/>
          <w:lang w:val="en-AU"/>
        </w:rPr>
        <w:t>in 2014</w:t>
      </w:r>
      <w:r w:rsidR="00F31550" w:rsidRPr="00A769DE">
        <w:rPr>
          <w:rFonts w:ascii="Arial" w:hAnsi="Arial" w:cs="Arial"/>
          <w:color w:val="auto"/>
          <w:lang w:val="en-AU"/>
        </w:rPr>
        <w:t xml:space="preserve"> </w:t>
      </w:r>
      <w:r w:rsidR="00B14810" w:rsidRPr="00A769DE">
        <w:rPr>
          <w:rFonts w:ascii="Arial" w:hAnsi="Arial" w:cs="Arial"/>
          <w:color w:val="auto"/>
          <w:lang w:val="en-AU"/>
        </w:rPr>
        <w:t>with support from</w:t>
      </w:r>
      <w:r w:rsidR="00F31550" w:rsidRPr="00A769DE">
        <w:rPr>
          <w:rFonts w:ascii="Arial" w:hAnsi="Arial" w:cs="Arial"/>
          <w:color w:val="auto"/>
          <w:lang w:val="en-AU"/>
        </w:rPr>
        <w:t xml:space="preserve"> the IF</w:t>
      </w:r>
      <w:r w:rsidR="00B51505">
        <w:rPr>
          <w:rFonts w:ascii="Arial" w:hAnsi="Arial" w:cs="Arial"/>
          <w:color w:val="auto"/>
          <w:lang w:val="en-AU"/>
        </w:rPr>
        <w:t>C</w:t>
      </w:r>
      <w:r w:rsidR="00F31550" w:rsidRPr="00A769DE">
        <w:rPr>
          <w:rFonts w:ascii="Arial" w:hAnsi="Arial" w:cs="Arial"/>
          <w:color w:val="auto"/>
          <w:lang w:val="en-AU"/>
        </w:rPr>
        <w:t>-implemented Investment Climate Project</w:t>
      </w:r>
      <w:r w:rsidR="00F71641" w:rsidRPr="00A769DE">
        <w:rPr>
          <w:rFonts w:ascii="Arial" w:hAnsi="Arial" w:cs="Arial"/>
          <w:color w:val="auto"/>
          <w:lang w:val="en-AU"/>
        </w:rPr>
        <w:t xml:space="preserve">, </w:t>
      </w:r>
      <w:r w:rsidR="00F31550" w:rsidRPr="00A769DE">
        <w:rPr>
          <w:rFonts w:ascii="Arial" w:hAnsi="Arial" w:cs="Arial"/>
          <w:color w:val="auto"/>
          <w:lang w:val="en-AU"/>
        </w:rPr>
        <w:t xml:space="preserve">basically </w:t>
      </w:r>
      <w:r w:rsidR="00741A86" w:rsidRPr="00A769DE">
        <w:rPr>
          <w:rFonts w:ascii="Arial" w:hAnsi="Arial" w:cs="Arial"/>
          <w:color w:val="auto"/>
          <w:lang w:val="en-AU"/>
        </w:rPr>
        <w:t xml:space="preserve">was </w:t>
      </w:r>
      <w:r w:rsidR="00F31550" w:rsidRPr="00A769DE">
        <w:rPr>
          <w:rFonts w:ascii="Arial" w:hAnsi="Arial" w:cs="Arial"/>
          <w:color w:val="auto"/>
          <w:lang w:val="en-AU"/>
        </w:rPr>
        <w:t>rendered</w:t>
      </w:r>
      <w:r w:rsidR="00F71641" w:rsidRPr="00A769DE">
        <w:rPr>
          <w:rFonts w:ascii="Arial" w:hAnsi="Arial" w:cs="Arial"/>
          <w:color w:val="auto"/>
          <w:lang w:val="en-AU"/>
        </w:rPr>
        <w:t xml:space="preserve"> ineffective when the Government in 2016</w:t>
      </w:r>
      <w:r w:rsidR="00B14810" w:rsidRPr="00A769DE">
        <w:rPr>
          <w:rFonts w:ascii="Arial" w:hAnsi="Arial" w:cs="Arial"/>
          <w:color w:val="auto"/>
          <w:lang w:val="en-AU"/>
        </w:rPr>
        <w:t xml:space="preserve"> decided</w:t>
      </w:r>
      <w:r w:rsidR="00F71641" w:rsidRPr="00A769DE">
        <w:rPr>
          <w:rFonts w:ascii="Arial" w:hAnsi="Arial" w:cs="Arial"/>
          <w:color w:val="auto"/>
          <w:lang w:val="en-AU"/>
        </w:rPr>
        <w:t xml:space="preserve"> </w:t>
      </w:r>
      <w:r w:rsidR="00B14810" w:rsidRPr="00A769DE">
        <w:rPr>
          <w:rFonts w:ascii="Arial" w:hAnsi="Arial" w:cs="Arial"/>
          <w:color w:val="auto"/>
          <w:lang w:val="en-AU"/>
        </w:rPr>
        <w:t xml:space="preserve">to </w:t>
      </w:r>
      <w:r w:rsidR="00F71641" w:rsidRPr="00A769DE">
        <w:rPr>
          <w:rFonts w:ascii="Arial" w:hAnsi="Arial" w:cs="Arial"/>
          <w:color w:val="auto"/>
          <w:lang w:val="en-AU"/>
        </w:rPr>
        <w:t>initiate direct talks with the UMFCCI, thereby bypassing the MBF.</w:t>
      </w:r>
      <w:r w:rsidR="00E71E0E" w:rsidRPr="00A769DE">
        <w:rPr>
          <w:rFonts w:ascii="Arial" w:hAnsi="Arial" w:cs="Arial"/>
          <w:color w:val="auto"/>
          <w:lang w:val="en-AU"/>
        </w:rPr>
        <w:t xml:space="preserve"> Also, the MBF </w:t>
      </w:r>
      <w:r w:rsidR="00741A86" w:rsidRPr="00A769DE">
        <w:rPr>
          <w:rFonts w:ascii="Arial" w:hAnsi="Arial" w:cs="Arial"/>
          <w:color w:val="auto"/>
          <w:lang w:val="en-AU"/>
        </w:rPr>
        <w:t xml:space="preserve">had </w:t>
      </w:r>
      <w:r w:rsidR="00E71E0E" w:rsidRPr="00A769DE">
        <w:rPr>
          <w:rFonts w:ascii="Arial" w:hAnsi="Arial" w:cs="Arial"/>
          <w:color w:val="auto"/>
          <w:lang w:val="en-AU"/>
        </w:rPr>
        <w:t xml:space="preserve">through technical </w:t>
      </w:r>
      <w:r w:rsidR="00741A86" w:rsidRPr="00A769DE">
        <w:rPr>
          <w:rFonts w:ascii="Arial" w:hAnsi="Arial" w:cs="Arial"/>
          <w:color w:val="auto"/>
          <w:lang w:val="en-AU"/>
        </w:rPr>
        <w:t xml:space="preserve">sector </w:t>
      </w:r>
      <w:r w:rsidR="00E71E0E" w:rsidRPr="00A769DE">
        <w:rPr>
          <w:rFonts w:ascii="Arial" w:hAnsi="Arial" w:cs="Arial"/>
          <w:color w:val="auto"/>
          <w:lang w:val="en-AU"/>
        </w:rPr>
        <w:t>working groups</w:t>
      </w:r>
      <w:r w:rsidR="00741A86" w:rsidRPr="00A769DE">
        <w:rPr>
          <w:rFonts w:ascii="Arial" w:hAnsi="Arial" w:cs="Arial"/>
          <w:color w:val="auto"/>
          <w:lang w:val="en-AU"/>
        </w:rPr>
        <w:t xml:space="preserve"> </w:t>
      </w:r>
      <w:r w:rsidR="00E71E0E" w:rsidRPr="00A769DE">
        <w:rPr>
          <w:rFonts w:ascii="Arial" w:hAnsi="Arial" w:cs="Arial"/>
          <w:color w:val="auto"/>
          <w:lang w:val="en-AU"/>
        </w:rPr>
        <w:t>(e.g. tourism, infrastructure, banking, agriculture, gems and jewellery)</w:t>
      </w:r>
      <w:r w:rsidR="00741A86" w:rsidRPr="00A769DE">
        <w:rPr>
          <w:rFonts w:ascii="Arial" w:hAnsi="Arial" w:cs="Arial"/>
          <w:color w:val="auto"/>
          <w:lang w:val="en-AU"/>
        </w:rPr>
        <w:t xml:space="preserve"> </w:t>
      </w:r>
      <w:r w:rsidR="00E71E0E" w:rsidRPr="00A769DE">
        <w:rPr>
          <w:rFonts w:ascii="Arial" w:hAnsi="Arial" w:cs="Arial"/>
          <w:color w:val="auto"/>
          <w:lang w:val="en-AU"/>
        </w:rPr>
        <w:t xml:space="preserve">created a culture of structured </w:t>
      </w:r>
      <w:r w:rsidR="00741A86" w:rsidRPr="00A769DE">
        <w:rPr>
          <w:rFonts w:ascii="Arial" w:hAnsi="Arial" w:cs="Arial"/>
          <w:color w:val="auto"/>
          <w:lang w:val="en-AU"/>
        </w:rPr>
        <w:t>PPD</w:t>
      </w:r>
      <w:r w:rsidR="00E71E0E" w:rsidRPr="00A769DE">
        <w:rPr>
          <w:rFonts w:ascii="Arial" w:hAnsi="Arial" w:cs="Arial"/>
          <w:color w:val="auto"/>
          <w:lang w:val="en-AU"/>
        </w:rPr>
        <w:t xml:space="preserve">, and </w:t>
      </w:r>
      <w:r w:rsidR="00741A86" w:rsidRPr="00A769DE">
        <w:rPr>
          <w:rFonts w:ascii="Arial" w:hAnsi="Arial" w:cs="Arial"/>
          <w:color w:val="auto"/>
          <w:lang w:val="en-AU"/>
        </w:rPr>
        <w:t xml:space="preserve">it </w:t>
      </w:r>
      <w:r w:rsidR="00E71E0E" w:rsidRPr="00A769DE">
        <w:rPr>
          <w:rFonts w:ascii="Arial" w:hAnsi="Arial" w:cs="Arial"/>
          <w:color w:val="auto"/>
          <w:lang w:val="en-AU"/>
        </w:rPr>
        <w:t>emphasised evidence-based research to advocate constructively for policy change vis-à-vis the Government. However, following the transfer of the MBF to the UMFCCI in 2016, this good</w:t>
      </w:r>
      <w:r w:rsidR="00834E20">
        <w:rPr>
          <w:rFonts w:ascii="Arial" w:hAnsi="Arial" w:cs="Arial"/>
          <w:color w:val="auto"/>
          <w:lang w:val="en-AU"/>
        </w:rPr>
        <w:t>-</w:t>
      </w:r>
      <w:r w:rsidR="00E71E0E" w:rsidRPr="00A769DE">
        <w:rPr>
          <w:rFonts w:ascii="Arial" w:hAnsi="Arial" w:cs="Arial"/>
          <w:color w:val="auto"/>
          <w:lang w:val="en-AU"/>
        </w:rPr>
        <w:t>practice approach was abandoned in favour of direct high-level engagements with the Government wh</w:t>
      </w:r>
      <w:r w:rsidR="00741A86" w:rsidRPr="00A769DE">
        <w:rPr>
          <w:rFonts w:ascii="Arial" w:hAnsi="Arial" w:cs="Arial"/>
          <w:color w:val="auto"/>
          <w:lang w:val="en-AU"/>
        </w:rPr>
        <w:t>ere</w:t>
      </w:r>
      <w:r w:rsidR="00E71E0E" w:rsidRPr="00A769DE">
        <w:rPr>
          <w:rFonts w:ascii="Arial" w:hAnsi="Arial" w:cs="Arial"/>
          <w:color w:val="auto"/>
          <w:lang w:val="en-AU"/>
        </w:rPr>
        <w:t xml:space="preserve"> discussion issues </w:t>
      </w:r>
      <w:r w:rsidR="00741A86" w:rsidRPr="00A769DE">
        <w:rPr>
          <w:rFonts w:ascii="Arial" w:hAnsi="Arial" w:cs="Arial"/>
          <w:color w:val="auto"/>
          <w:lang w:val="en-AU"/>
        </w:rPr>
        <w:t xml:space="preserve">tend to be seen as </w:t>
      </w:r>
      <w:r w:rsidR="00E71E0E" w:rsidRPr="00A769DE">
        <w:rPr>
          <w:rFonts w:ascii="Arial" w:hAnsi="Arial" w:cs="Arial"/>
          <w:color w:val="auto"/>
          <w:lang w:val="en-AU"/>
        </w:rPr>
        <w:t>resolved merely when responded to in meetings. In addition to this, the UMFCCI made the PPD process more protectionistic by not including foreign companies in the MBF working groups.</w:t>
      </w:r>
    </w:p>
    <w:p w:rsidR="00F41FED" w:rsidRPr="00A769DE" w:rsidRDefault="00F41FED" w:rsidP="00F41FED">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741A86" w:rsidRPr="00A769DE" w:rsidRDefault="00FA6985" w:rsidP="00377443">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 xml:space="preserve">Development partners have recently proposed a new </w:t>
      </w:r>
      <w:r w:rsidR="008A2CD2" w:rsidRPr="00A769DE">
        <w:rPr>
          <w:rFonts w:ascii="Arial" w:hAnsi="Arial" w:cs="Arial"/>
          <w:color w:val="auto"/>
          <w:lang w:val="en-AU"/>
        </w:rPr>
        <w:t xml:space="preserve">PSD and </w:t>
      </w:r>
      <w:r w:rsidRPr="00A769DE">
        <w:rPr>
          <w:rFonts w:ascii="Arial" w:hAnsi="Arial" w:cs="Arial"/>
          <w:color w:val="auto"/>
          <w:lang w:val="en-AU"/>
        </w:rPr>
        <w:t xml:space="preserve">PPD structure to the Government and UMFCCI (cf. </w:t>
      </w:r>
      <w:r w:rsidR="006C6918" w:rsidRPr="00A769DE">
        <w:rPr>
          <w:rFonts w:ascii="Arial" w:hAnsi="Arial" w:cs="Arial"/>
          <w:color w:val="auto"/>
          <w:lang w:val="en-AU"/>
        </w:rPr>
        <w:t>F</w:t>
      </w:r>
      <w:r w:rsidRPr="00A769DE">
        <w:rPr>
          <w:rFonts w:ascii="Arial" w:hAnsi="Arial" w:cs="Arial"/>
          <w:color w:val="auto"/>
          <w:lang w:val="en-AU"/>
        </w:rPr>
        <w:t>igure</w:t>
      </w:r>
      <w:r w:rsidR="006C6918" w:rsidRPr="00A769DE">
        <w:rPr>
          <w:rFonts w:ascii="Arial" w:hAnsi="Arial" w:cs="Arial"/>
          <w:color w:val="auto"/>
          <w:lang w:val="en-AU"/>
        </w:rPr>
        <w:t xml:space="preserve"> 1</w:t>
      </w:r>
      <w:r w:rsidRPr="00A769DE">
        <w:rPr>
          <w:rFonts w:ascii="Arial" w:hAnsi="Arial" w:cs="Arial"/>
          <w:color w:val="auto"/>
          <w:lang w:val="en-AU"/>
        </w:rPr>
        <w:t xml:space="preserve"> on the next page), which would include a secretariat function for the PSD Committee and its working groups</w:t>
      </w:r>
      <w:r w:rsidR="00834E20">
        <w:rPr>
          <w:rFonts w:ascii="Arial" w:hAnsi="Arial" w:cs="Arial"/>
          <w:color w:val="auto"/>
          <w:lang w:val="en-AU"/>
        </w:rPr>
        <w:t xml:space="preserve">. However, </w:t>
      </w:r>
      <w:r w:rsidRPr="00A769DE">
        <w:rPr>
          <w:rFonts w:ascii="Arial" w:hAnsi="Arial" w:cs="Arial"/>
          <w:color w:val="auto"/>
          <w:lang w:val="en-AU"/>
        </w:rPr>
        <w:t xml:space="preserve">it remains to be seen if </w:t>
      </w:r>
      <w:r w:rsidR="00834E20">
        <w:rPr>
          <w:rFonts w:ascii="Arial" w:hAnsi="Arial" w:cs="Arial"/>
          <w:color w:val="auto"/>
          <w:lang w:val="en-AU"/>
        </w:rPr>
        <w:t>the</w:t>
      </w:r>
      <w:r w:rsidR="00834E20" w:rsidRPr="00834E20">
        <w:rPr>
          <w:rFonts w:ascii="Arial" w:hAnsi="Arial" w:cs="Arial"/>
          <w:color w:val="auto"/>
          <w:lang w:val="en-AU"/>
        </w:rPr>
        <w:t xml:space="preserve"> </w:t>
      </w:r>
      <w:r w:rsidR="00834E20" w:rsidRPr="00A769DE">
        <w:rPr>
          <w:rFonts w:ascii="Arial" w:hAnsi="Arial" w:cs="Arial"/>
          <w:color w:val="auto"/>
          <w:lang w:val="en-AU"/>
        </w:rPr>
        <w:t xml:space="preserve">Government </w:t>
      </w:r>
      <w:r w:rsidR="00834E20">
        <w:rPr>
          <w:rFonts w:ascii="Arial" w:hAnsi="Arial" w:cs="Arial"/>
          <w:color w:val="auto"/>
          <w:lang w:val="en-AU"/>
        </w:rPr>
        <w:t xml:space="preserve">will agree to the proposal and a new structure will </w:t>
      </w:r>
      <w:r w:rsidRPr="00A769DE">
        <w:rPr>
          <w:rFonts w:ascii="Arial" w:hAnsi="Arial" w:cs="Arial"/>
          <w:color w:val="auto"/>
          <w:lang w:val="en-AU"/>
        </w:rPr>
        <w:t>be established.</w:t>
      </w:r>
      <w:r w:rsidR="008A2CD2" w:rsidRPr="00A769DE">
        <w:rPr>
          <w:rFonts w:ascii="Arial" w:hAnsi="Arial" w:cs="Arial"/>
          <w:color w:val="auto"/>
          <w:lang w:val="en-AU"/>
        </w:rPr>
        <w:t xml:space="preserve"> Development partners have also proposed to update and revise the</w:t>
      </w:r>
      <w:r w:rsidR="00834E20">
        <w:rPr>
          <w:rFonts w:ascii="Arial" w:hAnsi="Arial" w:cs="Arial"/>
          <w:color w:val="auto"/>
          <w:lang w:val="en-AU"/>
        </w:rPr>
        <w:t xml:space="preserve"> 2016</w:t>
      </w:r>
      <w:r w:rsidR="008A2CD2" w:rsidRPr="00A769DE">
        <w:rPr>
          <w:rFonts w:ascii="Arial" w:hAnsi="Arial" w:cs="Arial"/>
          <w:color w:val="auto"/>
          <w:lang w:val="en-AU"/>
        </w:rPr>
        <w:t xml:space="preserve"> ‘Indicative Private Sector Development Framework and Action Plan’, </w:t>
      </w:r>
      <w:r w:rsidR="00834E20">
        <w:rPr>
          <w:rFonts w:ascii="Arial" w:hAnsi="Arial" w:cs="Arial"/>
          <w:color w:val="auto"/>
          <w:lang w:val="en-AU"/>
        </w:rPr>
        <w:t>but whether the Government also sees this as necessary is unclear</w:t>
      </w:r>
      <w:r w:rsidR="008A2CD2" w:rsidRPr="00A769DE">
        <w:rPr>
          <w:rFonts w:ascii="Arial" w:hAnsi="Arial" w:cs="Arial"/>
          <w:color w:val="auto"/>
          <w:lang w:val="en-AU"/>
        </w:rPr>
        <w:t>.</w:t>
      </w:r>
    </w:p>
    <w:p w:rsidR="00FA6985" w:rsidRPr="00A769DE" w:rsidRDefault="00FA6985" w:rsidP="008A2CD2">
      <w:pPr>
        <w:pStyle w:val="ListParagraph"/>
        <w:tabs>
          <w:tab w:val="left" w:pos="357"/>
        </w:tabs>
        <w:suppressAutoHyphens w:val="0"/>
        <w:spacing w:before="0" w:after="20" w:line="240" w:lineRule="auto"/>
        <w:ind w:left="0"/>
        <w:contextualSpacing w:val="0"/>
        <w:jc w:val="both"/>
        <w:rPr>
          <w:rFonts w:ascii="Arial" w:hAnsi="Arial" w:cs="Arial"/>
          <w:b/>
          <w:bCs/>
          <w:i/>
          <w:iCs/>
          <w:color w:val="auto"/>
          <w:lang w:val="en-AU"/>
        </w:rPr>
      </w:pPr>
      <w:r w:rsidRPr="00A769DE">
        <w:rPr>
          <w:rFonts w:ascii="Arial" w:hAnsi="Arial" w:cs="Arial"/>
          <w:b/>
          <w:bCs/>
          <w:i/>
          <w:iCs/>
          <w:color w:val="auto"/>
          <w:lang w:val="en-AU"/>
        </w:rPr>
        <w:lastRenderedPageBreak/>
        <w:t xml:space="preserve">Figure 1 – Proposed </w:t>
      </w:r>
      <w:r w:rsidR="00EC08A3" w:rsidRPr="00A769DE">
        <w:rPr>
          <w:rFonts w:ascii="Arial" w:hAnsi="Arial" w:cs="Arial"/>
          <w:b/>
          <w:bCs/>
          <w:i/>
          <w:iCs/>
          <w:color w:val="auto"/>
          <w:lang w:val="en-AU"/>
        </w:rPr>
        <w:t xml:space="preserve">PSD and </w:t>
      </w:r>
      <w:r w:rsidRPr="00A769DE">
        <w:rPr>
          <w:rFonts w:ascii="Arial" w:hAnsi="Arial" w:cs="Arial"/>
          <w:b/>
          <w:bCs/>
          <w:i/>
          <w:iCs/>
          <w:color w:val="auto"/>
          <w:lang w:val="en-AU"/>
        </w:rPr>
        <w:t>PPD Structure</w:t>
      </w:r>
    </w:p>
    <w:p w:rsidR="00FA6985" w:rsidRPr="00A769DE" w:rsidRDefault="00D860E9" w:rsidP="00377443">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r w:rsidRPr="00A769DE">
        <w:rPr>
          <w:noProof/>
          <w:lang w:val="en-AU" w:eastAsia="en-AU"/>
        </w:rPr>
        <w:drawing>
          <wp:inline distT="0" distB="0" distL="0" distR="0">
            <wp:extent cx="5922472" cy="2834986"/>
            <wp:effectExtent l="19050" t="19050" r="21128" b="22514"/>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25001" cy="2836197"/>
                    </a:xfrm>
                    <a:prstGeom prst="rect">
                      <a:avLst/>
                    </a:prstGeom>
                    <a:noFill/>
                    <a:ln w="3175">
                      <a:solidFill>
                        <a:schemeClr val="tx1"/>
                      </a:solidFill>
                      <a:miter lim="800000"/>
                      <a:headEnd/>
                      <a:tailEnd/>
                    </a:ln>
                  </pic:spPr>
                </pic:pic>
              </a:graphicData>
            </a:graphic>
          </wp:inline>
        </w:drawing>
      </w:r>
    </w:p>
    <w:p w:rsidR="00FA6985" w:rsidRPr="00A769DE" w:rsidRDefault="00FA6985" w:rsidP="00377443">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377443" w:rsidRPr="00A769DE" w:rsidRDefault="00495B64" w:rsidP="00C57390">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T</w:t>
      </w:r>
      <w:r w:rsidR="00F71641" w:rsidRPr="00A769DE">
        <w:rPr>
          <w:rFonts w:ascii="Arial" w:hAnsi="Arial" w:cs="Arial"/>
          <w:color w:val="auto"/>
          <w:lang w:val="en-AU"/>
        </w:rPr>
        <w:t>here have been various advances in the business regulatory framework</w:t>
      </w:r>
      <w:r w:rsidR="00FE6CCB" w:rsidRPr="00A769DE">
        <w:rPr>
          <w:rFonts w:ascii="Arial" w:hAnsi="Arial" w:cs="Arial"/>
          <w:color w:val="auto"/>
          <w:lang w:val="en-AU"/>
        </w:rPr>
        <w:t xml:space="preserve"> in recent years, e.g. the new I</w:t>
      </w:r>
      <w:r w:rsidR="00F71641" w:rsidRPr="00A769DE">
        <w:rPr>
          <w:rFonts w:ascii="Arial" w:hAnsi="Arial" w:cs="Arial"/>
          <w:color w:val="auto"/>
          <w:lang w:val="en-AU"/>
        </w:rPr>
        <w:t xml:space="preserve">nvestment </w:t>
      </w:r>
      <w:r w:rsidR="00FE6CCB" w:rsidRPr="00A769DE">
        <w:rPr>
          <w:rFonts w:ascii="Arial" w:hAnsi="Arial" w:cs="Arial"/>
          <w:color w:val="auto"/>
          <w:lang w:val="en-AU"/>
        </w:rPr>
        <w:t>L</w:t>
      </w:r>
      <w:r w:rsidR="00F71641" w:rsidRPr="00A769DE">
        <w:rPr>
          <w:rFonts w:ascii="Arial" w:hAnsi="Arial" w:cs="Arial"/>
          <w:color w:val="auto"/>
          <w:lang w:val="en-AU"/>
        </w:rPr>
        <w:t xml:space="preserve">aw </w:t>
      </w:r>
      <w:r w:rsidR="00FE6CCB" w:rsidRPr="00A769DE">
        <w:rPr>
          <w:rFonts w:ascii="Arial" w:hAnsi="Arial" w:cs="Arial"/>
          <w:color w:val="auto"/>
          <w:lang w:val="en-AU"/>
        </w:rPr>
        <w:t xml:space="preserve">approved </w:t>
      </w:r>
      <w:r w:rsidR="00F71641" w:rsidRPr="00A769DE">
        <w:rPr>
          <w:rFonts w:ascii="Arial" w:hAnsi="Arial" w:cs="Arial"/>
          <w:color w:val="auto"/>
          <w:lang w:val="en-AU"/>
        </w:rPr>
        <w:t xml:space="preserve">in 2016 and </w:t>
      </w:r>
      <w:r w:rsidR="00FE6CCB" w:rsidRPr="00A769DE">
        <w:rPr>
          <w:rFonts w:ascii="Arial" w:hAnsi="Arial" w:cs="Arial"/>
          <w:color w:val="auto"/>
          <w:lang w:val="en-AU"/>
        </w:rPr>
        <w:t>the new Company L</w:t>
      </w:r>
      <w:r w:rsidR="00F71641" w:rsidRPr="00A769DE">
        <w:rPr>
          <w:rFonts w:ascii="Arial" w:hAnsi="Arial" w:cs="Arial"/>
          <w:color w:val="auto"/>
          <w:lang w:val="en-AU"/>
        </w:rPr>
        <w:t xml:space="preserve">aw </w:t>
      </w:r>
      <w:r w:rsidR="00FE6CCB" w:rsidRPr="00A769DE">
        <w:rPr>
          <w:rFonts w:ascii="Arial" w:hAnsi="Arial" w:cs="Arial"/>
          <w:color w:val="auto"/>
          <w:lang w:val="en-AU"/>
        </w:rPr>
        <w:t xml:space="preserve">approved </w:t>
      </w:r>
      <w:r w:rsidR="00F71641" w:rsidRPr="00A769DE">
        <w:rPr>
          <w:rFonts w:ascii="Arial" w:hAnsi="Arial" w:cs="Arial"/>
          <w:color w:val="auto"/>
          <w:lang w:val="en-AU"/>
        </w:rPr>
        <w:t xml:space="preserve">in 2017, </w:t>
      </w:r>
      <w:r w:rsidR="00FE6CCB" w:rsidRPr="00A769DE">
        <w:rPr>
          <w:rFonts w:ascii="Arial" w:hAnsi="Arial" w:cs="Arial"/>
          <w:color w:val="auto"/>
          <w:lang w:val="en-AU"/>
        </w:rPr>
        <w:t>and many initiative</w:t>
      </w:r>
      <w:r w:rsidRPr="00A769DE">
        <w:rPr>
          <w:rFonts w:ascii="Arial" w:hAnsi="Arial" w:cs="Arial"/>
          <w:color w:val="auto"/>
          <w:lang w:val="en-AU"/>
        </w:rPr>
        <w:t>s</w:t>
      </w:r>
      <w:r w:rsidR="00FE6CCB" w:rsidRPr="00A769DE">
        <w:rPr>
          <w:rFonts w:ascii="Arial" w:hAnsi="Arial" w:cs="Arial"/>
          <w:color w:val="auto"/>
          <w:lang w:val="en-AU"/>
        </w:rPr>
        <w:t xml:space="preserve"> are on-going, but </w:t>
      </w:r>
      <w:r w:rsidR="00F71641" w:rsidRPr="00A769DE">
        <w:rPr>
          <w:rFonts w:ascii="Arial" w:hAnsi="Arial" w:cs="Arial"/>
          <w:color w:val="auto"/>
          <w:lang w:val="en-AU"/>
        </w:rPr>
        <w:t xml:space="preserve">developments are </w:t>
      </w:r>
      <w:r w:rsidR="00FE6CCB" w:rsidRPr="00A769DE">
        <w:rPr>
          <w:rFonts w:ascii="Arial" w:hAnsi="Arial" w:cs="Arial"/>
          <w:color w:val="auto"/>
          <w:lang w:val="en-AU"/>
        </w:rPr>
        <w:t xml:space="preserve">generally very </w:t>
      </w:r>
      <w:r w:rsidR="00F71641" w:rsidRPr="00A769DE">
        <w:rPr>
          <w:rFonts w:ascii="Arial" w:hAnsi="Arial" w:cs="Arial"/>
          <w:color w:val="auto"/>
          <w:lang w:val="en-AU"/>
        </w:rPr>
        <w:t xml:space="preserve">slow. </w:t>
      </w:r>
      <w:r w:rsidR="00FE6CCB" w:rsidRPr="00A769DE">
        <w:rPr>
          <w:rFonts w:ascii="Arial" w:hAnsi="Arial" w:cs="Arial"/>
          <w:color w:val="auto"/>
          <w:lang w:val="en-AU"/>
        </w:rPr>
        <w:t>While it is clear that this to some extent is caused by the</w:t>
      </w:r>
      <w:r w:rsidRPr="00A769DE">
        <w:rPr>
          <w:rFonts w:ascii="Arial" w:hAnsi="Arial" w:cs="Arial"/>
          <w:color w:val="auto"/>
          <w:lang w:val="en-AU"/>
        </w:rPr>
        <w:t xml:space="preserve"> Government’s</w:t>
      </w:r>
      <w:r w:rsidR="00FE6CCB" w:rsidRPr="00A769DE">
        <w:rPr>
          <w:rFonts w:ascii="Arial" w:hAnsi="Arial" w:cs="Arial"/>
          <w:color w:val="auto"/>
          <w:lang w:val="en-AU"/>
        </w:rPr>
        <w:t xml:space="preserve"> limited administrative capacity, much appears to be </w:t>
      </w:r>
      <w:r w:rsidR="00BD36AF" w:rsidRPr="00A769DE">
        <w:rPr>
          <w:rFonts w:ascii="Arial" w:hAnsi="Arial" w:cs="Arial"/>
          <w:color w:val="auto"/>
          <w:lang w:val="en-AU"/>
        </w:rPr>
        <w:t>due to the l</w:t>
      </w:r>
      <w:r w:rsidR="000E3C8C" w:rsidRPr="00A769DE">
        <w:rPr>
          <w:rFonts w:ascii="Arial" w:hAnsi="Arial" w:cs="Arial"/>
          <w:color w:val="auto"/>
          <w:lang w:val="en-AU"/>
        </w:rPr>
        <w:t xml:space="preserve">ack of an overall strategy </w:t>
      </w:r>
      <w:r w:rsidR="00BD36AF" w:rsidRPr="00A769DE">
        <w:rPr>
          <w:rFonts w:ascii="Arial" w:hAnsi="Arial" w:cs="Arial"/>
          <w:color w:val="auto"/>
          <w:lang w:val="en-AU"/>
        </w:rPr>
        <w:t>and</w:t>
      </w:r>
      <w:r w:rsidRPr="00A769DE">
        <w:rPr>
          <w:rFonts w:ascii="Arial" w:hAnsi="Arial" w:cs="Arial"/>
          <w:color w:val="auto"/>
          <w:lang w:val="en-AU"/>
        </w:rPr>
        <w:t xml:space="preserve"> the Government’s</w:t>
      </w:r>
      <w:r w:rsidR="00BD36AF" w:rsidRPr="00A769DE">
        <w:rPr>
          <w:rFonts w:ascii="Arial" w:hAnsi="Arial" w:cs="Arial"/>
          <w:color w:val="auto"/>
          <w:lang w:val="en-AU"/>
        </w:rPr>
        <w:t xml:space="preserve"> “scant attention” to economic issues.</w:t>
      </w:r>
      <w:r w:rsidR="00BD36AF" w:rsidRPr="00A769DE">
        <w:rPr>
          <w:rStyle w:val="FootnoteReference"/>
          <w:rFonts w:ascii="Arial" w:hAnsi="Arial" w:cs="Arial"/>
          <w:color w:val="auto"/>
          <w:lang w:val="en-AU"/>
        </w:rPr>
        <w:footnoteReference w:id="17"/>
      </w:r>
      <w:r w:rsidR="00BD36AF" w:rsidRPr="00A769DE">
        <w:rPr>
          <w:rFonts w:ascii="Arial" w:hAnsi="Arial" w:cs="Arial"/>
          <w:color w:val="auto"/>
          <w:lang w:val="en-AU"/>
        </w:rPr>
        <w:t xml:space="preserve"> Although </w:t>
      </w:r>
      <w:r w:rsidR="00F71641" w:rsidRPr="00A769DE">
        <w:rPr>
          <w:rFonts w:ascii="Arial" w:hAnsi="Arial" w:cs="Arial"/>
          <w:color w:val="auto"/>
          <w:lang w:val="en-AU"/>
        </w:rPr>
        <w:t xml:space="preserve">the 12-point economic plan from </w:t>
      </w:r>
      <w:r w:rsidR="00BD36AF" w:rsidRPr="00A769DE">
        <w:rPr>
          <w:rFonts w:ascii="Arial" w:hAnsi="Arial" w:cs="Arial"/>
          <w:color w:val="auto"/>
          <w:lang w:val="en-AU"/>
        </w:rPr>
        <w:t xml:space="preserve">July </w:t>
      </w:r>
      <w:r w:rsidR="00F71641" w:rsidRPr="00A769DE">
        <w:rPr>
          <w:rFonts w:ascii="Arial" w:hAnsi="Arial" w:cs="Arial"/>
          <w:color w:val="auto"/>
          <w:lang w:val="en-AU"/>
        </w:rPr>
        <w:t xml:space="preserve">2016 and the Myanmar Sustainable Development Plan (MSDP) from </w:t>
      </w:r>
      <w:r w:rsidR="00834E20">
        <w:rPr>
          <w:rFonts w:ascii="Arial" w:hAnsi="Arial" w:cs="Arial"/>
          <w:color w:val="auto"/>
          <w:lang w:val="en-AU"/>
        </w:rPr>
        <w:t>August</w:t>
      </w:r>
      <w:r w:rsidR="00F71641" w:rsidRPr="00A769DE">
        <w:rPr>
          <w:rFonts w:ascii="Arial" w:hAnsi="Arial" w:cs="Arial"/>
          <w:color w:val="auto"/>
          <w:lang w:val="en-AU"/>
        </w:rPr>
        <w:t xml:space="preserve"> 2018 do mention private sector-led growth, it does not appear that there is a clear understanding on how to enable and encourage this, or any urgency in this regard.</w:t>
      </w:r>
      <w:r w:rsidR="00BD36AF" w:rsidRPr="00A769DE">
        <w:rPr>
          <w:rFonts w:ascii="Arial" w:hAnsi="Arial" w:cs="Arial"/>
          <w:color w:val="auto"/>
          <w:lang w:val="en-AU"/>
        </w:rPr>
        <w:t xml:space="preserve"> The business environment as well as the PSD reform conditions, and the possibilities for development partners to influence and support this, are thus likely to remain challenging.</w:t>
      </w:r>
    </w:p>
    <w:p w:rsidR="00377443" w:rsidRPr="00A769DE" w:rsidRDefault="00377443" w:rsidP="00377443">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F71641" w:rsidRPr="00A769DE" w:rsidRDefault="00F71641" w:rsidP="00C57390">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 xml:space="preserve">A number of development partners </w:t>
      </w:r>
      <w:r w:rsidR="007675D1" w:rsidRPr="00A769DE">
        <w:rPr>
          <w:rFonts w:ascii="Arial" w:hAnsi="Arial" w:cs="Arial"/>
          <w:color w:val="auto"/>
          <w:lang w:val="en-AU"/>
        </w:rPr>
        <w:t>a</w:t>
      </w:r>
      <w:r w:rsidR="002A2914" w:rsidRPr="00A769DE">
        <w:rPr>
          <w:rFonts w:ascii="Arial" w:hAnsi="Arial" w:cs="Arial"/>
          <w:color w:val="auto"/>
          <w:lang w:val="en-AU"/>
        </w:rPr>
        <w:t>nd some</w:t>
      </w:r>
      <w:r w:rsidR="007675D1" w:rsidRPr="00A769DE">
        <w:rPr>
          <w:rFonts w:ascii="Arial" w:hAnsi="Arial" w:cs="Arial"/>
          <w:color w:val="auto"/>
          <w:lang w:val="en-AU"/>
        </w:rPr>
        <w:t xml:space="preserve"> international non-governmental organisations (INGOs) </w:t>
      </w:r>
      <w:r w:rsidRPr="00A769DE">
        <w:rPr>
          <w:rFonts w:ascii="Arial" w:hAnsi="Arial" w:cs="Arial"/>
          <w:color w:val="auto"/>
          <w:lang w:val="en-AU"/>
        </w:rPr>
        <w:t xml:space="preserve">are involved in </w:t>
      </w:r>
      <w:r w:rsidR="00BD36AF" w:rsidRPr="00A769DE">
        <w:rPr>
          <w:rFonts w:ascii="Arial" w:hAnsi="Arial" w:cs="Arial"/>
          <w:color w:val="auto"/>
          <w:lang w:val="en-AU"/>
        </w:rPr>
        <w:t>and providing support to</w:t>
      </w:r>
      <w:r w:rsidRPr="00A769DE">
        <w:rPr>
          <w:rFonts w:ascii="Arial" w:hAnsi="Arial" w:cs="Arial"/>
          <w:color w:val="auto"/>
          <w:lang w:val="en-AU"/>
        </w:rPr>
        <w:t xml:space="preserve"> </w:t>
      </w:r>
      <w:r w:rsidR="00BD36AF" w:rsidRPr="00A769DE">
        <w:rPr>
          <w:rFonts w:ascii="Arial" w:hAnsi="Arial" w:cs="Arial"/>
          <w:color w:val="auto"/>
          <w:lang w:val="en-AU"/>
        </w:rPr>
        <w:t xml:space="preserve">the </w:t>
      </w:r>
      <w:r w:rsidRPr="00A769DE">
        <w:rPr>
          <w:rFonts w:ascii="Arial" w:hAnsi="Arial" w:cs="Arial"/>
          <w:color w:val="auto"/>
          <w:lang w:val="en-AU"/>
        </w:rPr>
        <w:t>PSD sector</w:t>
      </w:r>
      <w:r w:rsidR="00BD36AF" w:rsidRPr="00A769DE">
        <w:rPr>
          <w:rFonts w:ascii="Arial" w:hAnsi="Arial" w:cs="Arial"/>
          <w:color w:val="auto"/>
          <w:lang w:val="en-AU"/>
        </w:rPr>
        <w:t>, incl</w:t>
      </w:r>
      <w:r w:rsidRPr="00A769DE">
        <w:rPr>
          <w:rFonts w:ascii="Arial" w:hAnsi="Arial" w:cs="Arial"/>
          <w:color w:val="auto"/>
          <w:lang w:val="en-AU"/>
        </w:rPr>
        <w:t>uding the IFC, World Bank, Asian Development Bank (ADB), DFAT, DFID, Gesellschaft für Internationale Zusammenarbeit (GIZ), Japan International Cooperation Agency (JICA), United Nations Conference on Trade and Development (UNCDF) and United Nations Industrial Development Organization (UNIDO)</w:t>
      </w:r>
      <w:r w:rsidR="007675D1" w:rsidRPr="00A769DE">
        <w:rPr>
          <w:rFonts w:ascii="Arial" w:hAnsi="Arial" w:cs="Arial"/>
          <w:color w:val="auto"/>
          <w:lang w:val="en-AU"/>
        </w:rPr>
        <w:t>. M</w:t>
      </w:r>
      <w:r w:rsidRPr="00A769DE">
        <w:rPr>
          <w:rFonts w:ascii="Arial" w:hAnsi="Arial" w:cs="Arial"/>
          <w:color w:val="auto"/>
          <w:lang w:val="en-AU"/>
        </w:rPr>
        <w:t>ost agencies provide advisory services</w:t>
      </w:r>
      <w:r w:rsidR="007675D1" w:rsidRPr="00A769DE">
        <w:rPr>
          <w:rFonts w:ascii="Arial" w:hAnsi="Arial" w:cs="Arial"/>
          <w:color w:val="auto"/>
          <w:lang w:val="en-AU"/>
        </w:rPr>
        <w:t>, TA and</w:t>
      </w:r>
      <w:r w:rsidRPr="00A769DE">
        <w:rPr>
          <w:rFonts w:ascii="Arial" w:hAnsi="Arial" w:cs="Arial"/>
          <w:color w:val="auto"/>
          <w:lang w:val="en-AU"/>
        </w:rPr>
        <w:t xml:space="preserve"> capacity building, while infrastructure support appears to be limited.</w:t>
      </w:r>
      <w:r w:rsidR="007675D1" w:rsidRPr="00A769DE">
        <w:rPr>
          <w:rFonts w:ascii="Arial" w:hAnsi="Arial" w:cs="Arial"/>
          <w:color w:val="auto"/>
          <w:lang w:val="en-AU"/>
        </w:rPr>
        <w:t xml:space="preserve"> Development partners and INGOs meet </w:t>
      </w:r>
      <w:r w:rsidR="00A85ABC">
        <w:rPr>
          <w:rFonts w:ascii="Arial" w:hAnsi="Arial" w:cs="Arial"/>
          <w:color w:val="auto"/>
          <w:lang w:val="en-AU"/>
        </w:rPr>
        <w:t>quarterly</w:t>
      </w:r>
      <w:r w:rsidR="007675D1" w:rsidRPr="00A769DE">
        <w:rPr>
          <w:rFonts w:ascii="Arial" w:hAnsi="Arial" w:cs="Arial"/>
          <w:color w:val="auto"/>
          <w:lang w:val="en-AU"/>
        </w:rPr>
        <w:t xml:space="preserve"> </w:t>
      </w:r>
      <w:r w:rsidRPr="00A769DE">
        <w:rPr>
          <w:rFonts w:ascii="Arial" w:hAnsi="Arial" w:cs="Arial"/>
          <w:color w:val="auto"/>
          <w:lang w:val="en-AU"/>
        </w:rPr>
        <w:t>in the ‘Informal Development Partner Private Sector Development Forum’,</w:t>
      </w:r>
      <w:r w:rsidR="00834E20" w:rsidRPr="00A769DE">
        <w:rPr>
          <w:rStyle w:val="FootnoteReference"/>
          <w:rFonts w:ascii="Arial" w:hAnsi="Arial" w:cs="Arial"/>
          <w:color w:val="auto"/>
          <w:lang w:val="en-AU"/>
        </w:rPr>
        <w:footnoteReference w:id="18"/>
      </w:r>
      <w:r w:rsidRPr="00A769DE">
        <w:rPr>
          <w:rFonts w:ascii="Arial" w:hAnsi="Arial" w:cs="Arial"/>
          <w:color w:val="auto"/>
          <w:lang w:val="en-AU"/>
        </w:rPr>
        <w:t xml:space="preserve"> organised by the DFID-funded DaNa Facility, to exchange information on PSD and discuss relevant issues. The forum is also used by the IFC to provide updates to other donors on its engagements with the </w:t>
      </w:r>
      <w:r w:rsidR="00265A04" w:rsidRPr="00A769DE">
        <w:rPr>
          <w:rFonts w:ascii="Arial" w:hAnsi="Arial" w:cs="Arial"/>
          <w:color w:val="auto"/>
          <w:lang w:val="en-AU"/>
        </w:rPr>
        <w:t xml:space="preserve">MoC’s </w:t>
      </w:r>
      <w:r w:rsidRPr="00A769DE">
        <w:rPr>
          <w:rFonts w:ascii="Arial" w:hAnsi="Arial" w:cs="Arial"/>
          <w:color w:val="auto"/>
          <w:lang w:val="en-AU"/>
        </w:rPr>
        <w:t>Deputy Minister.</w:t>
      </w:r>
    </w:p>
    <w:p w:rsidR="000B785F" w:rsidRPr="00A769DE" w:rsidRDefault="000B785F" w:rsidP="000B785F">
      <w:pPr>
        <w:spacing w:before="0" w:after="0"/>
        <w:rPr>
          <w:rFonts w:ascii="Arial" w:hAnsi="Arial" w:cs="Arial"/>
          <w:b/>
          <w:color w:val="auto"/>
          <w:sz w:val="32"/>
          <w:szCs w:val="32"/>
          <w:lang w:val="en-AU"/>
        </w:rPr>
      </w:pPr>
      <w:bookmarkStart w:id="28" w:name="_Toc525930544"/>
      <w:r w:rsidRPr="00A769DE">
        <w:rPr>
          <w:rFonts w:ascii="Arial" w:hAnsi="Arial" w:cs="Arial"/>
          <w:color w:val="auto"/>
          <w:szCs w:val="32"/>
          <w:lang w:val="en-AU"/>
        </w:rPr>
        <w:br w:type="page"/>
      </w:r>
    </w:p>
    <w:p w:rsidR="000B785F" w:rsidRPr="00A769DE" w:rsidRDefault="00874CEE" w:rsidP="00874CEE">
      <w:pPr>
        <w:pStyle w:val="Heading1"/>
        <w:spacing w:before="0" w:after="600"/>
        <w:contextualSpacing w:val="0"/>
        <w:rPr>
          <w:rFonts w:ascii="Arial" w:hAnsi="Arial" w:cs="Arial"/>
          <w:color w:val="auto"/>
          <w:szCs w:val="32"/>
          <w:lang w:val="en-AU"/>
        </w:rPr>
      </w:pPr>
      <w:bookmarkStart w:id="29" w:name="_Toc522800474"/>
      <w:bookmarkStart w:id="30" w:name="_Toc530307594"/>
      <w:r w:rsidRPr="00A769DE">
        <w:rPr>
          <w:rFonts w:ascii="Arial" w:hAnsi="Arial" w:cs="Arial"/>
          <w:color w:val="auto"/>
          <w:szCs w:val="32"/>
          <w:lang w:val="en-AU"/>
        </w:rPr>
        <w:lastRenderedPageBreak/>
        <w:t>3</w:t>
      </w:r>
      <w:r w:rsidR="000B785F" w:rsidRPr="00A769DE">
        <w:rPr>
          <w:rFonts w:ascii="Arial" w:hAnsi="Arial" w:cs="Arial"/>
          <w:color w:val="auto"/>
          <w:szCs w:val="32"/>
          <w:lang w:val="en-AU"/>
        </w:rPr>
        <w:t>. EVALUATION FINDINGS</w:t>
      </w:r>
      <w:bookmarkEnd w:id="28"/>
      <w:bookmarkEnd w:id="29"/>
      <w:bookmarkEnd w:id="30"/>
    </w:p>
    <w:p w:rsidR="000B785F" w:rsidRPr="00A769DE" w:rsidRDefault="000B785F" w:rsidP="000B785F">
      <w:pPr>
        <w:pStyle w:val="ListParagraph"/>
        <w:numPr>
          <w:ilvl w:val="0"/>
          <w:numId w:val="15"/>
        </w:numPr>
        <w:tabs>
          <w:tab w:val="left" w:pos="357"/>
        </w:tabs>
        <w:suppressAutoHyphens w:val="0"/>
        <w:spacing w:before="0" w:after="0" w:line="240" w:lineRule="auto"/>
        <w:ind w:left="0" w:firstLine="0"/>
        <w:jc w:val="both"/>
        <w:rPr>
          <w:rFonts w:ascii="Arial" w:hAnsi="Arial" w:cs="Arial"/>
          <w:lang w:val="en-AU"/>
        </w:rPr>
      </w:pPr>
      <w:r w:rsidRPr="00A769DE">
        <w:rPr>
          <w:rFonts w:ascii="Arial" w:hAnsi="Arial" w:cs="Arial"/>
          <w:iCs/>
          <w:color w:val="auto"/>
          <w:lang w:val="en-AU"/>
        </w:rPr>
        <w:t xml:space="preserve">This chapter </w:t>
      </w:r>
      <w:r w:rsidR="00FE5C53">
        <w:rPr>
          <w:rFonts w:ascii="Arial" w:hAnsi="Arial" w:cs="Arial"/>
          <w:iCs/>
          <w:color w:val="auto"/>
          <w:lang w:val="en-AU"/>
        </w:rPr>
        <w:t>presents</w:t>
      </w:r>
      <w:r w:rsidRPr="00A769DE">
        <w:rPr>
          <w:rFonts w:ascii="Arial" w:hAnsi="Arial" w:cs="Arial"/>
          <w:iCs/>
          <w:color w:val="auto"/>
          <w:lang w:val="en-AU"/>
        </w:rPr>
        <w:t xml:space="preserve"> and discusses the </w:t>
      </w:r>
      <w:r w:rsidR="002746E1" w:rsidRPr="00A769DE">
        <w:rPr>
          <w:rFonts w:ascii="Arial" w:hAnsi="Arial" w:cs="Arial"/>
          <w:iCs/>
          <w:color w:val="auto"/>
          <w:lang w:val="en-AU"/>
        </w:rPr>
        <w:t xml:space="preserve">findings of the </w:t>
      </w:r>
      <w:r w:rsidRPr="00A769DE">
        <w:rPr>
          <w:rFonts w:ascii="Arial" w:hAnsi="Arial" w:cs="Arial"/>
          <w:iCs/>
          <w:color w:val="auto"/>
          <w:lang w:val="en-AU"/>
        </w:rPr>
        <w:t>evaluation</w:t>
      </w:r>
      <w:r w:rsidR="002746E1" w:rsidRPr="00A769DE">
        <w:rPr>
          <w:rFonts w:ascii="Arial" w:hAnsi="Arial" w:cs="Arial"/>
          <w:iCs/>
          <w:color w:val="auto"/>
          <w:lang w:val="en-AU"/>
        </w:rPr>
        <w:t>.</w:t>
      </w:r>
      <w:r w:rsidRPr="00A769DE">
        <w:rPr>
          <w:rFonts w:ascii="Arial" w:hAnsi="Arial" w:cs="Arial"/>
          <w:iCs/>
          <w:color w:val="auto"/>
          <w:lang w:val="en-AU"/>
        </w:rPr>
        <w:t xml:space="preserve"> </w:t>
      </w:r>
      <w:r w:rsidR="002746E1" w:rsidRPr="00A769DE">
        <w:rPr>
          <w:rFonts w:ascii="Arial" w:hAnsi="Arial" w:cs="Arial"/>
          <w:iCs/>
          <w:color w:val="auto"/>
          <w:lang w:val="en-AU"/>
        </w:rPr>
        <w:t xml:space="preserve">This </w:t>
      </w:r>
      <w:r w:rsidR="00FE5C53">
        <w:rPr>
          <w:rFonts w:ascii="Arial" w:hAnsi="Arial" w:cs="Arial"/>
          <w:iCs/>
          <w:color w:val="auto"/>
          <w:lang w:val="en-AU"/>
        </w:rPr>
        <w:t>covers</w:t>
      </w:r>
      <w:r w:rsidR="002746E1" w:rsidRPr="00A769DE">
        <w:rPr>
          <w:rFonts w:ascii="Arial" w:hAnsi="Arial" w:cs="Arial"/>
          <w:iCs/>
          <w:color w:val="auto"/>
          <w:lang w:val="en-AU"/>
        </w:rPr>
        <w:t xml:space="preserve"> the ICCP as a program</w:t>
      </w:r>
      <w:r w:rsidR="00FE5C53">
        <w:rPr>
          <w:rFonts w:ascii="Arial" w:hAnsi="Arial" w:cs="Arial"/>
          <w:iCs/>
          <w:color w:val="auto"/>
          <w:lang w:val="en-AU"/>
        </w:rPr>
        <w:t xml:space="preserve">, </w:t>
      </w:r>
      <w:r w:rsidR="002746E1" w:rsidRPr="00A769DE">
        <w:rPr>
          <w:rFonts w:ascii="Arial" w:hAnsi="Arial" w:cs="Arial"/>
          <w:iCs/>
          <w:color w:val="auto"/>
          <w:lang w:val="en-AU"/>
        </w:rPr>
        <w:t>the project</w:t>
      </w:r>
      <w:r w:rsidR="00B07794">
        <w:rPr>
          <w:rFonts w:ascii="Arial" w:hAnsi="Arial" w:cs="Arial"/>
          <w:iCs/>
          <w:color w:val="auto"/>
          <w:lang w:val="en-AU"/>
        </w:rPr>
        <w:t xml:space="preserve"> portfolio</w:t>
      </w:r>
      <w:r w:rsidR="00FE5C53">
        <w:rPr>
          <w:rFonts w:ascii="Arial" w:hAnsi="Arial" w:cs="Arial"/>
          <w:iCs/>
          <w:color w:val="auto"/>
          <w:lang w:val="en-AU"/>
        </w:rPr>
        <w:t xml:space="preserve">, </w:t>
      </w:r>
      <w:r w:rsidR="002746E1" w:rsidRPr="00A769DE">
        <w:rPr>
          <w:rFonts w:ascii="Arial" w:hAnsi="Arial" w:cs="Arial"/>
          <w:iCs/>
          <w:color w:val="auto"/>
          <w:lang w:val="en-AU"/>
        </w:rPr>
        <w:t>governance</w:t>
      </w:r>
      <w:r w:rsidR="00834E20">
        <w:rPr>
          <w:rFonts w:ascii="Arial" w:hAnsi="Arial" w:cs="Arial"/>
          <w:iCs/>
          <w:color w:val="auto"/>
          <w:lang w:val="en-AU"/>
        </w:rPr>
        <w:t xml:space="preserve"> </w:t>
      </w:r>
      <w:r w:rsidR="002746E1" w:rsidRPr="00A769DE">
        <w:rPr>
          <w:rFonts w:ascii="Arial" w:hAnsi="Arial" w:cs="Arial"/>
          <w:iCs/>
          <w:color w:val="auto"/>
          <w:lang w:val="en-AU"/>
        </w:rPr>
        <w:t xml:space="preserve">arrangements, </w:t>
      </w:r>
      <w:r w:rsidR="00B07794">
        <w:rPr>
          <w:rFonts w:ascii="Arial" w:hAnsi="Arial" w:cs="Arial"/>
          <w:iCs/>
          <w:color w:val="auto"/>
          <w:lang w:val="en-AU"/>
        </w:rPr>
        <w:t xml:space="preserve">progress </w:t>
      </w:r>
      <w:r w:rsidR="002746E1" w:rsidRPr="00A769DE">
        <w:rPr>
          <w:rFonts w:ascii="Arial" w:hAnsi="Arial" w:cs="Arial"/>
          <w:iCs/>
          <w:color w:val="auto"/>
          <w:lang w:val="en-AU"/>
        </w:rPr>
        <w:t xml:space="preserve">reporting, </w:t>
      </w:r>
      <w:r w:rsidR="00B07794" w:rsidRPr="00A769DE">
        <w:rPr>
          <w:rFonts w:ascii="Arial" w:hAnsi="Arial" w:cs="Arial"/>
          <w:iCs/>
          <w:color w:val="auto"/>
          <w:lang w:val="en-AU"/>
        </w:rPr>
        <w:t xml:space="preserve">gender mainstreaming, </w:t>
      </w:r>
      <w:r w:rsidR="002746E1" w:rsidRPr="00A769DE">
        <w:rPr>
          <w:rFonts w:ascii="Arial" w:hAnsi="Arial" w:cs="Arial"/>
          <w:bCs/>
          <w:iCs/>
          <w:color w:val="auto"/>
          <w:lang w:val="en-AU"/>
        </w:rPr>
        <w:t>strategic coherence and synergies</w:t>
      </w:r>
      <w:r w:rsidR="002746E1" w:rsidRPr="00A769DE">
        <w:rPr>
          <w:rFonts w:ascii="Arial" w:hAnsi="Arial" w:cs="Arial"/>
          <w:iCs/>
          <w:color w:val="auto"/>
          <w:lang w:val="en-AU"/>
        </w:rPr>
        <w:t xml:space="preserve"> between projects, and the relationship and interaction between DFAT and the IFC.</w:t>
      </w:r>
      <w:r w:rsidR="00FE5C53">
        <w:rPr>
          <w:rFonts w:ascii="Arial" w:hAnsi="Arial" w:cs="Arial"/>
          <w:iCs/>
          <w:color w:val="auto"/>
          <w:lang w:val="en-AU"/>
        </w:rPr>
        <w:t xml:space="preserve"> The final section covers lessons learned.</w:t>
      </w:r>
    </w:p>
    <w:p w:rsidR="006C756A" w:rsidRPr="00A769DE" w:rsidRDefault="006C756A" w:rsidP="000B785F">
      <w:pPr>
        <w:pStyle w:val="nm"/>
        <w:spacing w:after="0"/>
        <w:ind w:left="0"/>
        <w:rPr>
          <w:rFonts w:ascii="Arial" w:hAnsi="Arial" w:cs="Arial"/>
          <w:lang w:val="en-AU"/>
        </w:rPr>
      </w:pPr>
    </w:p>
    <w:p w:rsidR="006C756A" w:rsidRPr="00A769DE" w:rsidRDefault="006C756A" w:rsidP="006C756A">
      <w:pPr>
        <w:pStyle w:val="Heading2"/>
        <w:spacing w:before="0" w:after="60"/>
        <w:ind w:left="272" w:hanging="272"/>
        <w:rPr>
          <w:rFonts w:ascii="Arial" w:hAnsi="Arial" w:cs="Arial"/>
          <w:b/>
          <w:bCs/>
          <w:color w:val="auto"/>
          <w:sz w:val="24"/>
          <w:szCs w:val="24"/>
          <w:lang w:val="en-AU"/>
        </w:rPr>
      </w:pPr>
      <w:bookmarkStart w:id="31" w:name="_Toc525930545"/>
      <w:bookmarkStart w:id="32" w:name="_Toc530307595"/>
      <w:r w:rsidRPr="00A769DE">
        <w:rPr>
          <w:rFonts w:ascii="Arial" w:hAnsi="Arial" w:cs="Arial"/>
          <w:b/>
          <w:bCs/>
          <w:color w:val="auto"/>
          <w:sz w:val="24"/>
          <w:szCs w:val="24"/>
          <w:lang w:val="en-AU"/>
        </w:rPr>
        <w:t xml:space="preserve">3.1 </w:t>
      </w:r>
      <w:r w:rsidR="00B209AF" w:rsidRPr="00A769DE">
        <w:rPr>
          <w:rFonts w:ascii="Arial" w:hAnsi="Arial" w:cs="Arial"/>
          <w:b/>
          <w:bCs/>
          <w:color w:val="auto"/>
          <w:sz w:val="24"/>
          <w:szCs w:val="24"/>
          <w:lang w:val="en-AU"/>
        </w:rPr>
        <w:t>ICCP as a Program</w:t>
      </w:r>
      <w:bookmarkEnd w:id="31"/>
      <w:bookmarkEnd w:id="32"/>
    </w:p>
    <w:p w:rsidR="009739EA" w:rsidRPr="009739EA" w:rsidRDefault="00FE5C53" w:rsidP="009739EA">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9739EA">
        <w:rPr>
          <w:rFonts w:ascii="Arial" w:hAnsi="Arial" w:cs="Arial"/>
          <w:iCs/>
          <w:color w:val="auto"/>
          <w:lang w:val="en-AU"/>
        </w:rPr>
        <w:t xml:space="preserve">Four </w:t>
      </w:r>
      <w:r w:rsidR="009739EA" w:rsidRPr="009739EA">
        <w:rPr>
          <w:rFonts w:ascii="Arial" w:hAnsi="Arial" w:cs="Arial"/>
          <w:iCs/>
          <w:color w:val="auto"/>
          <w:lang w:val="en-AU"/>
        </w:rPr>
        <w:t xml:space="preserve">PSD-related </w:t>
      </w:r>
      <w:r w:rsidRPr="009739EA">
        <w:rPr>
          <w:rFonts w:ascii="Arial" w:hAnsi="Arial" w:cs="Arial"/>
          <w:iCs/>
          <w:color w:val="auto"/>
          <w:lang w:val="en-AU"/>
        </w:rPr>
        <w:t>projects were initiated</w:t>
      </w:r>
      <w:r w:rsidR="009739EA" w:rsidRPr="009739EA">
        <w:rPr>
          <w:rFonts w:ascii="Arial" w:hAnsi="Arial" w:cs="Arial"/>
          <w:iCs/>
          <w:color w:val="auto"/>
          <w:lang w:val="en-AU"/>
        </w:rPr>
        <w:t xml:space="preserve"> by the World Bank Group</w:t>
      </w:r>
      <w:r w:rsidRPr="009739EA">
        <w:rPr>
          <w:rFonts w:ascii="Arial" w:hAnsi="Arial" w:cs="Arial"/>
          <w:iCs/>
          <w:color w:val="auto"/>
          <w:lang w:val="en-AU"/>
        </w:rPr>
        <w:t xml:space="preserve"> in 2014 with funding </w:t>
      </w:r>
      <w:r w:rsidR="00B07794">
        <w:rPr>
          <w:rFonts w:ascii="Arial" w:hAnsi="Arial" w:cs="Arial"/>
          <w:iCs/>
          <w:color w:val="auto"/>
          <w:lang w:val="en-AU"/>
        </w:rPr>
        <w:t>from</w:t>
      </w:r>
      <w:r w:rsidRPr="009739EA">
        <w:rPr>
          <w:rFonts w:ascii="Arial" w:hAnsi="Arial" w:cs="Arial"/>
          <w:iCs/>
          <w:color w:val="auto"/>
          <w:lang w:val="en-AU"/>
        </w:rPr>
        <w:t xml:space="preserve"> DFAT and DFID via the World </w:t>
      </w:r>
      <w:r w:rsidR="009739EA" w:rsidRPr="009739EA">
        <w:rPr>
          <w:rFonts w:ascii="Arial" w:hAnsi="Arial" w:cs="Arial"/>
          <w:iCs/>
          <w:color w:val="auto"/>
          <w:lang w:val="en-AU"/>
        </w:rPr>
        <w:t>B</w:t>
      </w:r>
      <w:r w:rsidRPr="009739EA">
        <w:rPr>
          <w:rFonts w:ascii="Arial" w:hAnsi="Arial" w:cs="Arial"/>
          <w:iCs/>
          <w:color w:val="auto"/>
          <w:lang w:val="en-AU"/>
        </w:rPr>
        <w:t xml:space="preserve">ank-managed </w:t>
      </w:r>
      <w:r w:rsidR="00A10AD6" w:rsidRPr="00A10AD6">
        <w:rPr>
          <w:rFonts w:ascii="Arial" w:hAnsi="Arial" w:cs="Arial"/>
          <w:iCs/>
          <w:color w:val="auto"/>
          <w:lang w:val="en-AU"/>
        </w:rPr>
        <w:t xml:space="preserve">Myanmar Partnership </w:t>
      </w:r>
      <w:r w:rsidRPr="009739EA">
        <w:rPr>
          <w:rFonts w:ascii="Arial" w:hAnsi="Arial" w:cs="Arial"/>
          <w:iCs/>
          <w:color w:val="auto"/>
          <w:lang w:val="en-AU"/>
        </w:rPr>
        <w:t>MDTF.</w:t>
      </w:r>
      <w:r w:rsidRPr="00A769DE">
        <w:rPr>
          <w:rStyle w:val="FootnoteReference"/>
          <w:rFonts w:ascii="Arial" w:hAnsi="Arial" w:cs="Arial"/>
          <w:color w:val="auto"/>
          <w:lang w:val="en-AU"/>
        </w:rPr>
        <w:footnoteReference w:id="19"/>
      </w:r>
      <w:r w:rsidR="009739EA" w:rsidRPr="009739EA">
        <w:rPr>
          <w:rFonts w:ascii="Arial" w:hAnsi="Arial" w:cs="Arial"/>
          <w:iCs/>
          <w:color w:val="auto"/>
          <w:lang w:val="en-AU"/>
        </w:rPr>
        <w:t xml:space="preserve"> In order to enable scaling up the projects as well as over time </w:t>
      </w:r>
      <w:r w:rsidR="00B07794">
        <w:rPr>
          <w:rFonts w:ascii="Arial" w:hAnsi="Arial" w:cs="Arial"/>
          <w:iCs/>
          <w:color w:val="auto"/>
          <w:lang w:val="en-AU"/>
        </w:rPr>
        <w:t xml:space="preserve">being able to </w:t>
      </w:r>
      <w:r w:rsidR="009739EA" w:rsidRPr="009739EA">
        <w:rPr>
          <w:rFonts w:ascii="Arial" w:hAnsi="Arial" w:cs="Arial"/>
          <w:iCs/>
          <w:color w:val="auto"/>
          <w:lang w:val="en-AU"/>
        </w:rPr>
        <w:t xml:space="preserve">accommodate emerging demands from the GoM and the private sector for new initiatives, </w:t>
      </w:r>
      <w:r w:rsidR="00081E4C">
        <w:rPr>
          <w:rFonts w:ascii="Arial" w:hAnsi="Arial" w:cs="Arial"/>
          <w:iCs/>
          <w:color w:val="auto"/>
          <w:lang w:val="en-AU"/>
        </w:rPr>
        <w:t xml:space="preserve">the </w:t>
      </w:r>
      <w:r w:rsidR="00081E4C" w:rsidRPr="009739EA">
        <w:rPr>
          <w:rFonts w:ascii="Arial" w:hAnsi="Arial" w:cs="Arial"/>
          <w:iCs/>
          <w:color w:val="auto"/>
          <w:lang w:val="en-AU"/>
        </w:rPr>
        <w:t>World Bank Group</w:t>
      </w:r>
      <w:r w:rsidR="00081E4C">
        <w:rPr>
          <w:rFonts w:ascii="Arial" w:hAnsi="Arial" w:cs="Arial"/>
          <w:iCs/>
          <w:color w:val="auto"/>
          <w:lang w:val="en-AU"/>
        </w:rPr>
        <w:t>, DFAT and DFID</w:t>
      </w:r>
      <w:r w:rsidR="009739EA" w:rsidRPr="009739EA">
        <w:rPr>
          <w:rFonts w:ascii="Arial" w:hAnsi="Arial" w:cs="Arial"/>
          <w:iCs/>
          <w:color w:val="auto"/>
          <w:lang w:val="en-AU"/>
        </w:rPr>
        <w:t xml:space="preserve"> </w:t>
      </w:r>
      <w:r w:rsidR="00B07794">
        <w:rPr>
          <w:rFonts w:ascii="Arial" w:hAnsi="Arial" w:cs="Arial"/>
          <w:iCs/>
          <w:color w:val="auto"/>
          <w:lang w:val="en-AU"/>
        </w:rPr>
        <w:t xml:space="preserve">agreed that the ICCP should be </w:t>
      </w:r>
      <w:r w:rsidR="009739EA" w:rsidRPr="009739EA">
        <w:rPr>
          <w:rFonts w:ascii="Arial" w:hAnsi="Arial" w:cs="Arial"/>
          <w:iCs/>
          <w:color w:val="auto"/>
          <w:lang w:val="en-AU"/>
        </w:rPr>
        <w:t>a ‘program of knowledge services’</w:t>
      </w:r>
      <w:r w:rsidR="00B07794">
        <w:rPr>
          <w:rFonts w:ascii="Arial" w:hAnsi="Arial" w:cs="Arial"/>
          <w:iCs/>
          <w:color w:val="auto"/>
          <w:lang w:val="en-AU"/>
        </w:rPr>
        <w:t>. This would</w:t>
      </w:r>
      <w:r w:rsidR="009739EA" w:rsidRPr="009739EA">
        <w:rPr>
          <w:rFonts w:ascii="Arial" w:hAnsi="Arial" w:cs="Arial"/>
          <w:iCs/>
          <w:color w:val="auto"/>
          <w:lang w:val="en-AU"/>
        </w:rPr>
        <w:t xml:space="preserve"> contribute to expandin</w:t>
      </w:r>
      <w:r w:rsidR="00B07794">
        <w:rPr>
          <w:rFonts w:ascii="Arial" w:hAnsi="Arial" w:cs="Arial"/>
          <w:iCs/>
          <w:color w:val="auto"/>
          <w:lang w:val="en-AU"/>
        </w:rPr>
        <w:t>g market opportunities and encourage</w:t>
      </w:r>
      <w:r w:rsidR="009739EA" w:rsidRPr="009739EA">
        <w:rPr>
          <w:rFonts w:ascii="Arial" w:hAnsi="Arial" w:cs="Arial"/>
          <w:iCs/>
          <w:color w:val="auto"/>
          <w:lang w:val="en-AU"/>
        </w:rPr>
        <w:t xml:space="preserve"> </w:t>
      </w:r>
      <w:r w:rsidR="00B07794">
        <w:rPr>
          <w:rFonts w:ascii="Arial" w:hAnsi="Arial" w:cs="Arial"/>
          <w:iCs/>
          <w:color w:val="auto"/>
          <w:lang w:val="en-AU"/>
        </w:rPr>
        <w:t xml:space="preserve">more </w:t>
      </w:r>
      <w:r w:rsidR="009739EA" w:rsidRPr="009739EA">
        <w:rPr>
          <w:rFonts w:ascii="Arial" w:hAnsi="Arial" w:cs="Arial"/>
          <w:iCs/>
          <w:color w:val="auto"/>
          <w:lang w:val="en-AU"/>
        </w:rPr>
        <w:t xml:space="preserve">private sector initiative through economy-wide </w:t>
      </w:r>
      <w:r w:rsidR="009739EA">
        <w:rPr>
          <w:rFonts w:ascii="Arial" w:hAnsi="Arial" w:cs="Arial"/>
          <w:iCs/>
          <w:color w:val="auto"/>
          <w:lang w:val="en-AU"/>
        </w:rPr>
        <w:t>and sectoral engagements.</w:t>
      </w:r>
      <w:r w:rsidR="009739EA" w:rsidRPr="00A769DE">
        <w:rPr>
          <w:rStyle w:val="FootnoteReference"/>
          <w:rFonts w:ascii="Arial" w:hAnsi="Arial" w:cs="Arial"/>
          <w:color w:val="auto"/>
          <w:lang w:val="en-AU"/>
        </w:rPr>
        <w:footnoteReference w:id="20"/>
      </w:r>
    </w:p>
    <w:p w:rsidR="0082265A" w:rsidRDefault="0082265A" w:rsidP="00081E4C">
      <w:pPr>
        <w:pStyle w:val="ListParagraph"/>
        <w:tabs>
          <w:tab w:val="left" w:pos="357"/>
        </w:tabs>
        <w:suppressAutoHyphens w:val="0"/>
        <w:spacing w:before="0" w:after="0" w:line="240" w:lineRule="auto"/>
        <w:ind w:left="0"/>
        <w:jc w:val="both"/>
        <w:rPr>
          <w:rFonts w:ascii="Arial" w:hAnsi="Arial" w:cs="Arial"/>
          <w:iCs/>
          <w:color w:val="auto"/>
          <w:lang w:val="en-AU"/>
        </w:rPr>
      </w:pPr>
    </w:p>
    <w:p w:rsidR="00085FBC" w:rsidRDefault="000F553A" w:rsidP="00BF0838">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BF0838">
        <w:rPr>
          <w:rFonts w:ascii="Arial" w:hAnsi="Arial" w:cs="Arial"/>
          <w:color w:val="auto"/>
          <w:lang w:val="en-AU"/>
        </w:rPr>
        <w:t xml:space="preserve">The World Bank Group’s 2015 Concept Note stated the </w:t>
      </w:r>
      <w:r w:rsidRPr="00BF0838">
        <w:rPr>
          <w:rFonts w:ascii="Arial" w:hAnsi="Arial" w:cs="Arial"/>
          <w:color w:val="auto"/>
          <w:u w:val="single"/>
          <w:lang w:val="en-AU"/>
        </w:rPr>
        <w:t>ov</w:t>
      </w:r>
      <w:r w:rsidRPr="00BF0838">
        <w:rPr>
          <w:rFonts w:ascii="Arial" w:hAnsi="Arial" w:cs="Arial"/>
          <w:iCs/>
          <w:color w:val="auto"/>
          <w:u w:val="single"/>
          <w:lang w:val="en-AU"/>
        </w:rPr>
        <w:t>erall goal</w:t>
      </w:r>
      <w:r w:rsidRPr="00BF0838">
        <w:rPr>
          <w:rFonts w:ascii="Arial" w:hAnsi="Arial" w:cs="Arial"/>
          <w:iCs/>
          <w:color w:val="auto"/>
          <w:lang w:val="en-AU"/>
        </w:rPr>
        <w:t xml:space="preserve"> of the ICCP as “</w:t>
      </w:r>
      <w:r w:rsidRPr="00BF0838">
        <w:rPr>
          <w:rFonts w:ascii="Arial" w:hAnsi="Arial" w:cs="Arial"/>
          <w:i/>
          <w:color w:val="auto"/>
          <w:lang w:val="en-AU"/>
        </w:rPr>
        <w:t>an increase in investment and trade resulting in more jobs and higher incomes, for firms and citizens throughout Myanmar</w:t>
      </w:r>
      <w:r w:rsidRPr="00BF0838">
        <w:rPr>
          <w:rFonts w:ascii="Arial" w:hAnsi="Arial" w:cs="Arial"/>
          <w:iCs/>
          <w:color w:val="auto"/>
          <w:lang w:val="en-AU"/>
        </w:rPr>
        <w:t xml:space="preserve">”, while the </w:t>
      </w:r>
      <w:r w:rsidRPr="00C544A1">
        <w:rPr>
          <w:rFonts w:ascii="Arial" w:hAnsi="Arial" w:cs="Arial"/>
          <w:iCs/>
          <w:color w:val="auto"/>
          <w:u w:val="single"/>
          <w:lang w:val="en-AU"/>
        </w:rPr>
        <w:t>objective</w:t>
      </w:r>
      <w:r w:rsidRPr="00BF0838">
        <w:rPr>
          <w:rFonts w:ascii="Arial" w:hAnsi="Arial" w:cs="Arial"/>
          <w:iCs/>
          <w:color w:val="auto"/>
          <w:lang w:val="en-AU"/>
        </w:rPr>
        <w:t xml:space="preserve"> of the ICCP </w:t>
      </w:r>
      <w:r w:rsidRPr="00BF0838">
        <w:rPr>
          <w:rFonts w:ascii="Arial" w:hAnsi="Arial" w:cs="Arial"/>
          <w:color w:val="auto"/>
          <w:lang w:val="en-AU"/>
        </w:rPr>
        <w:t>w</w:t>
      </w:r>
      <w:r w:rsidR="00B07794">
        <w:rPr>
          <w:rFonts w:ascii="Arial" w:hAnsi="Arial" w:cs="Arial"/>
          <w:color w:val="auto"/>
          <w:lang w:val="en-AU"/>
        </w:rPr>
        <w:t>ould be</w:t>
      </w:r>
      <w:r w:rsidRPr="00BF0838">
        <w:rPr>
          <w:rFonts w:ascii="Arial" w:hAnsi="Arial" w:cs="Arial"/>
          <w:color w:val="auto"/>
          <w:lang w:val="en-AU"/>
        </w:rPr>
        <w:t xml:space="preserve"> “</w:t>
      </w:r>
      <w:r w:rsidRPr="00BF0838">
        <w:rPr>
          <w:rFonts w:ascii="Arial" w:hAnsi="Arial" w:cs="Arial"/>
          <w:i/>
          <w:iCs/>
          <w:color w:val="auto"/>
          <w:lang w:val="en-AU"/>
        </w:rPr>
        <w:t>to improve the competitiveness and dynamism of the private sector to increase trade and investment and create jobs in Myanmar</w:t>
      </w:r>
      <w:r w:rsidRPr="00BF0838">
        <w:rPr>
          <w:rFonts w:ascii="Arial" w:hAnsi="Arial" w:cs="Arial"/>
          <w:color w:val="auto"/>
          <w:lang w:val="en-AU"/>
        </w:rPr>
        <w:t>”.</w:t>
      </w:r>
      <w:r w:rsidR="00BF0838" w:rsidRPr="00BF0838">
        <w:rPr>
          <w:rFonts w:ascii="Arial" w:hAnsi="Arial" w:cs="Arial"/>
          <w:color w:val="auto"/>
          <w:lang w:val="en-AU"/>
        </w:rPr>
        <w:t xml:space="preserve"> </w:t>
      </w:r>
      <w:r w:rsidR="00B07794">
        <w:rPr>
          <w:rFonts w:ascii="Arial" w:hAnsi="Arial" w:cs="Arial"/>
          <w:color w:val="auto"/>
          <w:lang w:val="en-AU"/>
        </w:rPr>
        <w:t>However, t</w:t>
      </w:r>
      <w:r w:rsidR="00BF0838" w:rsidRPr="00BF0838">
        <w:rPr>
          <w:rFonts w:ascii="Arial" w:hAnsi="Arial" w:cs="Arial"/>
          <w:color w:val="auto"/>
          <w:lang w:val="en-AU"/>
        </w:rPr>
        <w:t>hese statements have changed somewhat over time. For example, the q</w:t>
      </w:r>
      <w:r w:rsidR="00BF0838" w:rsidRPr="00BF0838">
        <w:rPr>
          <w:rFonts w:ascii="Arial" w:hAnsi="Arial" w:cs="Arial"/>
          <w:iCs/>
          <w:color w:val="auto"/>
          <w:lang w:val="en-AU"/>
        </w:rPr>
        <w:t xml:space="preserve">uarterly ICCP report from April 2017 </w:t>
      </w:r>
      <w:r w:rsidR="00BF0838">
        <w:rPr>
          <w:rFonts w:ascii="Arial" w:hAnsi="Arial" w:cs="Arial"/>
          <w:iCs/>
          <w:color w:val="auto"/>
          <w:lang w:val="en-AU"/>
        </w:rPr>
        <w:t>stated that</w:t>
      </w:r>
      <w:r w:rsidR="00BF0838" w:rsidRPr="00BF0838">
        <w:rPr>
          <w:rFonts w:ascii="Arial" w:hAnsi="Arial" w:cs="Arial"/>
          <w:iCs/>
          <w:color w:val="auto"/>
          <w:lang w:val="en-AU"/>
        </w:rPr>
        <w:t xml:space="preserve"> the </w:t>
      </w:r>
      <w:r w:rsidR="00BF0838" w:rsidRPr="00BF0838">
        <w:rPr>
          <w:rFonts w:ascii="Arial" w:hAnsi="Arial" w:cs="Arial"/>
          <w:iCs/>
          <w:color w:val="auto"/>
          <w:u w:val="single"/>
          <w:lang w:val="en-AU"/>
        </w:rPr>
        <w:t>objective</w:t>
      </w:r>
      <w:r w:rsidR="00BF0838">
        <w:rPr>
          <w:rFonts w:ascii="Arial" w:hAnsi="Arial" w:cs="Arial"/>
          <w:iCs/>
          <w:color w:val="auto"/>
          <w:lang w:val="en-AU"/>
        </w:rPr>
        <w:t xml:space="preserve"> i</w:t>
      </w:r>
      <w:r w:rsidR="00BF0838" w:rsidRPr="00BF0838">
        <w:rPr>
          <w:rFonts w:ascii="Arial" w:hAnsi="Arial" w:cs="Arial"/>
          <w:iCs/>
          <w:color w:val="auto"/>
          <w:lang w:val="en-AU"/>
        </w:rPr>
        <w:t xml:space="preserve">s </w:t>
      </w:r>
      <w:r w:rsidR="00BF0838">
        <w:rPr>
          <w:rFonts w:ascii="Arial" w:hAnsi="Arial" w:cs="Arial"/>
          <w:iCs/>
          <w:color w:val="auto"/>
          <w:lang w:val="en-AU"/>
        </w:rPr>
        <w:t>“</w:t>
      </w:r>
      <w:r w:rsidR="00BF0838" w:rsidRPr="00BF0838">
        <w:rPr>
          <w:rFonts w:ascii="Arial" w:hAnsi="Arial" w:cs="Arial"/>
          <w:i/>
          <w:color w:val="auto"/>
          <w:lang w:val="en-AU"/>
        </w:rPr>
        <w:t>to improve the enabling environment for private sector growth in Myanmar by supporting legal and regulatory reforms in areas of World Bank Group comparative advantage and by strengthening the advocacy role of the private sector</w:t>
      </w:r>
      <w:r w:rsidR="00BF0838">
        <w:rPr>
          <w:rFonts w:ascii="Arial" w:hAnsi="Arial" w:cs="Arial"/>
          <w:iCs/>
          <w:color w:val="auto"/>
          <w:lang w:val="en-AU"/>
        </w:rPr>
        <w:t xml:space="preserve">”, while an IFC discussion paper from May 2018 stated that the </w:t>
      </w:r>
      <w:r w:rsidR="00BF0838" w:rsidRPr="00BF0838">
        <w:rPr>
          <w:rFonts w:ascii="Arial" w:hAnsi="Arial" w:cs="Arial"/>
          <w:iCs/>
          <w:color w:val="auto"/>
          <w:u w:val="single"/>
          <w:lang w:val="en-AU"/>
        </w:rPr>
        <w:t>objective</w:t>
      </w:r>
      <w:r w:rsidR="00BF0838">
        <w:rPr>
          <w:rFonts w:ascii="Arial" w:hAnsi="Arial" w:cs="Arial"/>
          <w:iCs/>
          <w:color w:val="auto"/>
          <w:lang w:val="en-AU"/>
        </w:rPr>
        <w:t xml:space="preserve"> is “</w:t>
      </w:r>
      <w:r w:rsidR="00BF0838" w:rsidRPr="00BF0838">
        <w:rPr>
          <w:rFonts w:ascii="Arial" w:hAnsi="Arial" w:cs="Arial"/>
          <w:i/>
          <w:color w:val="auto"/>
          <w:lang w:val="en-AU"/>
        </w:rPr>
        <w:t>to generate sustainable investment, trade and employment that will contribute to poverty reduction and shared prosperity through increased economic opportunity and incomes for the people of Myanmar</w:t>
      </w:r>
      <w:r w:rsidR="00BF0838">
        <w:rPr>
          <w:rFonts w:ascii="Arial" w:hAnsi="Arial" w:cs="Arial"/>
          <w:iCs/>
          <w:color w:val="auto"/>
          <w:lang w:val="en-AU"/>
        </w:rPr>
        <w:t>”.</w:t>
      </w:r>
      <w:r w:rsidR="00B07794" w:rsidRPr="00A769DE">
        <w:rPr>
          <w:rStyle w:val="FootnoteReference"/>
          <w:rFonts w:ascii="Arial" w:hAnsi="Arial" w:cs="Arial"/>
          <w:color w:val="auto"/>
          <w:lang w:val="en-AU"/>
        </w:rPr>
        <w:footnoteReference w:id="21"/>
      </w:r>
      <w:r w:rsidR="00C544A1">
        <w:rPr>
          <w:rFonts w:ascii="Arial" w:hAnsi="Arial" w:cs="Arial"/>
          <w:iCs/>
          <w:color w:val="auto"/>
          <w:lang w:val="en-AU"/>
        </w:rPr>
        <w:t xml:space="preserve"> </w:t>
      </w:r>
      <w:r w:rsidR="009E6FD5" w:rsidRPr="009E6FD5">
        <w:rPr>
          <w:rFonts w:ascii="Arial" w:hAnsi="Arial" w:cs="Arial"/>
          <w:iCs/>
          <w:color w:val="auto"/>
          <w:lang w:val="en-AU"/>
        </w:rPr>
        <w:t>While the IFC refers to these changes as ‘organic growth’</w:t>
      </w:r>
      <w:r w:rsidR="009E6FD5">
        <w:rPr>
          <w:rFonts w:ascii="Arial" w:hAnsi="Arial" w:cs="Arial"/>
          <w:iCs/>
          <w:color w:val="auto"/>
          <w:lang w:val="en-AU"/>
        </w:rPr>
        <w:t xml:space="preserve"> (</w:t>
      </w:r>
      <w:r w:rsidR="009E6FD5" w:rsidRPr="009E6FD5">
        <w:rPr>
          <w:rFonts w:ascii="Arial" w:hAnsi="Arial" w:cs="Arial"/>
          <w:iCs/>
          <w:color w:val="auto"/>
          <w:lang w:val="en-AU"/>
        </w:rPr>
        <w:t>in response to a dynamic market context</w:t>
      </w:r>
      <w:r w:rsidR="009E6FD5">
        <w:rPr>
          <w:rFonts w:ascii="Arial" w:hAnsi="Arial" w:cs="Arial"/>
          <w:iCs/>
          <w:color w:val="auto"/>
          <w:lang w:val="en-AU"/>
        </w:rPr>
        <w:t xml:space="preserve">, </w:t>
      </w:r>
      <w:r w:rsidR="009E6FD5" w:rsidRPr="009E6FD5">
        <w:rPr>
          <w:rFonts w:ascii="Arial" w:hAnsi="Arial" w:cs="Arial"/>
          <w:iCs/>
          <w:color w:val="auto"/>
          <w:lang w:val="en-AU"/>
        </w:rPr>
        <w:t>close engagement between the IFC and its donor partners</w:t>
      </w:r>
      <w:r w:rsidR="009E6FD5">
        <w:rPr>
          <w:rFonts w:ascii="Arial" w:hAnsi="Arial" w:cs="Arial"/>
          <w:iCs/>
          <w:color w:val="auto"/>
          <w:lang w:val="en-AU"/>
        </w:rPr>
        <w:t xml:space="preserve">, and </w:t>
      </w:r>
      <w:r w:rsidR="009E6FD5" w:rsidRPr="009E6FD5">
        <w:rPr>
          <w:rFonts w:ascii="Arial" w:hAnsi="Arial" w:cs="Arial"/>
          <w:iCs/>
          <w:color w:val="auto"/>
          <w:lang w:val="en-AU"/>
        </w:rPr>
        <w:t>an additional financial contribution by DFID</w:t>
      </w:r>
      <w:r w:rsidR="009E6FD5">
        <w:rPr>
          <w:rFonts w:ascii="Arial" w:hAnsi="Arial" w:cs="Arial"/>
          <w:iCs/>
          <w:color w:val="auto"/>
          <w:lang w:val="en-AU"/>
        </w:rPr>
        <w:t>)</w:t>
      </w:r>
      <w:r w:rsidR="009E6FD5" w:rsidRPr="009E6FD5">
        <w:rPr>
          <w:rFonts w:ascii="Arial" w:hAnsi="Arial" w:cs="Arial"/>
          <w:iCs/>
          <w:color w:val="auto"/>
          <w:lang w:val="en-AU"/>
        </w:rPr>
        <w:t>,</w:t>
      </w:r>
      <w:r w:rsidR="001913CF">
        <w:rPr>
          <w:rFonts w:ascii="Arial" w:hAnsi="Arial" w:cs="Arial"/>
          <w:iCs/>
          <w:color w:val="auto"/>
          <w:lang w:val="en-AU"/>
        </w:rPr>
        <w:t xml:space="preserve"> it is not clear that there </w:t>
      </w:r>
      <w:r w:rsidR="00CE0D2E">
        <w:rPr>
          <w:rFonts w:ascii="Arial" w:hAnsi="Arial" w:cs="Arial"/>
          <w:iCs/>
          <w:color w:val="auto"/>
          <w:lang w:val="en-AU"/>
        </w:rPr>
        <w:t xml:space="preserve">over time has been a </w:t>
      </w:r>
      <w:r w:rsidR="009E6FD5" w:rsidRPr="009E6FD5">
        <w:rPr>
          <w:rFonts w:ascii="Arial" w:hAnsi="Arial" w:cs="Arial"/>
          <w:iCs/>
          <w:color w:val="auto"/>
          <w:lang w:val="en-AU"/>
        </w:rPr>
        <w:t>general</w:t>
      </w:r>
      <w:r w:rsidR="00CE0D2E" w:rsidRPr="009E6FD5">
        <w:rPr>
          <w:rFonts w:ascii="Arial" w:hAnsi="Arial" w:cs="Arial"/>
          <w:iCs/>
          <w:color w:val="auto"/>
          <w:lang w:val="en-AU"/>
        </w:rPr>
        <w:t xml:space="preserve"> </w:t>
      </w:r>
      <w:r w:rsidR="009E6FD5">
        <w:rPr>
          <w:rFonts w:ascii="Arial" w:hAnsi="Arial" w:cs="Arial"/>
          <w:iCs/>
          <w:color w:val="auto"/>
          <w:lang w:val="en-AU"/>
        </w:rPr>
        <w:t>and shared</w:t>
      </w:r>
      <w:r w:rsidR="00CE0D2E">
        <w:rPr>
          <w:rFonts w:ascii="Arial" w:hAnsi="Arial" w:cs="Arial"/>
          <w:iCs/>
          <w:color w:val="auto"/>
          <w:lang w:val="en-AU"/>
        </w:rPr>
        <w:t xml:space="preserve"> understanding of the </w:t>
      </w:r>
      <w:r w:rsidR="001913CF">
        <w:rPr>
          <w:rFonts w:ascii="Arial" w:hAnsi="Arial" w:cs="Arial"/>
          <w:iCs/>
          <w:color w:val="auto"/>
          <w:lang w:val="en-AU"/>
        </w:rPr>
        <w:t xml:space="preserve">overall </w:t>
      </w:r>
      <w:r w:rsidR="00EA3894">
        <w:rPr>
          <w:rFonts w:ascii="Arial" w:hAnsi="Arial" w:cs="Arial"/>
          <w:iCs/>
          <w:color w:val="auto"/>
          <w:lang w:val="en-AU"/>
        </w:rPr>
        <w:t xml:space="preserve">direction </w:t>
      </w:r>
      <w:r w:rsidR="00CE0D2E">
        <w:rPr>
          <w:rFonts w:ascii="Arial" w:hAnsi="Arial" w:cs="Arial"/>
          <w:iCs/>
          <w:color w:val="auto"/>
          <w:lang w:val="en-AU"/>
        </w:rPr>
        <w:t>of the ICCP</w:t>
      </w:r>
      <w:r w:rsidR="00EA3894">
        <w:rPr>
          <w:rFonts w:ascii="Arial" w:hAnsi="Arial" w:cs="Arial"/>
          <w:iCs/>
          <w:color w:val="auto"/>
          <w:lang w:val="en-AU"/>
        </w:rPr>
        <w:t xml:space="preserve"> with end of program outcomes</w:t>
      </w:r>
      <w:r w:rsidR="009E6FD5">
        <w:rPr>
          <w:rFonts w:ascii="Arial" w:hAnsi="Arial" w:cs="Arial"/>
          <w:iCs/>
          <w:color w:val="auto"/>
          <w:lang w:val="en-AU"/>
        </w:rPr>
        <w:t xml:space="preserve"> between all partners</w:t>
      </w:r>
      <w:r w:rsidR="00CE0D2E">
        <w:rPr>
          <w:rFonts w:ascii="Arial" w:hAnsi="Arial" w:cs="Arial"/>
          <w:iCs/>
          <w:color w:val="auto"/>
          <w:lang w:val="en-AU"/>
        </w:rPr>
        <w:t>.</w:t>
      </w:r>
    </w:p>
    <w:p w:rsidR="00C544A1" w:rsidRDefault="00C544A1" w:rsidP="00081E4C">
      <w:pPr>
        <w:pStyle w:val="ListParagraph"/>
        <w:tabs>
          <w:tab w:val="left" w:pos="357"/>
        </w:tabs>
        <w:suppressAutoHyphens w:val="0"/>
        <w:spacing w:before="0" w:after="0" w:line="240" w:lineRule="auto"/>
        <w:ind w:left="0"/>
        <w:jc w:val="both"/>
        <w:rPr>
          <w:rFonts w:ascii="Arial" w:hAnsi="Arial" w:cs="Arial"/>
          <w:iCs/>
          <w:color w:val="auto"/>
          <w:lang w:val="en-AU"/>
        </w:rPr>
      </w:pPr>
    </w:p>
    <w:p w:rsidR="006C756A" w:rsidRPr="00A769DE" w:rsidRDefault="006C756A" w:rsidP="006C756A">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 xml:space="preserve">The </w:t>
      </w:r>
      <w:r w:rsidR="009E0BA7">
        <w:rPr>
          <w:rFonts w:ascii="Arial" w:hAnsi="Arial" w:cs="Arial"/>
          <w:color w:val="auto"/>
          <w:lang w:val="en-AU"/>
        </w:rPr>
        <w:t xml:space="preserve">2015 </w:t>
      </w:r>
      <w:r w:rsidRPr="00A769DE">
        <w:rPr>
          <w:rFonts w:ascii="Arial" w:hAnsi="Arial" w:cs="Arial"/>
          <w:color w:val="auto"/>
          <w:lang w:val="en-AU"/>
        </w:rPr>
        <w:t>Concept Note described the ICCP as a ‘program’,</w:t>
      </w:r>
      <w:r w:rsidR="00081E4C">
        <w:rPr>
          <w:rFonts w:ascii="Arial" w:hAnsi="Arial" w:cs="Arial"/>
          <w:color w:val="auto"/>
          <w:lang w:val="en-AU"/>
        </w:rPr>
        <w:t xml:space="preserve"> </w:t>
      </w:r>
      <w:r w:rsidRPr="00A769DE">
        <w:rPr>
          <w:rFonts w:ascii="Arial" w:hAnsi="Arial" w:cs="Arial"/>
          <w:color w:val="auto"/>
          <w:lang w:val="en-AU"/>
        </w:rPr>
        <w:t>presented program interventions (components</w:t>
      </w:r>
      <w:r w:rsidR="000F553A">
        <w:rPr>
          <w:rFonts w:ascii="Arial" w:hAnsi="Arial" w:cs="Arial"/>
          <w:color w:val="auto"/>
          <w:lang w:val="en-AU"/>
        </w:rPr>
        <w:t>/projects</w:t>
      </w:r>
      <w:r w:rsidRPr="00A769DE">
        <w:rPr>
          <w:rFonts w:ascii="Arial" w:hAnsi="Arial" w:cs="Arial"/>
          <w:color w:val="auto"/>
          <w:lang w:val="en-AU"/>
        </w:rPr>
        <w:t xml:space="preserve">), </w:t>
      </w:r>
      <w:r w:rsidR="00081E4C">
        <w:rPr>
          <w:rFonts w:ascii="Arial" w:hAnsi="Arial" w:cs="Arial"/>
          <w:color w:val="auto"/>
          <w:lang w:val="en-AU"/>
        </w:rPr>
        <w:t>noted</w:t>
      </w:r>
      <w:r w:rsidRPr="00A769DE">
        <w:rPr>
          <w:rFonts w:ascii="Arial" w:hAnsi="Arial" w:cs="Arial"/>
          <w:color w:val="auto"/>
          <w:lang w:val="en-AU"/>
        </w:rPr>
        <w:t xml:space="preserve"> the “</w:t>
      </w:r>
      <w:r w:rsidRPr="009E0BA7">
        <w:rPr>
          <w:rFonts w:ascii="Arial" w:hAnsi="Arial" w:cs="Arial"/>
          <w:i/>
          <w:iCs/>
          <w:color w:val="auto"/>
          <w:lang w:val="en-AU"/>
        </w:rPr>
        <w:t>long term programmatic nature</w:t>
      </w:r>
      <w:r w:rsidRPr="00A769DE">
        <w:rPr>
          <w:rFonts w:ascii="Arial" w:hAnsi="Arial" w:cs="Arial"/>
          <w:color w:val="auto"/>
          <w:lang w:val="en-AU"/>
        </w:rPr>
        <w:t xml:space="preserve">” of the ICCP, and included a </w:t>
      </w:r>
      <w:r w:rsidR="009E0BA7">
        <w:rPr>
          <w:rFonts w:ascii="Arial" w:hAnsi="Arial" w:cs="Arial"/>
          <w:color w:val="auto"/>
          <w:lang w:val="en-AU"/>
        </w:rPr>
        <w:t xml:space="preserve">draft </w:t>
      </w:r>
      <w:r w:rsidRPr="00A769DE">
        <w:rPr>
          <w:rFonts w:ascii="Arial" w:hAnsi="Arial" w:cs="Arial"/>
          <w:color w:val="auto"/>
          <w:lang w:val="en-AU"/>
        </w:rPr>
        <w:t>conceptual logframe</w:t>
      </w:r>
      <w:r w:rsidR="0082265A">
        <w:rPr>
          <w:rFonts w:ascii="Arial" w:hAnsi="Arial" w:cs="Arial"/>
          <w:color w:val="auto"/>
          <w:lang w:val="en-AU"/>
        </w:rPr>
        <w:t xml:space="preserve"> with impact- and outcome-level indicators</w:t>
      </w:r>
      <w:r w:rsidRPr="00A769DE">
        <w:rPr>
          <w:rFonts w:ascii="Arial" w:hAnsi="Arial" w:cs="Arial"/>
          <w:color w:val="auto"/>
          <w:lang w:val="en-AU"/>
        </w:rPr>
        <w:t>. DFAT’s Investment Design Summary and DFID’s Business Case</w:t>
      </w:r>
      <w:r w:rsidR="00134228" w:rsidRPr="00A769DE">
        <w:rPr>
          <w:rStyle w:val="FootnoteReference"/>
          <w:rFonts w:ascii="Arial" w:hAnsi="Arial" w:cs="Arial"/>
          <w:color w:val="auto"/>
          <w:lang w:val="en-AU"/>
        </w:rPr>
        <w:footnoteReference w:id="22"/>
      </w:r>
      <w:r w:rsidRPr="00A769DE">
        <w:rPr>
          <w:rFonts w:ascii="Arial" w:hAnsi="Arial" w:cs="Arial"/>
          <w:color w:val="auto"/>
          <w:lang w:val="en-AU"/>
        </w:rPr>
        <w:t xml:space="preserve"> likewise presented the ICCP as a program.</w:t>
      </w:r>
    </w:p>
    <w:p w:rsidR="0082265A" w:rsidRDefault="0082265A" w:rsidP="006C756A">
      <w:pPr>
        <w:pStyle w:val="ListParagraph"/>
        <w:tabs>
          <w:tab w:val="left" w:pos="357"/>
        </w:tabs>
        <w:suppressAutoHyphens w:val="0"/>
        <w:spacing w:before="0" w:after="0" w:line="240" w:lineRule="auto"/>
        <w:ind w:left="0"/>
        <w:jc w:val="both"/>
        <w:rPr>
          <w:rFonts w:ascii="Arial" w:hAnsi="Arial" w:cs="Arial"/>
          <w:iCs/>
          <w:color w:val="auto"/>
          <w:lang w:val="en-AU"/>
        </w:rPr>
      </w:pPr>
    </w:p>
    <w:p w:rsidR="00407EDF" w:rsidRPr="00C22A28" w:rsidRDefault="006C756A" w:rsidP="006C756A">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C22A28">
        <w:rPr>
          <w:rFonts w:ascii="Arial" w:hAnsi="Arial" w:cs="Arial"/>
          <w:color w:val="auto"/>
          <w:lang w:val="en-AU"/>
        </w:rPr>
        <w:t xml:space="preserve">However, the ICCP has in practice functioned only as a framework for a number of </w:t>
      </w:r>
      <w:r w:rsidR="00081E4C" w:rsidRPr="00C22A28">
        <w:rPr>
          <w:rFonts w:ascii="Arial" w:hAnsi="Arial" w:cs="Arial"/>
          <w:color w:val="auto"/>
          <w:lang w:val="en-AU"/>
        </w:rPr>
        <w:t>discreet</w:t>
      </w:r>
      <w:r w:rsidRPr="00C22A28">
        <w:rPr>
          <w:rFonts w:ascii="Arial" w:hAnsi="Arial" w:cs="Arial"/>
          <w:color w:val="auto"/>
          <w:lang w:val="en-AU"/>
        </w:rPr>
        <w:t xml:space="preserve"> PSD-related projects</w:t>
      </w:r>
      <w:r w:rsidR="00CE0D2E" w:rsidRPr="00C22A28">
        <w:rPr>
          <w:rFonts w:ascii="Arial" w:hAnsi="Arial" w:cs="Arial"/>
          <w:color w:val="auto"/>
          <w:lang w:val="en-AU"/>
        </w:rPr>
        <w:t>, and t</w:t>
      </w:r>
      <w:r w:rsidR="00081E4C" w:rsidRPr="00C22A28">
        <w:rPr>
          <w:rFonts w:ascii="Arial" w:hAnsi="Arial" w:cs="Arial"/>
          <w:color w:val="auto"/>
          <w:lang w:val="en-AU"/>
        </w:rPr>
        <w:t>here has been no discernible program approach</w:t>
      </w:r>
      <w:r w:rsidR="00CE0D2E" w:rsidRPr="00C22A28">
        <w:rPr>
          <w:rFonts w:ascii="Arial" w:hAnsi="Arial" w:cs="Arial"/>
          <w:color w:val="auto"/>
          <w:lang w:val="en-AU"/>
        </w:rPr>
        <w:t xml:space="preserve">. This </w:t>
      </w:r>
      <w:r w:rsidR="00081E4C" w:rsidRPr="00C22A28">
        <w:rPr>
          <w:rFonts w:ascii="Arial" w:hAnsi="Arial" w:cs="Arial"/>
          <w:color w:val="auto"/>
          <w:lang w:val="en-AU"/>
        </w:rPr>
        <w:t xml:space="preserve">is </w:t>
      </w:r>
      <w:r w:rsidR="00B80160" w:rsidRPr="00C22A28">
        <w:rPr>
          <w:rFonts w:ascii="Arial" w:hAnsi="Arial" w:cs="Arial"/>
          <w:color w:val="auto"/>
          <w:lang w:val="en-AU"/>
        </w:rPr>
        <w:t>seen</w:t>
      </w:r>
      <w:r w:rsidRPr="00C22A28">
        <w:rPr>
          <w:rFonts w:ascii="Arial" w:hAnsi="Arial" w:cs="Arial"/>
          <w:color w:val="auto"/>
          <w:lang w:val="en-AU"/>
        </w:rPr>
        <w:t xml:space="preserve"> in the </w:t>
      </w:r>
      <w:r w:rsidR="00407EDF" w:rsidRPr="00C22A28">
        <w:rPr>
          <w:rFonts w:ascii="Arial" w:hAnsi="Arial" w:cs="Arial"/>
          <w:color w:val="auto"/>
          <w:lang w:val="en-AU"/>
        </w:rPr>
        <w:t xml:space="preserve">fact that the </w:t>
      </w:r>
      <w:r w:rsidR="00B80160" w:rsidRPr="00C22A28">
        <w:rPr>
          <w:rFonts w:ascii="Arial" w:hAnsi="Arial" w:cs="Arial"/>
          <w:color w:val="auto"/>
          <w:lang w:val="en-AU"/>
        </w:rPr>
        <w:t>proposed</w:t>
      </w:r>
      <w:r w:rsidR="00407EDF" w:rsidRPr="00C22A28">
        <w:rPr>
          <w:rFonts w:ascii="Arial" w:hAnsi="Arial" w:cs="Arial"/>
          <w:color w:val="auto"/>
          <w:lang w:val="en-AU"/>
        </w:rPr>
        <w:t xml:space="preserve"> </w:t>
      </w:r>
      <w:r w:rsidRPr="00C22A28">
        <w:rPr>
          <w:rFonts w:ascii="Arial" w:hAnsi="Arial" w:cs="Arial"/>
          <w:color w:val="auto"/>
          <w:lang w:val="en-AU"/>
        </w:rPr>
        <w:t xml:space="preserve">ICCP logframe </w:t>
      </w:r>
      <w:r w:rsidR="009E6FD5" w:rsidRPr="006B33E3">
        <w:rPr>
          <w:rFonts w:ascii="Arial" w:hAnsi="Arial" w:cs="Arial"/>
          <w:color w:val="auto"/>
          <w:lang w:val="en-AU"/>
        </w:rPr>
        <w:t xml:space="preserve">included in the World Bank Group’s 2015 Concept Note </w:t>
      </w:r>
      <w:r w:rsidR="00407EDF" w:rsidRPr="00C22A28">
        <w:rPr>
          <w:rFonts w:ascii="Arial" w:hAnsi="Arial" w:cs="Arial"/>
          <w:color w:val="auto"/>
          <w:lang w:val="en-AU"/>
        </w:rPr>
        <w:t xml:space="preserve">was </w:t>
      </w:r>
      <w:r w:rsidR="00407EDF" w:rsidRPr="00C22A28">
        <w:rPr>
          <w:rFonts w:ascii="Arial" w:hAnsi="Arial" w:cs="Arial"/>
          <w:color w:val="auto"/>
          <w:lang w:val="en-AU"/>
        </w:rPr>
        <w:lastRenderedPageBreak/>
        <w:t>never</w:t>
      </w:r>
      <w:r w:rsidRPr="00C22A28">
        <w:rPr>
          <w:rFonts w:ascii="Arial" w:hAnsi="Arial" w:cs="Arial"/>
          <w:color w:val="auto"/>
          <w:lang w:val="en-AU"/>
        </w:rPr>
        <w:t xml:space="preserve"> finalised and </w:t>
      </w:r>
      <w:r w:rsidR="00C22A28" w:rsidRPr="00C22A28">
        <w:rPr>
          <w:rFonts w:ascii="Arial" w:hAnsi="Arial" w:cs="Arial"/>
          <w:color w:val="auto"/>
          <w:lang w:val="en-AU"/>
        </w:rPr>
        <w:t>operationalised</w:t>
      </w:r>
      <w:r w:rsidR="00407EDF" w:rsidRPr="00C22A28">
        <w:rPr>
          <w:rFonts w:ascii="Arial" w:hAnsi="Arial" w:cs="Arial"/>
          <w:color w:val="auto"/>
          <w:lang w:val="en-AU"/>
        </w:rPr>
        <w:t>,</w:t>
      </w:r>
      <w:r w:rsidR="009640B7" w:rsidRPr="00A769DE">
        <w:rPr>
          <w:rStyle w:val="FootnoteReference"/>
          <w:rFonts w:ascii="Arial" w:hAnsi="Arial" w:cs="Arial"/>
          <w:color w:val="auto"/>
          <w:lang w:val="en-AU"/>
        </w:rPr>
        <w:footnoteReference w:id="23"/>
      </w:r>
      <w:r w:rsidR="00407EDF" w:rsidRPr="00C22A28">
        <w:rPr>
          <w:rFonts w:ascii="Arial" w:hAnsi="Arial" w:cs="Arial"/>
          <w:color w:val="auto"/>
          <w:lang w:val="en-AU"/>
        </w:rPr>
        <w:t xml:space="preserve"> </w:t>
      </w:r>
      <w:r w:rsidR="00B80160" w:rsidRPr="00C22A28">
        <w:rPr>
          <w:rFonts w:ascii="Arial" w:hAnsi="Arial" w:cs="Arial"/>
          <w:color w:val="auto"/>
          <w:lang w:val="en-AU"/>
        </w:rPr>
        <w:t xml:space="preserve">and hence </w:t>
      </w:r>
      <w:r w:rsidR="00C22A28" w:rsidRPr="00C22A28">
        <w:rPr>
          <w:rFonts w:ascii="Arial" w:hAnsi="Arial" w:cs="Arial"/>
          <w:color w:val="auto"/>
          <w:lang w:val="en-AU"/>
        </w:rPr>
        <w:t>that no</w:t>
      </w:r>
      <w:r w:rsidR="00B80160" w:rsidRPr="00C22A28">
        <w:rPr>
          <w:rFonts w:ascii="Arial" w:hAnsi="Arial" w:cs="Arial"/>
          <w:color w:val="auto"/>
          <w:lang w:val="en-AU"/>
        </w:rPr>
        <w:t xml:space="preserve"> ICCP-level </w:t>
      </w:r>
      <w:r w:rsidR="00C22A28" w:rsidRPr="00C22A28">
        <w:rPr>
          <w:rFonts w:ascii="Arial" w:hAnsi="Arial" w:cs="Arial"/>
          <w:color w:val="auto"/>
          <w:lang w:val="en-AU"/>
        </w:rPr>
        <w:t xml:space="preserve">M&amp;E measures were </w:t>
      </w:r>
      <w:r w:rsidR="00C22A28">
        <w:rPr>
          <w:rFonts w:ascii="Arial" w:hAnsi="Arial" w:cs="Arial"/>
          <w:color w:val="auto"/>
          <w:lang w:val="en-AU"/>
        </w:rPr>
        <w:t>applied</w:t>
      </w:r>
      <w:r w:rsidR="00B80160" w:rsidRPr="00C22A28">
        <w:rPr>
          <w:rFonts w:ascii="Arial" w:hAnsi="Arial" w:cs="Arial"/>
          <w:color w:val="auto"/>
          <w:lang w:val="en-AU"/>
        </w:rPr>
        <w:t xml:space="preserve"> (</w:t>
      </w:r>
      <w:r w:rsidR="009E0BA7">
        <w:rPr>
          <w:rFonts w:ascii="Arial" w:hAnsi="Arial" w:cs="Arial"/>
          <w:color w:val="auto"/>
          <w:lang w:val="en-AU"/>
        </w:rPr>
        <w:t>which would have been necessary to</w:t>
      </w:r>
      <w:r w:rsidR="00B80160" w:rsidRPr="00C22A28">
        <w:rPr>
          <w:rFonts w:ascii="Arial" w:hAnsi="Arial" w:cs="Arial"/>
          <w:color w:val="auto"/>
          <w:lang w:val="en-AU"/>
        </w:rPr>
        <w:t xml:space="preserve"> assess long</w:t>
      </w:r>
      <w:r w:rsidR="00C22A28" w:rsidRPr="00C22A28">
        <w:rPr>
          <w:rFonts w:ascii="Arial" w:hAnsi="Arial" w:cs="Arial"/>
          <w:color w:val="auto"/>
          <w:lang w:val="en-AU"/>
        </w:rPr>
        <w:t xml:space="preserve">er </w:t>
      </w:r>
      <w:r w:rsidR="00B80160" w:rsidRPr="00C22A28">
        <w:rPr>
          <w:rFonts w:ascii="Arial" w:hAnsi="Arial" w:cs="Arial"/>
          <w:color w:val="auto"/>
          <w:lang w:val="en-AU"/>
        </w:rPr>
        <w:t xml:space="preserve">term </w:t>
      </w:r>
      <w:r w:rsidR="00C22A28">
        <w:rPr>
          <w:rFonts w:ascii="Arial" w:hAnsi="Arial" w:cs="Arial"/>
          <w:color w:val="auto"/>
          <w:lang w:val="en-AU"/>
        </w:rPr>
        <w:t>developments</w:t>
      </w:r>
      <w:r w:rsidR="00B80160" w:rsidRPr="00C22A28">
        <w:rPr>
          <w:rFonts w:ascii="Arial" w:hAnsi="Arial" w:cs="Arial"/>
          <w:color w:val="auto"/>
          <w:lang w:val="en-AU"/>
        </w:rPr>
        <w:t xml:space="preserve"> at the strategic PSD level)</w:t>
      </w:r>
      <w:r w:rsidR="00C22A28" w:rsidRPr="00C22A28">
        <w:rPr>
          <w:rFonts w:ascii="Arial" w:hAnsi="Arial" w:cs="Arial"/>
          <w:color w:val="auto"/>
          <w:lang w:val="en-AU"/>
        </w:rPr>
        <w:t>,</w:t>
      </w:r>
      <w:r w:rsidR="006B33E3" w:rsidRPr="00A769DE">
        <w:rPr>
          <w:rStyle w:val="FootnoteReference"/>
          <w:rFonts w:ascii="Arial" w:hAnsi="Arial" w:cs="Arial"/>
          <w:color w:val="auto"/>
          <w:lang w:val="en-AU"/>
        </w:rPr>
        <w:footnoteReference w:id="24"/>
      </w:r>
      <w:r w:rsidR="00C22A28" w:rsidRPr="00C22A28">
        <w:rPr>
          <w:rFonts w:ascii="Arial" w:hAnsi="Arial" w:cs="Arial"/>
          <w:color w:val="auto"/>
          <w:lang w:val="en-AU"/>
        </w:rPr>
        <w:t xml:space="preserve"> which meant that </w:t>
      </w:r>
      <w:r w:rsidR="00B80160" w:rsidRPr="00C22A28">
        <w:rPr>
          <w:rFonts w:ascii="Arial" w:hAnsi="Arial" w:cs="Arial"/>
          <w:color w:val="auto"/>
          <w:lang w:val="en-AU"/>
        </w:rPr>
        <w:t xml:space="preserve">the </w:t>
      </w:r>
      <w:r w:rsidRPr="00C22A28">
        <w:rPr>
          <w:rFonts w:ascii="Arial" w:hAnsi="Arial" w:cs="Arial"/>
          <w:color w:val="auto"/>
          <w:lang w:val="en-AU"/>
        </w:rPr>
        <w:t>ICCP progress report</w:t>
      </w:r>
      <w:r w:rsidR="00CE0D2E" w:rsidRPr="00C22A28">
        <w:rPr>
          <w:rFonts w:ascii="Arial" w:hAnsi="Arial" w:cs="Arial"/>
          <w:color w:val="auto"/>
          <w:lang w:val="en-AU"/>
        </w:rPr>
        <w:t xml:space="preserve">s </w:t>
      </w:r>
      <w:r w:rsidR="009E0BA7">
        <w:rPr>
          <w:rFonts w:ascii="Arial" w:hAnsi="Arial" w:cs="Arial"/>
          <w:color w:val="auto"/>
          <w:lang w:val="en-AU"/>
        </w:rPr>
        <w:t>could on</w:t>
      </w:r>
      <w:r w:rsidR="00834E20">
        <w:rPr>
          <w:rFonts w:ascii="Arial" w:hAnsi="Arial" w:cs="Arial"/>
          <w:color w:val="auto"/>
          <w:lang w:val="en-AU"/>
        </w:rPr>
        <w:t xml:space="preserve">ly </w:t>
      </w:r>
      <w:r w:rsidRPr="00C22A28">
        <w:rPr>
          <w:rFonts w:ascii="Arial" w:hAnsi="Arial" w:cs="Arial"/>
          <w:color w:val="auto"/>
          <w:lang w:val="en-AU"/>
        </w:rPr>
        <w:t>cover</w:t>
      </w:r>
      <w:r w:rsidR="009E0BA7">
        <w:rPr>
          <w:rFonts w:ascii="Arial" w:hAnsi="Arial" w:cs="Arial"/>
          <w:color w:val="auto"/>
          <w:lang w:val="en-AU"/>
        </w:rPr>
        <w:t xml:space="preserve"> </w:t>
      </w:r>
      <w:r w:rsidRPr="00C22A28">
        <w:rPr>
          <w:rFonts w:ascii="Arial" w:hAnsi="Arial" w:cs="Arial"/>
          <w:color w:val="auto"/>
          <w:lang w:val="en-AU"/>
        </w:rPr>
        <w:t>the project-level.</w:t>
      </w:r>
      <w:r w:rsidR="00407EDF" w:rsidRPr="006B33E3">
        <w:rPr>
          <w:rFonts w:ascii="Arial" w:hAnsi="Arial" w:cs="Arial"/>
          <w:color w:val="auto"/>
          <w:lang w:val="en-AU"/>
        </w:rPr>
        <w:t xml:space="preserve"> </w:t>
      </w:r>
      <w:r w:rsidR="00C22A28" w:rsidRPr="006B33E3">
        <w:rPr>
          <w:rFonts w:ascii="Arial" w:hAnsi="Arial" w:cs="Arial"/>
          <w:color w:val="auto"/>
          <w:lang w:val="en-AU"/>
        </w:rPr>
        <w:t>Th</w:t>
      </w:r>
      <w:r w:rsidR="006B33E3">
        <w:rPr>
          <w:rFonts w:ascii="Arial" w:hAnsi="Arial" w:cs="Arial"/>
          <w:color w:val="auto"/>
          <w:lang w:val="en-AU"/>
        </w:rPr>
        <w:t xml:space="preserve">e IFC has thus </w:t>
      </w:r>
      <w:r w:rsidR="006B33E3" w:rsidRPr="006B33E3">
        <w:rPr>
          <w:rFonts w:ascii="Arial" w:hAnsi="Arial" w:cs="Arial"/>
          <w:color w:val="auto"/>
          <w:lang w:val="en-AU"/>
        </w:rPr>
        <w:t xml:space="preserve">focused on </w:t>
      </w:r>
      <w:r w:rsidR="006B33E3" w:rsidRPr="006B33E3">
        <w:rPr>
          <w:rFonts w:ascii="Arial" w:hAnsi="Arial" w:cs="Arial"/>
          <w:i/>
          <w:iCs/>
          <w:color w:val="auto"/>
          <w:lang w:val="en-AU"/>
        </w:rPr>
        <w:t>project</w:t>
      </w:r>
      <w:r w:rsidR="006B33E3" w:rsidRPr="006B33E3">
        <w:rPr>
          <w:rFonts w:ascii="Arial" w:hAnsi="Arial" w:cs="Arial"/>
          <w:color w:val="auto"/>
          <w:lang w:val="en-AU"/>
        </w:rPr>
        <w:t xml:space="preserve"> management, including facilitation of project implementation, </w:t>
      </w:r>
      <w:r w:rsidR="006B33E3">
        <w:rPr>
          <w:rFonts w:ascii="Arial" w:hAnsi="Arial" w:cs="Arial"/>
          <w:color w:val="auto"/>
          <w:lang w:val="en-AU"/>
        </w:rPr>
        <w:t xml:space="preserve">and </w:t>
      </w:r>
      <w:r w:rsidR="00407EDF" w:rsidRPr="00C22A28">
        <w:rPr>
          <w:rFonts w:ascii="Arial" w:hAnsi="Arial" w:cs="Arial"/>
          <w:color w:val="auto"/>
          <w:lang w:val="en-AU"/>
        </w:rPr>
        <w:t xml:space="preserve">donor </w:t>
      </w:r>
      <w:r w:rsidR="00E15A9B" w:rsidRPr="00C22A28">
        <w:rPr>
          <w:rFonts w:ascii="Arial" w:hAnsi="Arial" w:cs="Arial"/>
          <w:color w:val="auto"/>
          <w:lang w:val="en-AU"/>
        </w:rPr>
        <w:t>coordina</w:t>
      </w:r>
      <w:r w:rsidR="00E15A9B">
        <w:rPr>
          <w:rFonts w:ascii="Arial" w:hAnsi="Arial" w:cs="Arial"/>
          <w:color w:val="auto"/>
          <w:lang w:val="en-AU"/>
        </w:rPr>
        <w:t>t</w:t>
      </w:r>
      <w:r w:rsidR="00E15A9B" w:rsidRPr="00C22A28">
        <w:rPr>
          <w:rFonts w:ascii="Arial" w:hAnsi="Arial" w:cs="Arial"/>
          <w:color w:val="auto"/>
          <w:lang w:val="en-AU"/>
        </w:rPr>
        <w:t>ion</w:t>
      </w:r>
      <w:r w:rsidR="00407EDF" w:rsidRPr="00C22A28">
        <w:rPr>
          <w:rFonts w:ascii="Arial" w:hAnsi="Arial" w:cs="Arial"/>
          <w:color w:val="auto"/>
          <w:lang w:val="en-AU"/>
        </w:rPr>
        <w:t xml:space="preserve"> </w:t>
      </w:r>
      <w:r w:rsidR="00CE0D2E" w:rsidRPr="00C22A28">
        <w:rPr>
          <w:rFonts w:ascii="Arial" w:hAnsi="Arial" w:cs="Arial"/>
          <w:color w:val="auto"/>
          <w:lang w:val="en-AU"/>
        </w:rPr>
        <w:t>(</w:t>
      </w:r>
      <w:r w:rsidR="00C22A28">
        <w:rPr>
          <w:rFonts w:ascii="Arial" w:hAnsi="Arial" w:cs="Arial"/>
          <w:color w:val="auto"/>
          <w:lang w:val="en-AU"/>
        </w:rPr>
        <w:t>arranging</w:t>
      </w:r>
      <w:r w:rsidR="00CE0D2E" w:rsidRPr="00C22A28">
        <w:rPr>
          <w:rFonts w:ascii="Arial" w:hAnsi="Arial" w:cs="Arial"/>
          <w:color w:val="auto"/>
          <w:lang w:val="en-AU"/>
        </w:rPr>
        <w:t xml:space="preserve"> quarterly meetings, preparing quarterly project-level reports, </w:t>
      </w:r>
      <w:r w:rsidR="006B33E3">
        <w:rPr>
          <w:rFonts w:ascii="Arial" w:hAnsi="Arial" w:cs="Arial"/>
          <w:color w:val="auto"/>
          <w:lang w:val="en-AU"/>
        </w:rPr>
        <w:t>developing</w:t>
      </w:r>
      <w:r w:rsidR="00CE0D2E" w:rsidRPr="00C22A28">
        <w:rPr>
          <w:rFonts w:ascii="Arial" w:hAnsi="Arial" w:cs="Arial"/>
          <w:color w:val="auto"/>
          <w:lang w:val="en-AU"/>
        </w:rPr>
        <w:t xml:space="preserve"> inputs </w:t>
      </w:r>
      <w:r w:rsidR="00C22A28">
        <w:rPr>
          <w:rFonts w:ascii="Arial" w:hAnsi="Arial" w:cs="Arial"/>
          <w:color w:val="auto"/>
          <w:lang w:val="en-AU"/>
        </w:rPr>
        <w:t xml:space="preserve">for </w:t>
      </w:r>
      <w:r w:rsidR="00CE0D2E" w:rsidRPr="00C22A28">
        <w:rPr>
          <w:rFonts w:ascii="Arial" w:hAnsi="Arial" w:cs="Arial"/>
          <w:color w:val="auto"/>
          <w:lang w:val="en-AU"/>
        </w:rPr>
        <w:t xml:space="preserve">and participating in the </w:t>
      </w:r>
      <w:r w:rsidR="00A10AD6" w:rsidRPr="00A10AD6">
        <w:rPr>
          <w:rFonts w:ascii="Arial" w:hAnsi="Arial" w:cs="Arial"/>
          <w:iCs/>
          <w:color w:val="auto"/>
          <w:lang w:val="en-AU"/>
        </w:rPr>
        <w:t xml:space="preserve">Myanmar Partnership </w:t>
      </w:r>
      <w:r w:rsidR="00CE0D2E" w:rsidRPr="00C22A28">
        <w:rPr>
          <w:rFonts w:ascii="Arial" w:hAnsi="Arial" w:cs="Arial"/>
          <w:color w:val="auto"/>
          <w:lang w:val="en-AU"/>
        </w:rPr>
        <w:t>MDTF Steering Committee meetings, etc</w:t>
      </w:r>
      <w:r w:rsidR="00CE0D2E" w:rsidRPr="006B33E3">
        <w:rPr>
          <w:rFonts w:ascii="Arial" w:hAnsi="Arial" w:cs="Arial"/>
          <w:color w:val="auto"/>
          <w:lang w:val="en-AU"/>
        </w:rPr>
        <w:t>.)</w:t>
      </w:r>
      <w:r w:rsidR="006B33E3">
        <w:rPr>
          <w:rFonts w:ascii="Arial" w:hAnsi="Arial" w:cs="Arial"/>
          <w:color w:val="auto"/>
          <w:lang w:val="en-AU"/>
        </w:rPr>
        <w:t xml:space="preserve">, and not at </w:t>
      </w:r>
      <w:r w:rsidR="006B33E3" w:rsidRPr="006B33E3">
        <w:rPr>
          <w:rFonts w:ascii="Arial" w:hAnsi="Arial" w:cs="Arial"/>
          <w:i/>
          <w:iCs/>
          <w:color w:val="auto"/>
          <w:lang w:val="en-AU"/>
        </w:rPr>
        <w:t>program</w:t>
      </w:r>
      <w:r w:rsidR="006B33E3">
        <w:rPr>
          <w:rFonts w:ascii="Arial" w:hAnsi="Arial" w:cs="Arial"/>
          <w:color w:val="auto"/>
          <w:lang w:val="en-AU"/>
        </w:rPr>
        <w:t xml:space="preserve"> management (which would of course would have been challenging given the lack of a ICCP logframe with clearly defined and agreed</w:t>
      </w:r>
      <w:r w:rsidR="00C22A28">
        <w:rPr>
          <w:rFonts w:ascii="Arial" w:hAnsi="Arial" w:cs="Arial"/>
          <w:color w:val="auto"/>
          <w:lang w:val="en-AU"/>
        </w:rPr>
        <w:t xml:space="preserve"> program-level outcomes and impacts</w:t>
      </w:r>
      <w:r w:rsidR="006B33E3">
        <w:rPr>
          <w:rFonts w:ascii="Arial" w:hAnsi="Arial" w:cs="Arial"/>
          <w:color w:val="auto"/>
          <w:lang w:val="en-AU"/>
        </w:rPr>
        <w:t>)</w:t>
      </w:r>
      <w:r w:rsidR="005211A8" w:rsidRPr="006B33E3">
        <w:rPr>
          <w:rFonts w:ascii="Arial" w:hAnsi="Arial" w:cs="Arial"/>
          <w:color w:val="auto"/>
          <w:lang w:val="en-AU"/>
        </w:rPr>
        <w:t>.</w:t>
      </w:r>
    </w:p>
    <w:p w:rsidR="00407EDF" w:rsidRPr="00A769DE" w:rsidRDefault="00407EDF" w:rsidP="006C756A">
      <w:pPr>
        <w:pStyle w:val="ListParagraph"/>
        <w:tabs>
          <w:tab w:val="left" w:pos="357"/>
        </w:tabs>
        <w:suppressAutoHyphens w:val="0"/>
        <w:spacing w:before="0" w:after="0" w:line="240" w:lineRule="auto"/>
        <w:ind w:left="0"/>
        <w:jc w:val="both"/>
        <w:rPr>
          <w:rFonts w:ascii="Arial" w:hAnsi="Arial" w:cs="Arial"/>
          <w:iCs/>
          <w:color w:val="auto"/>
          <w:lang w:val="en-AU"/>
        </w:rPr>
      </w:pPr>
    </w:p>
    <w:p w:rsidR="000B785F" w:rsidRPr="00A769DE" w:rsidRDefault="00874CEE" w:rsidP="000B785F">
      <w:pPr>
        <w:pStyle w:val="Heading2"/>
        <w:spacing w:before="0" w:after="60"/>
        <w:ind w:left="272" w:hanging="272"/>
        <w:rPr>
          <w:rFonts w:ascii="Arial" w:hAnsi="Arial" w:cs="Arial"/>
          <w:b/>
          <w:bCs/>
          <w:color w:val="auto"/>
          <w:sz w:val="24"/>
          <w:szCs w:val="24"/>
          <w:lang w:val="en-AU"/>
        </w:rPr>
      </w:pPr>
      <w:bookmarkStart w:id="33" w:name="_Toc522800475"/>
      <w:bookmarkStart w:id="34" w:name="_Toc525930546"/>
      <w:bookmarkStart w:id="35" w:name="_Toc530307596"/>
      <w:r w:rsidRPr="00A769DE">
        <w:rPr>
          <w:rFonts w:ascii="Arial" w:hAnsi="Arial" w:cs="Arial"/>
          <w:b/>
          <w:bCs/>
          <w:color w:val="auto"/>
          <w:sz w:val="24"/>
          <w:szCs w:val="24"/>
          <w:lang w:val="en-AU"/>
        </w:rPr>
        <w:t>3</w:t>
      </w:r>
      <w:r w:rsidR="000B785F" w:rsidRPr="00A769DE">
        <w:rPr>
          <w:rFonts w:ascii="Arial" w:hAnsi="Arial" w:cs="Arial"/>
          <w:b/>
          <w:bCs/>
          <w:color w:val="auto"/>
          <w:sz w:val="24"/>
          <w:szCs w:val="24"/>
          <w:lang w:val="en-AU"/>
        </w:rPr>
        <w:t>.</w:t>
      </w:r>
      <w:r w:rsidR="006C756A" w:rsidRPr="00A769DE">
        <w:rPr>
          <w:rFonts w:ascii="Arial" w:hAnsi="Arial" w:cs="Arial"/>
          <w:b/>
          <w:bCs/>
          <w:color w:val="auto"/>
          <w:sz w:val="24"/>
          <w:szCs w:val="24"/>
          <w:lang w:val="en-AU"/>
        </w:rPr>
        <w:t>2</w:t>
      </w:r>
      <w:r w:rsidR="000B785F" w:rsidRPr="00A769DE">
        <w:rPr>
          <w:rFonts w:ascii="Arial" w:hAnsi="Arial" w:cs="Arial"/>
          <w:b/>
          <w:bCs/>
          <w:color w:val="auto"/>
          <w:sz w:val="24"/>
          <w:szCs w:val="24"/>
          <w:lang w:val="en-AU"/>
        </w:rPr>
        <w:t xml:space="preserve"> </w:t>
      </w:r>
      <w:r w:rsidR="00B209AF" w:rsidRPr="00A769DE">
        <w:rPr>
          <w:rFonts w:ascii="Arial" w:hAnsi="Arial" w:cs="Arial"/>
          <w:b/>
          <w:bCs/>
          <w:color w:val="auto"/>
          <w:sz w:val="24"/>
          <w:szCs w:val="24"/>
          <w:lang w:val="en-AU"/>
        </w:rPr>
        <w:t xml:space="preserve">The </w:t>
      </w:r>
      <w:r w:rsidR="00C21B92">
        <w:rPr>
          <w:rFonts w:ascii="Arial" w:hAnsi="Arial" w:cs="Arial"/>
          <w:b/>
          <w:bCs/>
          <w:color w:val="auto"/>
          <w:sz w:val="24"/>
          <w:szCs w:val="24"/>
          <w:lang w:val="en-AU"/>
        </w:rPr>
        <w:t xml:space="preserve">ICCP </w:t>
      </w:r>
      <w:r w:rsidR="00B209AF" w:rsidRPr="00A769DE">
        <w:rPr>
          <w:rFonts w:ascii="Arial" w:hAnsi="Arial" w:cs="Arial"/>
          <w:b/>
          <w:bCs/>
          <w:color w:val="auto"/>
          <w:sz w:val="24"/>
          <w:szCs w:val="24"/>
          <w:lang w:val="en-AU"/>
        </w:rPr>
        <w:t>Project</w:t>
      </w:r>
      <w:r w:rsidR="00C21B92">
        <w:rPr>
          <w:rFonts w:ascii="Arial" w:hAnsi="Arial" w:cs="Arial"/>
          <w:b/>
          <w:bCs/>
          <w:color w:val="auto"/>
          <w:sz w:val="24"/>
          <w:szCs w:val="24"/>
          <w:lang w:val="en-AU"/>
        </w:rPr>
        <w:t xml:space="preserve"> Portfolio</w:t>
      </w:r>
      <w:bookmarkEnd w:id="33"/>
      <w:bookmarkEnd w:id="34"/>
      <w:bookmarkEnd w:id="35"/>
    </w:p>
    <w:p w:rsidR="0086397E" w:rsidRPr="00A769DE" w:rsidRDefault="0086397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A769DE">
        <w:rPr>
          <w:rFonts w:ascii="Arial" w:hAnsi="Arial" w:cs="Arial"/>
          <w:color w:val="auto"/>
          <w:lang w:val="en-AU"/>
        </w:rPr>
        <w:t xml:space="preserve">The </w:t>
      </w:r>
      <w:r w:rsidR="00E7679E">
        <w:rPr>
          <w:rFonts w:ascii="Arial" w:hAnsi="Arial" w:cs="Arial"/>
          <w:color w:val="auto"/>
          <w:lang w:val="en-AU"/>
        </w:rPr>
        <w:t xml:space="preserve">ICCP comprises </w:t>
      </w:r>
      <w:r w:rsidRPr="00A769DE">
        <w:rPr>
          <w:rFonts w:ascii="Arial" w:hAnsi="Arial" w:cs="Arial"/>
          <w:color w:val="auto"/>
          <w:lang w:val="en-AU"/>
        </w:rPr>
        <w:t>11 separate projects</w:t>
      </w:r>
      <w:r w:rsidR="00E7679E">
        <w:rPr>
          <w:rFonts w:ascii="Arial" w:hAnsi="Arial" w:cs="Arial"/>
          <w:color w:val="auto"/>
          <w:lang w:val="en-AU"/>
        </w:rPr>
        <w:t xml:space="preserve"> that </w:t>
      </w:r>
      <w:r w:rsidR="00C516D7">
        <w:rPr>
          <w:rFonts w:ascii="Arial" w:hAnsi="Arial" w:cs="Arial"/>
          <w:color w:val="auto"/>
          <w:lang w:val="en-AU"/>
        </w:rPr>
        <w:t xml:space="preserve">were </w:t>
      </w:r>
      <w:r w:rsidR="00E7679E">
        <w:rPr>
          <w:rFonts w:ascii="Arial" w:hAnsi="Arial" w:cs="Arial"/>
          <w:color w:val="auto"/>
          <w:lang w:val="en-AU"/>
        </w:rPr>
        <w:t xml:space="preserve">initiated </w:t>
      </w:r>
      <w:r w:rsidRPr="00A769DE">
        <w:rPr>
          <w:rFonts w:ascii="Arial" w:hAnsi="Arial" w:cs="Arial"/>
          <w:color w:val="auto"/>
          <w:lang w:val="en-AU"/>
        </w:rPr>
        <w:t>in three phases</w:t>
      </w:r>
      <w:r w:rsidR="00295AD8">
        <w:rPr>
          <w:rFonts w:ascii="Arial" w:hAnsi="Arial" w:cs="Arial"/>
          <w:color w:val="auto"/>
          <w:lang w:val="en-AU"/>
        </w:rPr>
        <w:t xml:space="preserve"> and cover different themes/areas. This is shown below together with the grant shares.</w:t>
      </w:r>
      <w:r w:rsidR="00915416" w:rsidRPr="00A769DE">
        <w:rPr>
          <w:rStyle w:val="FootnoteReference"/>
          <w:rFonts w:ascii="Arial" w:hAnsi="Arial" w:cs="Arial"/>
          <w:color w:val="auto"/>
          <w:lang w:val="en-AU"/>
        </w:rPr>
        <w:footnoteReference w:id="25"/>
      </w:r>
    </w:p>
    <w:p w:rsidR="0086397E" w:rsidRDefault="0086397E" w:rsidP="0086397E">
      <w:pPr>
        <w:pStyle w:val="ListParagraph"/>
        <w:tabs>
          <w:tab w:val="left" w:pos="357"/>
        </w:tabs>
        <w:suppressAutoHyphens w:val="0"/>
        <w:spacing w:before="0" w:after="0" w:line="240" w:lineRule="auto"/>
        <w:ind w:left="0"/>
        <w:jc w:val="both"/>
        <w:rPr>
          <w:rFonts w:ascii="Arial" w:hAnsi="Arial" w:cs="Arial"/>
          <w:color w:val="auto"/>
          <w:lang w:val="en-AU"/>
        </w:rPr>
      </w:pPr>
    </w:p>
    <w:p w:rsidR="002924FA" w:rsidRPr="00A769DE" w:rsidRDefault="002924FA" w:rsidP="002924FA">
      <w:pPr>
        <w:pStyle w:val="ListParagraph"/>
        <w:tabs>
          <w:tab w:val="left" w:pos="357"/>
        </w:tabs>
        <w:spacing w:before="0" w:after="20" w:line="240" w:lineRule="auto"/>
        <w:ind w:left="0"/>
        <w:contextualSpacing w:val="0"/>
        <w:jc w:val="both"/>
        <w:rPr>
          <w:rFonts w:ascii="Arial" w:hAnsi="Arial" w:cs="Arial"/>
          <w:b/>
          <w:bCs/>
          <w:i/>
          <w:color w:val="auto"/>
          <w:lang w:val="en-AU"/>
        </w:rPr>
      </w:pPr>
      <w:r w:rsidRPr="00A769DE">
        <w:rPr>
          <w:rFonts w:ascii="Arial" w:hAnsi="Arial" w:cs="Arial"/>
          <w:b/>
          <w:bCs/>
          <w:i/>
          <w:color w:val="auto"/>
          <w:lang w:val="en-AU"/>
        </w:rPr>
        <w:t xml:space="preserve">Table 1 – ICCP </w:t>
      </w:r>
      <w:r>
        <w:rPr>
          <w:rFonts w:ascii="Arial" w:hAnsi="Arial" w:cs="Arial"/>
          <w:b/>
          <w:bCs/>
          <w:i/>
          <w:color w:val="auto"/>
          <w:lang w:val="en-AU"/>
        </w:rPr>
        <w:t>projects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38"/>
        <w:gridCol w:w="1260"/>
        <w:gridCol w:w="2250"/>
        <w:gridCol w:w="1080"/>
      </w:tblGrid>
      <w:tr w:rsidR="009D3473" w:rsidRPr="009D3473" w:rsidTr="009C0F11">
        <w:trPr>
          <w:trHeight w:val="360"/>
        </w:trPr>
        <w:tc>
          <w:tcPr>
            <w:tcW w:w="5238" w:type="dxa"/>
            <w:tcBorders>
              <w:top w:val="double" w:sz="4" w:space="0" w:color="auto"/>
              <w:bottom w:val="double" w:sz="4" w:space="0" w:color="auto"/>
            </w:tcBorders>
            <w:shd w:val="clear" w:color="auto" w:fill="D9D9D9" w:themeFill="background1" w:themeFillShade="D9"/>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b/>
                <w:bCs/>
                <w:color w:val="auto"/>
                <w:sz w:val="20"/>
                <w:szCs w:val="20"/>
                <w:lang w:val="en-AU"/>
              </w:rPr>
            </w:pPr>
            <w:r>
              <w:rPr>
                <w:rFonts w:ascii="Arial" w:hAnsi="Arial" w:cs="Arial"/>
                <w:b/>
                <w:bCs/>
                <w:color w:val="auto"/>
                <w:sz w:val="20"/>
                <w:szCs w:val="20"/>
                <w:lang w:val="en-AU"/>
              </w:rPr>
              <w:t>Phases / Projects</w:t>
            </w:r>
          </w:p>
        </w:tc>
        <w:tc>
          <w:tcPr>
            <w:tcW w:w="1260" w:type="dxa"/>
            <w:tcBorders>
              <w:top w:val="double" w:sz="4" w:space="0" w:color="auto"/>
              <w:bottom w:val="double" w:sz="4" w:space="0" w:color="auto"/>
            </w:tcBorders>
            <w:shd w:val="clear" w:color="auto" w:fill="D9D9D9" w:themeFill="background1" w:themeFillShade="D9"/>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b/>
                <w:bCs/>
                <w:color w:val="auto"/>
                <w:sz w:val="20"/>
                <w:szCs w:val="20"/>
                <w:lang w:val="en-AU"/>
              </w:rPr>
            </w:pPr>
            <w:r>
              <w:rPr>
                <w:rFonts w:ascii="Arial" w:hAnsi="Arial" w:cs="Arial"/>
                <w:b/>
                <w:bCs/>
                <w:color w:val="auto"/>
                <w:sz w:val="20"/>
                <w:szCs w:val="20"/>
                <w:lang w:val="en-AU"/>
              </w:rPr>
              <w:t>Approved</w:t>
            </w:r>
          </w:p>
        </w:tc>
        <w:tc>
          <w:tcPr>
            <w:tcW w:w="2250" w:type="dxa"/>
            <w:tcBorders>
              <w:top w:val="double" w:sz="4" w:space="0" w:color="auto"/>
              <w:bottom w:val="double" w:sz="4" w:space="0" w:color="auto"/>
            </w:tcBorders>
            <w:shd w:val="clear" w:color="auto" w:fill="D9D9D9" w:themeFill="background1" w:themeFillShade="D9"/>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b/>
                <w:bCs/>
                <w:color w:val="auto"/>
                <w:sz w:val="20"/>
                <w:szCs w:val="20"/>
                <w:lang w:val="en-AU"/>
              </w:rPr>
            </w:pPr>
            <w:r>
              <w:rPr>
                <w:rFonts w:ascii="Arial" w:hAnsi="Arial" w:cs="Arial"/>
                <w:b/>
                <w:bCs/>
                <w:color w:val="auto"/>
                <w:sz w:val="20"/>
                <w:szCs w:val="20"/>
                <w:lang w:val="en-AU"/>
              </w:rPr>
              <w:t>Theme / Area</w:t>
            </w:r>
          </w:p>
        </w:tc>
        <w:tc>
          <w:tcPr>
            <w:tcW w:w="1080" w:type="dxa"/>
            <w:tcBorders>
              <w:top w:val="double" w:sz="4" w:space="0" w:color="auto"/>
              <w:bottom w:val="double" w:sz="4" w:space="0" w:color="auto"/>
            </w:tcBorders>
            <w:shd w:val="clear" w:color="auto" w:fill="D9D9D9" w:themeFill="background1" w:themeFillShade="D9"/>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b/>
                <w:bCs/>
                <w:color w:val="auto"/>
                <w:sz w:val="20"/>
                <w:szCs w:val="20"/>
                <w:lang w:val="en-AU"/>
              </w:rPr>
            </w:pPr>
            <w:r>
              <w:rPr>
                <w:rFonts w:ascii="Arial" w:hAnsi="Arial" w:cs="Arial"/>
                <w:b/>
                <w:bCs/>
                <w:color w:val="auto"/>
                <w:sz w:val="20"/>
                <w:szCs w:val="20"/>
                <w:lang w:val="en-AU"/>
              </w:rPr>
              <w:t>Grant Share</w:t>
            </w:r>
          </w:p>
        </w:tc>
      </w:tr>
      <w:tr w:rsidR="009D3473" w:rsidRPr="009D3473" w:rsidTr="009D3473">
        <w:tc>
          <w:tcPr>
            <w:tcW w:w="9828" w:type="dxa"/>
            <w:gridSpan w:val="4"/>
            <w:tcBorders>
              <w:top w:val="double" w:sz="4" w:space="0" w:color="auto"/>
            </w:tcBorders>
            <w:vAlign w:val="center"/>
          </w:tcPr>
          <w:p w:rsidR="009D3473" w:rsidRPr="009D3473" w:rsidRDefault="009D3473" w:rsidP="00D04926">
            <w:pPr>
              <w:pStyle w:val="ListParagraph"/>
              <w:tabs>
                <w:tab w:val="left" w:pos="357"/>
              </w:tabs>
              <w:suppressAutoHyphens w:val="0"/>
              <w:spacing w:before="20" w:after="20" w:line="240" w:lineRule="auto"/>
              <w:ind w:left="0"/>
              <w:contextualSpacing w:val="0"/>
              <w:rPr>
                <w:rFonts w:ascii="Arial" w:hAnsi="Arial" w:cs="Arial"/>
                <w:b/>
                <w:bCs/>
                <w:color w:val="auto"/>
                <w:sz w:val="20"/>
                <w:szCs w:val="20"/>
                <w:lang w:val="en-AU"/>
              </w:rPr>
            </w:pPr>
            <w:r w:rsidRPr="009D3473">
              <w:rPr>
                <w:rFonts w:ascii="Arial" w:hAnsi="Arial" w:cs="Arial"/>
                <w:b/>
                <w:bCs/>
                <w:color w:val="auto"/>
                <w:sz w:val="20"/>
                <w:szCs w:val="20"/>
                <w:lang w:val="en-AU"/>
              </w:rPr>
              <w:t>Phase I</w:t>
            </w: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Investment climate (business regulatory reform)</w:t>
            </w:r>
          </w:p>
        </w:tc>
        <w:tc>
          <w:tcPr>
            <w:tcW w:w="1260" w:type="dxa"/>
            <w:vMerge w:val="restart"/>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Pr>
                <w:rFonts w:ascii="Arial" w:hAnsi="Arial" w:cs="Arial"/>
                <w:color w:val="auto"/>
                <w:sz w:val="20"/>
                <w:szCs w:val="20"/>
                <w:lang w:val="en-AU"/>
              </w:rPr>
              <w:t>2014</w:t>
            </w:r>
          </w:p>
        </w:tc>
        <w:tc>
          <w:tcPr>
            <w:tcW w:w="2250" w:type="dxa"/>
            <w:vMerge w:val="restart"/>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Pr>
                <w:rFonts w:ascii="Arial" w:hAnsi="Arial" w:cs="Arial"/>
                <w:color w:val="auto"/>
                <w:sz w:val="20"/>
                <w:szCs w:val="20"/>
                <w:lang w:val="en-AU"/>
              </w:rPr>
              <w:t>Core PSD support</w:t>
            </w:r>
          </w:p>
        </w:tc>
        <w:tc>
          <w:tcPr>
            <w:tcW w:w="1080" w:type="dxa"/>
            <w:vMerge w:val="restart"/>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Pr>
                <w:rFonts w:ascii="Arial" w:hAnsi="Arial" w:cs="Arial"/>
                <w:color w:val="auto"/>
                <w:sz w:val="20"/>
                <w:szCs w:val="20"/>
                <w:lang w:val="en-AU"/>
              </w:rPr>
              <w:t>42%</w:t>
            </w: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Investment policy reform</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C0F11">
        <w:tc>
          <w:tcPr>
            <w:tcW w:w="5238" w:type="dxa"/>
            <w:vAlign w:val="center"/>
          </w:tcPr>
          <w:p w:rsidR="009D3473" w:rsidRPr="001A0ADF"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1A0ADF">
              <w:rPr>
                <w:rFonts w:ascii="Arial" w:hAnsi="Arial" w:cs="Arial"/>
                <w:color w:val="auto"/>
                <w:sz w:val="20"/>
                <w:szCs w:val="20"/>
                <w:lang w:val="en-AU"/>
              </w:rPr>
              <w:t>Trade competitiveness and enterprise development</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C0F11">
        <w:tc>
          <w:tcPr>
            <w:tcW w:w="5238" w:type="dxa"/>
            <w:vAlign w:val="center"/>
          </w:tcPr>
          <w:p w:rsidR="009D3473" w:rsidRPr="001A0ADF"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1A0ADF">
              <w:rPr>
                <w:rFonts w:ascii="Arial" w:hAnsi="Arial" w:cs="Arial"/>
                <w:color w:val="auto"/>
                <w:sz w:val="20"/>
                <w:szCs w:val="20"/>
                <w:lang w:val="en-AU"/>
              </w:rPr>
              <w:t>Corporate governance</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D3473">
        <w:tc>
          <w:tcPr>
            <w:tcW w:w="9828" w:type="dxa"/>
            <w:gridSpan w:val="4"/>
            <w:vAlign w:val="center"/>
          </w:tcPr>
          <w:p w:rsidR="009D3473" w:rsidRPr="001A0ADF" w:rsidRDefault="009D3473" w:rsidP="00D04926">
            <w:pPr>
              <w:tabs>
                <w:tab w:val="left" w:pos="357"/>
              </w:tabs>
              <w:suppressAutoHyphens w:val="0"/>
              <w:spacing w:before="20" w:after="20" w:line="240" w:lineRule="auto"/>
              <w:rPr>
                <w:rFonts w:ascii="Arial" w:hAnsi="Arial" w:cs="Arial"/>
                <w:color w:val="auto"/>
                <w:sz w:val="20"/>
                <w:szCs w:val="20"/>
                <w:lang w:val="en-AU"/>
              </w:rPr>
            </w:pPr>
            <w:r w:rsidRPr="001A0ADF">
              <w:rPr>
                <w:rFonts w:ascii="Arial" w:hAnsi="Arial" w:cs="Arial"/>
                <w:b/>
                <w:bCs/>
                <w:color w:val="auto"/>
                <w:sz w:val="20"/>
                <w:szCs w:val="20"/>
                <w:lang w:val="en-AU"/>
              </w:rPr>
              <w:t>Phase II</w:t>
            </w: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Supporting sustainable tourism development</w:t>
            </w:r>
          </w:p>
        </w:tc>
        <w:tc>
          <w:tcPr>
            <w:tcW w:w="1260" w:type="dxa"/>
            <w:vMerge w:val="restart"/>
            <w:vAlign w:val="center"/>
          </w:tcPr>
          <w:p w:rsidR="009D3473" w:rsidRPr="009D3473" w:rsidRDefault="00C516D7"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Pr>
                <w:rFonts w:ascii="Arial" w:hAnsi="Arial" w:cs="Arial"/>
                <w:color w:val="auto"/>
                <w:sz w:val="20"/>
                <w:szCs w:val="20"/>
                <w:lang w:val="en-AU"/>
              </w:rPr>
              <w:t>2016</w:t>
            </w:r>
          </w:p>
        </w:tc>
        <w:tc>
          <w:tcPr>
            <w:tcW w:w="2250" w:type="dxa"/>
            <w:vMerge w:val="restart"/>
            <w:vAlign w:val="center"/>
          </w:tcPr>
          <w:p w:rsidR="009D3473" w:rsidRPr="009D3473" w:rsidRDefault="00C516D7"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sidRPr="00C516D7">
              <w:rPr>
                <w:rFonts w:ascii="Arial" w:hAnsi="Arial" w:cs="Arial"/>
                <w:color w:val="auto"/>
                <w:sz w:val="20"/>
                <w:szCs w:val="20"/>
                <w:lang w:val="en-AU"/>
              </w:rPr>
              <w:t>Sector-specific support</w:t>
            </w:r>
          </w:p>
        </w:tc>
        <w:tc>
          <w:tcPr>
            <w:tcW w:w="1080" w:type="dxa"/>
            <w:vMerge w:val="restart"/>
            <w:vAlign w:val="center"/>
          </w:tcPr>
          <w:p w:rsidR="009D3473" w:rsidRPr="009D3473" w:rsidRDefault="00C516D7"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Pr>
                <w:rFonts w:ascii="Arial" w:hAnsi="Arial" w:cs="Arial"/>
                <w:color w:val="auto"/>
                <w:sz w:val="20"/>
                <w:szCs w:val="20"/>
                <w:lang w:val="en-AU"/>
              </w:rPr>
              <w:t>22%</w:t>
            </w: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Reforming agri</w:t>
            </w:r>
            <w:r w:rsidR="009C0F11">
              <w:rPr>
                <w:rFonts w:ascii="Arial" w:hAnsi="Arial" w:cs="Arial"/>
                <w:color w:val="auto"/>
                <w:sz w:val="20"/>
                <w:szCs w:val="20"/>
                <w:lang w:val="en-AU"/>
              </w:rPr>
              <w:t>culture</w:t>
            </w:r>
            <w:r w:rsidRPr="009D3473">
              <w:rPr>
                <w:rFonts w:ascii="Arial" w:hAnsi="Arial" w:cs="Arial"/>
                <w:color w:val="auto"/>
                <w:sz w:val="20"/>
                <w:szCs w:val="20"/>
                <w:lang w:val="en-AU"/>
              </w:rPr>
              <w:t xml:space="preserve"> input regulation and standards</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Energy access (Lighting Myanmar)</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D3473">
        <w:tc>
          <w:tcPr>
            <w:tcW w:w="9828" w:type="dxa"/>
            <w:gridSpan w:val="4"/>
            <w:vAlign w:val="center"/>
          </w:tcPr>
          <w:p w:rsidR="009D3473" w:rsidRPr="001A0ADF" w:rsidRDefault="009D3473" w:rsidP="00D04926">
            <w:pPr>
              <w:tabs>
                <w:tab w:val="left" w:pos="357"/>
              </w:tabs>
              <w:suppressAutoHyphens w:val="0"/>
              <w:spacing w:before="20" w:after="20" w:line="240" w:lineRule="auto"/>
              <w:rPr>
                <w:rFonts w:ascii="Arial" w:hAnsi="Arial" w:cs="Arial"/>
                <w:color w:val="auto"/>
                <w:sz w:val="20"/>
                <w:szCs w:val="20"/>
                <w:lang w:val="en-AU"/>
              </w:rPr>
            </w:pPr>
            <w:r w:rsidRPr="001A0ADF">
              <w:rPr>
                <w:rFonts w:ascii="Arial" w:hAnsi="Arial" w:cs="Arial"/>
                <w:b/>
                <w:bCs/>
                <w:color w:val="auto"/>
                <w:sz w:val="20"/>
                <w:szCs w:val="20"/>
                <w:lang w:val="en-AU"/>
              </w:rPr>
              <w:t>Phase III</w:t>
            </w:r>
          </w:p>
        </w:tc>
      </w:tr>
      <w:tr w:rsidR="009D3473" w:rsidRPr="00C516D7" w:rsidTr="009C0F11">
        <w:tc>
          <w:tcPr>
            <w:tcW w:w="5238" w:type="dxa"/>
            <w:vAlign w:val="center"/>
          </w:tcPr>
          <w:p w:rsidR="009D3473" w:rsidRPr="00C516D7"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C516D7">
              <w:rPr>
                <w:rFonts w:ascii="Arial" w:hAnsi="Arial" w:cs="Arial"/>
                <w:color w:val="auto"/>
                <w:sz w:val="20"/>
                <w:szCs w:val="20"/>
                <w:lang w:val="en-AU"/>
              </w:rPr>
              <w:t>Agri</w:t>
            </w:r>
            <w:r w:rsidR="009C0F11">
              <w:rPr>
                <w:rFonts w:ascii="Arial" w:hAnsi="Arial" w:cs="Arial"/>
                <w:color w:val="auto"/>
                <w:sz w:val="20"/>
                <w:szCs w:val="20"/>
                <w:lang w:val="en-AU"/>
              </w:rPr>
              <w:t>culture</w:t>
            </w:r>
            <w:r w:rsidRPr="00C516D7">
              <w:rPr>
                <w:rFonts w:ascii="Arial" w:hAnsi="Arial" w:cs="Arial"/>
                <w:color w:val="auto"/>
                <w:sz w:val="20"/>
                <w:szCs w:val="20"/>
                <w:lang w:val="en-AU"/>
              </w:rPr>
              <w:t xml:space="preserve"> business advisory and food safety</w:t>
            </w:r>
            <w:r w:rsidR="00C516D7" w:rsidRPr="00C516D7">
              <w:rPr>
                <w:rStyle w:val="FootnoteReference"/>
                <w:rFonts w:ascii="Arial" w:hAnsi="Arial" w:cs="Arial"/>
                <w:color w:val="auto"/>
                <w:sz w:val="20"/>
                <w:szCs w:val="20"/>
                <w:lang w:val="en-AU"/>
              </w:rPr>
              <w:footnoteReference w:id="26"/>
            </w:r>
          </w:p>
        </w:tc>
        <w:tc>
          <w:tcPr>
            <w:tcW w:w="1260" w:type="dxa"/>
            <w:vMerge w:val="restart"/>
            <w:vAlign w:val="center"/>
          </w:tcPr>
          <w:p w:rsidR="009D3473" w:rsidRPr="00C516D7" w:rsidRDefault="00C516D7"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sidRPr="00C516D7">
              <w:rPr>
                <w:rFonts w:ascii="Arial" w:hAnsi="Arial" w:cs="Arial"/>
                <w:color w:val="auto"/>
                <w:sz w:val="20"/>
                <w:szCs w:val="20"/>
                <w:lang w:val="en-AU"/>
              </w:rPr>
              <w:t>2017</w:t>
            </w:r>
          </w:p>
        </w:tc>
        <w:tc>
          <w:tcPr>
            <w:tcW w:w="2250" w:type="dxa"/>
            <w:vMerge w:val="restart"/>
            <w:vAlign w:val="center"/>
          </w:tcPr>
          <w:p w:rsidR="009D3473" w:rsidRPr="00C516D7" w:rsidRDefault="00C516D7"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sidRPr="00C516D7">
              <w:rPr>
                <w:rFonts w:ascii="Arial" w:hAnsi="Arial" w:cs="Arial"/>
                <w:color w:val="auto"/>
                <w:sz w:val="20"/>
                <w:szCs w:val="20"/>
                <w:lang w:val="en-AU"/>
              </w:rPr>
              <w:t>Facilitating private sector involvement</w:t>
            </w:r>
          </w:p>
        </w:tc>
        <w:tc>
          <w:tcPr>
            <w:tcW w:w="1080" w:type="dxa"/>
            <w:vMerge w:val="restart"/>
            <w:vAlign w:val="center"/>
          </w:tcPr>
          <w:p w:rsidR="009D3473" w:rsidRPr="00C516D7" w:rsidRDefault="00C516D7" w:rsidP="00D04926">
            <w:pPr>
              <w:pStyle w:val="ListParagraph"/>
              <w:tabs>
                <w:tab w:val="left" w:pos="357"/>
              </w:tabs>
              <w:suppressAutoHyphens w:val="0"/>
              <w:spacing w:before="20" w:after="20" w:line="240" w:lineRule="auto"/>
              <w:ind w:left="0"/>
              <w:contextualSpacing w:val="0"/>
              <w:jc w:val="center"/>
              <w:rPr>
                <w:rFonts w:ascii="Arial" w:hAnsi="Arial" w:cs="Arial"/>
                <w:color w:val="auto"/>
                <w:sz w:val="20"/>
                <w:szCs w:val="20"/>
                <w:lang w:val="en-AU"/>
              </w:rPr>
            </w:pPr>
            <w:r w:rsidRPr="00C516D7">
              <w:rPr>
                <w:rFonts w:ascii="Arial" w:hAnsi="Arial" w:cs="Arial"/>
                <w:color w:val="auto"/>
                <w:sz w:val="20"/>
                <w:szCs w:val="20"/>
                <w:lang w:val="en-AU"/>
              </w:rPr>
              <w:t>29%</w:t>
            </w: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Power advisory</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Environmental and social advisory</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C0F11">
        <w:tc>
          <w:tcPr>
            <w:tcW w:w="5238" w:type="dxa"/>
            <w:vAlign w:val="center"/>
          </w:tcPr>
          <w:p w:rsidR="009D3473" w:rsidRPr="009D3473" w:rsidRDefault="009D3473" w:rsidP="00D04926">
            <w:pPr>
              <w:pStyle w:val="ListParagraph"/>
              <w:numPr>
                <w:ilvl w:val="0"/>
                <w:numId w:val="48"/>
              </w:numPr>
              <w:tabs>
                <w:tab w:val="left" w:pos="357"/>
              </w:tabs>
              <w:suppressAutoHyphens w:val="0"/>
              <w:spacing w:before="20" w:after="20" w:line="240" w:lineRule="auto"/>
              <w:ind w:left="360"/>
              <w:contextualSpacing w:val="0"/>
              <w:rPr>
                <w:rFonts w:ascii="Arial" w:hAnsi="Arial" w:cs="Arial"/>
                <w:color w:val="auto"/>
                <w:sz w:val="20"/>
                <w:szCs w:val="20"/>
                <w:lang w:val="en-AU"/>
              </w:rPr>
            </w:pPr>
            <w:r w:rsidRPr="009D3473">
              <w:rPr>
                <w:rFonts w:ascii="Arial" w:hAnsi="Arial" w:cs="Arial"/>
                <w:color w:val="auto"/>
                <w:sz w:val="20"/>
                <w:szCs w:val="20"/>
                <w:lang w:val="en-AU"/>
              </w:rPr>
              <w:t>Public-private partnership (PPP)</w:t>
            </w:r>
          </w:p>
        </w:tc>
        <w:tc>
          <w:tcPr>
            <w:tcW w:w="126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225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c>
          <w:tcPr>
            <w:tcW w:w="1080" w:type="dxa"/>
            <w:vMerge/>
          </w:tcPr>
          <w:p w:rsidR="009D3473" w:rsidRPr="009D3473" w:rsidRDefault="009D3473" w:rsidP="00D04926">
            <w:pPr>
              <w:pStyle w:val="ListParagraph"/>
              <w:tabs>
                <w:tab w:val="left" w:pos="357"/>
              </w:tabs>
              <w:suppressAutoHyphens w:val="0"/>
              <w:spacing w:before="20" w:after="20" w:line="240" w:lineRule="auto"/>
              <w:ind w:left="0"/>
              <w:contextualSpacing w:val="0"/>
              <w:jc w:val="both"/>
              <w:rPr>
                <w:rFonts w:ascii="Arial" w:hAnsi="Arial" w:cs="Arial"/>
                <w:color w:val="auto"/>
                <w:sz w:val="20"/>
                <w:szCs w:val="20"/>
                <w:lang w:val="en-AU"/>
              </w:rPr>
            </w:pPr>
          </w:p>
        </w:tc>
      </w:tr>
      <w:tr w:rsidR="009D3473" w:rsidRPr="009D3473" w:rsidTr="009C0F11">
        <w:trPr>
          <w:trHeight w:val="288"/>
        </w:trPr>
        <w:tc>
          <w:tcPr>
            <w:tcW w:w="5238" w:type="dxa"/>
            <w:vAlign w:val="center"/>
          </w:tcPr>
          <w:p w:rsidR="009D3473" w:rsidRPr="009D3473" w:rsidRDefault="009D3473" w:rsidP="00D04926">
            <w:pPr>
              <w:pStyle w:val="ListParagraph"/>
              <w:tabs>
                <w:tab w:val="left" w:pos="357"/>
              </w:tabs>
              <w:suppressAutoHyphens w:val="0"/>
              <w:spacing w:before="20" w:after="20" w:line="240" w:lineRule="auto"/>
              <w:ind w:left="0"/>
              <w:contextualSpacing w:val="0"/>
              <w:rPr>
                <w:rFonts w:ascii="Arial" w:hAnsi="Arial" w:cs="Arial"/>
                <w:i/>
                <w:iCs/>
                <w:color w:val="auto"/>
                <w:sz w:val="20"/>
                <w:szCs w:val="20"/>
                <w:lang w:val="en-AU"/>
              </w:rPr>
            </w:pPr>
            <w:r>
              <w:rPr>
                <w:rFonts w:ascii="Arial" w:hAnsi="Arial" w:cs="Arial"/>
                <w:i/>
                <w:iCs/>
                <w:color w:val="auto"/>
                <w:sz w:val="20"/>
                <w:szCs w:val="20"/>
                <w:lang w:val="en-AU"/>
              </w:rPr>
              <w:t>Unallocated</w:t>
            </w:r>
          </w:p>
        </w:tc>
        <w:tc>
          <w:tcPr>
            <w:tcW w:w="1260" w:type="dxa"/>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i/>
                <w:iCs/>
                <w:color w:val="auto"/>
                <w:sz w:val="20"/>
                <w:szCs w:val="20"/>
                <w:lang w:val="en-AU"/>
              </w:rPr>
            </w:pPr>
            <w:r>
              <w:rPr>
                <w:rFonts w:ascii="Arial" w:hAnsi="Arial" w:cs="Arial"/>
                <w:i/>
                <w:iCs/>
                <w:color w:val="auto"/>
                <w:sz w:val="20"/>
                <w:szCs w:val="20"/>
                <w:lang w:val="en-AU"/>
              </w:rPr>
              <w:t>-</w:t>
            </w:r>
          </w:p>
        </w:tc>
        <w:tc>
          <w:tcPr>
            <w:tcW w:w="2250" w:type="dxa"/>
            <w:vAlign w:val="center"/>
          </w:tcPr>
          <w:p w:rsidR="009D3473" w:rsidRPr="009D3473" w:rsidRDefault="009D3473" w:rsidP="00D04926">
            <w:pPr>
              <w:pStyle w:val="ListParagraph"/>
              <w:tabs>
                <w:tab w:val="left" w:pos="357"/>
              </w:tabs>
              <w:suppressAutoHyphens w:val="0"/>
              <w:spacing w:before="20" w:after="20" w:line="240" w:lineRule="auto"/>
              <w:ind w:left="0"/>
              <w:contextualSpacing w:val="0"/>
              <w:jc w:val="center"/>
              <w:rPr>
                <w:rFonts w:ascii="Arial" w:hAnsi="Arial" w:cs="Arial"/>
                <w:i/>
                <w:iCs/>
                <w:color w:val="auto"/>
                <w:sz w:val="20"/>
                <w:szCs w:val="20"/>
                <w:lang w:val="en-AU"/>
              </w:rPr>
            </w:pPr>
            <w:r>
              <w:rPr>
                <w:rFonts w:ascii="Arial" w:hAnsi="Arial" w:cs="Arial"/>
                <w:i/>
                <w:iCs/>
                <w:color w:val="auto"/>
                <w:sz w:val="20"/>
                <w:szCs w:val="20"/>
                <w:lang w:val="en-AU"/>
              </w:rPr>
              <w:t>-</w:t>
            </w:r>
          </w:p>
        </w:tc>
        <w:tc>
          <w:tcPr>
            <w:tcW w:w="1080" w:type="dxa"/>
            <w:vAlign w:val="center"/>
          </w:tcPr>
          <w:p w:rsidR="009D3473" w:rsidRPr="009D3473" w:rsidRDefault="00B348C5" w:rsidP="00D04926">
            <w:pPr>
              <w:pStyle w:val="ListParagraph"/>
              <w:tabs>
                <w:tab w:val="left" w:pos="357"/>
              </w:tabs>
              <w:suppressAutoHyphens w:val="0"/>
              <w:spacing w:before="20" w:after="20" w:line="240" w:lineRule="auto"/>
              <w:ind w:left="0"/>
              <w:contextualSpacing w:val="0"/>
              <w:jc w:val="center"/>
              <w:rPr>
                <w:rFonts w:ascii="Arial" w:hAnsi="Arial" w:cs="Arial"/>
                <w:i/>
                <w:iCs/>
                <w:color w:val="auto"/>
                <w:sz w:val="20"/>
                <w:szCs w:val="20"/>
                <w:lang w:val="en-AU"/>
              </w:rPr>
            </w:pPr>
            <w:r>
              <w:rPr>
                <w:rFonts w:ascii="Arial" w:hAnsi="Arial" w:cs="Arial"/>
                <w:i/>
                <w:iCs/>
                <w:color w:val="auto"/>
                <w:sz w:val="20"/>
                <w:szCs w:val="20"/>
                <w:lang w:val="en-AU"/>
              </w:rPr>
              <w:t>7</w:t>
            </w:r>
            <w:r w:rsidR="009D3473">
              <w:rPr>
                <w:rFonts w:ascii="Arial" w:hAnsi="Arial" w:cs="Arial"/>
                <w:i/>
                <w:iCs/>
                <w:color w:val="auto"/>
                <w:sz w:val="20"/>
                <w:szCs w:val="20"/>
                <w:lang w:val="en-AU"/>
              </w:rPr>
              <w:t>%</w:t>
            </w:r>
          </w:p>
        </w:tc>
      </w:tr>
    </w:tbl>
    <w:p w:rsidR="00283DDE" w:rsidRDefault="00283DDE" w:rsidP="0086397E">
      <w:pPr>
        <w:pStyle w:val="ListParagraph"/>
        <w:tabs>
          <w:tab w:val="left" w:pos="357"/>
        </w:tabs>
        <w:suppressAutoHyphens w:val="0"/>
        <w:spacing w:before="0" w:after="0" w:line="240" w:lineRule="auto"/>
        <w:ind w:left="0"/>
        <w:jc w:val="both"/>
        <w:rPr>
          <w:rFonts w:ascii="Arial" w:hAnsi="Arial" w:cs="Arial"/>
          <w:color w:val="auto"/>
          <w:lang w:val="en-AU"/>
        </w:rPr>
      </w:pPr>
    </w:p>
    <w:p w:rsidR="00654E67" w:rsidRDefault="0086397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654E67">
        <w:rPr>
          <w:rFonts w:ascii="Arial" w:hAnsi="Arial" w:cs="Arial"/>
          <w:color w:val="auto"/>
          <w:lang w:val="en-AU"/>
        </w:rPr>
        <w:t xml:space="preserve">The projects of phase I are all within what is generally considered to be the </w:t>
      </w:r>
      <w:r w:rsidR="008671D6">
        <w:rPr>
          <w:rFonts w:ascii="Arial" w:hAnsi="Arial" w:cs="Arial"/>
          <w:color w:val="auto"/>
          <w:lang w:val="en-AU"/>
        </w:rPr>
        <w:t>“</w:t>
      </w:r>
      <w:r w:rsidRPr="00654E67">
        <w:rPr>
          <w:rFonts w:ascii="Arial" w:hAnsi="Arial" w:cs="Arial"/>
          <w:color w:val="auto"/>
          <w:lang w:val="en-AU"/>
        </w:rPr>
        <w:t>core</w:t>
      </w:r>
      <w:r w:rsidR="008671D6">
        <w:rPr>
          <w:rFonts w:ascii="Arial" w:hAnsi="Arial" w:cs="Arial"/>
          <w:color w:val="auto"/>
          <w:lang w:val="en-AU"/>
        </w:rPr>
        <w:t>”</w:t>
      </w:r>
      <w:r w:rsidRPr="00654E67">
        <w:rPr>
          <w:rFonts w:ascii="Arial" w:hAnsi="Arial" w:cs="Arial"/>
          <w:color w:val="auto"/>
          <w:lang w:val="en-AU"/>
        </w:rPr>
        <w:t xml:space="preserve"> of PSD, while those of phase II aim to support sector-specific growth (tourism</w:t>
      </w:r>
      <w:r w:rsidR="00D04926" w:rsidRPr="00654E67">
        <w:rPr>
          <w:rFonts w:ascii="Arial" w:hAnsi="Arial" w:cs="Arial"/>
          <w:color w:val="auto"/>
          <w:lang w:val="en-AU"/>
        </w:rPr>
        <w:t xml:space="preserve">, </w:t>
      </w:r>
      <w:r w:rsidRPr="00654E67">
        <w:rPr>
          <w:rFonts w:ascii="Arial" w:hAnsi="Arial" w:cs="Arial"/>
          <w:color w:val="auto"/>
          <w:lang w:val="en-AU"/>
        </w:rPr>
        <w:t>agriculture</w:t>
      </w:r>
      <w:r w:rsidR="00D04926" w:rsidRPr="00654E67">
        <w:rPr>
          <w:rFonts w:ascii="Arial" w:hAnsi="Arial" w:cs="Arial"/>
          <w:color w:val="auto"/>
          <w:lang w:val="en-AU"/>
        </w:rPr>
        <w:t xml:space="preserve"> and energy</w:t>
      </w:r>
      <w:r w:rsidRPr="00654E67">
        <w:rPr>
          <w:rFonts w:ascii="Arial" w:hAnsi="Arial" w:cs="Arial"/>
          <w:color w:val="auto"/>
          <w:lang w:val="en-AU"/>
        </w:rPr>
        <w:t xml:space="preserve">). </w:t>
      </w:r>
      <w:r w:rsidR="00A701A5" w:rsidRPr="00654E67">
        <w:rPr>
          <w:rFonts w:ascii="Arial" w:hAnsi="Arial" w:cs="Arial"/>
          <w:color w:val="auto"/>
          <w:lang w:val="en-AU"/>
        </w:rPr>
        <w:t xml:space="preserve">The </w:t>
      </w:r>
      <w:r w:rsidRPr="00654E67">
        <w:rPr>
          <w:rFonts w:ascii="Arial" w:hAnsi="Arial" w:cs="Arial"/>
          <w:color w:val="auto"/>
          <w:lang w:val="en-AU"/>
        </w:rPr>
        <w:t xml:space="preserve">projects in phase III </w:t>
      </w:r>
      <w:r w:rsidR="00A701A5" w:rsidRPr="00654E67">
        <w:rPr>
          <w:rFonts w:ascii="Arial" w:hAnsi="Arial" w:cs="Arial"/>
          <w:color w:val="auto"/>
          <w:lang w:val="en-AU"/>
        </w:rPr>
        <w:t>facilitate the involvement of private firms in different development areas</w:t>
      </w:r>
      <w:r w:rsidR="00D04926" w:rsidRPr="00654E67">
        <w:rPr>
          <w:rFonts w:ascii="Arial" w:hAnsi="Arial" w:cs="Arial"/>
          <w:color w:val="auto"/>
          <w:lang w:val="en-AU"/>
        </w:rPr>
        <w:t>.</w:t>
      </w:r>
    </w:p>
    <w:p w:rsidR="00654E67" w:rsidRDefault="00654E67" w:rsidP="00654E67">
      <w:pPr>
        <w:pStyle w:val="ListParagraph"/>
        <w:tabs>
          <w:tab w:val="left" w:pos="357"/>
        </w:tabs>
        <w:suppressAutoHyphens w:val="0"/>
        <w:spacing w:before="0" w:after="0" w:line="240" w:lineRule="auto"/>
        <w:ind w:left="0"/>
        <w:jc w:val="both"/>
        <w:rPr>
          <w:rFonts w:ascii="Arial" w:hAnsi="Arial" w:cs="Arial"/>
          <w:color w:val="auto"/>
          <w:lang w:val="en-AU"/>
        </w:rPr>
      </w:pPr>
    </w:p>
    <w:p w:rsidR="00CA5014" w:rsidRPr="00654E67" w:rsidRDefault="00CE5D4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Pr>
          <w:rFonts w:ascii="Arial" w:hAnsi="Arial" w:cs="Arial"/>
          <w:color w:val="auto"/>
          <w:lang w:val="en-AU"/>
        </w:rPr>
        <w:lastRenderedPageBreak/>
        <w:t xml:space="preserve">The </w:t>
      </w:r>
      <w:r w:rsidR="00654E67">
        <w:rPr>
          <w:rFonts w:ascii="Arial" w:hAnsi="Arial" w:cs="Arial"/>
          <w:color w:val="auto"/>
          <w:lang w:val="en-AU"/>
        </w:rPr>
        <w:t>projects in phase III</w:t>
      </w:r>
      <w:r w:rsidR="00CA5014" w:rsidRPr="00654E67">
        <w:rPr>
          <w:rFonts w:ascii="Arial" w:hAnsi="Arial" w:cs="Arial"/>
          <w:color w:val="auto"/>
          <w:lang w:val="en-AU"/>
        </w:rPr>
        <w:t xml:space="preserve">, although also relevant for PSD in Myanmar, were </w:t>
      </w:r>
      <w:r w:rsidR="00487BAE">
        <w:rPr>
          <w:rFonts w:ascii="Arial" w:hAnsi="Arial" w:cs="Arial"/>
          <w:color w:val="auto"/>
          <w:lang w:val="en-AU"/>
        </w:rPr>
        <w:t xml:space="preserve">selected </w:t>
      </w:r>
      <w:r w:rsidR="00E73A1D">
        <w:rPr>
          <w:rFonts w:ascii="Arial" w:hAnsi="Arial" w:cs="Arial"/>
          <w:color w:val="auto"/>
          <w:lang w:val="en-AU"/>
        </w:rPr>
        <w:t xml:space="preserve">in 2017 </w:t>
      </w:r>
      <w:r w:rsidR="00CA5014" w:rsidRPr="00654E67">
        <w:rPr>
          <w:rFonts w:ascii="Arial" w:hAnsi="Arial" w:cs="Arial"/>
          <w:color w:val="auto"/>
          <w:lang w:val="en-AU"/>
        </w:rPr>
        <w:t xml:space="preserve">mainly </w:t>
      </w:r>
      <w:r w:rsidR="00654E67">
        <w:rPr>
          <w:rFonts w:ascii="Arial" w:hAnsi="Arial" w:cs="Arial"/>
          <w:color w:val="auto"/>
          <w:lang w:val="en-AU"/>
        </w:rPr>
        <w:t xml:space="preserve">for </w:t>
      </w:r>
      <w:r w:rsidR="00487BAE">
        <w:rPr>
          <w:rFonts w:ascii="Arial" w:hAnsi="Arial" w:cs="Arial"/>
          <w:color w:val="auto"/>
          <w:lang w:val="en-AU"/>
        </w:rPr>
        <w:t>“</w:t>
      </w:r>
      <w:r w:rsidR="00654E67">
        <w:rPr>
          <w:rFonts w:ascii="Arial" w:hAnsi="Arial" w:cs="Arial"/>
          <w:color w:val="auto"/>
          <w:lang w:val="en-AU"/>
        </w:rPr>
        <w:t>opportunistic</w:t>
      </w:r>
      <w:r w:rsidR="00487BAE">
        <w:rPr>
          <w:rFonts w:ascii="Arial" w:hAnsi="Arial" w:cs="Arial"/>
          <w:color w:val="auto"/>
          <w:lang w:val="en-AU"/>
        </w:rPr>
        <w:t>”</w:t>
      </w:r>
      <w:r w:rsidR="00654E67">
        <w:rPr>
          <w:rFonts w:ascii="Arial" w:hAnsi="Arial" w:cs="Arial"/>
          <w:color w:val="auto"/>
          <w:lang w:val="en-AU"/>
        </w:rPr>
        <w:t xml:space="preserve"> reasons</w:t>
      </w:r>
      <w:r w:rsidR="00CA5014" w:rsidRPr="00654E67">
        <w:rPr>
          <w:rFonts w:ascii="Arial" w:hAnsi="Arial" w:cs="Arial"/>
          <w:color w:val="auto"/>
          <w:lang w:val="en-AU"/>
        </w:rPr>
        <w:t xml:space="preserve"> </w:t>
      </w:r>
      <w:r w:rsidR="00487BAE">
        <w:rPr>
          <w:rFonts w:ascii="Arial" w:hAnsi="Arial" w:cs="Arial"/>
          <w:color w:val="auto"/>
          <w:lang w:val="en-AU"/>
        </w:rPr>
        <w:t xml:space="preserve">so as </w:t>
      </w:r>
      <w:r w:rsidR="00654E67" w:rsidRPr="00654E67">
        <w:rPr>
          <w:rFonts w:ascii="Arial" w:hAnsi="Arial" w:cs="Arial"/>
          <w:color w:val="auto"/>
          <w:lang w:val="en-AU"/>
        </w:rPr>
        <w:t>to increase overall ICCP budget execution.</w:t>
      </w:r>
      <w:r w:rsidR="00487BAE" w:rsidRPr="00A769DE">
        <w:rPr>
          <w:rStyle w:val="FootnoteReference"/>
          <w:rFonts w:ascii="Arial" w:hAnsi="Arial" w:cs="Arial"/>
          <w:color w:val="auto"/>
          <w:lang w:val="en-AU"/>
        </w:rPr>
        <w:footnoteReference w:id="27"/>
      </w:r>
      <w:r w:rsidR="00654E67" w:rsidRPr="00654E67">
        <w:rPr>
          <w:rFonts w:ascii="Arial" w:hAnsi="Arial" w:cs="Arial"/>
          <w:color w:val="auto"/>
          <w:lang w:val="en-AU"/>
        </w:rPr>
        <w:t xml:space="preserve"> </w:t>
      </w:r>
      <w:r w:rsidR="00E73A1D">
        <w:rPr>
          <w:rFonts w:ascii="Arial" w:hAnsi="Arial" w:cs="Arial"/>
          <w:color w:val="auto"/>
          <w:lang w:val="en-AU"/>
        </w:rPr>
        <w:t>This was because, d</w:t>
      </w:r>
      <w:r w:rsidR="00654E67">
        <w:rPr>
          <w:rFonts w:ascii="Arial" w:hAnsi="Arial" w:cs="Arial"/>
          <w:color w:val="auto"/>
          <w:lang w:val="en-AU"/>
        </w:rPr>
        <w:t>ue to limited GoM absorption capacity, i</w:t>
      </w:r>
      <w:r w:rsidR="00654E67" w:rsidRPr="00654E67">
        <w:rPr>
          <w:rFonts w:ascii="Arial" w:hAnsi="Arial" w:cs="Arial"/>
          <w:color w:val="auto"/>
          <w:lang w:val="en-AU"/>
        </w:rPr>
        <w:t xml:space="preserve">t was </w:t>
      </w:r>
      <w:r w:rsidR="00467AF5">
        <w:rPr>
          <w:rFonts w:ascii="Arial" w:hAnsi="Arial" w:cs="Arial"/>
          <w:color w:val="auto"/>
          <w:lang w:val="en-AU"/>
        </w:rPr>
        <w:t xml:space="preserve">not </w:t>
      </w:r>
      <w:r w:rsidR="00654E67" w:rsidRPr="00654E67">
        <w:rPr>
          <w:rFonts w:ascii="Arial" w:hAnsi="Arial" w:cs="Arial"/>
          <w:color w:val="auto"/>
          <w:lang w:val="en-AU"/>
        </w:rPr>
        <w:t xml:space="preserve">deemed </w:t>
      </w:r>
      <w:r w:rsidR="00467AF5">
        <w:rPr>
          <w:rFonts w:ascii="Arial" w:hAnsi="Arial" w:cs="Arial"/>
          <w:color w:val="auto"/>
          <w:lang w:val="en-AU"/>
        </w:rPr>
        <w:t xml:space="preserve">feasible </w:t>
      </w:r>
      <w:r w:rsidR="00654E67" w:rsidRPr="00654E67">
        <w:rPr>
          <w:rFonts w:ascii="Arial" w:hAnsi="Arial" w:cs="Arial"/>
          <w:color w:val="auto"/>
          <w:lang w:val="en-AU"/>
        </w:rPr>
        <w:t xml:space="preserve">to </w:t>
      </w:r>
      <w:r w:rsidR="00654E67">
        <w:rPr>
          <w:rFonts w:ascii="Arial" w:hAnsi="Arial" w:cs="Arial"/>
          <w:color w:val="auto"/>
          <w:lang w:val="en-AU"/>
        </w:rPr>
        <w:t xml:space="preserve">further </w:t>
      </w:r>
      <w:r w:rsidR="00654E67" w:rsidRPr="00654E67">
        <w:rPr>
          <w:rFonts w:ascii="Arial" w:hAnsi="Arial" w:cs="Arial"/>
          <w:color w:val="auto"/>
          <w:lang w:val="en-AU"/>
        </w:rPr>
        <w:t>scale up</w:t>
      </w:r>
      <w:r w:rsidR="00CA5014" w:rsidRPr="00654E67">
        <w:rPr>
          <w:rFonts w:ascii="Arial" w:hAnsi="Arial" w:cs="Arial"/>
          <w:color w:val="auto"/>
          <w:lang w:val="en-AU"/>
        </w:rPr>
        <w:t xml:space="preserve"> the projects </w:t>
      </w:r>
      <w:r w:rsidR="00654E67">
        <w:rPr>
          <w:rFonts w:ascii="Arial" w:hAnsi="Arial" w:cs="Arial"/>
          <w:color w:val="auto"/>
          <w:lang w:val="en-AU"/>
        </w:rPr>
        <w:t>al</w:t>
      </w:r>
      <w:r w:rsidR="00CA5014" w:rsidRPr="00654E67">
        <w:rPr>
          <w:rFonts w:ascii="Arial" w:hAnsi="Arial" w:cs="Arial"/>
          <w:color w:val="auto"/>
          <w:lang w:val="en-AU"/>
        </w:rPr>
        <w:t xml:space="preserve">ready </w:t>
      </w:r>
      <w:r w:rsidR="00654E67">
        <w:rPr>
          <w:rFonts w:ascii="Arial" w:hAnsi="Arial" w:cs="Arial"/>
          <w:color w:val="auto"/>
          <w:lang w:val="en-AU"/>
        </w:rPr>
        <w:t>being implemented</w:t>
      </w:r>
      <w:r w:rsidR="00487BAE">
        <w:rPr>
          <w:rFonts w:ascii="Arial" w:hAnsi="Arial" w:cs="Arial"/>
          <w:color w:val="auto"/>
          <w:lang w:val="en-AU"/>
        </w:rPr>
        <w:t xml:space="preserve"> under phases I and II</w:t>
      </w:r>
      <w:r w:rsidR="00E73A1D">
        <w:rPr>
          <w:rFonts w:ascii="Arial" w:hAnsi="Arial" w:cs="Arial"/>
          <w:color w:val="auto"/>
          <w:lang w:val="en-AU"/>
        </w:rPr>
        <w:t>.</w:t>
      </w:r>
      <w:r w:rsidR="00654E67" w:rsidRPr="00A769DE">
        <w:rPr>
          <w:rStyle w:val="FootnoteReference"/>
          <w:rFonts w:ascii="Arial" w:hAnsi="Arial" w:cs="Arial"/>
          <w:color w:val="auto"/>
          <w:lang w:val="en-AU"/>
        </w:rPr>
        <w:footnoteReference w:id="28"/>
      </w:r>
      <w:r w:rsidR="00654E67">
        <w:rPr>
          <w:rFonts w:ascii="Arial" w:hAnsi="Arial" w:cs="Arial"/>
          <w:color w:val="auto"/>
          <w:lang w:val="en-AU"/>
        </w:rPr>
        <w:t xml:space="preserve"> </w:t>
      </w:r>
      <w:r w:rsidR="00E73A1D">
        <w:rPr>
          <w:rFonts w:ascii="Arial" w:hAnsi="Arial" w:cs="Arial"/>
          <w:color w:val="auto"/>
          <w:lang w:val="en-AU"/>
        </w:rPr>
        <w:t xml:space="preserve">Also, the IFC already had, or was able to quickly develop, </w:t>
      </w:r>
      <w:r w:rsidR="00654E67">
        <w:rPr>
          <w:rFonts w:ascii="Arial" w:hAnsi="Arial" w:cs="Arial"/>
          <w:color w:val="auto"/>
          <w:lang w:val="en-AU"/>
        </w:rPr>
        <w:t>concept</w:t>
      </w:r>
      <w:r w:rsidR="00E73A1D">
        <w:rPr>
          <w:rFonts w:ascii="Arial" w:hAnsi="Arial" w:cs="Arial"/>
          <w:color w:val="auto"/>
          <w:lang w:val="en-AU"/>
        </w:rPr>
        <w:t xml:space="preserve"> note</w:t>
      </w:r>
      <w:r w:rsidR="00654E67">
        <w:rPr>
          <w:rFonts w:ascii="Arial" w:hAnsi="Arial" w:cs="Arial"/>
          <w:color w:val="auto"/>
          <w:lang w:val="en-AU"/>
        </w:rPr>
        <w:t xml:space="preserve">s for </w:t>
      </w:r>
      <w:r w:rsidR="00E73A1D">
        <w:rPr>
          <w:rFonts w:ascii="Arial" w:hAnsi="Arial" w:cs="Arial"/>
          <w:color w:val="auto"/>
          <w:lang w:val="en-AU"/>
        </w:rPr>
        <w:t xml:space="preserve">the four </w:t>
      </w:r>
      <w:r w:rsidR="00654E67">
        <w:rPr>
          <w:rFonts w:ascii="Arial" w:hAnsi="Arial" w:cs="Arial"/>
          <w:color w:val="auto"/>
          <w:lang w:val="en-AU"/>
        </w:rPr>
        <w:t>n</w:t>
      </w:r>
      <w:r w:rsidR="00E73A1D">
        <w:rPr>
          <w:rFonts w:ascii="Arial" w:hAnsi="Arial" w:cs="Arial"/>
          <w:color w:val="auto"/>
          <w:lang w:val="en-AU"/>
        </w:rPr>
        <w:t>ew projects</w:t>
      </w:r>
      <w:r w:rsidR="00654E67">
        <w:rPr>
          <w:rFonts w:ascii="Arial" w:hAnsi="Arial" w:cs="Arial"/>
          <w:color w:val="auto"/>
          <w:lang w:val="en-AU"/>
        </w:rPr>
        <w:t>.</w:t>
      </w:r>
    </w:p>
    <w:p w:rsidR="00D04926" w:rsidRDefault="00D04926" w:rsidP="00D04926">
      <w:pPr>
        <w:pStyle w:val="ListParagraph"/>
        <w:tabs>
          <w:tab w:val="left" w:pos="357"/>
        </w:tabs>
        <w:suppressAutoHyphens w:val="0"/>
        <w:spacing w:before="0" w:after="0" w:line="240" w:lineRule="auto"/>
        <w:ind w:left="0"/>
        <w:jc w:val="both"/>
        <w:rPr>
          <w:rFonts w:ascii="Arial" w:hAnsi="Arial" w:cs="Arial"/>
          <w:color w:val="auto"/>
          <w:lang w:val="en-AU"/>
        </w:rPr>
      </w:pPr>
    </w:p>
    <w:p w:rsidR="0086397E" w:rsidRDefault="00A95C7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641038">
        <w:rPr>
          <w:rFonts w:ascii="Arial" w:hAnsi="Arial" w:cs="Arial"/>
          <w:color w:val="auto"/>
          <w:lang w:val="en-AU"/>
        </w:rPr>
        <w:t>The total funding envelop for the ICCP was in the 2015 Concept Note estimated at US</w:t>
      </w:r>
      <w:r w:rsidR="00641038" w:rsidRPr="00641038">
        <w:rPr>
          <w:rFonts w:ascii="Arial" w:hAnsi="Arial" w:cs="Arial"/>
          <w:color w:val="auto"/>
          <w:lang w:val="en-AU"/>
        </w:rPr>
        <w:t xml:space="preserve">D </w:t>
      </w:r>
      <w:r w:rsidRPr="00641038">
        <w:rPr>
          <w:rFonts w:ascii="Arial" w:hAnsi="Arial" w:cs="Arial"/>
          <w:color w:val="auto"/>
          <w:lang w:val="en-AU"/>
        </w:rPr>
        <w:t>32.4 million</w:t>
      </w:r>
      <w:r w:rsidR="00641038" w:rsidRPr="00641038">
        <w:rPr>
          <w:rFonts w:ascii="Arial" w:hAnsi="Arial" w:cs="Arial"/>
          <w:color w:val="auto"/>
          <w:lang w:val="en-AU"/>
        </w:rPr>
        <w:t>, while the currently approved grant amount is USD 28.</w:t>
      </w:r>
      <w:r w:rsidR="00B348C5">
        <w:rPr>
          <w:rFonts w:ascii="Arial" w:hAnsi="Arial" w:cs="Arial"/>
          <w:color w:val="auto"/>
          <w:lang w:val="en-AU"/>
        </w:rPr>
        <w:t>9</w:t>
      </w:r>
      <w:r w:rsidR="00641038" w:rsidRPr="00641038">
        <w:rPr>
          <w:rFonts w:ascii="Arial" w:hAnsi="Arial" w:cs="Arial"/>
          <w:color w:val="auto"/>
          <w:lang w:val="en-AU"/>
        </w:rPr>
        <w:t xml:space="preserve"> million</w:t>
      </w:r>
      <w:r w:rsidR="00834E20">
        <w:rPr>
          <w:rFonts w:ascii="Arial" w:hAnsi="Arial" w:cs="Arial"/>
          <w:color w:val="auto"/>
          <w:lang w:val="en-AU"/>
        </w:rPr>
        <w:t xml:space="preserve"> (89 per cent of the original estimate)</w:t>
      </w:r>
      <w:r w:rsidR="00641038" w:rsidRPr="00641038">
        <w:rPr>
          <w:rFonts w:ascii="Arial" w:hAnsi="Arial" w:cs="Arial"/>
          <w:color w:val="auto"/>
          <w:lang w:val="en-AU"/>
        </w:rPr>
        <w:t xml:space="preserve">. </w:t>
      </w:r>
      <w:r w:rsidR="0086397E" w:rsidRPr="00641038">
        <w:rPr>
          <w:rFonts w:ascii="Arial" w:hAnsi="Arial" w:cs="Arial"/>
          <w:color w:val="auto"/>
          <w:lang w:val="en-AU"/>
        </w:rPr>
        <w:t xml:space="preserve">The budgets of the </w:t>
      </w:r>
      <w:r w:rsidR="00CA5014" w:rsidRPr="00641038">
        <w:rPr>
          <w:rFonts w:ascii="Arial" w:hAnsi="Arial" w:cs="Arial"/>
          <w:color w:val="auto"/>
          <w:lang w:val="en-AU"/>
        </w:rPr>
        <w:t xml:space="preserve">11 </w:t>
      </w:r>
      <w:r w:rsidR="0086397E" w:rsidRPr="00641038">
        <w:rPr>
          <w:rFonts w:ascii="Arial" w:hAnsi="Arial" w:cs="Arial"/>
          <w:color w:val="auto"/>
          <w:lang w:val="en-AU"/>
        </w:rPr>
        <w:t>ICCP projects range from USD 1.</w:t>
      </w:r>
      <w:r w:rsidR="00B348C5">
        <w:rPr>
          <w:rFonts w:ascii="Arial" w:hAnsi="Arial" w:cs="Arial"/>
          <w:color w:val="auto"/>
          <w:lang w:val="en-AU"/>
        </w:rPr>
        <w:t>5</w:t>
      </w:r>
      <w:r w:rsidR="0086397E" w:rsidRPr="00641038">
        <w:rPr>
          <w:rFonts w:ascii="Arial" w:hAnsi="Arial" w:cs="Arial"/>
          <w:color w:val="auto"/>
          <w:lang w:val="en-AU"/>
        </w:rPr>
        <w:t xml:space="preserve"> million to USD 5.1 million, with an average of USD 2.7 million. The projects are thus relatively small which reflect the nature of the interventions (advisory service and TA), but also the limited absorption capacity of the GoM counterparts. It was decided at the ICCP quarterly meeting in August 2018 to distribute the remaining unallocated funds (USD 1.8 million) to the existing projects, rather than initiating new projects, although the details are yet to be decided.</w:t>
      </w:r>
      <w:r w:rsidR="0010633A">
        <w:rPr>
          <w:rFonts w:ascii="Arial" w:hAnsi="Arial" w:cs="Arial"/>
          <w:color w:val="auto"/>
          <w:lang w:val="en-AU"/>
        </w:rPr>
        <w:t xml:space="preserve"> The funding details and budget execution rates for all projects is shown below.</w:t>
      </w:r>
    </w:p>
    <w:p w:rsidR="0010633A" w:rsidRDefault="0010633A" w:rsidP="0010633A">
      <w:pPr>
        <w:tabs>
          <w:tab w:val="left" w:pos="357"/>
        </w:tabs>
        <w:suppressAutoHyphens w:val="0"/>
        <w:spacing w:before="0" w:after="0" w:line="240" w:lineRule="auto"/>
        <w:jc w:val="both"/>
        <w:rPr>
          <w:rFonts w:ascii="Arial" w:hAnsi="Arial" w:cs="Arial"/>
          <w:color w:val="auto"/>
          <w:lang w:val="en-AU"/>
        </w:rPr>
      </w:pPr>
    </w:p>
    <w:p w:rsidR="00B965E4" w:rsidRPr="00A769DE" w:rsidRDefault="00B965E4" w:rsidP="00B965E4">
      <w:pPr>
        <w:pStyle w:val="ListParagraph"/>
        <w:tabs>
          <w:tab w:val="left" w:pos="357"/>
        </w:tabs>
        <w:spacing w:before="0" w:after="20" w:line="240" w:lineRule="auto"/>
        <w:ind w:left="0"/>
        <w:contextualSpacing w:val="0"/>
        <w:jc w:val="both"/>
        <w:rPr>
          <w:rFonts w:ascii="Arial" w:hAnsi="Arial" w:cs="Arial"/>
          <w:b/>
          <w:bCs/>
          <w:i/>
          <w:color w:val="auto"/>
          <w:lang w:val="en-AU"/>
        </w:rPr>
      </w:pPr>
      <w:r w:rsidRPr="00A769DE">
        <w:rPr>
          <w:rFonts w:ascii="Arial" w:hAnsi="Arial" w:cs="Arial"/>
          <w:b/>
          <w:bCs/>
          <w:i/>
          <w:color w:val="auto"/>
          <w:lang w:val="en-AU"/>
        </w:rPr>
        <w:t xml:space="preserve">Table </w:t>
      </w:r>
      <w:r>
        <w:rPr>
          <w:rFonts w:ascii="Arial" w:hAnsi="Arial" w:cs="Arial"/>
          <w:b/>
          <w:bCs/>
          <w:i/>
          <w:color w:val="auto"/>
          <w:lang w:val="en-AU"/>
        </w:rPr>
        <w:t>2</w:t>
      </w:r>
      <w:r w:rsidRPr="00A769DE">
        <w:rPr>
          <w:rFonts w:ascii="Arial" w:hAnsi="Arial" w:cs="Arial"/>
          <w:b/>
          <w:bCs/>
          <w:i/>
          <w:color w:val="auto"/>
          <w:lang w:val="en-AU"/>
        </w:rPr>
        <w:t xml:space="preserve"> – ICCP </w:t>
      </w:r>
      <w:r w:rsidR="00A303C1">
        <w:rPr>
          <w:rFonts w:ascii="Arial" w:hAnsi="Arial" w:cs="Arial"/>
          <w:b/>
          <w:bCs/>
          <w:i/>
          <w:color w:val="auto"/>
          <w:lang w:val="en-AU"/>
        </w:rPr>
        <w:t>project finances</w:t>
      </w:r>
      <w:r w:rsidR="0009146E">
        <w:rPr>
          <w:rFonts w:ascii="Arial" w:hAnsi="Arial" w:cs="Arial"/>
          <w:b/>
          <w:bCs/>
          <w:i/>
          <w:color w:val="auto"/>
          <w:lang w:val="en-AU"/>
        </w:rPr>
        <w:t xml:space="preserve"> as of 30 </w:t>
      </w:r>
      <w:r w:rsidR="00B348C5">
        <w:rPr>
          <w:rFonts w:ascii="Arial" w:hAnsi="Arial" w:cs="Arial"/>
          <w:b/>
          <w:bCs/>
          <w:i/>
          <w:color w:val="auto"/>
          <w:lang w:val="en-AU"/>
        </w:rPr>
        <w:t>September</w:t>
      </w:r>
      <w:r w:rsidR="0009146E">
        <w:rPr>
          <w:rFonts w:ascii="Arial" w:hAnsi="Arial" w:cs="Arial"/>
          <w:b/>
          <w:bCs/>
          <w:i/>
          <w:color w:val="auto"/>
          <w:lang w:val="en-AU"/>
        </w:rPr>
        <w:t xml:space="preserve"> 2018</w:t>
      </w:r>
    </w:p>
    <w:tbl>
      <w:tblPr>
        <w:tblW w:w="9836"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65"/>
        <w:gridCol w:w="1265"/>
        <w:gridCol w:w="1265"/>
        <w:gridCol w:w="1265"/>
        <w:gridCol w:w="1266"/>
      </w:tblGrid>
      <w:tr w:rsidR="00F358E3" w:rsidRPr="00B348C5" w:rsidTr="007C72BD">
        <w:trPr>
          <w:trHeight w:val="20"/>
          <w:tblHeader/>
        </w:trPr>
        <w:tc>
          <w:tcPr>
            <w:tcW w:w="3510" w:type="dxa"/>
            <w:tcBorders>
              <w:top w:val="double" w:sz="4" w:space="0" w:color="auto"/>
              <w:bottom w:val="double" w:sz="4" w:space="0" w:color="auto"/>
            </w:tcBorders>
            <w:shd w:val="clear" w:color="auto" w:fill="D9D9D9" w:themeFill="background1" w:themeFillShade="D9"/>
            <w:vAlign w:val="center"/>
            <w:hideMark/>
          </w:tcPr>
          <w:p w:rsidR="0010633A" w:rsidRPr="00B348C5" w:rsidRDefault="0010633A" w:rsidP="0010633A">
            <w:pPr>
              <w:suppressAutoHyphens w:val="0"/>
              <w:spacing w:before="20" w:after="20" w:line="240" w:lineRule="auto"/>
              <w:rPr>
                <w:rFonts w:ascii="Arial" w:eastAsia="Times New Roman" w:hAnsi="Arial" w:cs="Arial"/>
                <w:color w:val="auto"/>
                <w:sz w:val="19"/>
                <w:szCs w:val="19"/>
                <w:lang w:val="en-PH" w:eastAsia="en-PH" w:bidi="my-MM"/>
              </w:rPr>
            </w:pPr>
          </w:p>
        </w:tc>
        <w:tc>
          <w:tcPr>
            <w:tcW w:w="1265" w:type="dxa"/>
            <w:tcBorders>
              <w:top w:val="double" w:sz="4" w:space="0" w:color="auto"/>
              <w:bottom w:val="double" w:sz="4" w:space="0" w:color="auto"/>
            </w:tcBorders>
            <w:shd w:val="clear" w:color="auto" w:fill="D9D9D9" w:themeFill="background1" w:themeFillShade="D9"/>
            <w:vAlign w:val="center"/>
            <w:hideMark/>
          </w:tcPr>
          <w:p w:rsidR="0010633A" w:rsidRPr="00B348C5" w:rsidRDefault="0010633A" w:rsidP="00C1224B">
            <w:pPr>
              <w:suppressAutoHyphens w:val="0"/>
              <w:spacing w:before="20" w:after="20" w:line="240" w:lineRule="auto"/>
              <w:ind w:left="-72" w:right="-72"/>
              <w:jc w:val="center"/>
              <w:rPr>
                <w:rFonts w:ascii="Arial" w:eastAsia="Times New Roman" w:hAnsi="Arial" w:cs="Arial"/>
                <w:b/>
                <w:bCs/>
                <w:color w:val="auto"/>
                <w:sz w:val="19"/>
                <w:szCs w:val="19"/>
                <w:lang w:val="en-PH" w:eastAsia="en-PH" w:bidi="my-MM"/>
              </w:rPr>
            </w:pPr>
            <w:r w:rsidRPr="00B348C5">
              <w:rPr>
                <w:rFonts w:ascii="Arial" w:eastAsia="Times New Roman" w:hAnsi="Arial" w:cs="Arial"/>
                <w:b/>
                <w:bCs/>
                <w:color w:val="auto"/>
                <w:sz w:val="19"/>
                <w:szCs w:val="19"/>
                <w:lang w:val="en-PH" w:eastAsia="en-PH" w:bidi="my-MM"/>
              </w:rPr>
              <w:t>Grant</w:t>
            </w:r>
            <w:r w:rsidR="00C1224B" w:rsidRPr="00B348C5">
              <w:rPr>
                <w:rFonts w:ascii="Arial" w:eastAsia="Times New Roman" w:hAnsi="Arial" w:cs="Arial"/>
                <w:b/>
                <w:bCs/>
                <w:color w:val="auto"/>
                <w:sz w:val="19"/>
                <w:szCs w:val="19"/>
                <w:lang w:val="en-PH" w:eastAsia="en-PH" w:bidi="my-MM"/>
              </w:rPr>
              <w:t xml:space="preserve"> Amounts</w:t>
            </w:r>
            <w:r w:rsidR="0009146E" w:rsidRPr="00B348C5">
              <w:rPr>
                <w:rFonts w:ascii="Arial" w:eastAsia="Times New Roman" w:hAnsi="Arial" w:cs="Arial"/>
                <w:b/>
                <w:bCs/>
                <w:color w:val="auto"/>
                <w:sz w:val="19"/>
                <w:szCs w:val="19"/>
                <w:lang w:val="en-PH" w:eastAsia="en-PH" w:bidi="my-MM"/>
              </w:rPr>
              <w:t xml:space="preserve"> (Project Budgets)</w:t>
            </w:r>
          </w:p>
        </w:tc>
        <w:tc>
          <w:tcPr>
            <w:tcW w:w="1265" w:type="dxa"/>
            <w:tcBorders>
              <w:top w:val="double" w:sz="4" w:space="0" w:color="auto"/>
              <w:bottom w:val="double" w:sz="4" w:space="0" w:color="auto"/>
            </w:tcBorders>
            <w:shd w:val="clear" w:color="auto" w:fill="D9D9D9" w:themeFill="background1" w:themeFillShade="D9"/>
            <w:vAlign w:val="center"/>
            <w:hideMark/>
          </w:tcPr>
          <w:p w:rsidR="0010633A" w:rsidRPr="00B348C5" w:rsidRDefault="0010633A" w:rsidP="00B965E4">
            <w:pPr>
              <w:suppressAutoHyphens w:val="0"/>
              <w:spacing w:before="20" w:after="20" w:line="240" w:lineRule="auto"/>
              <w:ind w:left="-72" w:right="-72"/>
              <w:jc w:val="center"/>
              <w:rPr>
                <w:rFonts w:ascii="Arial" w:eastAsia="Times New Roman" w:hAnsi="Arial" w:cs="Arial"/>
                <w:b/>
                <w:bCs/>
                <w:color w:val="auto"/>
                <w:sz w:val="19"/>
                <w:szCs w:val="19"/>
                <w:lang w:val="en-PH" w:eastAsia="en-PH" w:bidi="my-MM"/>
              </w:rPr>
            </w:pPr>
            <w:r w:rsidRPr="00B348C5">
              <w:rPr>
                <w:rFonts w:ascii="Arial" w:eastAsia="Times New Roman" w:hAnsi="Arial" w:cs="Arial"/>
                <w:b/>
                <w:bCs/>
                <w:color w:val="auto"/>
                <w:sz w:val="19"/>
                <w:szCs w:val="19"/>
                <w:lang w:val="en-PH" w:eastAsia="en-PH" w:bidi="my-MM"/>
              </w:rPr>
              <w:t>Funds Transferred</w:t>
            </w:r>
          </w:p>
        </w:tc>
        <w:tc>
          <w:tcPr>
            <w:tcW w:w="1265" w:type="dxa"/>
            <w:tcBorders>
              <w:top w:val="double" w:sz="4" w:space="0" w:color="auto"/>
              <w:bottom w:val="double" w:sz="4" w:space="0" w:color="auto"/>
            </w:tcBorders>
            <w:shd w:val="clear" w:color="auto" w:fill="D9D9D9" w:themeFill="background1" w:themeFillShade="D9"/>
            <w:vAlign w:val="center"/>
            <w:hideMark/>
          </w:tcPr>
          <w:p w:rsidR="0010633A" w:rsidRPr="00B348C5" w:rsidRDefault="0010633A" w:rsidP="00B965E4">
            <w:pPr>
              <w:suppressAutoHyphens w:val="0"/>
              <w:spacing w:before="20" w:after="20" w:line="240" w:lineRule="auto"/>
              <w:ind w:left="-72" w:right="-72"/>
              <w:jc w:val="center"/>
              <w:rPr>
                <w:rFonts w:ascii="Arial" w:eastAsia="Times New Roman" w:hAnsi="Arial" w:cs="Arial"/>
                <w:b/>
                <w:bCs/>
                <w:color w:val="auto"/>
                <w:sz w:val="19"/>
                <w:szCs w:val="19"/>
                <w:lang w:val="en-PH" w:eastAsia="en-PH" w:bidi="my-MM"/>
              </w:rPr>
            </w:pPr>
            <w:r w:rsidRPr="00B348C5">
              <w:rPr>
                <w:rFonts w:ascii="Arial" w:eastAsia="Times New Roman" w:hAnsi="Arial" w:cs="Arial"/>
                <w:b/>
                <w:bCs/>
                <w:color w:val="auto"/>
                <w:sz w:val="19"/>
                <w:szCs w:val="19"/>
                <w:lang w:val="en-PH" w:eastAsia="en-PH" w:bidi="my-MM"/>
              </w:rPr>
              <w:t>Disbursed and Committed</w:t>
            </w:r>
          </w:p>
        </w:tc>
        <w:tc>
          <w:tcPr>
            <w:tcW w:w="1265" w:type="dxa"/>
            <w:tcBorders>
              <w:top w:val="double" w:sz="4" w:space="0" w:color="auto"/>
              <w:bottom w:val="double" w:sz="4" w:space="0" w:color="auto"/>
            </w:tcBorders>
            <w:shd w:val="clear" w:color="auto" w:fill="D9D9D9" w:themeFill="background1" w:themeFillShade="D9"/>
            <w:vAlign w:val="center"/>
            <w:hideMark/>
          </w:tcPr>
          <w:p w:rsidR="0010633A" w:rsidRPr="00B348C5" w:rsidRDefault="0010633A" w:rsidP="00C1224B">
            <w:pPr>
              <w:suppressAutoHyphens w:val="0"/>
              <w:spacing w:before="20" w:after="20" w:line="240" w:lineRule="auto"/>
              <w:ind w:left="-72" w:right="-72"/>
              <w:jc w:val="center"/>
              <w:rPr>
                <w:rFonts w:ascii="Arial" w:eastAsia="Times New Roman" w:hAnsi="Arial" w:cs="Arial"/>
                <w:b/>
                <w:bCs/>
                <w:color w:val="auto"/>
                <w:sz w:val="19"/>
                <w:szCs w:val="19"/>
                <w:lang w:val="en-PH" w:eastAsia="en-PH" w:bidi="my-MM"/>
              </w:rPr>
            </w:pPr>
            <w:r w:rsidRPr="00B348C5">
              <w:rPr>
                <w:rFonts w:ascii="Arial" w:eastAsia="Times New Roman" w:hAnsi="Arial" w:cs="Arial"/>
                <w:b/>
                <w:bCs/>
                <w:color w:val="auto"/>
                <w:sz w:val="19"/>
                <w:szCs w:val="19"/>
                <w:lang w:val="en-PH" w:eastAsia="en-PH" w:bidi="my-MM"/>
              </w:rPr>
              <w:t>Grant</w:t>
            </w:r>
            <w:r w:rsidR="00C1224B" w:rsidRPr="00B348C5">
              <w:rPr>
                <w:rFonts w:ascii="Arial" w:eastAsia="Times New Roman" w:hAnsi="Arial" w:cs="Arial"/>
                <w:b/>
                <w:bCs/>
                <w:color w:val="auto"/>
                <w:sz w:val="19"/>
                <w:szCs w:val="19"/>
                <w:lang w:val="en-PH" w:eastAsia="en-PH" w:bidi="my-MM"/>
              </w:rPr>
              <w:t>s</w:t>
            </w:r>
            <w:r w:rsidRPr="00B348C5">
              <w:rPr>
                <w:rFonts w:ascii="Arial" w:eastAsia="Times New Roman" w:hAnsi="Arial" w:cs="Arial"/>
                <w:b/>
                <w:bCs/>
                <w:color w:val="auto"/>
                <w:sz w:val="19"/>
                <w:szCs w:val="19"/>
                <w:lang w:val="en-PH" w:eastAsia="en-PH" w:bidi="my-MM"/>
              </w:rPr>
              <w:t xml:space="preserve"> Disbursed</w:t>
            </w:r>
            <w:r w:rsidR="00BB22E6" w:rsidRPr="00B348C5">
              <w:rPr>
                <w:rFonts w:ascii="Arial" w:eastAsia="Times New Roman" w:hAnsi="Arial" w:cs="Arial"/>
                <w:b/>
                <w:bCs/>
                <w:color w:val="auto"/>
                <w:sz w:val="19"/>
                <w:szCs w:val="19"/>
                <w:lang w:val="en-PH" w:eastAsia="en-PH" w:bidi="my-MM"/>
              </w:rPr>
              <w:t xml:space="preserve"> </w:t>
            </w:r>
            <w:r w:rsidR="00C1224B" w:rsidRPr="00B348C5">
              <w:rPr>
                <w:rFonts w:ascii="Arial" w:eastAsia="Times New Roman" w:hAnsi="Arial" w:cs="Arial"/>
                <w:b/>
                <w:bCs/>
                <w:color w:val="auto"/>
                <w:sz w:val="19"/>
                <w:szCs w:val="19"/>
                <w:lang w:val="en-PH" w:eastAsia="en-PH" w:bidi="my-MM"/>
              </w:rPr>
              <w:t>&amp;</w:t>
            </w:r>
            <w:r w:rsidR="00BB22E6" w:rsidRPr="00B348C5">
              <w:rPr>
                <w:rFonts w:ascii="Arial" w:eastAsia="Times New Roman" w:hAnsi="Arial" w:cs="Arial"/>
                <w:b/>
                <w:bCs/>
                <w:color w:val="auto"/>
                <w:sz w:val="19"/>
                <w:szCs w:val="19"/>
                <w:lang w:val="en-PH" w:eastAsia="en-PH" w:bidi="my-MM"/>
              </w:rPr>
              <w:t xml:space="preserve"> Committed</w:t>
            </w:r>
          </w:p>
        </w:tc>
        <w:tc>
          <w:tcPr>
            <w:tcW w:w="1266" w:type="dxa"/>
            <w:tcBorders>
              <w:top w:val="double" w:sz="4" w:space="0" w:color="auto"/>
              <w:bottom w:val="double" w:sz="4" w:space="0" w:color="auto"/>
            </w:tcBorders>
            <w:shd w:val="clear" w:color="auto" w:fill="D9D9D9" w:themeFill="background1" w:themeFillShade="D9"/>
            <w:vAlign w:val="center"/>
            <w:hideMark/>
          </w:tcPr>
          <w:p w:rsidR="0010633A" w:rsidRPr="00B348C5" w:rsidRDefault="0010633A" w:rsidP="00C1224B">
            <w:pPr>
              <w:suppressAutoHyphens w:val="0"/>
              <w:spacing w:before="20" w:after="20" w:line="240" w:lineRule="auto"/>
              <w:ind w:left="-72" w:right="-72"/>
              <w:jc w:val="center"/>
              <w:rPr>
                <w:rFonts w:ascii="Arial" w:eastAsia="Times New Roman" w:hAnsi="Arial" w:cs="Arial"/>
                <w:b/>
                <w:bCs/>
                <w:color w:val="auto"/>
                <w:sz w:val="19"/>
                <w:szCs w:val="19"/>
                <w:lang w:val="en-PH" w:eastAsia="en-PH" w:bidi="my-MM"/>
              </w:rPr>
            </w:pPr>
            <w:r w:rsidRPr="00B348C5">
              <w:rPr>
                <w:rFonts w:ascii="Arial" w:eastAsia="Times New Roman" w:hAnsi="Arial" w:cs="Arial"/>
                <w:b/>
                <w:bCs/>
                <w:color w:val="auto"/>
                <w:sz w:val="19"/>
                <w:szCs w:val="19"/>
                <w:lang w:val="en-PH" w:eastAsia="en-PH" w:bidi="my-MM"/>
              </w:rPr>
              <w:t>Funds-on-Hand Disbursed</w:t>
            </w:r>
            <w:r w:rsidR="00BB22E6" w:rsidRPr="00B348C5">
              <w:rPr>
                <w:rFonts w:ascii="Arial" w:eastAsia="Times New Roman" w:hAnsi="Arial" w:cs="Arial"/>
                <w:b/>
                <w:bCs/>
                <w:color w:val="auto"/>
                <w:sz w:val="19"/>
                <w:szCs w:val="19"/>
                <w:lang w:val="en-PH" w:eastAsia="en-PH" w:bidi="my-MM"/>
              </w:rPr>
              <w:t xml:space="preserve"> </w:t>
            </w:r>
            <w:r w:rsidR="00C1224B" w:rsidRPr="00B348C5">
              <w:rPr>
                <w:rFonts w:ascii="Arial" w:eastAsia="Times New Roman" w:hAnsi="Arial" w:cs="Arial"/>
                <w:b/>
                <w:bCs/>
                <w:color w:val="auto"/>
                <w:sz w:val="19"/>
                <w:szCs w:val="19"/>
                <w:lang w:val="en-PH" w:eastAsia="en-PH" w:bidi="my-MM"/>
              </w:rPr>
              <w:t>&amp;</w:t>
            </w:r>
            <w:r w:rsidR="00BB22E6" w:rsidRPr="00B348C5">
              <w:rPr>
                <w:rFonts w:ascii="Arial" w:eastAsia="Times New Roman" w:hAnsi="Arial" w:cs="Arial"/>
                <w:b/>
                <w:bCs/>
                <w:color w:val="auto"/>
                <w:sz w:val="19"/>
                <w:szCs w:val="19"/>
                <w:lang w:val="en-PH" w:eastAsia="en-PH" w:bidi="my-MM"/>
              </w:rPr>
              <w:t xml:space="preserve"> Committed</w:t>
            </w:r>
          </w:p>
        </w:tc>
      </w:tr>
      <w:tr w:rsidR="00B348C5" w:rsidRPr="00B348C5" w:rsidTr="00CE5D4E">
        <w:trPr>
          <w:trHeight w:val="360"/>
        </w:trPr>
        <w:tc>
          <w:tcPr>
            <w:tcW w:w="3510" w:type="dxa"/>
            <w:tcBorders>
              <w:top w:val="double" w:sz="4" w:space="0" w:color="auto"/>
            </w:tcBorders>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 xml:space="preserve">Investment climate </w:t>
            </w:r>
            <w:r w:rsidRPr="00B348C5">
              <w:rPr>
                <w:rFonts w:ascii="Arial" w:hAnsi="Arial" w:cs="Arial"/>
                <w:color w:val="auto"/>
                <w:sz w:val="19"/>
                <w:szCs w:val="19"/>
                <w:lang w:val="en-AU"/>
              </w:rPr>
              <w:t>(business regulatory reform)</w:t>
            </w:r>
          </w:p>
        </w:tc>
        <w:tc>
          <w:tcPr>
            <w:tcW w:w="1265" w:type="dxa"/>
            <w:tcBorders>
              <w:top w:val="double" w:sz="4" w:space="0" w:color="auto"/>
            </w:tcBorders>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2,434,271</w:t>
            </w:r>
          </w:p>
        </w:tc>
        <w:tc>
          <w:tcPr>
            <w:tcW w:w="1265" w:type="dxa"/>
            <w:tcBorders>
              <w:top w:val="double" w:sz="4" w:space="0" w:color="auto"/>
            </w:tcBorders>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2,469,815</w:t>
            </w:r>
          </w:p>
        </w:tc>
        <w:tc>
          <w:tcPr>
            <w:tcW w:w="1265" w:type="dxa"/>
            <w:tcBorders>
              <w:top w:val="double" w:sz="4" w:space="0" w:color="auto"/>
            </w:tcBorders>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2,013,071</w:t>
            </w:r>
          </w:p>
        </w:tc>
        <w:tc>
          <w:tcPr>
            <w:tcW w:w="1265" w:type="dxa"/>
            <w:tcBorders>
              <w:top w:val="double" w:sz="4" w:space="0" w:color="auto"/>
            </w:tcBorders>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83%</w:t>
            </w:r>
          </w:p>
        </w:tc>
        <w:tc>
          <w:tcPr>
            <w:tcW w:w="1266" w:type="dxa"/>
            <w:tcBorders>
              <w:top w:val="double" w:sz="4" w:space="0" w:color="auto"/>
            </w:tcBorders>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82%</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Investment policy</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2,090,387</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1,454,843</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1,188,515</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57%</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82%</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 xml:space="preserve">Trade competitiveness and enterprise development </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5,050,000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2,841,603</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2,934,745</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58%</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103%</w:t>
            </w:r>
          </w:p>
        </w:tc>
      </w:tr>
      <w:tr w:rsidR="00B348C5" w:rsidRPr="00B348C5" w:rsidTr="00CE5D4E">
        <w:trPr>
          <w:trHeight w:val="360"/>
        </w:trPr>
        <w:tc>
          <w:tcPr>
            <w:tcW w:w="3510" w:type="dxa"/>
            <w:shd w:val="clear" w:color="auto" w:fill="auto"/>
            <w:noWrap/>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Corporate governance</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2,550,000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2,272,256</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1,809,528</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71%</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80%</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Supporting sustainable tourism development</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1,948,131</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1,462,860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1,205,073</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62%</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82%</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Reforming agriculture input regulation and standards</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2,000,000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1,677,942</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786,194</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39%</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47%</w:t>
            </w:r>
          </w:p>
        </w:tc>
      </w:tr>
      <w:tr w:rsidR="00B348C5" w:rsidRPr="00B348C5" w:rsidTr="00CE5D4E">
        <w:trPr>
          <w:trHeight w:val="360"/>
        </w:trPr>
        <w:tc>
          <w:tcPr>
            <w:tcW w:w="3510" w:type="dxa"/>
            <w:shd w:val="clear" w:color="auto" w:fill="auto"/>
            <w:noWrap/>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Energy access (Lighting Myanmar)</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2,423,536</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1,301,457</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632,282</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26%</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49%</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Agriculture business advisory and food safety</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3,000,000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650,000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330,018</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11%</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51%</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Power advisory</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2,000,000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788,193</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328,327</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16%</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42%</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eastAsia="Times New Roman" w:hAnsi="Arial" w:cs="Arial"/>
                <w:color w:val="auto"/>
                <w:sz w:val="19"/>
                <w:szCs w:val="19"/>
                <w:lang w:val="en-PH" w:eastAsia="en-PH" w:bidi="my-MM"/>
              </w:rPr>
              <w:t>Environmental and social advisory</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2,000,000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1,100,000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577,511</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29%</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53%</w:t>
            </w:r>
          </w:p>
        </w:tc>
      </w:tr>
      <w:tr w:rsidR="00B348C5" w:rsidRPr="00B348C5" w:rsidTr="00CE5D4E">
        <w:trPr>
          <w:trHeight w:val="360"/>
        </w:trPr>
        <w:tc>
          <w:tcPr>
            <w:tcW w:w="3510" w:type="dxa"/>
            <w:shd w:val="clear" w:color="auto" w:fill="auto"/>
            <w:vAlign w:val="center"/>
            <w:hideMark/>
          </w:tcPr>
          <w:p w:rsidR="00B348C5" w:rsidRPr="00B348C5" w:rsidRDefault="00B348C5" w:rsidP="00CE5D4E">
            <w:pPr>
              <w:pStyle w:val="ListParagraph"/>
              <w:numPr>
                <w:ilvl w:val="0"/>
                <w:numId w:val="49"/>
              </w:numPr>
              <w:suppressAutoHyphens w:val="0"/>
              <w:spacing w:before="40" w:after="40" w:line="240" w:lineRule="auto"/>
              <w:ind w:left="288" w:hanging="288"/>
              <w:contextualSpacing w:val="0"/>
              <w:rPr>
                <w:rFonts w:ascii="Arial" w:eastAsia="Times New Roman" w:hAnsi="Arial" w:cs="Arial"/>
                <w:color w:val="auto"/>
                <w:sz w:val="19"/>
                <w:szCs w:val="19"/>
                <w:lang w:val="en-PH" w:eastAsia="en-PH" w:bidi="my-MM"/>
              </w:rPr>
            </w:pPr>
            <w:r w:rsidRPr="00B348C5">
              <w:rPr>
                <w:rFonts w:ascii="Arial" w:hAnsi="Arial" w:cs="Arial"/>
                <w:color w:val="auto"/>
                <w:sz w:val="19"/>
                <w:szCs w:val="19"/>
                <w:lang w:val="en-AU"/>
              </w:rPr>
              <w:t>Public-private partnership (PPP)</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1,500,000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700,000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260,978</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17%</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r w:rsidRPr="00B348C5">
              <w:rPr>
                <w:rFonts w:ascii="Arial" w:hAnsi="Arial" w:cs="Arial"/>
                <w:color w:val="auto"/>
                <w:sz w:val="19"/>
                <w:szCs w:val="19"/>
              </w:rPr>
              <w:t>37%</w:t>
            </w:r>
          </w:p>
        </w:tc>
      </w:tr>
      <w:tr w:rsidR="00B348C5" w:rsidRPr="00B348C5" w:rsidTr="00CE5D4E">
        <w:trPr>
          <w:trHeight w:val="360"/>
        </w:trPr>
        <w:tc>
          <w:tcPr>
            <w:tcW w:w="3510" w:type="dxa"/>
            <w:shd w:val="clear" w:color="auto" w:fill="auto"/>
            <w:vAlign w:val="center"/>
            <w:hideMark/>
          </w:tcPr>
          <w:p w:rsidR="00B348C5" w:rsidRPr="00B348C5" w:rsidRDefault="00B348C5" w:rsidP="00CE5D4E">
            <w:pPr>
              <w:suppressAutoHyphens w:val="0"/>
              <w:spacing w:before="40" w:after="40" w:line="240" w:lineRule="auto"/>
              <w:rPr>
                <w:rFonts w:ascii="Arial" w:eastAsia="Times New Roman" w:hAnsi="Arial" w:cs="Arial"/>
                <w:i/>
                <w:iCs/>
                <w:color w:val="auto"/>
                <w:sz w:val="19"/>
                <w:szCs w:val="19"/>
                <w:lang w:val="en-PH" w:eastAsia="en-PH" w:bidi="my-MM"/>
              </w:rPr>
            </w:pPr>
            <w:r w:rsidRPr="00B348C5">
              <w:rPr>
                <w:rFonts w:ascii="Arial" w:eastAsia="Times New Roman" w:hAnsi="Arial" w:cs="Arial"/>
                <w:i/>
                <w:iCs/>
                <w:color w:val="auto"/>
                <w:sz w:val="19"/>
                <w:szCs w:val="19"/>
                <w:lang w:val="en-PH" w:eastAsia="en-PH" w:bidi="my-MM"/>
              </w:rPr>
              <w:lastRenderedPageBreak/>
              <w:t>Unallocated</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1,938,170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r w:rsidRPr="00B348C5">
              <w:rPr>
                <w:rFonts w:ascii="Arial" w:hAnsi="Arial" w:cs="Arial"/>
                <w:color w:val="auto"/>
                <w:sz w:val="19"/>
                <w:szCs w:val="19"/>
              </w:rPr>
              <w:t>1,938,170</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color w:val="auto"/>
                <w:sz w:val="19"/>
                <w:szCs w:val="19"/>
              </w:rPr>
            </w:pP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color w:val="auto"/>
                <w:sz w:val="19"/>
                <w:szCs w:val="19"/>
              </w:rPr>
            </w:pPr>
          </w:p>
        </w:tc>
      </w:tr>
      <w:tr w:rsidR="00B348C5" w:rsidRPr="00B348C5" w:rsidTr="00CE5D4E">
        <w:trPr>
          <w:trHeight w:val="360"/>
        </w:trPr>
        <w:tc>
          <w:tcPr>
            <w:tcW w:w="3510" w:type="dxa"/>
            <w:shd w:val="clear" w:color="auto" w:fill="auto"/>
            <w:vAlign w:val="center"/>
            <w:hideMark/>
          </w:tcPr>
          <w:p w:rsidR="00B348C5" w:rsidRPr="00B348C5" w:rsidRDefault="00B348C5" w:rsidP="00CE5D4E">
            <w:pPr>
              <w:suppressAutoHyphens w:val="0"/>
              <w:spacing w:before="40" w:after="40" w:line="240" w:lineRule="auto"/>
              <w:rPr>
                <w:rFonts w:ascii="Arial" w:eastAsia="Times New Roman" w:hAnsi="Arial" w:cs="Arial"/>
                <w:b/>
                <w:bCs/>
                <w:color w:val="auto"/>
                <w:sz w:val="19"/>
                <w:szCs w:val="19"/>
                <w:lang w:val="en-PH" w:eastAsia="en-PH" w:bidi="my-MM"/>
              </w:rPr>
            </w:pPr>
            <w:r w:rsidRPr="00B348C5">
              <w:rPr>
                <w:rFonts w:ascii="Arial" w:eastAsia="Times New Roman" w:hAnsi="Arial" w:cs="Arial"/>
                <w:b/>
                <w:bCs/>
                <w:color w:val="auto"/>
                <w:sz w:val="19"/>
                <w:szCs w:val="19"/>
                <w:lang w:val="en-PH" w:eastAsia="en-PH" w:bidi="my-MM"/>
              </w:rPr>
              <w:t>Total</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b/>
                <w:bCs/>
                <w:color w:val="auto"/>
                <w:sz w:val="19"/>
                <w:szCs w:val="19"/>
              </w:rPr>
            </w:pPr>
            <w:r w:rsidRPr="00B348C5">
              <w:rPr>
                <w:rFonts w:ascii="Arial" w:hAnsi="Arial" w:cs="Arial"/>
                <w:b/>
                <w:bCs/>
                <w:color w:val="auto"/>
                <w:sz w:val="19"/>
                <w:szCs w:val="19"/>
              </w:rPr>
              <w:t>28,934,495</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b/>
                <w:bCs/>
                <w:color w:val="auto"/>
                <w:sz w:val="19"/>
                <w:szCs w:val="19"/>
              </w:rPr>
            </w:pPr>
            <w:r w:rsidRPr="00B348C5">
              <w:rPr>
                <w:rFonts w:ascii="Arial" w:hAnsi="Arial" w:cs="Arial"/>
                <w:b/>
                <w:bCs/>
                <w:color w:val="auto"/>
                <w:sz w:val="19"/>
                <w:szCs w:val="19"/>
              </w:rPr>
              <w:t>18,657,139</w:t>
            </w:r>
          </w:p>
        </w:tc>
        <w:tc>
          <w:tcPr>
            <w:tcW w:w="1265" w:type="dxa"/>
            <w:shd w:val="clear" w:color="auto" w:fill="auto"/>
            <w:noWrap/>
            <w:vAlign w:val="center"/>
            <w:hideMark/>
          </w:tcPr>
          <w:p w:rsidR="00B348C5" w:rsidRPr="00B348C5" w:rsidRDefault="00B348C5" w:rsidP="00CE5D4E">
            <w:pPr>
              <w:spacing w:before="40" w:after="40" w:line="240" w:lineRule="auto"/>
              <w:jc w:val="right"/>
              <w:rPr>
                <w:rFonts w:ascii="Arial" w:hAnsi="Arial" w:cs="Arial"/>
                <w:b/>
                <w:bCs/>
                <w:color w:val="auto"/>
                <w:sz w:val="19"/>
                <w:szCs w:val="19"/>
              </w:rPr>
            </w:pPr>
            <w:r w:rsidRPr="00B348C5">
              <w:rPr>
                <w:rFonts w:ascii="Arial" w:hAnsi="Arial" w:cs="Arial"/>
                <w:b/>
                <w:bCs/>
                <w:color w:val="auto"/>
                <w:sz w:val="19"/>
                <w:szCs w:val="19"/>
              </w:rPr>
              <w:t>12,066,242</w:t>
            </w:r>
          </w:p>
        </w:tc>
        <w:tc>
          <w:tcPr>
            <w:tcW w:w="1265" w:type="dxa"/>
            <w:shd w:val="clear" w:color="auto" w:fill="auto"/>
            <w:noWrap/>
            <w:vAlign w:val="center"/>
            <w:hideMark/>
          </w:tcPr>
          <w:p w:rsidR="00B348C5" w:rsidRPr="00B348C5" w:rsidRDefault="00B348C5" w:rsidP="00CE5D4E">
            <w:pPr>
              <w:spacing w:before="40" w:after="40" w:line="240" w:lineRule="auto"/>
              <w:jc w:val="center"/>
              <w:rPr>
                <w:rFonts w:ascii="Arial" w:hAnsi="Arial" w:cs="Arial"/>
                <w:b/>
                <w:bCs/>
                <w:color w:val="auto"/>
                <w:sz w:val="19"/>
                <w:szCs w:val="19"/>
              </w:rPr>
            </w:pPr>
            <w:r w:rsidRPr="00B348C5">
              <w:rPr>
                <w:rFonts w:ascii="Arial" w:hAnsi="Arial" w:cs="Arial"/>
                <w:b/>
                <w:bCs/>
                <w:color w:val="auto"/>
                <w:sz w:val="19"/>
                <w:szCs w:val="19"/>
              </w:rPr>
              <w:t>42%</w:t>
            </w:r>
          </w:p>
        </w:tc>
        <w:tc>
          <w:tcPr>
            <w:tcW w:w="1266" w:type="dxa"/>
            <w:shd w:val="clear" w:color="auto" w:fill="auto"/>
            <w:noWrap/>
            <w:vAlign w:val="center"/>
            <w:hideMark/>
          </w:tcPr>
          <w:p w:rsidR="00B348C5" w:rsidRPr="00B348C5" w:rsidRDefault="00B348C5" w:rsidP="00CE5D4E">
            <w:pPr>
              <w:spacing w:before="40" w:after="40" w:line="240" w:lineRule="auto"/>
              <w:jc w:val="center"/>
              <w:rPr>
                <w:rFonts w:ascii="Arial" w:hAnsi="Arial" w:cs="Arial"/>
                <w:b/>
                <w:bCs/>
                <w:color w:val="auto"/>
                <w:sz w:val="19"/>
                <w:szCs w:val="19"/>
              </w:rPr>
            </w:pPr>
            <w:r w:rsidRPr="00B348C5">
              <w:rPr>
                <w:rFonts w:ascii="Arial" w:hAnsi="Arial" w:cs="Arial"/>
                <w:b/>
                <w:bCs/>
                <w:color w:val="auto"/>
                <w:sz w:val="19"/>
                <w:szCs w:val="19"/>
              </w:rPr>
              <w:t>65%</w:t>
            </w:r>
          </w:p>
        </w:tc>
      </w:tr>
    </w:tbl>
    <w:p w:rsidR="0010633A" w:rsidRDefault="0010633A" w:rsidP="0010633A">
      <w:pPr>
        <w:tabs>
          <w:tab w:val="left" w:pos="357"/>
        </w:tabs>
        <w:suppressAutoHyphens w:val="0"/>
        <w:spacing w:before="0" w:after="0" w:line="240" w:lineRule="auto"/>
        <w:jc w:val="both"/>
        <w:rPr>
          <w:rFonts w:ascii="Arial" w:hAnsi="Arial" w:cs="Arial"/>
          <w:color w:val="auto"/>
          <w:lang w:val="en-AU"/>
        </w:rPr>
      </w:pPr>
    </w:p>
    <w:p w:rsidR="00A303C1" w:rsidRDefault="0009146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Pr>
          <w:rFonts w:ascii="Arial" w:hAnsi="Arial" w:cs="Arial"/>
          <w:color w:val="auto"/>
          <w:lang w:val="en-PH"/>
        </w:rPr>
        <w:t xml:space="preserve">As of </w:t>
      </w:r>
      <w:r w:rsidR="00B348C5">
        <w:rPr>
          <w:rFonts w:ascii="Arial" w:hAnsi="Arial" w:cs="Arial"/>
          <w:color w:val="auto"/>
          <w:lang w:val="en-PH"/>
        </w:rPr>
        <w:t xml:space="preserve">end-September </w:t>
      </w:r>
      <w:r>
        <w:rPr>
          <w:rFonts w:ascii="Arial" w:hAnsi="Arial" w:cs="Arial"/>
          <w:color w:val="auto"/>
          <w:lang w:val="en-PH"/>
        </w:rPr>
        <w:t>2018, s</w:t>
      </w:r>
      <w:r>
        <w:rPr>
          <w:rFonts w:ascii="Arial" w:hAnsi="Arial" w:cs="Arial"/>
          <w:color w:val="auto"/>
          <w:lang w:val="en-AU"/>
        </w:rPr>
        <w:t>pending (i.e. disbursements and commitments) amounts to</w:t>
      </w:r>
      <w:r w:rsidR="00C1224B">
        <w:rPr>
          <w:rFonts w:ascii="Arial" w:hAnsi="Arial" w:cs="Arial"/>
          <w:color w:val="auto"/>
          <w:lang w:val="en-AU"/>
        </w:rPr>
        <w:t xml:space="preserve"> 65</w:t>
      </w:r>
      <w:r w:rsidR="00E45E9E">
        <w:rPr>
          <w:rFonts w:ascii="Arial" w:hAnsi="Arial" w:cs="Arial"/>
          <w:color w:val="auto"/>
          <w:lang w:val="en-AU"/>
        </w:rPr>
        <w:t xml:space="preserve"> per cent </w:t>
      </w:r>
      <w:r w:rsidR="00C1224B">
        <w:rPr>
          <w:rFonts w:ascii="Arial" w:hAnsi="Arial" w:cs="Arial"/>
          <w:color w:val="auto"/>
          <w:lang w:val="en-AU"/>
        </w:rPr>
        <w:t xml:space="preserve">of the funds </w:t>
      </w:r>
      <w:r>
        <w:rPr>
          <w:rFonts w:ascii="Arial" w:hAnsi="Arial" w:cs="Arial"/>
          <w:color w:val="auto"/>
          <w:lang w:val="en-AU"/>
        </w:rPr>
        <w:t>t</w:t>
      </w:r>
      <w:r w:rsidR="00C1224B">
        <w:rPr>
          <w:rFonts w:ascii="Arial" w:hAnsi="Arial" w:cs="Arial"/>
          <w:color w:val="auto"/>
          <w:lang w:val="en-AU"/>
        </w:rPr>
        <w:t>ransferred</w:t>
      </w:r>
      <w:r>
        <w:rPr>
          <w:rFonts w:ascii="Arial" w:hAnsi="Arial" w:cs="Arial"/>
          <w:color w:val="auto"/>
          <w:lang w:val="en-AU"/>
        </w:rPr>
        <w:t xml:space="preserve"> from the </w:t>
      </w:r>
      <w:r w:rsidR="00A10AD6" w:rsidRPr="00A10AD6">
        <w:rPr>
          <w:rFonts w:ascii="Arial" w:hAnsi="Arial" w:cs="Arial"/>
          <w:iCs/>
          <w:color w:val="auto"/>
          <w:lang w:val="en-AU"/>
        </w:rPr>
        <w:t xml:space="preserve">Myanmar Partnership </w:t>
      </w:r>
      <w:r>
        <w:rPr>
          <w:rFonts w:ascii="Arial" w:hAnsi="Arial" w:cs="Arial"/>
          <w:color w:val="auto"/>
          <w:lang w:val="en-AU"/>
        </w:rPr>
        <w:t xml:space="preserve">MDTF to the projects, but only </w:t>
      </w:r>
      <w:r w:rsidR="00B348C5">
        <w:rPr>
          <w:rFonts w:ascii="Arial" w:hAnsi="Arial" w:cs="Arial"/>
          <w:color w:val="auto"/>
          <w:lang w:val="en-AU"/>
        </w:rPr>
        <w:t>42</w:t>
      </w:r>
      <w:r w:rsidR="00E45E9E">
        <w:rPr>
          <w:rFonts w:ascii="Arial" w:hAnsi="Arial" w:cs="Arial"/>
          <w:color w:val="auto"/>
          <w:lang w:val="en-AU"/>
        </w:rPr>
        <w:t xml:space="preserve"> per cent</w:t>
      </w:r>
      <w:r w:rsidR="00C1224B">
        <w:rPr>
          <w:rFonts w:ascii="Arial" w:hAnsi="Arial" w:cs="Arial"/>
          <w:color w:val="auto"/>
          <w:lang w:val="en-AU"/>
        </w:rPr>
        <w:t xml:space="preserve"> of the total grants</w:t>
      </w:r>
      <w:r>
        <w:rPr>
          <w:rFonts w:ascii="Arial" w:hAnsi="Arial" w:cs="Arial"/>
          <w:color w:val="auto"/>
          <w:lang w:val="en-AU"/>
        </w:rPr>
        <w:t xml:space="preserve"> (40</w:t>
      </w:r>
      <w:r w:rsidR="00E45E9E">
        <w:rPr>
          <w:rFonts w:ascii="Arial" w:hAnsi="Arial" w:cs="Arial"/>
          <w:color w:val="auto"/>
          <w:lang w:val="en-AU"/>
        </w:rPr>
        <w:t xml:space="preserve"> per cent </w:t>
      </w:r>
      <w:r>
        <w:rPr>
          <w:rFonts w:ascii="Arial" w:hAnsi="Arial" w:cs="Arial"/>
          <w:color w:val="auto"/>
          <w:lang w:val="en-AU"/>
        </w:rPr>
        <w:t>if excluding the unallocated amount)</w:t>
      </w:r>
      <w:r w:rsidR="00C1224B">
        <w:rPr>
          <w:rFonts w:ascii="Arial" w:hAnsi="Arial" w:cs="Arial"/>
          <w:color w:val="auto"/>
          <w:lang w:val="en-AU"/>
        </w:rPr>
        <w:t>.</w:t>
      </w:r>
      <w:r>
        <w:rPr>
          <w:rFonts w:ascii="Arial" w:hAnsi="Arial" w:cs="Arial"/>
          <w:color w:val="auto"/>
          <w:lang w:val="en-AU"/>
        </w:rPr>
        <w:t xml:space="preserve"> While this </w:t>
      </w:r>
      <w:r w:rsidR="00533E1A">
        <w:rPr>
          <w:rFonts w:ascii="Arial" w:hAnsi="Arial" w:cs="Arial"/>
          <w:color w:val="auto"/>
          <w:lang w:val="en-AU"/>
        </w:rPr>
        <w:t xml:space="preserve">latter figure </w:t>
      </w:r>
      <w:r>
        <w:rPr>
          <w:rFonts w:ascii="Arial" w:hAnsi="Arial" w:cs="Arial"/>
          <w:color w:val="auto"/>
          <w:lang w:val="en-AU"/>
        </w:rPr>
        <w:t xml:space="preserve">as such </w:t>
      </w:r>
      <w:r w:rsidR="00533E1A">
        <w:rPr>
          <w:rFonts w:ascii="Arial" w:hAnsi="Arial" w:cs="Arial"/>
          <w:color w:val="auto"/>
          <w:lang w:val="en-AU"/>
        </w:rPr>
        <w:t>is</w:t>
      </w:r>
      <w:r>
        <w:rPr>
          <w:rFonts w:ascii="Arial" w:hAnsi="Arial" w:cs="Arial"/>
          <w:color w:val="auto"/>
          <w:lang w:val="en-AU"/>
        </w:rPr>
        <w:t xml:space="preserve"> somewhat low, considering that 6</w:t>
      </w:r>
      <w:r w:rsidR="00B348C5">
        <w:rPr>
          <w:rFonts w:ascii="Arial" w:hAnsi="Arial" w:cs="Arial"/>
          <w:color w:val="auto"/>
          <w:lang w:val="en-AU"/>
        </w:rPr>
        <w:t>6</w:t>
      </w:r>
      <w:r w:rsidR="00E45E9E">
        <w:rPr>
          <w:rFonts w:ascii="Arial" w:hAnsi="Arial" w:cs="Arial"/>
          <w:color w:val="auto"/>
          <w:lang w:val="en-AU"/>
        </w:rPr>
        <w:t xml:space="preserve"> per cent</w:t>
      </w:r>
      <w:r>
        <w:rPr>
          <w:rFonts w:ascii="Arial" w:hAnsi="Arial" w:cs="Arial"/>
          <w:color w:val="auto"/>
          <w:lang w:val="en-AU"/>
        </w:rPr>
        <w:t xml:space="preserve"> of the program time from 2015 to 2020 has elapsed (and given that four projects started</w:t>
      </w:r>
      <w:r w:rsidR="00470E2A">
        <w:rPr>
          <w:rFonts w:ascii="Arial" w:hAnsi="Arial" w:cs="Arial"/>
          <w:color w:val="auto"/>
          <w:lang w:val="en-AU"/>
        </w:rPr>
        <w:t xml:space="preserve"> implementation already in 2014), it is not unusual for donor-funded projects </w:t>
      </w:r>
      <w:r w:rsidR="005646A5">
        <w:rPr>
          <w:rFonts w:ascii="Arial" w:hAnsi="Arial" w:cs="Arial"/>
          <w:color w:val="auto"/>
          <w:lang w:val="en-AU"/>
        </w:rPr>
        <w:t>to have spending profiles that are skewed towards</w:t>
      </w:r>
      <w:r w:rsidR="007D1D8A">
        <w:rPr>
          <w:rFonts w:ascii="Arial" w:hAnsi="Arial" w:cs="Arial"/>
          <w:color w:val="auto"/>
          <w:lang w:val="en-AU"/>
        </w:rPr>
        <w:t xml:space="preserve"> the later project years.</w:t>
      </w:r>
      <w:r w:rsidR="007D1D8A" w:rsidRPr="00A769DE">
        <w:rPr>
          <w:rStyle w:val="FootnoteReference"/>
          <w:rFonts w:ascii="Arial" w:hAnsi="Arial" w:cs="Arial"/>
          <w:color w:val="auto"/>
          <w:lang w:val="en-AU"/>
        </w:rPr>
        <w:footnoteReference w:id="29"/>
      </w:r>
      <w:r w:rsidR="007D1D8A">
        <w:rPr>
          <w:rFonts w:ascii="Arial" w:hAnsi="Arial" w:cs="Arial"/>
          <w:color w:val="auto"/>
          <w:lang w:val="en-AU"/>
        </w:rPr>
        <w:t xml:space="preserve"> However, as the IFC has not made </w:t>
      </w:r>
      <w:r w:rsidR="00AE7AF9">
        <w:rPr>
          <w:rFonts w:ascii="Arial" w:hAnsi="Arial" w:cs="Arial"/>
          <w:color w:val="auto"/>
          <w:lang w:val="en-AU"/>
        </w:rPr>
        <w:t>project-level expenditure</w:t>
      </w:r>
      <w:r w:rsidR="007D1D8A">
        <w:rPr>
          <w:rFonts w:ascii="Arial" w:hAnsi="Arial" w:cs="Arial"/>
          <w:color w:val="auto"/>
          <w:lang w:val="en-AU"/>
        </w:rPr>
        <w:t xml:space="preserve"> data (so-called “budget uses”) available, it is not possible to make an evaluative judgement in this regard.</w:t>
      </w:r>
    </w:p>
    <w:p w:rsidR="00A303C1" w:rsidRDefault="00A303C1" w:rsidP="00A303C1">
      <w:pPr>
        <w:pStyle w:val="ListParagraph"/>
        <w:tabs>
          <w:tab w:val="left" w:pos="357"/>
        </w:tabs>
        <w:suppressAutoHyphens w:val="0"/>
        <w:spacing w:before="0" w:after="0" w:line="240" w:lineRule="auto"/>
        <w:ind w:left="0"/>
        <w:jc w:val="both"/>
        <w:rPr>
          <w:rFonts w:ascii="Arial" w:hAnsi="Arial" w:cs="Arial"/>
          <w:color w:val="auto"/>
          <w:lang w:val="en-AU"/>
        </w:rPr>
      </w:pPr>
    </w:p>
    <w:p w:rsidR="008C7285" w:rsidRPr="008C7285" w:rsidRDefault="0086397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8C7285">
        <w:rPr>
          <w:rFonts w:ascii="Arial" w:hAnsi="Arial" w:cs="Arial"/>
          <w:color w:val="auto"/>
          <w:lang w:val="en-AU"/>
        </w:rPr>
        <w:t>Based on the information</w:t>
      </w:r>
      <w:r w:rsidR="008C7285" w:rsidRPr="008C7285">
        <w:rPr>
          <w:rFonts w:ascii="Arial" w:hAnsi="Arial" w:cs="Arial"/>
          <w:color w:val="auto"/>
          <w:lang w:val="en-AU"/>
        </w:rPr>
        <w:t xml:space="preserve"> available</w:t>
      </w:r>
      <w:r w:rsidRPr="008C7285">
        <w:rPr>
          <w:rFonts w:ascii="Arial" w:hAnsi="Arial" w:cs="Arial"/>
          <w:color w:val="auto"/>
          <w:lang w:val="en-AU"/>
        </w:rPr>
        <w:t>,</w:t>
      </w:r>
      <w:r w:rsidR="008C7285" w:rsidRPr="00A769DE">
        <w:rPr>
          <w:rStyle w:val="FootnoteReference"/>
          <w:rFonts w:ascii="Arial" w:hAnsi="Arial" w:cs="Arial"/>
          <w:color w:val="auto"/>
          <w:lang w:val="en-AU"/>
        </w:rPr>
        <w:footnoteReference w:id="30"/>
      </w:r>
      <w:r w:rsidRPr="008C7285">
        <w:rPr>
          <w:rFonts w:ascii="Arial" w:hAnsi="Arial" w:cs="Arial"/>
          <w:color w:val="auto"/>
          <w:lang w:val="en-AU"/>
        </w:rPr>
        <w:t xml:space="preserve"> it appears that the ICCP projects are </w:t>
      </w:r>
      <w:r w:rsidR="00E15A9B">
        <w:rPr>
          <w:rFonts w:ascii="Arial" w:hAnsi="Arial" w:cs="Arial"/>
          <w:color w:val="auto"/>
          <w:lang w:val="en-AU"/>
        </w:rPr>
        <w:t>well-</w:t>
      </w:r>
      <w:r w:rsidR="00E15A9B" w:rsidRPr="008C7285">
        <w:rPr>
          <w:rFonts w:ascii="Arial" w:hAnsi="Arial" w:cs="Arial"/>
          <w:color w:val="auto"/>
          <w:lang w:val="en-AU"/>
        </w:rPr>
        <w:t>designed</w:t>
      </w:r>
      <w:r w:rsidRPr="008C7285">
        <w:rPr>
          <w:rFonts w:ascii="Arial" w:hAnsi="Arial" w:cs="Arial"/>
          <w:color w:val="auto"/>
          <w:lang w:val="en-AU"/>
        </w:rPr>
        <w:t xml:space="preserve"> with clearly stated objectives, relevant targeted outcomes, and appropriately sequenced components and activities. </w:t>
      </w:r>
      <w:r w:rsidR="00467AF5" w:rsidRPr="008C7285">
        <w:rPr>
          <w:rFonts w:ascii="Arial" w:hAnsi="Arial" w:cs="Arial"/>
          <w:color w:val="auto"/>
          <w:lang w:val="en-AU"/>
        </w:rPr>
        <w:t>According to the IFC, i</w:t>
      </w:r>
      <w:r w:rsidRPr="008C7285">
        <w:rPr>
          <w:rFonts w:ascii="Arial" w:hAnsi="Arial" w:cs="Arial"/>
          <w:color w:val="auto"/>
          <w:lang w:val="en-AU"/>
        </w:rPr>
        <w:t xml:space="preserve">mplementation is generally in line with the </w:t>
      </w:r>
      <w:r w:rsidR="00467AF5" w:rsidRPr="008C7285">
        <w:rPr>
          <w:rFonts w:ascii="Arial" w:hAnsi="Arial" w:cs="Arial"/>
          <w:color w:val="auto"/>
          <w:lang w:val="en-AU"/>
        </w:rPr>
        <w:t>project</w:t>
      </w:r>
      <w:r w:rsidRPr="008C7285">
        <w:rPr>
          <w:rFonts w:ascii="Arial" w:hAnsi="Arial" w:cs="Arial"/>
          <w:color w:val="auto"/>
          <w:lang w:val="en-AU"/>
        </w:rPr>
        <w:t xml:space="preserve"> plans, although the time plans in some cases have been overly optimistic and thus have required adjustments. Activity-related changes have also been necessary in some project</w:t>
      </w:r>
      <w:r w:rsidR="00CA5014" w:rsidRPr="008C7285">
        <w:rPr>
          <w:rFonts w:ascii="Arial" w:hAnsi="Arial" w:cs="Arial"/>
          <w:color w:val="auto"/>
          <w:lang w:val="en-AU"/>
        </w:rPr>
        <w:t>s, e.g. the Investment Climate p</w:t>
      </w:r>
      <w:r w:rsidRPr="008C7285">
        <w:rPr>
          <w:rFonts w:ascii="Arial" w:hAnsi="Arial" w:cs="Arial"/>
          <w:color w:val="auto"/>
          <w:lang w:val="en-AU"/>
        </w:rPr>
        <w:t xml:space="preserve">roject and the Corporate Governance </w:t>
      </w:r>
      <w:r w:rsidR="00CA5014" w:rsidRPr="008C7285">
        <w:rPr>
          <w:rFonts w:ascii="Arial" w:hAnsi="Arial" w:cs="Arial"/>
          <w:color w:val="auto"/>
          <w:lang w:val="en-AU"/>
        </w:rPr>
        <w:t>p</w:t>
      </w:r>
      <w:r w:rsidRPr="008C7285">
        <w:rPr>
          <w:rFonts w:ascii="Arial" w:hAnsi="Arial" w:cs="Arial"/>
          <w:color w:val="auto"/>
          <w:lang w:val="en-AU"/>
        </w:rPr>
        <w:t>rojec</w:t>
      </w:r>
      <w:r w:rsidR="00CA5014" w:rsidRPr="008C7285">
        <w:rPr>
          <w:rFonts w:ascii="Arial" w:hAnsi="Arial" w:cs="Arial"/>
          <w:color w:val="auto"/>
          <w:lang w:val="en-AU"/>
        </w:rPr>
        <w:t>t, due to external developments.</w:t>
      </w:r>
      <w:r w:rsidR="00467AF5" w:rsidRPr="008C7285">
        <w:rPr>
          <w:rFonts w:ascii="Arial" w:hAnsi="Arial" w:cs="Arial"/>
          <w:color w:val="auto"/>
          <w:lang w:val="en-AU"/>
        </w:rPr>
        <w:t xml:space="preserve"> However, it is noted that the information provided by the IFC to DFAT and DFID in the form of ICCP and </w:t>
      </w:r>
      <w:r w:rsidR="00A10AD6" w:rsidRPr="00A10AD6">
        <w:rPr>
          <w:rFonts w:ascii="Arial" w:hAnsi="Arial" w:cs="Arial"/>
          <w:iCs/>
          <w:color w:val="auto"/>
          <w:lang w:val="en-AU"/>
        </w:rPr>
        <w:t xml:space="preserve">Myanmar Partnership </w:t>
      </w:r>
      <w:r w:rsidR="00467AF5" w:rsidRPr="008C7285">
        <w:rPr>
          <w:rFonts w:ascii="Arial" w:hAnsi="Arial" w:cs="Arial"/>
          <w:color w:val="auto"/>
          <w:lang w:val="en-AU"/>
        </w:rPr>
        <w:t>MDTF reports do not provide a clear overview of progress against plans, and it is hence also not clear to which extent presented implementation challenges are comprehensive.</w:t>
      </w:r>
      <w:r w:rsidR="008C7285" w:rsidRPr="008C7285">
        <w:rPr>
          <w:rFonts w:ascii="Arial" w:hAnsi="Arial" w:cs="Arial"/>
          <w:color w:val="auto"/>
          <w:lang w:val="en-AU"/>
        </w:rPr>
        <w:t xml:space="preserve"> Reporting is further discussed in section 3.5 below</w:t>
      </w:r>
      <w:r w:rsidR="008C7285">
        <w:rPr>
          <w:rFonts w:ascii="Arial" w:hAnsi="Arial" w:cs="Arial"/>
          <w:color w:val="auto"/>
          <w:lang w:val="en-AU"/>
        </w:rPr>
        <w:t>.</w:t>
      </w:r>
    </w:p>
    <w:p w:rsidR="008C7285" w:rsidRPr="00A769DE" w:rsidRDefault="008C7285" w:rsidP="0086397E">
      <w:pPr>
        <w:pStyle w:val="ListParagraph"/>
        <w:tabs>
          <w:tab w:val="left" w:pos="357"/>
        </w:tabs>
        <w:suppressAutoHyphens w:val="0"/>
        <w:spacing w:before="0" w:after="0" w:line="240" w:lineRule="auto"/>
        <w:ind w:left="0"/>
        <w:jc w:val="both"/>
        <w:rPr>
          <w:rFonts w:ascii="Arial" w:hAnsi="Arial" w:cs="Arial"/>
          <w:color w:val="auto"/>
          <w:lang w:val="en-AU"/>
        </w:rPr>
      </w:pPr>
    </w:p>
    <w:p w:rsidR="009C0F11" w:rsidRDefault="0086397E" w:rsidP="00F95AFC">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A769DE">
        <w:rPr>
          <w:rFonts w:ascii="Arial" w:hAnsi="Arial" w:cs="Arial"/>
          <w:color w:val="auto"/>
          <w:lang w:val="en-AU"/>
        </w:rPr>
        <w:t xml:space="preserve">An important factor in the implementation of the projects is that the IFC/World Bank staff have </w:t>
      </w:r>
      <w:r w:rsidR="00A95C7E">
        <w:rPr>
          <w:rFonts w:ascii="Arial" w:hAnsi="Arial" w:cs="Arial"/>
          <w:color w:val="auto"/>
          <w:lang w:val="en-AU"/>
        </w:rPr>
        <w:t>established regular and close</w:t>
      </w:r>
      <w:r w:rsidR="00834E20">
        <w:rPr>
          <w:rFonts w:ascii="Arial" w:hAnsi="Arial" w:cs="Arial"/>
          <w:color w:val="auto"/>
          <w:lang w:val="en-AU"/>
        </w:rPr>
        <w:t xml:space="preserve"> in-person</w:t>
      </w:r>
      <w:r w:rsidR="00A95C7E">
        <w:rPr>
          <w:rFonts w:ascii="Arial" w:hAnsi="Arial" w:cs="Arial"/>
          <w:color w:val="auto"/>
          <w:lang w:val="en-AU"/>
        </w:rPr>
        <w:t xml:space="preserve"> </w:t>
      </w:r>
      <w:r w:rsidRPr="00A769DE">
        <w:rPr>
          <w:rFonts w:ascii="Arial" w:hAnsi="Arial" w:cs="Arial"/>
          <w:color w:val="auto"/>
          <w:lang w:val="en-AU"/>
        </w:rPr>
        <w:t xml:space="preserve">interaction with GoM counterparts and project beneficiaries. </w:t>
      </w:r>
      <w:r w:rsidR="00A95C7E">
        <w:rPr>
          <w:rFonts w:ascii="Arial" w:hAnsi="Arial" w:cs="Arial"/>
          <w:color w:val="auto"/>
          <w:lang w:val="en-AU"/>
        </w:rPr>
        <w:t>Although s</w:t>
      </w:r>
      <w:r w:rsidRPr="00A769DE">
        <w:rPr>
          <w:rFonts w:ascii="Arial" w:hAnsi="Arial" w:cs="Arial"/>
          <w:color w:val="auto"/>
          <w:lang w:val="en-AU"/>
        </w:rPr>
        <w:t xml:space="preserve">ome project leads and staff </w:t>
      </w:r>
      <w:r w:rsidR="00A95C7E">
        <w:rPr>
          <w:rFonts w:ascii="Arial" w:hAnsi="Arial" w:cs="Arial"/>
          <w:color w:val="auto"/>
          <w:lang w:val="en-AU"/>
        </w:rPr>
        <w:t>are</w:t>
      </w:r>
      <w:r w:rsidRPr="00A769DE">
        <w:rPr>
          <w:rFonts w:ascii="Arial" w:hAnsi="Arial" w:cs="Arial"/>
          <w:color w:val="auto"/>
          <w:lang w:val="en-AU"/>
        </w:rPr>
        <w:t xml:space="preserve"> based outside Myanmar, which </w:t>
      </w:r>
      <w:r w:rsidR="00A95C7E">
        <w:rPr>
          <w:rFonts w:ascii="Arial" w:hAnsi="Arial" w:cs="Arial"/>
          <w:color w:val="auto"/>
          <w:lang w:val="en-AU"/>
        </w:rPr>
        <w:t>as such limits</w:t>
      </w:r>
      <w:r w:rsidRPr="00A769DE">
        <w:rPr>
          <w:rFonts w:ascii="Arial" w:hAnsi="Arial" w:cs="Arial"/>
          <w:color w:val="auto"/>
          <w:lang w:val="en-AU"/>
        </w:rPr>
        <w:t xml:space="preserve"> their ability </w:t>
      </w:r>
      <w:r w:rsidR="00A95C7E">
        <w:rPr>
          <w:rFonts w:ascii="Arial" w:hAnsi="Arial" w:cs="Arial"/>
          <w:color w:val="auto"/>
          <w:lang w:val="en-AU"/>
        </w:rPr>
        <w:t xml:space="preserve">for direct and regular engagement, it appears that they </w:t>
      </w:r>
      <w:r w:rsidR="00A95C7E" w:rsidRPr="00A769DE">
        <w:rPr>
          <w:rFonts w:ascii="Arial" w:hAnsi="Arial" w:cs="Arial"/>
          <w:color w:val="auto"/>
          <w:lang w:val="en-AU"/>
        </w:rPr>
        <w:t>make</w:t>
      </w:r>
      <w:r w:rsidR="00533E1A">
        <w:rPr>
          <w:rFonts w:ascii="Arial" w:hAnsi="Arial" w:cs="Arial"/>
          <w:color w:val="auto"/>
          <w:lang w:val="en-AU"/>
        </w:rPr>
        <w:t xml:space="preserve"> real</w:t>
      </w:r>
      <w:r w:rsidR="00A95C7E" w:rsidRPr="00A769DE">
        <w:rPr>
          <w:rFonts w:ascii="Arial" w:hAnsi="Arial" w:cs="Arial"/>
          <w:color w:val="auto"/>
          <w:lang w:val="en-AU"/>
        </w:rPr>
        <w:t xml:space="preserve"> efforts to stay engaged with counterparts and beneficiaries </w:t>
      </w:r>
      <w:r w:rsidR="00A95C7E">
        <w:rPr>
          <w:rFonts w:ascii="Arial" w:hAnsi="Arial" w:cs="Arial"/>
          <w:color w:val="auto"/>
          <w:lang w:val="en-AU"/>
        </w:rPr>
        <w:t>as well as to be</w:t>
      </w:r>
      <w:r w:rsidR="00A95C7E" w:rsidRPr="00A769DE">
        <w:rPr>
          <w:rFonts w:ascii="Arial" w:hAnsi="Arial" w:cs="Arial"/>
          <w:color w:val="auto"/>
          <w:lang w:val="en-AU"/>
        </w:rPr>
        <w:t xml:space="preserve"> up-to-date with </w:t>
      </w:r>
      <w:r w:rsidR="00A95C7E">
        <w:rPr>
          <w:rFonts w:ascii="Arial" w:hAnsi="Arial" w:cs="Arial"/>
          <w:color w:val="auto"/>
          <w:lang w:val="en-AU"/>
        </w:rPr>
        <w:t xml:space="preserve">relevant </w:t>
      </w:r>
      <w:r w:rsidR="00A95C7E" w:rsidRPr="00A769DE">
        <w:rPr>
          <w:rFonts w:ascii="Arial" w:hAnsi="Arial" w:cs="Arial"/>
          <w:color w:val="auto"/>
          <w:lang w:val="en-AU"/>
        </w:rPr>
        <w:t>country devel</w:t>
      </w:r>
      <w:r w:rsidR="00A95C7E">
        <w:rPr>
          <w:rFonts w:ascii="Arial" w:hAnsi="Arial" w:cs="Arial"/>
          <w:color w:val="auto"/>
          <w:lang w:val="en-AU"/>
        </w:rPr>
        <w:t>opments</w:t>
      </w:r>
      <w:r w:rsidRPr="00A769DE">
        <w:rPr>
          <w:rFonts w:ascii="Arial" w:hAnsi="Arial" w:cs="Arial"/>
          <w:color w:val="auto"/>
          <w:lang w:val="en-AU"/>
        </w:rPr>
        <w:t xml:space="preserve">. However, over time more IFC </w:t>
      </w:r>
      <w:r w:rsidR="00E06C9C">
        <w:rPr>
          <w:rFonts w:ascii="Arial" w:hAnsi="Arial" w:cs="Arial"/>
          <w:color w:val="auto"/>
          <w:lang w:val="en-AU"/>
        </w:rPr>
        <w:t xml:space="preserve">staff are being based in Yangon, which provides a better basis for </w:t>
      </w:r>
      <w:r w:rsidR="00533E1A">
        <w:rPr>
          <w:rFonts w:ascii="Arial" w:hAnsi="Arial" w:cs="Arial"/>
          <w:color w:val="auto"/>
          <w:lang w:val="en-AU"/>
        </w:rPr>
        <w:t xml:space="preserve">project </w:t>
      </w:r>
      <w:r w:rsidR="00E06C9C">
        <w:rPr>
          <w:rFonts w:ascii="Arial" w:hAnsi="Arial" w:cs="Arial"/>
          <w:color w:val="auto"/>
          <w:lang w:val="en-AU"/>
        </w:rPr>
        <w:t>implementation</w:t>
      </w:r>
      <w:r w:rsidR="00533E1A">
        <w:rPr>
          <w:rFonts w:ascii="Arial" w:hAnsi="Arial" w:cs="Arial"/>
          <w:color w:val="auto"/>
          <w:lang w:val="en-AU"/>
        </w:rPr>
        <w:t xml:space="preserve"> and counterpart engagement</w:t>
      </w:r>
      <w:r w:rsidRPr="00A769DE">
        <w:rPr>
          <w:rFonts w:ascii="Arial" w:hAnsi="Arial" w:cs="Arial"/>
          <w:color w:val="auto"/>
          <w:lang w:val="en-AU"/>
        </w:rPr>
        <w:t xml:space="preserve">. Another positive </w:t>
      </w:r>
      <w:r w:rsidR="00E06C9C">
        <w:rPr>
          <w:rFonts w:ascii="Arial" w:hAnsi="Arial" w:cs="Arial"/>
          <w:color w:val="auto"/>
          <w:lang w:val="en-AU"/>
        </w:rPr>
        <w:t>element</w:t>
      </w:r>
      <w:r w:rsidRPr="00A769DE">
        <w:rPr>
          <w:rFonts w:ascii="Arial" w:hAnsi="Arial" w:cs="Arial"/>
          <w:color w:val="auto"/>
          <w:lang w:val="en-AU"/>
        </w:rPr>
        <w:t xml:space="preserve"> is that project activities, while applying international good practices, are being adequately contextualised (e.g. the application of a Myanmar version of good agricultural practices (GAP) for the Agri</w:t>
      </w:r>
      <w:r w:rsidR="009C0F11">
        <w:rPr>
          <w:rFonts w:ascii="Arial" w:hAnsi="Arial" w:cs="Arial"/>
          <w:color w:val="auto"/>
          <w:lang w:val="en-AU"/>
        </w:rPr>
        <w:t>culture</w:t>
      </w:r>
      <w:r w:rsidRPr="00A769DE">
        <w:rPr>
          <w:rFonts w:ascii="Arial" w:hAnsi="Arial" w:cs="Arial"/>
          <w:color w:val="auto"/>
          <w:lang w:val="en-AU"/>
        </w:rPr>
        <w:t xml:space="preserve"> Inputs Reforms Project).</w:t>
      </w:r>
    </w:p>
    <w:p w:rsidR="009C0F11" w:rsidRPr="009C0F11" w:rsidRDefault="009C0F11" w:rsidP="009C0F11">
      <w:pPr>
        <w:pStyle w:val="ListParagraph"/>
        <w:tabs>
          <w:tab w:val="left" w:pos="357"/>
        </w:tabs>
        <w:suppressAutoHyphens w:val="0"/>
        <w:spacing w:before="0" w:after="0" w:line="240" w:lineRule="auto"/>
        <w:ind w:left="0"/>
        <w:jc w:val="both"/>
        <w:rPr>
          <w:rFonts w:ascii="Arial" w:hAnsi="Arial" w:cs="Arial"/>
          <w:color w:val="auto"/>
          <w:lang w:val="en-AU"/>
        </w:rPr>
      </w:pPr>
    </w:p>
    <w:p w:rsidR="009C0F11" w:rsidRPr="009C0F11" w:rsidRDefault="009C0F11" w:rsidP="00F95AFC">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9C0F11">
        <w:rPr>
          <w:rFonts w:ascii="Arial" w:hAnsi="Arial" w:cs="Arial"/>
          <w:iCs/>
          <w:color w:val="auto"/>
          <w:lang w:val="en-AU"/>
        </w:rPr>
        <w:t xml:space="preserve">One specific project issue has </w:t>
      </w:r>
      <w:r>
        <w:rPr>
          <w:rFonts w:ascii="Arial" w:hAnsi="Arial" w:cs="Arial"/>
          <w:iCs/>
          <w:color w:val="auto"/>
          <w:lang w:val="en-AU"/>
        </w:rPr>
        <w:t xml:space="preserve">been </w:t>
      </w:r>
      <w:r w:rsidR="00387162">
        <w:rPr>
          <w:rFonts w:ascii="Arial" w:hAnsi="Arial" w:cs="Arial"/>
          <w:iCs/>
          <w:color w:val="auto"/>
          <w:lang w:val="en-AU"/>
        </w:rPr>
        <w:t>regarding</w:t>
      </w:r>
      <w:r w:rsidRPr="009C0F11">
        <w:rPr>
          <w:rFonts w:ascii="Arial" w:hAnsi="Arial" w:cs="Arial"/>
          <w:iCs/>
          <w:color w:val="auto"/>
          <w:lang w:val="en-AU"/>
        </w:rPr>
        <w:t xml:space="preserve"> coordination within the World Bank Group </w:t>
      </w:r>
      <w:r w:rsidR="00387162">
        <w:rPr>
          <w:rFonts w:ascii="Arial" w:hAnsi="Arial" w:cs="Arial"/>
          <w:iCs/>
          <w:color w:val="auto"/>
          <w:lang w:val="en-AU"/>
        </w:rPr>
        <w:t>in preparing</w:t>
      </w:r>
      <w:r w:rsidRPr="009C0F11">
        <w:rPr>
          <w:rFonts w:ascii="Arial" w:hAnsi="Arial" w:cs="Arial"/>
          <w:iCs/>
          <w:color w:val="auto"/>
          <w:lang w:val="en-AU"/>
        </w:rPr>
        <w:t xml:space="preserve"> the Lighting Myanmar project</w:t>
      </w:r>
      <w:r>
        <w:rPr>
          <w:rFonts w:ascii="Arial" w:hAnsi="Arial" w:cs="Arial"/>
          <w:iCs/>
          <w:color w:val="auto"/>
          <w:lang w:val="en-AU"/>
        </w:rPr>
        <w:t xml:space="preserve">, which </w:t>
      </w:r>
      <w:r w:rsidRPr="009C0F11">
        <w:rPr>
          <w:rFonts w:ascii="Arial" w:hAnsi="Arial" w:cs="Arial"/>
          <w:color w:val="auto"/>
          <w:lang w:val="en-AU"/>
        </w:rPr>
        <w:t>aims to support private firms creat</w:t>
      </w:r>
      <w:r>
        <w:rPr>
          <w:rFonts w:ascii="Arial" w:hAnsi="Arial" w:cs="Arial"/>
          <w:color w:val="auto"/>
          <w:lang w:val="en-AU"/>
        </w:rPr>
        <w:t>e</w:t>
      </w:r>
      <w:r w:rsidRPr="009C0F11">
        <w:rPr>
          <w:rFonts w:ascii="Arial" w:hAnsi="Arial" w:cs="Arial"/>
          <w:color w:val="auto"/>
          <w:lang w:val="en-AU"/>
        </w:rPr>
        <w:t xml:space="preserve"> a sustainable market for off-grid energy solutions</w:t>
      </w:r>
      <w:r>
        <w:rPr>
          <w:rFonts w:ascii="Arial" w:hAnsi="Arial" w:cs="Arial"/>
          <w:color w:val="auto"/>
          <w:lang w:val="en-AU"/>
        </w:rPr>
        <w:t>. However, at the same time</w:t>
      </w:r>
      <w:r w:rsidRPr="009C0F11">
        <w:rPr>
          <w:rFonts w:ascii="Arial" w:hAnsi="Arial" w:cs="Arial"/>
          <w:color w:val="auto"/>
          <w:lang w:val="en-AU"/>
        </w:rPr>
        <w:t xml:space="preserve"> the World Bank </w:t>
      </w:r>
      <w:r w:rsidR="000E4221">
        <w:rPr>
          <w:rFonts w:ascii="Arial" w:hAnsi="Arial" w:cs="Arial"/>
          <w:color w:val="auto"/>
          <w:lang w:val="en-AU"/>
        </w:rPr>
        <w:t xml:space="preserve">through </w:t>
      </w:r>
      <w:r w:rsidR="00387162">
        <w:rPr>
          <w:rFonts w:ascii="Arial" w:hAnsi="Arial" w:cs="Arial"/>
          <w:color w:val="auto"/>
          <w:lang w:val="en-AU"/>
        </w:rPr>
        <w:t>the</w:t>
      </w:r>
      <w:r w:rsidR="000E4221">
        <w:rPr>
          <w:rFonts w:ascii="Arial" w:hAnsi="Arial" w:cs="Arial"/>
          <w:color w:val="auto"/>
          <w:lang w:val="en-AU"/>
        </w:rPr>
        <w:t xml:space="preserve"> </w:t>
      </w:r>
      <w:r w:rsidR="000E4221" w:rsidRPr="000E4221">
        <w:rPr>
          <w:rFonts w:ascii="Arial" w:hAnsi="Arial" w:cs="Arial"/>
          <w:color w:val="auto"/>
          <w:lang w:val="en-AU"/>
        </w:rPr>
        <w:t xml:space="preserve">National Electrification </w:t>
      </w:r>
      <w:r w:rsidR="000E4221">
        <w:rPr>
          <w:rFonts w:ascii="Arial" w:hAnsi="Arial" w:cs="Arial"/>
          <w:color w:val="auto"/>
          <w:lang w:val="en-AU"/>
        </w:rPr>
        <w:t xml:space="preserve">Project </w:t>
      </w:r>
      <w:r w:rsidR="003E38A6">
        <w:rPr>
          <w:rFonts w:ascii="Arial" w:hAnsi="Arial" w:cs="Arial"/>
          <w:color w:val="auto"/>
          <w:lang w:val="en-AU"/>
        </w:rPr>
        <w:t xml:space="preserve">(NEP) </w:t>
      </w:r>
      <w:r w:rsidRPr="009C0F11">
        <w:rPr>
          <w:rFonts w:ascii="Arial" w:hAnsi="Arial" w:cs="Arial"/>
          <w:color w:val="auto"/>
          <w:lang w:val="en-AU"/>
        </w:rPr>
        <w:t>support</w:t>
      </w:r>
      <w:r w:rsidR="00387162">
        <w:rPr>
          <w:rFonts w:ascii="Arial" w:hAnsi="Arial" w:cs="Arial"/>
          <w:color w:val="auto"/>
          <w:lang w:val="en-AU"/>
        </w:rPr>
        <w:t>s</w:t>
      </w:r>
      <w:r w:rsidRPr="009C0F11">
        <w:rPr>
          <w:rFonts w:ascii="Arial" w:hAnsi="Arial" w:cs="Arial"/>
          <w:color w:val="auto"/>
          <w:lang w:val="en-AU"/>
        </w:rPr>
        <w:t xml:space="preserve"> the Go</w:t>
      </w:r>
      <w:r>
        <w:rPr>
          <w:rFonts w:ascii="Arial" w:hAnsi="Arial" w:cs="Arial"/>
          <w:color w:val="auto"/>
          <w:lang w:val="en-AU"/>
        </w:rPr>
        <w:t>M</w:t>
      </w:r>
      <w:r w:rsidRPr="009C0F11">
        <w:rPr>
          <w:rFonts w:ascii="Arial" w:hAnsi="Arial" w:cs="Arial"/>
          <w:color w:val="auto"/>
          <w:lang w:val="en-AU"/>
        </w:rPr>
        <w:t xml:space="preserve"> </w:t>
      </w:r>
      <w:r w:rsidR="00387162">
        <w:rPr>
          <w:rFonts w:ascii="Arial" w:hAnsi="Arial" w:cs="Arial"/>
          <w:color w:val="auto"/>
          <w:lang w:val="en-AU"/>
        </w:rPr>
        <w:t xml:space="preserve">in </w:t>
      </w:r>
      <w:r w:rsidRPr="009C0F11">
        <w:rPr>
          <w:rFonts w:ascii="Arial" w:hAnsi="Arial" w:cs="Arial"/>
          <w:color w:val="auto"/>
          <w:lang w:val="en-AU"/>
        </w:rPr>
        <w:t xml:space="preserve">providing subsidies for similar solutions. </w:t>
      </w:r>
      <w:r w:rsidR="00BD4D51">
        <w:rPr>
          <w:rFonts w:ascii="Arial" w:hAnsi="Arial" w:cs="Arial"/>
          <w:color w:val="auto"/>
          <w:lang w:val="en-AU"/>
        </w:rPr>
        <w:lastRenderedPageBreak/>
        <w:t>Better coordination within the World Bank Group would</w:t>
      </w:r>
      <w:r w:rsidR="00DD3B37">
        <w:rPr>
          <w:rFonts w:ascii="Arial" w:hAnsi="Arial" w:cs="Arial"/>
          <w:color w:val="auto"/>
          <w:lang w:val="en-AU"/>
        </w:rPr>
        <w:t xml:space="preserve"> ha</w:t>
      </w:r>
      <w:r w:rsidR="00BD4D51">
        <w:rPr>
          <w:rFonts w:ascii="Arial" w:hAnsi="Arial" w:cs="Arial"/>
          <w:color w:val="auto"/>
          <w:lang w:val="en-AU"/>
        </w:rPr>
        <w:t>ve been beneficial when Lighting Myanmar was under development</w:t>
      </w:r>
      <w:r>
        <w:rPr>
          <w:rFonts w:ascii="Arial" w:hAnsi="Arial" w:cs="Arial"/>
          <w:color w:val="auto"/>
          <w:lang w:val="en-AU"/>
        </w:rPr>
        <w:t>.</w:t>
      </w:r>
      <w:r w:rsidR="00AE7AF9" w:rsidRPr="00A769DE">
        <w:rPr>
          <w:rStyle w:val="FootnoteReference"/>
          <w:rFonts w:ascii="Arial" w:hAnsi="Arial" w:cs="Arial"/>
          <w:color w:val="auto"/>
          <w:lang w:val="en-AU"/>
        </w:rPr>
        <w:footnoteReference w:id="31"/>
      </w:r>
    </w:p>
    <w:p w:rsidR="009C0F11" w:rsidRDefault="009C0F11" w:rsidP="00F95AFC">
      <w:pPr>
        <w:pStyle w:val="ListParagraph"/>
        <w:tabs>
          <w:tab w:val="left" w:pos="357"/>
        </w:tabs>
        <w:suppressAutoHyphens w:val="0"/>
        <w:spacing w:before="0" w:after="0" w:line="240" w:lineRule="auto"/>
        <w:ind w:left="0"/>
        <w:jc w:val="both"/>
        <w:rPr>
          <w:rFonts w:ascii="Arial" w:hAnsi="Arial" w:cs="Arial"/>
          <w:color w:val="auto"/>
          <w:lang w:val="en-AU"/>
        </w:rPr>
      </w:pPr>
    </w:p>
    <w:p w:rsidR="00F95AFC" w:rsidRPr="00F95AFC" w:rsidRDefault="00F95AFC" w:rsidP="00F95AFC">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Pr>
          <w:rFonts w:ascii="Arial" w:hAnsi="Arial" w:cs="Arial"/>
          <w:color w:val="auto"/>
          <w:lang w:val="en-AU"/>
        </w:rPr>
        <w:t xml:space="preserve">While the </w:t>
      </w:r>
      <w:r w:rsidRPr="00F95AFC">
        <w:rPr>
          <w:rFonts w:ascii="Arial" w:hAnsi="Arial" w:cs="Arial"/>
          <w:color w:val="auto"/>
          <w:lang w:val="en-AU"/>
        </w:rPr>
        <w:t xml:space="preserve">projects appear to be implemented within budget, </w:t>
      </w:r>
      <w:r>
        <w:rPr>
          <w:rFonts w:ascii="Arial" w:hAnsi="Arial" w:cs="Arial"/>
          <w:color w:val="auto"/>
          <w:lang w:val="en-AU"/>
        </w:rPr>
        <w:t xml:space="preserve">it is noted that </w:t>
      </w:r>
      <w:r w:rsidRPr="00F95AFC">
        <w:rPr>
          <w:rFonts w:ascii="Arial" w:hAnsi="Arial" w:cs="Arial"/>
          <w:color w:val="auto"/>
          <w:lang w:val="en-AU"/>
        </w:rPr>
        <w:t xml:space="preserve">value-for-money aspects </w:t>
      </w:r>
      <w:r>
        <w:rPr>
          <w:rFonts w:ascii="Arial" w:hAnsi="Arial" w:cs="Arial"/>
          <w:color w:val="auto"/>
          <w:lang w:val="en-AU"/>
        </w:rPr>
        <w:t>are</w:t>
      </w:r>
      <w:r w:rsidRPr="00F95AFC">
        <w:rPr>
          <w:rFonts w:ascii="Arial" w:hAnsi="Arial" w:cs="Arial"/>
          <w:color w:val="auto"/>
          <w:lang w:val="en-AU"/>
        </w:rPr>
        <w:t xml:space="preserve"> not possible to measure since this would require detailed budget and expenditure data, which </w:t>
      </w:r>
      <w:r>
        <w:rPr>
          <w:rFonts w:ascii="Arial" w:hAnsi="Arial" w:cs="Arial"/>
          <w:color w:val="auto"/>
          <w:lang w:val="en-AU"/>
        </w:rPr>
        <w:t>has not been made</w:t>
      </w:r>
      <w:r w:rsidRPr="00F95AFC">
        <w:rPr>
          <w:rFonts w:ascii="Arial" w:hAnsi="Arial" w:cs="Arial"/>
          <w:color w:val="auto"/>
          <w:lang w:val="en-AU"/>
        </w:rPr>
        <w:t xml:space="preserve"> available from the IFC. It is understood that the IFC</w:t>
      </w:r>
      <w:r>
        <w:rPr>
          <w:rFonts w:ascii="Arial" w:hAnsi="Arial" w:cs="Arial"/>
          <w:color w:val="auto"/>
          <w:lang w:val="en-AU"/>
        </w:rPr>
        <w:t>’s</w:t>
      </w:r>
      <w:r w:rsidR="00533E1A">
        <w:rPr>
          <w:rFonts w:ascii="Arial" w:hAnsi="Arial" w:cs="Arial"/>
          <w:color w:val="auto"/>
          <w:lang w:val="en-AU"/>
        </w:rPr>
        <w:t xml:space="preserve"> internal assessment process</w:t>
      </w:r>
      <w:r w:rsidRPr="00F95AFC">
        <w:rPr>
          <w:rFonts w:ascii="Arial" w:hAnsi="Arial" w:cs="Arial"/>
          <w:color w:val="auto"/>
          <w:lang w:val="en-AU"/>
        </w:rPr>
        <w:t xml:space="preserve"> include efficiency measures, but </w:t>
      </w:r>
      <w:r>
        <w:rPr>
          <w:rFonts w:ascii="Arial" w:hAnsi="Arial" w:cs="Arial"/>
          <w:color w:val="auto"/>
          <w:lang w:val="en-AU"/>
        </w:rPr>
        <w:t>the details in this regard have not been shared</w:t>
      </w:r>
      <w:r w:rsidRPr="00F95AFC">
        <w:rPr>
          <w:rFonts w:ascii="Arial" w:hAnsi="Arial" w:cs="Arial"/>
          <w:color w:val="auto"/>
          <w:lang w:val="en-AU"/>
        </w:rPr>
        <w:t xml:space="preserve">. It is also not clear </w:t>
      </w:r>
      <w:r>
        <w:rPr>
          <w:rFonts w:ascii="Arial" w:hAnsi="Arial" w:cs="Arial"/>
          <w:color w:val="auto"/>
          <w:lang w:val="en-AU"/>
        </w:rPr>
        <w:t xml:space="preserve">how the IFC </w:t>
      </w:r>
      <w:r w:rsidRPr="00F95AFC">
        <w:rPr>
          <w:rFonts w:ascii="Arial" w:hAnsi="Arial" w:cs="Arial"/>
          <w:color w:val="auto"/>
          <w:lang w:val="en-AU"/>
        </w:rPr>
        <w:t>t</w:t>
      </w:r>
      <w:r>
        <w:rPr>
          <w:rFonts w:ascii="Arial" w:hAnsi="Arial" w:cs="Arial"/>
          <w:color w:val="auto"/>
          <w:lang w:val="en-AU"/>
        </w:rPr>
        <w:t xml:space="preserve">akes into account </w:t>
      </w:r>
      <w:r w:rsidRPr="00F95AFC">
        <w:rPr>
          <w:rFonts w:ascii="Arial" w:hAnsi="Arial" w:cs="Arial"/>
          <w:color w:val="auto"/>
          <w:lang w:val="en-AU"/>
        </w:rPr>
        <w:t xml:space="preserve">efficiency measures </w:t>
      </w:r>
      <w:r>
        <w:rPr>
          <w:rFonts w:ascii="Arial" w:hAnsi="Arial" w:cs="Arial"/>
          <w:color w:val="auto"/>
          <w:lang w:val="en-AU"/>
        </w:rPr>
        <w:t xml:space="preserve">in the </w:t>
      </w:r>
      <w:r w:rsidRPr="00F95AFC">
        <w:rPr>
          <w:rFonts w:ascii="Arial" w:hAnsi="Arial" w:cs="Arial"/>
          <w:color w:val="auto"/>
          <w:lang w:val="en-AU"/>
        </w:rPr>
        <w:t>management of risks and the extent to which risks may adversely affect implementation.</w:t>
      </w:r>
    </w:p>
    <w:p w:rsidR="00F95AFC" w:rsidRPr="00A769DE" w:rsidRDefault="00F95AFC" w:rsidP="000B785F">
      <w:pPr>
        <w:spacing w:before="0" w:after="0"/>
        <w:rPr>
          <w:rFonts w:ascii="Arial" w:hAnsi="Arial" w:cs="Arial"/>
          <w:color w:val="auto"/>
          <w:lang w:val="en-AU"/>
        </w:rPr>
      </w:pPr>
    </w:p>
    <w:p w:rsidR="000B785F" w:rsidRPr="00A769DE" w:rsidRDefault="00874CEE" w:rsidP="000B785F">
      <w:pPr>
        <w:pStyle w:val="Heading2"/>
        <w:spacing w:before="0" w:after="60"/>
        <w:ind w:left="272" w:hanging="272"/>
        <w:rPr>
          <w:rFonts w:ascii="Arial" w:hAnsi="Arial" w:cs="Arial"/>
          <w:b/>
          <w:bCs/>
          <w:color w:val="auto"/>
          <w:sz w:val="24"/>
          <w:szCs w:val="24"/>
          <w:lang w:val="en-AU"/>
        </w:rPr>
      </w:pPr>
      <w:bookmarkStart w:id="36" w:name="_Toc522800479"/>
      <w:bookmarkStart w:id="37" w:name="_Toc525930547"/>
      <w:bookmarkStart w:id="38" w:name="_Toc530307597"/>
      <w:r w:rsidRPr="00A769DE">
        <w:rPr>
          <w:rFonts w:ascii="Arial" w:hAnsi="Arial" w:cs="Arial"/>
          <w:b/>
          <w:bCs/>
          <w:color w:val="auto"/>
          <w:sz w:val="24"/>
          <w:szCs w:val="24"/>
          <w:lang w:val="en-AU"/>
        </w:rPr>
        <w:t>3</w:t>
      </w:r>
      <w:r w:rsidR="001B1D38" w:rsidRPr="00A769DE">
        <w:rPr>
          <w:rFonts w:ascii="Arial" w:hAnsi="Arial" w:cs="Arial"/>
          <w:b/>
          <w:bCs/>
          <w:color w:val="auto"/>
          <w:sz w:val="24"/>
          <w:szCs w:val="24"/>
          <w:lang w:val="en-AU"/>
        </w:rPr>
        <w:t>.</w:t>
      </w:r>
      <w:r w:rsidR="008A16C8">
        <w:rPr>
          <w:rFonts w:ascii="Arial" w:hAnsi="Arial" w:cs="Arial"/>
          <w:b/>
          <w:bCs/>
          <w:color w:val="auto"/>
          <w:sz w:val="24"/>
          <w:szCs w:val="24"/>
          <w:lang w:val="en-AU"/>
        </w:rPr>
        <w:t>3</w:t>
      </w:r>
      <w:r w:rsidR="000B785F" w:rsidRPr="00A769DE">
        <w:rPr>
          <w:rFonts w:ascii="Arial" w:hAnsi="Arial" w:cs="Arial"/>
          <w:b/>
          <w:bCs/>
          <w:color w:val="auto"/>
          <w:sz w:val="24"/>
          <w:szCs w:val="24"/>
          <w:lang w:val="en-AU"/>
        </w:rPr>
        <w:t xml:space="preserve"> Governance Arrangements</w:t>
      </w:r>
      <w:bookmarkEnd w:id="36"/>
      <w:bookmarkEnd w:id="37"/>
      <w:bookmarkEnd w:id="38"/>
    </w:p>
    <w:p w:rsidR="00AE519D" w:rsidRDefault="00CE2B41" w:rsidP="00CE2B41">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Pr>
          <w:rFonts w:ascii="Arial" w:hAnsi="Arial" w:cs="Arial"/>
          <w:iCs/>
          <w:color w:val="auto"/>
          <w:lang w:val="en-AU"/>
        </w:rPr>
        <w:t xml:space="preserve">The ICCP governance arrangements are not directly mentioned in the World Bank Group’s 2015 Concept Note, but are outlined in DFAT’s </w:t>
      </w:r>
      <w:r w:rsidRPr="00A769DE">
        <w:rPr>
          <w:rFonts w:ascii="Arial" w:hAnsi="Arial" w:cs="Arial"/>
          <w:color w:val="auto"/>
          <w:lang w:val="en-AU"/>
        </w:rPr>
        <w:t>Investment Design Summary and DFID’s Business Case</w:t>
      </w:r>
      <w:r>
        <w:rPr>
          <w:rFonts w:ascii="Arial" w:hAnsi="Arial" w:cs="Arial"/>
          <w:color w:val="auto"/>
          <w:lang w:val="en-AU"/>
        </w:rPr>
        <w:t>.</w:t>
      </w:r>
    </w:p>
    <w:p w:rsidR="00AE519D" w:rsidRDefault="00AE519D" w:rsidP="00AE519D">
      <w:pPr>
        <w:pStyle w:val="ListParagraph"/>
        <w:tabs>
          <w:tab w:val="left" w:pos="357"/>
        </w:tabs>
        <w:suppressAutoHyphens w:val="0"/>
        <w:spacing w:before="0" w:after="0" w:line="240" w:lineRule="auto"/>
        <w:ind w:left="0"/>
        <w:jc w:val="both"/>
        <w:rPr>
          <w:rFonts w:ascii="Arial" w:hAnsi="Arial" w:cs="Arial"/>
          <w:iCs/>
          <w:color w:val="auto"/>
          <w:lang w:val="en-AU"/>
        </w:rPr>
      </w:pPr>
    </w:p>
    <w:p w:rsidR="00D4487C" w:rsidRPr="0067343C" w:rsidRDefault="00A10AD6" w:rsidP="00BA7CFE">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67343C">
        <w:rPr>
          <w:rFonts w:ascii="Arial" w:hAnsi="Arial" w:cs="Arial"/>
          <w:iCs/>
          <w:color w:val="auto"/>
          <w:u w:val="single"/>
          <w:lang w:val="en-AU"/>
        </w:rPr>
        <w:t xml:space="preserve">Myanmar Partnership </w:t>
      </w:r>
      <w:r w:rsidR="00533E1A" w:rsidRPr="0067343C">
        <w:rPr>
          <w:rFonts w:ascii="Arial" w:hAnsi="Arial" w:cs="Arial"/>
          <w:iCs/>
          <w:color w:val="auto"/>
          <w:u w:val="single"/>
          <w:lang w:val="en-AU"/>
        </w:rPr>
        <w:t>MDTF Steering Committee</w:t>
      </w:r>
      <w:r w:rsidR="00533E1A" w:rsidRPr="0067343C">
        <w:rPr>
          <w:rFonts w:ascii="Arial" w:hAnsi="Arial" w:cs="Arial"/>
          <w:iCs/>
          <w:color w:val="auto"/>
          <w:lang w:val="en-AU"/>
        </w:rPr>
        <w:t xml:space="preserve">: </w:t>
      </w:r>
      <w:r w:rsidR="00AE519D" w:rsidRPr="0067343C">
        <w:rPr>
          <w:rFonts w:ascii="Arial" w:hAnsi="Arial" w:cs="Arial"/>
          <w:iCs/>
          <w:color w:val="auto"/>
          <w:lang w:val="en-AU"/>
        </w:rPr>
        <w:t xml:space="preserve">Development partner funding for the ICCP is </w:t>
      </w:r>
      <w:r w:rsidR="00324F0D" w:rsidRPr="0067343C">
        <w:rPr>
          <w:rFonts w:ascii="Arial" w:hAnsi="Arial" w:cs="Arial"/>
          <w:iCs/>
          <w:color w:val="auto"/>
          <w:lang w:val="en-AU"/>
        </w:rPr>
        <w:t>channelled</w:t>
      </w:r>
      <w:r w:rsidR="00AE519D" w:rsidRPr="0067343C">
        <w:rPr>
          <w:rFonts w:ascii="Arial" w:hAnsi="Arial" w:cs="Arial"/>
          <w:iCs/>
          <w:color w:val="auto"/>
          <w:lang w:val="en-AU"/>
        </w:rPr>
        <w:t xml:space="preserve"> through the </w:t>
      </w:r>
      <w:r w:rsidR="00CE2B41" w:rsidRPr="0067343C">
        <w:rPr>
          <w:rFonts w:ascii="Arial" w:hAnsi="Arial" w:cs="Arial"/>
          <w:iCs/>
          <w:color w:val="auto"/>
          <w:lang w:val="en-AU"/>
        </w:rPr>
        <w:t>World Bank</w:t>
      </w:r>
      <w:r w:rsidR="00AE519D" w:rsidRPr="0067343C">
        <w:rPr>
          <w:rFonts w:ascii="Arial" w:hAnsi="Arial" w:cs="Arial"/>
          <w:iCs/>
          <w:color w:val="auto"/>
          <w:lang w:val="en-AU"/>
        </w:rPr>
        <w:t xml:space="preserve">-managed </w:t>
      </w:r>
      <w:r w:rsidR="00CE2B41" w:rsidRPr="0067343C">
        <w:rPr>
          <w:rFonts w:ascii="Arial" w:hAnsi="Arial" w:cs="Arial"/>
          <w:iCs/>
          <w:color w:val="auto"/>
          <w:lang w:val="en-AU"/>
        </w:rPr>
        <w:t>MDTF</w:t>
      </w:r>
      <w:r w:rsidR="00760D4D" w:rsidRPr="0067343C">
        <w:rPr>
          <w:rFonts w:ascii="Arial" w:hAnsi="Arial" w:cs="Arial"/>
          <w:iCs/>
          <w:color w:val="auto"/>
          <w:lang w:val="en-AU"/>
        </w:rPr>
        <w:t>, which has a separate PSD W</w:t>
      </w:r>
      <w:r w:rsidR="00AE519D" w:rsidRPr="0067343C">
        <w:rPr>
          <w:rFonts w:ascii="Arial" w:hAnsi="Arial" w:cs="Arial"/>
          <w:iCs/>
          <w:color w:val="auto"/>
          <w:lang w:val="en-AU"/>
        </w:rPr>
        <w:t>indow</w:t>
      </w:r>
      <w:r w:rsidR="00324F0D" w:rsidRPr="0067343C">
        <w:rPr>
          <w:rFonts w:ascii="Arial" w:hAnsi="Arial" w:cs="Arial"/>
          <w:iCs/>
          <w:color w:val="auto"/>
          <w:lang w:val="en-AU"/>
        </w:rPr>
        <w:t>.</w:t>
      </w:r>
      <w:r w:rsidR="00324F0D" w:rsidRPr="00A769DE">
        <w:rPr>
          <w:rStyle w:val="FootnoteReference"/>
          <w:rFonts w:ascii="Arial" w:hAnsi="Arial" w:cs="Arial"/>
          <w:color w:val="auto"/>
          <w:lang w:val="en-AU"/>
        </w:rPr>
        <w:footnoteReference w:id="32"/>
      </w:r>
      <w:r w:rsidR="0024014E" w:rsidRPr="0067343C">
        <w:rPr>
          <w:rFonts w:ascii="Arial" w:hAnsi="Arial" w:cs="Arial"/>
          <w:iCs/>
          <w:color w:val="auto"/>
          <w:lang w:val="en-AU"/>
        </w:rPr>
        <w:t xml:space="preserve"> </w:t>
      </w:r>
      <w:r w:rsidR="00324F0D" w:rsidRPr="0067343C">
        <w:rPr>
          <w:rFonts w:ascii="Arial" w:hAnsi="Arial" w:cs="Arial"/>
          <w:iCs/>
          <w:color w:val="auto"/>
          <w:lang w:val="en-AU"/>
        </w:rPr>
        <w:t xml:space="preserve">The PSD </w:t>
      </w:r>
      <w:r w:rsidR="00760D4D" w:rsidRPr="0067343C">
        <w:rPr>
          <w:rFonts w:ascii="Arial" w:hAnsi="Arial" w:cs="Arial"/>
          <w:iCs/>
          <w:color w:val="auto"/>
          <w:lang w:val="en-AU"/>
        </w:rPr>
        <w:t>W</w:t>
      </w:r>
      <w:r w:rsidR="00324F0D" w:rsidRPr="0067343C">
        <w:rPr>
          <w:rFonts w:ascii="Arial" w:hAnsi="Arial" w:cs="Arial"/>
          <w:iCs/>
          <w:color w:val="auto"/>
          <w:lang w:val="en-AU"/>
        </w:rPr>
        <w:t>indow</w:t>
      </w:r>
      <w:r w:rsidR="0024014E" w:rsidRPr="0067343C">
        <w:rPr>
          <w:rFonts w:ascii="Arial" w:hAnsi="Arial" w:cs="Arial"/>
          <w:iCs/>
          <w:color w:val="auto"/>
          <w:lang w:val="en-AU"/>
        </w:rPr>
        <w:t xml:space="preserve"> provides funding only for the ICCP</w:t>
      </w:r>
      <w:r w:rsidR="00324F0D" w:rsidRPr="0067343C">
        <w:rPr>
          <w:rFonts w:ascii="Arial" w:hAnsi="Arial" w:cs="Arial"/>
          <w:iCs/>
          <w:color w:val="auto"/>
          <w:lang w:val="en-AU"/>
        </w:rPr>
        <w:t>, but could in</w:t>
      </w:r>
      <w:r w:rsidR="0024014E" w:rsidRPr="0067343C">
        <w:rPr>
          <w:rFonts w:ascii="Arial" w:hAnsi="Arial" w:cs="Arial"/>
          <w:iCs/>
          <w:color w:val="auto"/>
          <w:lang w:val="en-AU"/>
        </w:rPr>
        <w:t xml:space="preserve"> principle also cover other </w:t>
      </w:r>
      <w:r w:rsidR="00324F0D" w:rsidRPr="0067343C">
        <w:rPr>
          <w:rFonts w:ascii="Arial" w:hAnsi="Arial" w:cs="Arial"/>
          <w:iCs/>
          <w:color w:val="auto"/>
          <w:lang w:val="en-AU"/>
        </w:rPr>
        <w:t>initiatives</w:t>
      </w:r>
      <w:r w:rsidR="00AE519D" w:rsidRPr="0067343C">
        <w:rPr>
          <w:rFonts w:ascii="Arial" w:hAnsi="Arial" w:cs="Arial"/>
          <w:iCs/>
          <w:color w:val="auto"/>
          <w:lang w:val="en-AU"/>
        </w:rPr>
        <w:t>.</w:t>
      </w:r>
      <w:r w:rsidR="0024014E" w:rsidRPr="0067343C">
        <w:rPr>
          <w:rFonts w:ascii="Arial" w:hAnsi="Arial" w:cs="Arial"/>
          <w:iCs/>
          <w:color w:val="auto"/>
          <w:lang w:val="en-AU"/>
        </w:rPr>
        <w:t xml:space="preserve"> </w:t>
      </w:r>
      <w:r w:rsidR="00AE519D" w:rsidRPr="0067343C">
        <w:rPr>
          <w:rFonts w:ascii="Arial" w:hAnsi="Arial" w:cs="Arial"/>
          <w:iCs/>
          <w:color w:val="auto"/>
          <w:lang w:val="en-AU"/>
        </w:rPr>
        <w:t xml:space="preserve">Given DFAT’s and DFID’s </w:t>
      </w:r>
      <w:r w:rsidR="00CE2B41" w:rsidRPr="0067343C">
        <w:rPr>
          <w:rFonts w:ascii="Arial" w:hAnsi="Arial" w:cs="Arial"/>
          <w:iCs/>
          <w:color w:val="auto"/>
          <w:lang w:val="en-AU"/>
        </w:rPr>
        <w:t>total contribution</w:t>
      </w:r>
      <w:r w:rsidR="00AE519D" w:rsidRPr="0067343C">
        <w:rPr>
          <w:rFonts w:ascii="Arial" w:hAnsi="Arial" w:cs="Arial"/>
          <w:iCs/>
          <w:color w:val="auto"/>
          <w:lang w:val="en-AU"/>
        </w:rPr>
        <w:t>s</w:t>
      </w:r>
      <w:r w:rsidR="00CE2B41" w:rsidRPr="0067343C">
        <w:rPr>
          <w:rFonts w:ascii="Arial" w:hAnsi="Arial" w:cs="Arial"/>
          <w:iCs/>
          <w:color w:val="auto"/>
          <w:lang w:val="en-AU"/>
        </w:rPr>
        <w:t xml:space="preserve"> </w:t>
      </w:r>
      <w:r w:rsidR="00AE519D" w:rsidRPr="0067343C">
        <w:rPr>
          <w:rFonts w:ascii="Arial" w:hAnsi="Arial" w:cs="Arial"/>
          <w:iCs/>
          <w:color w:val="auto"/>
          <w:lang w:val="en-AU"/>
        </w:rPr>
        <w:t>(&gt;</w:t>
      </w:r>
      <w:r w:rsidR="00CE2B41" w:rsidRPr="0067343C">
        <w:rPr>
          <w:rFonts w:ascii="Arial" w:hAnsi="Arial" w:cs="Arial"/>
          <w:iCs/>
          <w:color w:val="auto"/>
          <w:lang w:val="en-AU"/>
        </w:rPr>
        <w:t>$10 million</w:t>
      </w:r>
      <w:r w:rsidR="00AE519D" w:rsidRPr="0067343C">
        <w:rPr>
          <w:rFonts w:ascii="Arial" w:hAnsi="Arial" w:cs="Arial"/>
          <w:iCs/>
          <w:color w:val="auto"/>
          <w:lang w:val="en-AU"/>
        </w:rPr>
        <w:t xml:space="preserve">) both are </w:t>
      </w:r>
      <w:r w:rsidR="00CE2B41" w:rsidRPr="0067343C">
        <w:rPr>
          <w:rFonts w:ascii="Arial" w:hAnsi="Arial" w:cs="Arial"/>
          <w:iCs/>
          <w:color w:val="auto"/>
          <w:lang w:val="en-AU"/>
        </w:rPr>
        <w:t>voting member</w:t>
      </w:r>
      <w:r w:rsidR="00AE519D" w:rsidRPr="0067343C">
        <w:rPr>
          <w:rFonts w:ascii="Arial" w:hAnsi="Arial" w:cs="Arial"/>
          <w:iCs/>
          <w:color w:val="auto"/>
          <w:lang w:val="en-AU"/>
        </w:rPr>
        <w:t>s</w:t>
      </w:r>
      <w:r w:rsidR="00CE2B41" w:rsidRPr="0067343C">
        <w:rPr>
          <w:rFonts w:ascii="Arial" w:hAnsi="Arial" w:cs="Arial"/>
          <w:iCs/>
          <w:color w:val="auto"/>
          <w:lang w:val="en-AU"/>
        </w:rPr>
        <w:t xml:space="preserve"> of the MDTF Steering Committee,</w:t>
      </w:r>
      <w:r w:rsidR="00AE519D" w:rsidRPr="00A769DE">
        <w:rPr>
          <w:rStyle w:val="FootnoteReference"/>
          <w:rFonts w:ascii="Arial" w:hAnsi="Arial" w:cs="Arial"/>
          <w:color w:val="auto"/>
          <w:lang w:val="en-AU"/>
        </w:rPr>
        <w:footnoteReference w:id="33"/>
      </w:r>
      <w:r w:rsidR="00AE519D" w:rsidRPr="0067343C">
        <w:rPr>
          <w:rFonts w:ascii="Arial" w:hAnsi="Arial" w:cs="Arial"/>
          <w:iCs/>
          <w:color w:val="auto"/>
          <w:lang w:val="en-AU"/>
        </w:rPr>
        <w:t xml:space="preserve"> </w:t>
      </w:r>
      <w:r w:rsidR="00CE2B41" w:rsidRPr="0067343C">
        <w:rPr>
          <w:rFonts w:ascii="Arial" w:hAnsi="Arial" w:cs="Arial"/>
          <w:iCs/>
          <w:color w:val="auto"/>
          <w:lang w:val="en-AU"/>
        </w:rPr>
        <w:t>which provides strategic guida</w:t>
      </w:r>
      <w:r w:rsidR="00AE519D" w:rsidRPr="0067343C">
        <w:rPr>
          <w:rFonts w:ascii="Arial" w:hAnsi="Arial" w:cs="Arial"/>
          <w:iCs/>
          <w:color w:val="auto"/>
          <w:lang w:val="en-AU"/>
        </w:rPr>
        <w:t xml:space="preserve">nce and general oversight, but also selects activities for MDTF financing and reviews progress reports. The </w:t>
      </w:r>
      <w:r w:rsidR="00CE2B41" w:rsidRPr="0067343C">
        <w:rPr>
          <w:rFonts w:ascii="Arial" w:hAnsi="Arial" w:cs="Arial"/>
          <w:iCs/>
          <w:color w:val="auto"/>
          <w:lang w:val="en-AU"/>
        </w:rPr>
        <w:t xml:space="preserve">Steering Committee </w:t>
      </w:r>
      <w:r w:rsidR="00AE519D" w:rsidRPr="0067343C">
        <w:rPr>
          <w:rFonts w:ascii="Arial" w:hAnsi="Arial" w:cs="Arial"/>
          <w:iCs/>
          <w:color w:val="auto"/>
          <w:lang w:val="en-AU"/>
        </w:rPr>
        <w:t xml:space="preserve">should </w:t>
      </w:r>
      <w:r w:rsidR="00CE2B41" w:rsidRPr="0067343C">
        <w:rPr>
          <w:rFonts w:ascii="Arial" w:hAnsi="Arial" w:cs="Arial"/>
          <w:iCs/>
          <w:color w:val="auto"/>
          <w:lang w:val="en-AU"/>
        </w:rPr>
        <w:t>meet at least twice a</w:t>
      </w:r>
      <w:r w:rsidR="00AE519D" w:rsidRPr="0067343C">
        <w:rPr>
          <w:rFonts w:ascii="Arial" w:hAnsi="Arial" w:cs="Arial"/>
          <w:iCs/>
          <w:color w:val="auto"/>
          <w:lang w:val="en-AU"/>
        </w:rPr>
        <w:t>nnually,</w:t>
      </w:r>
      <w:r w:rsidR="00D17B07" w:rsidRPr="00A769DE">
        <w:rPr>
          <w:rStyle w:val="FootnoteReference"/>
          <w:rFonts w:ascii="Arial" w:hAnsi="Arial" w:cs="Arial"/>
          <w:color w:val="auto"/>
          <w:lang w:val="en-AU"/>
        </w:rPr>
        <w:footnoteReference w:id="34"/>
      </w:r>
      <w:r w:rsidR="00AE519D" w:rsidRPr="0067343C">
        <w:rPr>
          <w:rFonts w:ascii="Arial" w:hAnsi="Arial" w:cs="Arial"/>
          <w:iCs/>
          <w:color w:val="auto"/>
          <w:lang w:val="en-AU"/>
        </w:rPr>
        <w:t xml:space="preserve"> although in practice </w:t>
      </w:r>
      <w:r w:rsidR="002A1454" w:rsidRPr="0067343C">
        <w:rPr>
          <w:rFonts w:ascii="Arial" w:hAnsi="Arial" w:cs="Arial"/>
          <w:iCs/>
          <w:color w:val="auto"/>
          <w:lang w:val="en-AU"/>
        </w:rPr>
        <w:t xml:space="preserve">it </w:t>
      </w:r>
      <w:r w:rsidR="00AE519D" w:rsidRPr="0067343C">
        <w:rPr>
          <w:rFonts w:ascii="Arial" w:hAnsi="Arial" w:cs="Arial"/>
          <w:iCs/>
          <w:color w:val="auto"/>
          <w:lang w:val="en-AU"/>
        </w:rPr>
        <w:t>meets less regular than that</w:t>
      </w:r>
      <w:r w:rsidR="004C198E" w:rsidRPr="0067343C">
        <w:rPr>
          <w:rFonts w:ascii="Arial" w:hAnsi="Arial" w:cs="Arial"/>
          <w:iCs/>
          <w:color w:val="auto"/>
          <w:lang w:val="en-AU"/>
        </w:rPr>
        <w:t>. I</w:t>
      </w:r>
      <w:r w:rsidR="002A1454" w:rsidRPr="0067343C">
        <w:rPr>
          <w:rFonts w:ascii="Arial" w:hAnsi="Arial" w:cs="Arial"/>
          <w:iCs/>
          <w:color w:val="auto"/>
          <w:lang w:val="en-AU"/>
        </w:rPr>
        <w:t>n its meetings</w:t>
      </w:r>
      <w:r w:rsidR="004C198E" w:rsidRPr="0067343C">
        <w:rPr>
          <w:rFonts w:ascii="Arial" w:hAnsi="Arial" w:cs="Arial"/>
          <w:iCs/>
          <w:color w:val="auto"/>
          <w:lang w:val="en-AU"/>
        </w:rPr>
        <w:t>, the Steering Committee</w:t>
      </w:r>
      <w:r w:rsidR="002A1454" w:rsidRPr="0067343C">
        <w:rPr>
          <w:rFonts w:ascii="Arial" w:hAnsi="Arial" w:cs="Arial"/>
          <w:iCs/>
          <w:color w:val="auto"/>
          <w:lang w:val="en-AU"/>
        </w:rPr>
        <w:t xml:space="preserve"> covers all windows</w:t>
      </w:r>
      <w:r w:rsidR="00F74FC9">
        <w:rPr>
          <w:rFonts w:ascii="Arial" w:hAnsi="Arial" w:cs="Arial"/>
          <w:iCs/>
          <w:color w:val="auto"/>
          <w:lang w:val="en-AU"/>
        </w:rPr>
        <w:t xml:space="preserve"> and projects</w:t>
      </w:r>
      <w:r w:rsidR="002A1454" w:rsidRPr="0067343C">
        <w:rPr>
          <w:rFonts w:ascii="Arial" w:hAnsi="Arial" w:cs="Arial"/>
          <w:iCs/>
          <w:color w:val="auto"/>
          <w:lang w:val="en-AU"/>
        </w:rPr>
        <w:t xml:space="preserve"> as well as cross-cutting aspects (e.g. gender)</w:t>
      </w:r>
      <w:r w:rsidR="00873A36" w:rsidRPr="0067343C">
        <w:rPr>
          <w:rFonts w:ascii="Arial" w:hAnsi="Arial" w:cs="Arial"/>
          <w:iCs/>
          <w:color w:val="auto"/>
          <w:lang w:val="en-AU"/>
        </w:rPr>
        <w:t>.</w:t>
      </w:r>
      <w:r w:rsidR="0067343C" w:rsidRPr="0067343C">
        <w:rPr>
          <w:rFonts w:ascii="Arial" w:hAnsi="Arial" w:cs="Arial"/>
          <w:iCs/>
          <w:color w:val="auto"/>
          <w:lang w:val="en-AU"/>
        </w:rPr>
        <w:t xml:space="preserve"> The World Bank has prepared </w:t>
      </w:r>
      <w:r w:rsidR="0067343C" w:rsidRPr="0067343C">
        <w:rPr>
          <w:rFonts w:ascii="Arial" w:hAnsi="Arial" w:cs="Arial"/>
          <w:color w:val="auto"/>
          <w:lang w:val="en-AU"/>
        </w:rPr>
        <w:t xml:space="preserve">Operating Guidelines for the MDTF and draft Terms of References for </w:t>
      </w:r>
      <w:r w:rsidR="0067343C">
        <w:rPr>
          <w:rFonts w:ascii="Arial" w:hAnsi="Arial" w:cs="Arial"/>
          <w:color w:val="auto"/>
          <w:lang w:val="en-AU"/>
        </w:rPr>
        <w:t xml:space="preserve">the </w:t>
      </w:r>
      <w:r w:rsidR="0067343C" w:rsidRPr="0067343C">
        <w:rPr>
          <w:rFonts w:ascii="Arial" w:hAnsi="Arial" w:cs="Arial"/>
          <w:color w:val="auto"/>
          <w:lang w:val="en-AU"/>
        </w:rPr>
        <w:t>Working Groups.</w:t>
      </w:r>
    </w:p>
    <w:p w:rsidR="00D4487C" w:rsidRDefault="00D4487C" w:rsidP="00BA7CFE">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CE2B41" w:rsidRPr="00022C17" w:rsidRDefault="00760D4D" w:rsidP="00CE2B41">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iCs/>
          <w:color w:val="auto"/>
          <w:u w:val="single"/>
          <w:lang w:val="en-AU"/>
        </w:rPr>
        <w:t xml:space="preserve">Quarterly </w:t>
      </w:r>
      <w:r w:rsidRPr="00760D4D">
        <w:rPr>
          <w:rFonts w:ascii="Arial" w:hAnsi="Arial" w:cs="Arial"/>
          <w:iCs/>
          <w:color w:val="auto"/>
          <w:u w:val="single"/>
          <w:lang w:val="en-AU"/>
        </w:rPr>
        <w:t xml:space="preserve">ICCP </w:t>
      </w:r>
      <w:r>
        <w:rPr>
          <w:rFonts w:ascii="Arial" w:hAnsi="Arial" w:cs="Arial"/>
          <w:iCs/>
          <w:color w:val="auto"/>
          <w:u w:val="single"/>
          <w:lang w:val="en-AU"/>
        </w:rPr>
        <w:t>forum</w:t>
      </w:r>
      <w:r>
        <w:rPr>
          <w:rFonts w:ascii="Arial" w:hAnsi="Arial" w:cs="Arial"/>
          <w:iCs/>
          <w:color w:val="auto"/>
          <w:lang w:val="en-AU"/>
        </w:rPr>
        <w:t xml:space="preserve">: </w:t>
      </w:r>
      <w:r w:rsidR="00022C17">
        <w:rPr>
          <w:rFonts w:ascii="Arial" w:hAnsi="Arial" w:cs="Arial"/>
          <w:iCs/>
          <w:color w:val="auto"/>
          <w:lang w:val="en-AU"/>
        </w:rPr>
        <w:t xml:space="preserve">When setting up the ICCP in 2015 it was agreed between </w:t>
      </w:r>
      <w:r w:rsidR="00022C17" w:rsidRPr="00022C17">
        <w:rPr>
          <w:rFonts w:ascii="Arial" w:hAnsi="Arial" w:cs="Arial"/>
          <w:iCs/>
          <w:color w:val="auto"/>
          <w:lang w:val="en-AU"/>
        </w:rPr>
        <w:t xml:space="preserve">the </w:t>
      </w:r>
      <w:r w:rsidR="00BA7CFE" w:rsidRPr="00022C17">
        <w:rPr>
          <w:rFonts w:ascii="Arial" w:hAnsi="Arial" w:cs="Arial"/>
          <w:iCs/>
          <w:color w:val="auto"/>
          <w:lang w:val="en-AU"/>
        </w:rPr>
        <w:t xml:space="preserve">IFC, DFAT and DFID </w:t>
      </w:r>
      <w:r w:rsidR="00022C17">
        <w:rPr>
          <w:rFonts w:ascii="Arial" w:hAnsi="Arial" w:cs="Arial"/>
          <w:iCs/>
          <w:color w:val="auto"/>
          <w:lang w:val="en-AU"/>
        </w:rPr>
        <w:t>to conduct</w:t>
      </w:r>
      <w:r w:rsidR="00022C17" w:rsidRPr="00022C17">
        <w:rPr>
          <w:rFonts w:ascii="Arial" w:hAnsi="Arial" w:cs="Arial"/>
          <w:iCs/>
          <w:color w:val="auto"/>
          <w:lang w:val="en-AU"/>
        </w:rPr>
        <w:t xml:space="preserve"> </w:t>
      </w:r>
      <w:r w:rsidR="00BA7CFE" w:rsidRPr="00022C17">
        <w:rPr>
          <w:rFonts w:ascii="Arial" w:hAnsi="Arial" w:cs="Arial"/>
          <w:iCs/>
          <w:color w:val="auto"/>
          <w:lang w:val="en-AU"/>
        </w:rPr>
        <w:t>formal quarterly ICCP meeting</w:t>
      </w:r>
      <w:r w:rsidR="00022C17">
        <w:rPr>
          <w:rFonts w:ascii="Arial" w:hAnsi="Arial" w:cs="Arial"/>
          <w:iCs/>
          <w:color w:val="auto"/>
          <w:lang w:val="en-AU"/>
        </w:rPr>
        <w:t>s</w:t>
      </w:r>
      <w:r w:rsidR="00BA7CFE" w:rsidRPr="00022C17">
        <w:rPr>
          <w:rFonts w:ascii="Arial" w:hAnsi="Arial" w:cs="Arial"/>
          <w:iCs/>
          <w:color w:val="auto"/>
          <w:lang w:val="en-AU"/>
        </w:rPr>
        <w:t xml:space="preserve"> for which the IFC would prepare written activity progress reports (distributed prior to the meetings) and during which the IFC would t</w:t>
      </w:r>
      <w:r w:rsidR="00CE2B41" w:rsidRPr="00022C17">
        <w:rPr>
          <w:rFonts w:ascii="Arial" w:hAnsi="Arial" w:cs="Arial"/>
          <w:iCs/>
          <w:color w:val="auto"/>
          <w:lang w:val="en-AU"/>
        </w:rPr>
        <w:t xml:space="preserve">able all work plans for the forthcoming period for donor </w:t>
      </w:r>
      <w:r w:rsidR="00E85D2E">
        <w:rPr>
          <w:rFonts w:ascii="Arial" w:hAnsi="Arial" w:cs="Arial"/>
          <w:iCs/>
          <w:color w:val="auto"/>
          <w:lang w:val="en-AU"/>
        </w:rPr>
        <w:t xml:space="preserve">awareness and </w:t>
      </w:r>
      <w:r w:rsidR="00CE2B41" w:rsidRPr="00022C17">
        <w:rPr>
          <w:rFonts w:ascii="Arial" w:hAnsi="Arial" w:cs="Arial"/>
          <w:iCs/>
          <w:color w:val="auto"/>
          <w:lang w:val="en-AU"/>
        </w:rPr>
        <w:t>approval</w:t>
      </w:r>
      <w:r w:rsidR="00E85D2E">
        <w:rPr>
          <w:rFonts w:ascii="Arial" w:hAnsi="Arial" w:cs="Arial"/>
          <w:iCs/>
          <w:color w:val="auto"/>
          <w:lang w:val="en-AU"/>
        </w:rPr>
        <w:t xml:space="preserve"> (if required)</w:t>
      </w:r>
      <w:r w:rsidR="00CE2B41" w:rsidRPr="00022C17">
        <w:rPr>
          <w:rFonts w:ascii="Arial" w:hAnsi="Arial" w:cs="Arial"/>
          <w:iCs/>
          <w:color w:val="auto"/>
          <w:lang w:val="en-AU"/>
        </w:rPr>
        <w:t>.</w:t>
      </w:r>
      <w:r w:rsidR="00BA7CFE" w:rsidRPr="00A769DE">
        <w:rPr>
          <w:rStyle w:val="FootnoteReference"/>
          <w:rFonts w:ascii="Arial" w:hAnsi="Arial" w:cs="Arial"/>
          <w:color w:val="auto"/>
          <w:lang w:val="en-AU"/>
        </w:rPr>
        <w:footnoteReference w:id="35"/>
      </w:r>
      <w:r w:rsidR="00D17B07">
        <w:rPr>
          <w:rFonts w:ascii="Arial" w:hAnsi="Arial" w:cs="Arial"/>
          <w:iCs/>
          <w:color w:val="auto"/>
          <w:lang w:val="en-AU"/>
        </w:rPr>
        <w:t xml:space="preserve"> Quarterly meetings have been held and progress reports been prepared regularly since at least April 2017 (it is not clear if meetings were held regularly during 2015-2016, but this could be due to lack of records being available for this evaluation). While the quarterly reports include a ‘next steps’ section, it </w:t>
      </w:r>
      <w:r w:rsidR="00DC2284">
        <w:rPr>
          <w:rFonts w:ascii="Arial" w:hAnsi="Arial" w:cs="Arial"/>
          <w:iCs/>
          <w:color w:val="auto"/>
          <w:lang w:val="en-AU"/>
        </w:rPr>
        <w:t>is</w:t>
      </w:r>
      <w:r w:rsidR="00D17B07">
        <w:rPr>
          <w:rFonts w:ascii="Arial" w:hAnsi="Arial" w:cs="Arial"/>
          <w:iCs/>
          <w:color w:val="auto"/>
          <w:lang w:val="en-AU"/>
        </w:rPr>
        <w:t xml:space="preserve"> for information and discussion rather than f</w:t>
      </w:r>
      <w:r w:rsidR="00D17B07" w:rsidRPr="00022C17">
        <w:rPr>
          <w:rFonts w:ascii="Arial" w:hAnsi="Arial" w:cs="Arial"/>
          <w:iCs/>
          <w:color w:val="auto"/>
          <w:lang w:val="en-AU"/>
        </w:rPr>
        <w:t>or donor approval</w:t>
      </w:r>
      <w:r w:rsidR="00D17B07">
        <w:rPr>
          <w:rFonts w:ascii="Arial" w:hAnsi="Arial" w:cs="Arial"/>
          <w:iCs/>
          <w:color w:val="auto"/>
          <w:lang w:val="en-AU"/>
        </w:rPr>
        <w:t>.</w:t>
      </w:r>
    </w:p>
    <w:p w:rsidR="001C763C" w:rsidRDefault="001C763C" w:rsidP="001C763C">
      <w:pPr>
        <w:pStyle w:val="ListParagraph"/>
        <w:tabs>
          <w:tab w:val="left" w:pos="357"/>
        </w:tabs>
        <w:suppressAutoHyphens w:val="0"/>
        <w:spacing w:before="0" w:after="0" w:line="240" w:lineRule="auto"/>
        <w:ind w:left="0"/>
        <w:jc w:val="both"/>
        <w:rPr>
          <w:rFonts w:ascii="Arial" w:hAnsi="Arial" w:cs="Arial"/>
          <w:iCs/>
          <w:color w:val="auto"/>
          <w:lang w:val="en-AU"/>
        </w:rPr>
      </w:pPr>
    </w:p>
    <w:p w:rsidR="0086397E" w:rsidRPr="0096114C" w:rsidRDefault="0086397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96114C">
        <w:rPr>
          <w:rFonts w:ascii="Arial" w:hAnsi="Arial" w:cs="Arial"/>
          <w:color w:val="auto"/>
          <w:lang w:val="en-AU"/>
        </w:rPr>
        <w:t xml:space="preserve">The </w:t>
      </w:r>
      <w:r w:rsidR="004C198E" w:rsidRPr="0096114C">
        <w:rPr>
          <w:rFonts w:ascii="Arial" w:hAnsi="Arial" w:cs="Arial"/>
          <w:color w:val="auto"/>
          <w:lang w:val="en-AU"/>
        </w:rPr>
        <w:t xml:space="preserve">division of </w:t>
      </w:r>
      <w:r w:rsidRPr="0096114C">
        <w:rPr>
          <w:rFonts w:ascii="Arial" w:hAnsi="Arial" w:cs="Arial"/>
          <w:color w:val="auto"/>
          <w:lang w:val="en-AU"/>
        </w:rPr>
        <w:t xml:space="preserve">responsibilities </w:t>
      </w:r>
      <w:r w:rsidR="004C198E" w:rsidRPr="0096114C">
        <w:rPr>
          <w:rFonts w:ascii="Arial" w:hAnsi="Arial" w:cs="Arial"/>
          <w:color w:val="auto"/>
          <w:lang w:val="en-AU"/>
        </w:rPr>
        <w:t>between</w:t>
      </w:r>
      <w:r w:rsidRPr="0096114C">
        <w:rPr>
          <w:rFonts w:ascii="Arial" w:hAnsi="Arial" w:cs="Arial"/>
          <w:color w:val="auto"/>
          <w:lang w:val="en-AU"/>
        </w:rPr>
        <w:t xml:space="preserve"> the two fora </w:t>
      </w:r>
      <w:r w:rsidR="00D17B07" w:rsidRPr="0096114C">
        <w:rPr>
          <w:rFonts w:ascii="Arial" w:hAnsi="Arial" w:cs="Arial"/>
          <w:color w:val="auto"/>
          <w:lang w:val="en-AU"/>
        </w:rPr>
        <w:t xml:space="preserve">– the </w:t>
      </w:r>
      <w:r w:rsidR="00A10AD6" w:rsidRPr="00A10AD6">
        <w:rPr>
          <w:rFonts w:ascii="Arial" w:hAnsi="Arial" w:cs="Arial"/>
          <w:iCs/>
          <w:color w:val="auto"/>
          <w:lang w:val="en-AU"/>
        </w:rPr>
        <w:t xml:space="preserve">Myanmar Partnership </w:t>
      </w:r>
      <w:r w:rsidR="00D17B07" w:rsidRPr="0096114C">
        <w:rPr>
          <w:rFonts w:ascii="Arial" w:hAnsi="Arial" w:cs="Arial"/>
          <w:color w:val="auto"/>
          <w:lang w:val="en-AU"/>
        </w:rPr>
        <w:t xml:space="preserve">MDTF Steering Committee and the ICCP Quarterly meetings – </w:t>
      </w:r>
      <w:r w:rsidR="004C198E" w:rsidRPr="0096114C">
        <w:rPr>
          <w:rFonts w:ascii="Arial" w:hAnsi="Arial" w:cs="Arial"/>
          <w:color w:val="auto"/>
          <w:lang w:val="en-AU"/>
        </w:rPr>
        <w:t>is</w:t>
      </w:r>
      <w:r w:rsidR="00D17B07" w:rsidRPr="0096114C">
        <w:rPr>
          <w:rFonts w:ascii="Arial" w:hAnsi="Arial" w:cs="Arial"/>
          <w:color w:val="auto"/>
          <w:lang w:val="en-AU"/>
        </w:rPr>
        <w:t xml:space="preserve"> not entirely clear. </w:t>
      </w:r>
      <w:r w:rsidR="003F546F" w:rsidRPr="0096114C">
        <w:rPr>
          <w:rFonts w:ascii="Arial" w:hAnsi="Arial" w:cs="Arial"/>
          <w:color w:val="auto"/>
          <w:lang w:val="en-AU"/>
        </w:rPr>
        <w:t>T</w:t>
      </w:r>
      <w:r w:rsidRPr="0096114C">
        <w:rPr>
          <w:rFonts w:ascii="Arial" w:hAnsi="Arial" w:cs="Arial"/>
          <w:color w:val="auto"/>
          <w:lang w:val="en-AU"/>
        </w:rPr>
        <w:t xml:space="preserve">he actual decision-making forum for the ICCP </w:t>
      </w:r>
      <w:r w:rsidR="003F546F" w:rsidRPr="0096114C">
        <w:rPr>
          <w:rFonts w:ascii="Arial" w:hAnsi="Arial" w:cs="Arial"/>
          <w:color w:val="auto"/>
          <w:lang w:val="en-AU"/>
        </w:rPr>
        <w:t>seems to be the</w:t>
      </w:r>
      <w:r w:rsidRPr="0096114C">
        <w:rPr>
          <w:rFonts w:ascii="Arial" w:hAnsi="Arial" w:cs="Arial"/>
          <w:color w:val="auto"/>
          <w:lang w:val="en-AU"/>
        </w:rPr>
        <w:t xml:space="preserve"> quarterly meeting which discusses and approves all major initiatives, while the MDTF Steering Committee seems to function more as a forum for information exchange</w:t>
      </w:r>
      <w:r w:rsidR="004C198E" w:rsidRPr="0096114C">
        <w:rPr>
          <w:rFonts w:ascii="Arial" w:hAnsi="Arial" w:cs="Arial"/>
          <w:color w:val="auto"/>
          <w:lang w:val="en-AU"/>
        </w:rPr>
        <w:t>, including vis-à-vis the GoM</w:t>
      </w:r>
      <w:r w:rsidRPr="0096114C">
        <w:rPr>
          <w:rFonts w:ascii="Arial" w:hAnsi="Arial" w:cs="Arial"/>
          <w:color w:val="auto"/>
          <w:lang w:val="en-AU"/>
        </w:rPr>
        <w:t xml:space="preserve">. It is not apparent that the </w:t>
      </w:r>
      <w:r w:rsidR="0096114C" w:rsidRPr="0096114C">
        <w:rPr>
          <w:rFonts w:ascii="Arial" w:hAnsi="Arial" w:cs="Arial"/>
          <w:color w:val="auto"/>
          <w:lang w:val="en-AU"/>
        </w:rPr>
        <w:t xml:space="preserve">Steering Committee </w:t>
      </w:r>
      <w:r w:rsidR="0096114C" w:rsidRPr="0096114C">
        <w:rPr>
          <w:rFonts w:ascii="Arial" w:hAnsi="Arial" w:cs="Arial"/>
          <w:color w:val="auto"/>
          <w:lang w:val="en-AU"/>
        </w:rPr>
        <w:lastRenderedPageBreak/>
        <w:t xml:space="preserve">really functions so as to provide </w:t>
      </w:r>
      <w:r w:rsidRPr="0096114C">
        <w:rPr>
          <w:rFonts w:ascii="Arial" w:hAnsi="Arial" w:cs="Arial"/>
          <w:color w:val="auto"/>
          <w:lang w:val="en-AU"/>
        </w:rPr>
        <w:t xml:space="preserve">strategic guidance </w:t>
      </w:r>
      <w:r w:rsidR="00E61EEB" w:rsidRPr="0096114C">
        <w:rPr>
          <w:rFonts w:ascii="Arial" w:hAnsi="Arial" w:cs="Arial"/>
          <w:color w:val="auto"/>
          <w:lang w:val="en-AU"/>
        </w:rPr>
        <w:t xml:space="preserve">and oversight, which </w:t>
      </w:r>
      <w:r w:rsidR="0096114C" w:rsidRPr="0096114C">
        <w:rPr>
          <w:rFonts w:ascii="Arial" w:hAnsi="Arial" w:cs="Arial"/>
          <w:color w:val="auto"/>
          <w:lang w:val="en-AU"/>
        </w:rPr>
        <w:t xml:space="preserve">could be due to its composition since many participants are not directly involved with PSD and the organisations they represent do not provide funding for the ICCP. This in turn then makes it more difficult and less relevant to engage in the </w:t>
      </w:r>
      <w:r w:rsidR="00E61EEB" w:rsidRPr="0096114C">
        <w:rPr>
          <w:rFonts w:ascii="Arial" w:hAnsi="Arial" w:cs="Arial"/>
          <w:color w:val="auto"/>
          <w:lang w:val="en-AU"/>
        </w:rPr>
        <w:t xml:space="preserve">detailed project-level reporting </w:t>
      </w:r>
      <w:r w:rsidR="0096114C">
        <w:rPr>
          <w:rFonts w:ascii="Arial" w:hAnsi="Arial" w:cs="Arial"/>
          <w:color w:val="auto"/>
          <w:lang w:val="en-AU"/>
        </w:rPr>
        <w:t>that is provided to the Steering Committee (and which then</w:t>
      </w:r>
      <w:r w:rsidR="00E61EEB" w:rsidRPr="0096114C">
        <w:rPr>
          <w:rFonts w:ascii="Arial" w:hAnsi="Arial" w:cs="Arial"/>
          <w:color w:val="auto"/>
          <w:lang w:val="en-AU"/>
        </w:rPr>
        <w:t xml:space="preserve"> overlaps </w:t>
      </w:r>
      <w:r w:rsidR="0096114C">
        <w:rPr>
          <w:rFonts w:ascii="Arial" w:hAnsi="Arial" w:cs="Arial"/>
          <w:color w:val="auto"/>
          <w:lang w:val="en-AU"/>
        </w:rPr>
        <w:t>with the reporting being prepared for a presented at the</w:t>
      </w:r>
      <w:r w:rsidRPr="0096114C">
        <w:rPr>
          <w:rFonts w:ascii="Arial" w:hAnsi="Arial" w:cs="Arial"/>
          <w:color w:val="auto"/>
          <w:lang w:val="en-AU"/>
        </w:rPr>
        <w:t xml:space="preserve"> quarterly </w:t>
      </w:r>
      <w:r w:rsidR="0096114C">
        <w:rPr>
          <w:rFonts w:ascii="Arial" w:hAnsi="Arial" w:cs="Arial"/>
          <w:color w:val="auto"/>
          <w:lang w:val="en-AU"/>
        </w:rPr>
        <w:t xml:space="preserve">ICCP </w:t>
      </w:r>
      <w:r w:rsidRPr="0096114C">
        <w:rPr>
          <w:rFonts w:ascii="Arial" w:hAnsi="Arial" w:cs="Arial"/>
          <w:color w:val="auto"/>
          <w:lang w:val="en-AU"/>
        </w:rPr>
        <w:t>meetings</w:t>
      </w:r>
      <w:r w:rsidR="0096114C">
        <w:rPr>
          <w:rFonts w:ascii="Arial" w:hAnsi="Arial" w:cs="Arial"/>
          <w:color w:val="auto"/>
          <w:lang w:val="en-AU"/>
        </w:rPr>
        <w:t>)</w:t>
      </w:r>
      <w:r w:rsidRPr="0096114C">
        <w:rPr>
          <w:rFonts w:ascii="Arial" w:hAnsi="Arial" w:cs="Arial"/>
          <w:color w:val="auto"/>
          <w:lang w:val="en-AU"/>
        </w:rPr>
        <w:t>.</w:t>
      </w:r>
    </w:p>
    <w:p w:rsidR="00855828" w:rsidRDefault="00855828" w:rsidP="00855828">
      <w:pPr>
        <w:pStyle w:val="ListParagraph"/>
        <w:tabs>
          <w:tab w:val="left" w:pos="357"/>
        </w:tabs>
        <w:suppressAutoHyphens w:val="0"/>
        <w:spacing w:before="0" w:after="0" w:line="240" w:lineRule="auto"/>
        <w:ind w:left="0"/>
        <w:jc w:val="both"/>
        <w:rPr>
          <w:rFonts w:ascii="Arial" w:hAnsi="Arial" w:cs="Arial"/>
          <w:color w:val="auto"/>
          <w:lang w:val="en-AU"/>
        </w:rPr>
      </w:pPr>
    </w:p>
    <w:p w:rsidR="00855828" w:rsidRPr="00D17B07" w:rsidRDefault="00BB6ECD" w:rsidP="00777096">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Pr>
          <w:rFonts w:ascii="Arial" w:hAnsi="Arial" w:cs="Arial"/>
          <w:color w:val="auto"/>
          <w:lang w:val="en-AU"/>
        </w:rPr>
        <w:t>Furthermore, t</w:t>
      </w:r>
      <w:r w:rsidR="00855828">
        <w:rPr>
          <w:rFonts w:ascii="Arial" w:hAnsi="Arial" w:cs="Arial"/>
          <w:color w:val="auto"/>
          <w:lang w:val="en-AU"/>
        </w:rPr>
        <w:t>he role</w:t>
      </w:r>
      <w:r>
        <w:rPr>
          <w:rFonts w:ascii="Arial" w:hAnsi="Arial" w:cs="Arial"/>
          <w:color w:val="auto"/>
          <w:lang w:val="en-AU"/>
        </w:rPr>
        <w:t xml:space="preserve"> and responsibilities</w:t>
      </w:r>
      <w:r w:rsidR="00855828">
        <w:rPr>
          <w:rFonts w:ascii="Arial" w:hAnsi="Arial" w:cs="Arial"/>
          <w:color w:val="auto"/>
          <w:lang w:val="en-AU"/>
        </w:rPr>
        <w:t xml:space="preserve"> of </w:t>
      </w:r>
      <w:r>
        <w:rPr>
          <w:rFonts w:ascii="Arial" w:hAnsi="Arial" w:cs="Arial"/>
          <w:color w:val="auto"/>
          <w:lang w:val="en-AU"/>
        </w:rPr>
        <w:t xml:space="preserve">the IFC’s </w:t>
      </w:r>
      <w:r w:rsidRPr="00BB6ECD">
        <w:rPr>
          <w:rFonts w:ascii="Arial" w:hAnsi="Arial" w:cs="Arial"/>
          <w:color w:val="auto"/>
          <w:lang w:val="en-AU"/>
        </w:rPr>
        <w:t>Senior Private Sector Specialist</w:t>
      </w:r>
      <w:r>
        <w:rPr>
          <w:rFonts w:ascii="Arial" w:hAnsi="Arial" w:cs="Arial"/>
          <w:color w:val="auto"/>
          <w:lang w:val="en-AU"/>
        </w:rPr>
        <w:t xml:space="preserve"> </w:t>
      </w:r>
      <w:r w:rsidR="00EA6CFB">
        <w:rPr>
          <w:rFonts w:ascii="Arial" w:hAnsi="Arial" w:cs="Arial"/>
          <w:color w:val="auto"/>
          <w:lang w:val="en-AU"/>
        </w:rPr>
        <w:t>as r</w:t>
      </w:r>
      <w:r w:rsidR="009C0F11">
        <w:rPr>
          <w:rFonts w:ascii="Arial" w:hAnsi="Arial" w:cs="Arial"/>
          <w:color w:val="auto"/>
          <w:lang w:val="en-AU"/>
        </w:rPr>
        <w:t>e</w:t>
      </w:r>
      <w:r w:rsidR="00EA6CFB">
        <w:rPr>
          <w:rFonts w:ascii="Arial" w:hAnsi="Arial" w:cs="Arial"/>
          <w:color w:val="auto"/>
          <w:lang w:val="en-AU"/>
        </w:rPr>
        <w:t>gards ICCP coordination is</w:t>
      </w:r>
      <w:r>
        <w:rPr>
          <w:rFonts w:ascii="Arial" w:hAnsi="Arial" w:cs="Arial"/>
          <w:color w:val="auto"/>
          <w:lang w:val="en-AU"/>
        </w:rPr>
        <w:t xml:space="preserve"> not</w:t>
      </w:r>
      <w:r w:rsidR="00EA6CFB">
        <w:rPr>
          <w:rFonts w:ascii="Arial" w:hAnsi="Arial" w:cs="Arial"/>
          <w:color w:val="auto"/>
          <w:lang w:val="en-AU"/>
        </w:rPr>
        <w:t xml:space="preserve"> </w:t>
      </w:r>
      <w:r>
        <w:rPr>
          <w:rFonts w:ascii="Arial" w:hAnsi="Arial" w:cs="Arial"/>
          <w:color w:val="auto"/>
          <w:lang w:val="en-AU"/>
        </w:rPr>
        <w:t>stated. In fact, the role and responsibilities have seemingly never been subject to discussion and agreement between the World Bank Group, DFAT and DFID, and the job advertisement is very vague on any program-related tasks.</w:t>
      </w:r>
      <w:r w:rsidRPr="00A769DE">
        <w:rPr>
          <w:rStyle w:val="FootnoteReference"/>
          <w:rFonts w:ascii="Arial" w:hAnsi="Arial" w:cs="Arial"/>
          <w:color w:val="auto"/>
          <w:lang w:val="en-AU"/>
        </w:rPr>
        <w:footnoteReference w:id="36"/>
      </w:r>
      <w:r w:rsidR="00777096">
        <w:rPr>
          <w:rFonts w:ascii="Arial" w:hAnsi="Arial" w:cs="Arial"/>
          <w:color w:val="auto"/>
          <w:lang w:val="en-AU"/>
        </w:rPr>
        <w:t xml:space="preserve"> This may be </w:t>
      </w:r>
      <w:r w:rsidR="00273433">
        <w:rPr>
          <w:rFonts w:ascii="Arial" w:hAnsi="Arial" w:cs="Arial"/>
          <w:color w:val="auto"/>
          <w:lang w:val="en-AU"/>
        </w:rPr>
        <w:t>the result of the ICCP not having a clear program management approach in place (cf. section 3.1 above).</w:t>
      </w:r>
    </w:p>
    <w:p w:rsidR="0086397E" w:rsidRPr="00A769DE" w:rsidRDefault="0086397E" w:rsidP="0086397E">
      <w:pPr>
        <w:pStyle w:val="ListParagraph"/>
        <w:tabs>
          <w:tab w:val="left" w:pos="357"/>
        </w:tabs>
        <w:suppressAutoHyphens w:val="0"/>
        <w:spacing w:before="0" w:after="0" w:line="240" w:lineRule="auto"/>
        <w:ind w:left="0"/>
        <w:jc w:val="both"/>
        <w:rPr>
          <w:rFonts w:ascii="Arial" w:hAnsi="Arial" w:cs="Arial"/>
          <w:color w:val="auto"/>
          <w:lang w:val="en-AU"/>
        </w:rPr>
      </w:pPr>
    </w:p>
    <w:p w:rsidR="0086397E" w:rsidRPr="00A769DE" w:rsidRDefault="0086397E" w:rsidP="0086397E">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A769DE">
        <w:rPr>
          <w:rFonts w:ascii="Arial" w:hAnsi="Arial" w:cs="Arial"/>
          <w:color w:val="auto"/>
          <w:lang w:val="en-AU"/>
        </w:rPr>
        <w:t xml:space="preserve">It is noted that there is no written agreement between the IFC and DFAT as regards the ICCP governance </w:t>
      </w:r>
      <w:r w:rsidR="00E61EEB">
        <w:rPr>
          <w:rFonts w:ascii="Arial" w:hAnsi="Arial" w:cs="Arial"/>
          <w:color w:val="auto"/>
          <w:lang w:val="en-AU"/>
        </w:rPr>
        <w:t xml:space="preserve">and implementation </w:t>
      </w:r>
      <w:r w:rsidRPr="00A769DE">
        <w:rPr>
          <w:rFonts w:ascii="Arial" w:hAnsi="Arial" w:cs="Arial"/>
          <w:color w:val="auto"/>
          <w:lang w:val="en-AU"/>
        </w:rPr>
        <w:t xml:space="preserve">arrangements. Rather the Administration Agreement (and Supplemental Agreement/Side Letter) between the World Bank Group and DFAT for </w:t>
      </w:r>
      <w:r w:rsidR="000828F6">
        <w:rPr>
          <w:rFonts w:ascii="Arial" w:hAnsi="Arial" w:cs="Arial"/>
          <w:color w:val="auto"/>
          <w:lang w:val="en-AU"/>
        </w:rPr>
        <w:t xml:space="preserve">the </w:t>
      </w:r>
      <w:r w:rsidR="00A10AD6" w:rsidRPr="00A10AD6">
        <w:rPr>
          <w:rFonts w:ascii="Arial" w:hAnsi="Arial" w:cs="Arial"/>
          <w:iCs/>
          <w:color w:val="auto"/>
          <w:lang w:val="en-AU"/>
        </w:rPr>
        <w:t xml:space="preserve">Myanmar Partnership </w:t>
      </w:r>
      <w:r w:rsidRPr="00A769DE">
        <w:rPr>
          <w:rFonts w:ascii="Arial" w:hAnsi="Arial" w:cs="Arial"/>
          <w:color w:val="auto"/>
          <w:lang w:val="en-AU"/>
        </w:rPr>
        <w:t xml:space="preserve">MDTF outlines </w:t>
      </w:r>
      <w:r w:rsidR="00E61EEB">
        <w:rPr>
          <w:rFonts w:ascii="Arial" w:hAnsi="Arial" w:cs="Arial"/>
          <w:color w:val="auto"/>
          <w:lang w:val="en-AU"/>
        </w:rPr>
        <w:t xml:space="preserve">some </w:t>
      </w:r>
      <w:r w:rsidRPr="00A769DE">
        <w:rPr>
          <w:rFonts w:ascii="Arial" w:hAnsi="Arial" w:cs="Arial"/>
          <w:color w:val="auto"/>
          <w:lang w:val="en-AU"/>
        </w:rPr>
        <w:t xml:space="preserve">principles and operations </w:t>
      </w:r>
      <w:r w:rsidR="00E61EEB">
        <w:rPr>
          <w:rFonts w:ascii="Arial" w:hAnsi="Arial" w:cs="Arial"/>
          <w:color w:val="auto"/>
          <w:lang w:val="en-AU"/>
        </w:rPr>
        <w:t xml:space="preserve">for the governance </w:t>
      </w:r>
      <w:r w:rsidRPr="00A769DE">
        <w:rPr>
          <w:rFonts w:ascii="Arial" w:hAnsi="Arial" w:cs="Arial"/>
          <w:color w:val="auto"/>
          <w:lang w:val="en-AU"/>
        </w:rPr>
        <w:t>of the trust fund, including as regards reporting and the Steering Committee, but not specifically as regards the ICCP.</w:t>
      </w:r>
    </w:p>
    <w:p w:rsidR="0086397E" w:rsidRPr="00A769DE" w:rsidRDefault="0086397E" w:rsidP="0086397E">
      <w:pPr>
        <w:spacing w:before="0" w:after="0" w:line="240" w:lineRule="auto"/>
        <w:jc w:val="both"/>
        <w:rPr>
          <w:rFonts w:ascii="Arial" w:hAnsi="Arial" w:cs="Arial"/>
          <w:color w:val="auto"/>
          <w:lang w:val="en-AU"/>
        </w:rPr>
      </w:pPr>
    </w:p>
    <w:p w:rsidR="009717F1" w:rsidRDefault="00D17B07" w:rsidP="00D17B07">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Pr>
          <w:rFonts w:ascii="Arial" w:hAnsi="Arial" w:cs="Arial"/>
          <w:color w:val="auto"/>
          <w:lang w:val="en-AU"/>
        </w:rPr>
        <w:t xml:space="preserve">DFAT’s </w:t>
      </w:r>
      <w:r w:rsidRPr="00A769DE">
        <w:rPr>
          <w:rFonts w:ascii="Arial" w:hAnsi="Arial" w:cs="Arial"/>
          <w:color w:val="auto"/>
          <w:lang w:val="en-AU"/>
        </w:rPr>
        <w:t xml:space="preserve">Investment Design Summary </w:t>
      </w:r>
      <w:r>
        <w:rPr>
          <w:rFonts w:ascii="Arial" w:hAnsi="Arial" w:cs="Arial"/>
          <w:color w:val="auto"/>
          <w:lang w:val="en-AU"/>
        </w:rPr>
        <w:t>furthermore</w:t>
      </w:r>
      <w:r w:rsidRPr="00A769DE">
        <w:rPr>
          <w:rFonts w:ascii="Arial" w:hAnsi="Arial" w:cs="Arial"/>
          <w:color w:val="auto"/>
          <w:lang w:val="en-AU"/>
        </w:rPr>
        <w:t xml:space="preserve"> state</w:t>
      </w:r>
      <w:r w:rsidR="00777096">
        <w:rPr>
          <w:rFonts w:ascii="Arial" w:hAnsi="Arial" w:cs="Arial"/>
          <w:color w:val="auto"/>
          <w:lang w:val="en-AU"/>
        </w:rPr>
        <w:t>s</w:t>
      </w:r>
      <w:r w:rsidRPr="00A769DE">
        <w:rPr>
          <w:rFonts w:ascii="Arial" w:hAnsi="Arial" w:cs="Arial"/>
          <w:color w:val="auto"/>
          <w:lang w:val="en-AU"/>
        </w:rPr>
        <w:t xml:space="preserve"> that the ICCP would hold annual meetings with business and civil society organisations to discuss the strategic direction and progress of the program</w:t>
      </w:r>
      <w:r>
        <w:rPr>
          <w:rFonts w:ascii="Arial" w:hAnsi="Arial" w:cs="Arial"/>
          <w:color w:val="auto"/>
          <w:lang w:val="en-AU"/>
        </w:rPr>
        <w:t xml:space="preserve">. However, such events have </w:t>
      </w:r>
      <w:r w:rsidRPr="00A769DE">
        <w:rPr>
          <w:rFonts w:ascii="Arial" w:hAnsi="Arial" w:cs="Arial"/>
          <w:color w:val="auto"/>
          <w:lang w:val="en-AU"/>
        </w:rPr>
        <w:t xml:space="preserve">not </w:t>
      </w:r>
      <w:r>
        <w:rPr>
          <w:rFonts w:ascii="Arial" w:hAnsi="Arial" w:cs="Arial"/>
          <w:color w:val="auto"/>
          <w:lang w:val="en-AU"/>
        </w:rPr>
        <w:t>t</w:t>
      </w:r>
      <w:r w:rsidRPr="00A769DE">
        <w:rPr>
          <w:rFonts w:ascii="Arial" w:hAnsi="Arial" w:cs="Arial"/>
          <w:color w:val="auto"/>
          <w:lang w:val="en-AU"/>
        </w:rPr>
        <w:t>ake</w:t>
      </w:r>
      <w:r>
        <w:rPr>
          <w:rFonts w:ascii="Arial" w:hAnsi="Arial" w:cs="Arial"/>
          <w:color w:val="auto"/>
          <w:lang w:val="en-AU"/>
        </w:rPr>
        <w:t>n</w:t>
      </w:r>
      <w:r w:rsidRPr="00A769DE">
        <w:rPr>
          <w:rFonts w:ascii="Arial" w:hAnsi="Arial" w:cs="Arial"/>
          <w:color w:val="auto"/>
          <w:lang w:val="en-AU"/>
        </w:rPr>
        <w:t xml:space="preserve"> place.</w:t>
      </w:r>
    </w:p>
    <w:p w:rsidR="009717F1" w:rsidRDefault="009717F1" w:rsidP="009717F1">
      <w:pPr>
        <w:pStyle w:val="ListParagraph"/>
        <w:tabs>
          <w:tab w:val="left" w:pos="357"/>
        </w:tabs>
        <w:suppressAutoHyphens w:val="0"/>
        <w:spacing w:before="0" w:after="0" w:line="240" w:lineRule="auto"/>
        <w:ind w:left="0"/>
        <w:jc w:val="both"/>
        <w:rPr>
          <w:rFonts w:ascii="Arial" w:hAnsi="Arial" w:cs="Arial"/>
          <w:color w:val="auto"/>
          <w:lang w:val="en-AU"/>
        </w:rPr>
      </w:pPr>
    </w:p>
    <w:p w:rsidR="00F10E49" w:rsidRPr="00AE6AF5" w:rsidRDefault="00F87FFB" w:rsidP="009717F1">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bookmarkStart w:id="39" w:name="_Toc522800480"/>
      <w:r w:rsidRPr="00AE6AF5">
        <w:rPr>
          <w:rFonts w:ascii="Arial" w:hAnsi="Arial" w:cs="Arial"/>
          <w:color w:val="auto"/>
          <w:u w:val="single"/>
          <w:lang w:val="en-AU"/>
        </w:rPr>
        <w:t>Risk register</w:t>
      </w:r>
      <w:r w:rsidRPr="00AE6AF5">
        <w:rPr>
          <w:rFonts w:ascii="Arial" w:hAnsi="Arial" w:cs="Arial"/>
          <w:color w:val="auto"/>
          <w:lang w:val="en-AU"/>
        </w:rPr>
        <w:t xml:space="preserve">: </w:t>
      </w:r>
      <w:r w:rsidR="00F10E49" w:rsidRPr="00AE6AF5">
        <w:rPr>
          <w:rFonts w:ascii="Arial" w:hAnsi="Arial" w:cs="Arial"/>
          <w:color w:val="auto"/>
          <w:lang w:val="en-AU"/>
        </w:rPr>
        <w:t xml:space="preserve">A risk register was developed in September-October 2018 and included as an annex to the ICCP quarterly progress report for July-September 2018. It outlines a total of 13 </w:t>
      </w:r>
      <w:r w:rsidR="00AE6AF5" w:rsidRPr="00AE6AF5">
        <w:rPr>
          <w:rFonts w:ascii="Arial" w:hAnsi="Arial" w:cs="Arial"/>
          <w:color w:val="auto"/>
          <w:lang w:val="en-AU"/>
        </w:rPr>
        <w:t xml:space="preserve">program-level/general </w:t>
      </w:r>
      <w:r w:rsidR="00F10E49" w:rsidRPr="00AE6AF5">
        <w:rPr>
          <w:rFonts w:ascii="Arial" w:hAnsi="Arial" w:cs="Arial"/>
          <w:color w:val="auto"/>
          <w:lang w:val="en-AU"/>
        </w:rPr>
        <w:t xml:space="preserve">risks </w:t>
      </w:r>
      <w:r w:rsidR="00AE6AF5" w:rsidRPr="00AE6AF5">
        <w:rPr>
          <w:rFonts w:ascii="Arial" w:hAnsi="Arial" w:cs="Arial"/>
          <w:color w:val="auto"/>
          <w:lang w:val="en-AU"/>
        </w:rPr>
        <w:t>that</w:t>
      </w:r>
      <w:r w:rsidR="00F10E49" w:rsidRPr="00AE6AF5">
        <w:rPr>
          <w:rFonts w:ascii="Arial" w:hAnsi="Arial" w:cs="Arial"/>
          <w:color w:val="auto"/>
          <w:lang w:val="en-AU"/>
        </w:rPr>
        <w:t xml:space="preserve"> are presented in terms of category, pre-mitigation risk rating, mitigation measures, post-mitigation risk rating, current status/comments, and trend. It appears to have been prepared </w:t>
      </w:r>
      <w:r w:rsidR="00CE5D4E">
        <w:rPr>
          <w:rFonts w:ascii="Arial" w:hAnsi="Arial" w:cs="Arial"/>
          <w:color w:val="auto"/>
          <w:lang w:val="en-AU"/>
        </w:rPr>
        <w:t>following</w:t>
      </w:r>
      <w:r w:rsidR="00F10E49" w:rsidRPr="00AE6AF5">
        <w:rPr>
          <w:rFonts w:ascii="Arial" w:hAnsi="Arial" w:cs="Arial"/>
          <w:color w:val="auto"/>
          <w:lang w:val="en-AU"/>
        </w:rPr>
        <w:t xml:space="preserve"> a proposal by DFID and by a DFID project (DaNa Facility). The IFC project implementation plans include a ‘risks to achieving objectives’ section, but the implementation plans are not ordinarily shared with donor partners. </w:t>
      </w:r>
    </w:p>
    <w:p w:rsidR="00F10E49" w:rsidRDefault="00F10E49" w:rsidP="009717F1">
      <w:pPr>
        <w:pStyle w:val="ListParagraph"/>
        <w:tabs>
          <w:tab w:val="left" w:pos="357"/>
        </w:tabs>
        <w:suppressAutoHyphens w:val="0"/>
        <w:spacing w:before="0" w:after="0" w:line="240" w:lineRule="auto"/>
        <w:ind w:left="0"/>
        <w:jc w:val="both"/>
        <w:rPr>
          <w:rFonts w:ascii="Arial" w:hAnsi="Arial" w:cs="Arial"/>
          <w:color w:val="auto"/>
          <w:lang w:val="en-AU"/>
        </w:rPr>
      </w:pPr>
    </w:p>
    <w:p w:rsidR="000B785F" w:rsidRPr="00A769DE" w:rsidRDefault="00874CEE" w:rsidP="000B785F">
      <w:pPr>
        <w:pStyle w:val="Heading2"/>
        <w:spacing w:before="0" w:after="60"/>
        <w:ind w:left="272" w:hanging="272"/>
        <w:rPr>
          <w:rFonts w:ascii="Arial" w:hAnsi="Arial" w:cs="Arial"/>
          <w:b/>
          <w:bCs/>
          <w:color w:val="auto"/>
          <w:sz w:val="24"/>
          <w:szCs w:val="24"/>
          <w:lang w:val="en-AU"/>
        </w:rPr>
      </w:pPr>
      <w:bookmarkStart w:id="40" w:name="_Toc525930548"/>
      <w:bookmarkStart w:id="41" w:name="_Toc530307598"/>
      <w:r w:rsidRPr="00A769DE">
        <w:rPr>
          <w:rFonts w:ascii="Arial" w:hAnsi="Arial" w:cs="Arial"/>
          <w:b/>
          <w:bCs/>
          <w:color w:val="auto"/>
          <w:sz w:val="24"/>
          <w:szCs w:val="24"/>
          <w:lang w:val="en-AU"/>
        </w:rPr>
        <w:t>3</w:t>
      </w:r>
      <w:r w:rsidR="001B1D38" w:rsidRPr="00A769DE">
        <w:rPr>
          <w:rFonts w:ascii="Arial" w:hAnsi="Arial" w:cs="Arial"/>
          <w:b/>
          <w:bCs/>
          <w:color w:val="auto"/>
          <w:sz w:val="24"/>
          <w:szCs w:val="24"/>
          <w:lang w:val="en-AU"/>
        </w:rPr>
        <w:t>.</w:t>
      </w:r>
      <w:r w:rsidR="008A16C8">
        <w:rPr>
          <w:rFonts w:ascii="Arial" w:hAnsi="Arial" w:cs="Arial"/>
          <w:b/>
          <w:bCs/>
          <w:color w:val="auto"/>
          <w:sz w:val="24"/>
          <w:szCs w:val="24"/>
          <w:lang w:val="en-AU"/>
        </w:rPr>
        <w:t>4</w:t>
      </w:r>
      <w:r w:rsidR="000B785F" w:rsidRPr="00A769DE">
        <w:rPr>
          <w:rFonts w:ascii="Arial" w:hAnsi="Arial" w:cs="Arial"/>
          <w:b/>
          <w:bCs/>
          <w:color w:val="auto"/>
          <w:sz w:val="24"/>
          <w:szCs w:val="24"/>
          <w:lang w:val="en-AU"/>
        </w:rPr>
        <w:t xml:space="preserve"> Progress Reporting</w:t>
      </w:r>
      <w:bookmarkEnd w:id="39"/>
      <w:bookmarkEnd w:id="40"/>
      <w:bookmarkEnd w:id="41"/>
    </w:p>
    <w:p w:rsidR="00347BE8" w:rsidRPr="00347BE8" w:rsidRDefault="00106AEA" w:rsidP="00347BE8">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347BE8">
        <w:rPr>
          <w:rFonts w:ascii="Arial" w:hAnsi="Arial" w:cs="Arial"/>
          <w:color w:val="auto"/>
          <w:lang w:val="en-AU"/>
        </w:rPr>
        <w:t xml:space="preserve">The IFC </w:t>
      </w:r>
      <w:r w:rsidR="009640B7" w:rsidRPr="00347BE8">
        <w:rPr>
          <w:rFonts w:ascii="Arial" w:hAnsi="Arial" w:cs="Arial"/>
          <w:color w:val="auto"/>
          <w:lang w:val="en-AU"/>
        </w:rPr>
        <w:t xml:space="preserve">has </w:t>
      </w:r>
      <w:r w:rsidRPr="00347BE8">
        <w:rPr>
          <w:rFonts w:ascii="Arial" w:hAnsi="Arial" w:cs="Arial"/>
          <w:color w:val="auto"/>
          <w:lang w:val="en-AU"/>
        </w:rPr>
        <w:t>prepare</w:t>
      </w:r>
      <w:r w:rsidR="00531CD2" w:rsidRPr="00347BE8">
        <w:rPr>
          <w:rFonts w:ascii="Arial" w:hAnsi="Arial" w:cs="Arial"/>
          <w:color w:val="auto"/>
          <w:lang w:val="en-AU"/>
        </w:rPr>
        <w:t>d</w:t>
      </w:r>
      <w:r w:rsidRPr="00347BE8">
        <w:rPr>
          <w:rFonts w:ascii="Arial" w:hAnsi="Arial" w:cs="Arial"/>
          <w:color w:val="auto"/>
          <w:lang w:val="en-AU"/>
        </w:rPr>
        <w:t xml:space="preserve"> </w:t>
      </w:r>
      <w:r w:rsidRPr="00347BE8">
        <w:rPr>
          <w:rFonts w:ascii="Arial" w:hAnsi="Arial" w:cs="Arial"/>
          <w:color w:val="auto"/>
          <w:u w:val="single"/>
          <w:lang w:val="en-AU"/>
        </w:rPr>
        <w:t>quarterly progress reports</w:t>
      </w:r>
      <w:r w:rsidRPr="00347BE8">
        <w:rPr>
          <w:rFonts w:ascii="Arial" w:hAnsi="Arial" w:cs="Arial"/>
          <w:color w:val="auto"/>
          <w:lang w:val="en-AU"/>
        </w:rPr>
        <w:t>, which – as noted above – are entirely project-focused</w:t>
      </w:r>
      <w:r w:rsidR="00FB380F">
        <w:rPr>
          <w:rFonts w:ascii="Arial" w:hAnsi="Arial" w:cs="Arial"/>
          <w:color w:val="auto"/>
          <w:lang w:val="en-AU"/>
        </w:rPr>
        <w:t xml:space="preserve"> as program-level indicators have not been agreed and applied for the ICCP</w:t>
      </w:r>
      <w:r w:rsidRPr="00347BE8">
        <w:rPr>
          <w:rFonts w:ascii="Arial" w:hAnsi="Arial" w:cs="Arial"/>
          <w:color w:val="auto"/>
          <w:lang w:val="en-AU"/>
        </w:rPr>
        <w:t>. The reporting format used during 2015-2017</w:t>
      </w:r>
      <w:r w:rsidR="00531CD2" w:rsidRPr="00A769DE">
        <w:rPr>
          <w:rStyle w:val="FootnoteReference"/>
          <w:rFonts w:ascii="Arial" w:hAnsi="Arial" w:cs="Arial"/>
          <w:color w:val="auto"/>
          <w:lang w:val="en-AU"/>
        </w:rPr>
        <w:footnoteReference w:id="37"/>
      </w:r>
      <w:r w:rsidR="00FB4009">
        <w:rPr>
          <w:rFonts w:ascii="Arial" w:hAnsi="Arial" w:cs="Arial"/>
          <w:color w:val="auto"/>
          <w:lang w:val="en-AU"/>
        </w:rPr>
        <w:t xml:space="preserve"> included a </w:t>
      </w:r>
      <w:r w:rsidRPr="00347BE8">
        <w:rPr>
          <w:rFonts w:ascii="Arial" w:hAnsi="Arial" w:cs="Arial"/>
          <w:color w:val="auto"/>
          <w:lang w:val="en-AU"/>
        </w:rPr>
        <w:t xml:space="preserve">financial and activity summary followed by relatively detailed </w:t>
      </w:r>
      <w:r w:rsidR="00FB4009">
        <w:rPr>
          <w:rFonts w:ascii="Arial" w:hAnsi="Arial" w:cs="Arial"/>
          <w:color w:val="auto"/>
          <w:lang w:val="en-AU"/>
        </w:rPr>
        <w:t>descriptions of</w:t>
      </w:r>
      <w:r w:rsidRPr="00347BE8">
        <w:rPr>
          <w:rFonts w:ascii="Arial" w:hAnsi="Arial" w:cs="Arial"/>
          <w:color w:val="auto"/>
          <w:lang w:val="en-AU"/>
        </w:rPr>
        <w:t xml:space="preserve"> each project (Background; Activities and Results; Next Steps; and Issues). This was changed in May 2018 to a format that continued with an overall summary, while the project-level summaries were </w:t>
      </w:r>
      <w:r w:rsidR="00531CD2" w:rsidRPr="00347BE8">
        <w:rPr>
          <w:rFonts w:ascii="Arial" w:hAnsi="Arial" w:cs="Arial"/>
          <w:color w:val="auto"/>
          <w:lang w:val="en-AU"/>
        </w:rPr>
        <w:t>shortened and sub-divided</w:t>
      </w:r>
      <w:r w:rsidRPr="00347BE8">
        <w:rPr>
          <w:rFonts w:ascii="Arial" w:hAnsi="Arial" w:cs="Arial"/>
          <w:color w:val="auto"/>
          <w:lang w:val="en-AU"/>
        </w:rPr>
        <w:t xml:space="preserve"> </w:t>
      </w:r>
      <w:r w:rsidR="00531CD2" w:rsidRPr="00347BE8">
        <w:rPr>
          <w:rFonts w:ascii="Arial" w:hAnsi="Arial" w:cs="Arial"/>
          <w:color w:val="auto"/>
          <w:lang w:val="en-AU"/>
        </w:rPr>
        <w:t xml:space="preserve">into more sections </w:t>
      </w:r>
      <w:r w:rsidRPr="00347BE8">
        <w:rPr>
          <w:rFonts w:ascii="Arial" w:hAnsi="Arial" w:cs="Arial"/>
          <w:color w:val="auto"/>
          <w:lang w:val="en-AU"/>
        </w:rPr>
        <w:t xml:space="preserve">(Background; Key Activities and Results; Next Steps; Issues; Budget Table; Status of Result Indicators; and, Risks). However, under both formats the </w:t>
      </w:r>
      <w:r w:rsidR="00531CD2" w:rsidRPr="00347BE8">
        <w:rPr>
          <w:rFonts w:ascii="Arial" w:hAnsi="Arial" w:cs="Arial"/>
          <w:color w:val="auto"/>
          <w:lang w:val="en-AU"/>
        </w:rPr>
        <w:t xml:space="preserve">project </w:t>
      </w:r>
      <w:r w:rsidRPr="00347BE8">
        <w:rPr>
          <w:rFonts w:ascii="Arial" w:hAnsi="Arial" w:cs="Arial"/>
          <w:color w:val="auto"/>
          <w:lang w:val="en-AU"/>
        </w:rPr>
        <w:t xml:space="preserve">information has differed widely in terms of comprehensiveness, and </w:t>
      </w:r>
      <w:r w:rsidR="00FB380F">
        <w:rPr>
          <w:rFonts w:ascii="Arial" w:hAnsi="Arial" w:cs="Arial"/>
          <w:color w:val="auto"/>
          <w:lang w:val="en-AU"/>
        </w:rPr>
        <w:t xml:space="preserve">neither </w:t>
      </w:r>
      <w:r w:rsidRPr="00347BE8">
        <w:rPr>
          <w:rFonts w:ascii="Arial" w:hAnsi="Arial" w:cs="Arial"/>
          <w:color w:val="auto"/>
          <w:lang w:val="en-AU"/>
        </w:rPr>
        <w:t xml:space="preserve">have </w:t>
      </w:r>
      <w:r w:rsidR="00FB380F">
        <w:rPr>
          <w:rFonts w:ascii="Arial" w:hAnsi="Arial" w:cs="Arial"/>
          <w:color w:val="auto"/>
          <w:lang w:val="en-AU"/>
        </w:rPr>
        <w:t>included clear and comprehensive information about</w:t>
      </w:r>
      <w:r w:rsidRPr="00347BE8">
        <w:rPr>
          <w:rFonts w:ascii="Arial" w:hAnsi="Arial" w:cs="Arial"/>
          <w:color w:val="auto"/>
          <w:lang w:val="en-AU"/>
        </w:rPr>
        <w:t xml:space="preserve"> planned activities </w:t>
      </w:r>
      <w:r w:rsidR="00FB380F">
        <w:rPr>
          <w:rFonts w:ascii="Arial" w:hAnsi="Arial" w:cs="Arial"/>
          <w:color w:val="auto"/>
          <w:lang w:val="en-AU"/>
        </w:rPr>
        <w:t xml:space="preserve">and outputs vis-à-vis actual activities </w:t>
      </w:r>
      <w:r w:rsidRPr="00347BE8">
        <w:rPr>
          <w:rFonts w:ascii="Arial" w:hAnsi="Arial" w:cs="Arial"/>
          <w:color w:val="auto"/>
          <w:lang w:val="en-AU"/>
        </w:rPr>
        <w:t xml:space="preserve">and </w:t>
      </w:r>
      <w:r w:rsidR="00FB380F" w:rsidRPr="00347BE8">
        <w:rPr>
          <w:rFonts w:ascii="Arial" w:hAnsi="Arial" w:cs="Arial"/>
          <w:color w:val="auto"/>
          <w:lang w:val="en-AU"/>
        </w:rPr>
        <w:t>deliver</w:t>
      </w:r>
      <w:r w:rsidR="00FB380F">
        <w:rPr>
          <w:rFonts w:ascii="Arial" w:hAnsi="Arial" w:cs="Arial"/>
          <w:color w:val="auto"/>
          <w:lang w:val="en-AU"/>
        </w:rPr>
        <w:t xml:space="preserve">ed </w:t>
      </w:r>
      <w:r w:rsidR="00FB4009">
        <w:rPr>
          <w:rFonts w:ascii="Arial" w:hAnsi="Arial" w:cs="Arial"/>
          <w:color w:val="auto"/>
          <w:lang w:val="en-AU"/>
        </w:rPr>
        <w:t xml:space="preserve">outputs </w:t>
      </w:r>
      <w:r w:rsidR="00531CD2" w:rsidRPr="00347BE8">
        <w:rPr>
          <w:rFonts w:ascii="Arial" w:hAnsi="Arial" w:cs="Arial"/>
          <w:color w:val="auto"/>
          <w:lang w:val="en-AU"/>
        </w:rPr>
        <w:t xml:space="preserve">during the </w:t>
      </w:r>
      <w:r w:rsidR="00531CD2" w:rsidRPr="00347BE8">
        <w:rPr>
          <w:rFonts w:ascii="Arial" w:hAnsi="Arial" w:cs="Arial"/>
          <w:color w:val="auto"/>
          <w:lang w:val="en-AU"/>
        </w:rPr>
        <w:lastRenderedPageBreak/>
        <w:t>reporting period</w:t>
      </w:r>
      <w:r w:rsidR="00347BE8" w:rsidRPr="00347BE8">
        <w:rPr>
          <w:rFonts w:ascii="Arial" w:hAnsi="Arial" w:cs="Arial"/>
          <w:color w:val="auto"/>
          <w:lang w:val="en-AU"/>
        </w:rPr>
        <w:t xml:space="preserve"> (this is seen from the fact that the presented ‘Key Activities and Results’ in one report cannot be directly compared with the ‘Next Steps</w:t>
      </w:r>
      <w:r w:rsidR="00347BE8">
        <w:rPr>
          <w:rFonts w:ascii="Arial" w:hAnsi="Arial" w:cs="Arial"/>
          <w:color w:val="auto"/>
          <w:lang w:val="en-AU"/>
        </w:rPr>
        <w:t xml:space="preserve">’ in the previous report). Hence it </w:t>
      </w:r>
      <w:r w:rsidR="00993CD4">
        <w:rPr>
          <w:rFonts w:ascii="Arial" w:hAnsi="Arial" w:cs="Arial"/>
          <w:color w:val="auto"/>
          <w:lang w:val="en-AU"/>
        </w:rPr>
        <w:t>seems unc</w:t>
      </w:r>
      <w:r w:rsidR="00FB4009">
        <w:rPr>
          <w:rFonts w:ascii="Arial" w:hAnsi="Arial" w:cs="Arial"/>
          <w:color w:val="auto"/>
          <w:lang w:val="en-AU"/>
        </w:rPr>
        <w:t xml:space="preserve">lear to which extent </w:t>
      </w:r>
      <w:r w:rsidR="00347BE8">
        <w:rPr>
          <w:rFonts w:ascii="Arial" w:hAnsi="Arial" w:cs="Arial"/>
          <w:color w:val="auto"/>
          <w:lang w:val="en-AU"/>
        </w:rPr>
        <w:t>DFAT and DFID have been able to identify and assess</w:t>
      </w:r>
      <w:r w:rsidR="00993CD4">
        <w:rPr>
          <w:rFonts w:ascii="Arial" w:hAnsi="Arial" w:cs="Arial"/>
          <w:color w:val="auto"/>
          <w:lang w:val="en-AU"/>
        </w:rPr>
        <w:t xml:space="preserve"> actual project progress and implementation </w:t>
      </w:r>
      <w:r w:rsidR="001A0E44">
        <w:rPr>
          <w:rFonts w:ascii="Arial" w:hAnsi="Arial" w:cs="Arial"/>
          <w:color w:val="auto"/>
          <w:lang w:val="en-AU"/>
        </w:rPr>
        <w:t>challenges</w:t>
      </w:r>
      <w:r w:rsidR="00FB380F">
        <w:rPr>
          <w:rFonts w:ascii="Arial" w:hAnsi="Arial" w:cs="Arial"/>
          <w:color w:val="auto"/>
          <w:lang w:val="en-AU"/>
        </w:rPr>
        <w:t>.</w:t>
      </w:r>
      <w:r w:rsidR="00FB380F" w:rsidRPr="00A769DE">
        <w:rPr>
          <w:rStyle w:val="FootnoteReference"/>
          <w:rFonts w:ascii="Arial" w:hAnsi="Arial" w:cs="Arial"/>
          <w:color w:val="auto"/>
          <w:lang w:val="en-AU"/>
        </w:rPr>
        <w:footnoteReference w:id="38"/>
      </w:r>
    </w:p>
    <w:p w:rsidR="00347BE8" w:rsidRDefault="00347BE8" w:rsidP="00531CD2">
      <w:pPr>
        <w:pStyle w:val="ListParagraph"/>
        <w:tabs>
          <w:tab w:val="left" w:pos="357"/>
        </w:tabs>
        <w:suppressAutoHyphens w:val="0"/>
        <w:spacing w:before="0" w:after="0" w:line="240" w:lineRule="auto"/>
        <w:ind w:left="0"/>
        <w:jc w:val="both"/>
        <w:rPr>
          <w:rFonts w:ascii="Arial" w:hAnsi="Arial" w:cs="Arial"/>
          <w:color w:val="auto"/>
          <w:lang w:val="en-AU"/>
        </w:rPr>
      </w:pPr>
    </w:p>
    <w:p w:rsidR="00106AEA" w:rsidRPr="00531CD2" w:rsidRDefault="00106AEA" w:rsidP="00106AEA">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531CD2">
        <w:rPr>
          <w:rFonts w:ascii="Arial" w:hAnsi="Arial" w:cs="Arial"/>
          <w:color w:val="auto"/>
          <w:lang w:val="en-AU"/>
        </w:rPr>
        <w:t xml:space="preserve">It was at the quarterly </w:t>
      </w:r>
      <w:r w:rsidR="00531CD2">
        <w:rPr>
          <w:rFonts w:ascii="Arial" w:hAnsi="Arial" w:cs="Arial"/>
          <w:color w:val="auto"/>
          <w:lang w:val="en-AU"/>
        </w:rPr>
        <w:t xml:space="preserve">ICCP </w:t>
      </w:r>
      <w:r w:rsidRPr="00531CD2">
        <w:rPr>
          <w:rFonts w:ascii="Arial" w:hAnsi="Arial" w:cs="Arial"/>
          <w:color w:val="auto"/>
          <w:lang w:val="en-AU"/>
        </w:rPr>
        <w:t xml:space="preserve">meeting in August 2018 agreed to develop a new reporting format, which will be more descriptive, and which </w:t>
      </w:r>
      <w:r w:rsidR="001A0E44">
        <w:rPr>
          <w:rFonts w:ascii="Arial" w:hAnsi="Arial" w:cs="Arial"/>
          <w:color w:val="auto"/>
          <w:lang w:val="en-AU"/>
        </w:rPr>
        <w:t xml:space="preserve">will </w:t>
      </w:r>
      <w:r w:rsidR="00347BE8">
        <w:rPr>
          <w:rFonts w:ascii="Arial" w:hAnsi="Arial" w:cs="Arial"/>
          <w:color w:val="auto"/>
          <w:lang w:val="en-AU"/>
        </w:rPr>
        <w:t xml:space="preserve">also </w:t>
      </w:r>
      <w:r w:rsidRPr="00531CD2">
        <w:rPr>
          <w:rFonts w:ascii="Arial" w:hAnsi="Arial" w:cs="Arial"/>
          <w:color w:val="auto"/>
          <w:lang w:val="en-AU"/>
        </w:rPr>
        <w:t>include progress reporting at the program outcome level</w:t>
      </w:r>
      <w:r w:rsidR="00347BE8">
        <w:rPr>
          <w:rFonts w:ascii="Arial" w:hAnsi="Arial" w:cs="Arial"/>
          <w:color w:val="auto"/>
          <w:lang w:val="en-AU"/>
        </w:rPr>
        <w:t xml:space="preserve"> (which will require that a proper ICCP logframe </w:t>
      </w:r>
      <w:r w:rsidR="00E15A9B">
        <w:rPr>
          <w:rFonts w:ascii="Arial" w:hAnsi="Arial" w:cs="Arial"/>
          <w:color w:val="auto"/>
          <w:lang w:val="en-AU"/>
        </w:rPr>
        <w:t>be</w:t>
      </w:r>
      <w:r w:rsidR="00347BE8">
        <w:rPr>
          <w:rFonts w:ascii="Arial" w:hAnsi="Arial" w:cs="Arial"/>
          <w:color w:val="auto"/>
          <w:lang w:val="en-AU"/>
        </w:rPr>
        <w:t xml:space="preserve"> developed)</w:t>
      </w:r>
      <w:r w:rsidRPr="00531CD2">
        <w:rPr>
          <w:rFonts w:ascii="Arial" w:hAnsi="Arial" w:cs="Arial"/>
          <w:color w:val="auto"/>
          <w:lang w:val="en-AU"/>
        </w:rPr>
        <w:t>.</w:t>
      </w:r>
    </w:p>
    <w:p w:rsidR="009640B7" w:rsidRPr="00A769DE" w:rsidRDefault="009640B7" w:rsidP="00106AEA">
      <w:pPr>
        <w:pStyle w:val="ListParagraph"/>
        <w:tabs>
          <w:tab w:val="left" w:pos="357"/>
        </w:tabs>
        <w:suppressAutoHyphens w:val="0"/>
        <w:spacing w:before="0" w:after="0" w:line="240" w:lineRule="auto"/>
        <w:ind w:left="0"/>
        <w:jc w:val="both"/>
        <w:rPr>
          <w:rFonts w:ascii="Arial" w:hAnsi="Arial" w:cs="Arial"/>
          <w:color w:val="auto"/>
          <w:lang w:val="en-AU"/>
        </w:rPr>
      </w:pPr>
    </w:p>
    <w:p w:rsidR="00DD3B37" w:rsidRDefault="00106AEA" w:rsidP="007451A7">
      <w:pPr>
        <w:pStyle w:val="ListParagraph"/>
        <w:numPr>
          <w:ilvl w:val="0"/>
          <w:numId w:val="15"/>
        </w:numPr>
        <w:tabs>
          <w:tab w:val="left" w:pos="357"/>
        </w:tabs>
        <w:suppressAutoHyphens w:val="0"/>
        <w:spacing w:before="0" w:after="0" w:line="240" w:lineRule="auto"/>
        <w:ind w:left="0" w:firstLine="0"/>
        <w:jc w:val="both"/>
        <w:rPr>
          <w:rFonts w:ascii="Arial" w:hAnsi="Arial" w:cs="Arial"/>
          <w:color w:val="auto"/>
          <w:lang w:val="en-AU"/>
        </w:rPr>
      </w:pPr>
      <w:r w:rsidRPr="00A7207A">
        <w:rPr>
          <w:rFonts w:ascii="Arial" w:hAnsi="Arial" w:cs="Arial"/>
          <w:color w:val="auto"/>
          <w:lang w:val="en-AU"/>
        </w:rPr>
        <w:t xml:space="preserve">The World Bank prepares </w:t>
      </w:r>
      <w:r w:rsidR="00A10AD6" w:rsidRPr="00A7207A">
        <w:rPr>
          <w:rFonts w:ascii="Arial" w:hAnsi="Arial" w:cs="Arial"/>
          <w:iCs/>
          <w:color w:val="auto"/>
          <w:u w:val="single"/>
          <w:lang w:val="en-AU"/>
        </w:rPr>
        <w:t xml:space="preserve">Myanmar Partnership </w:t>
      </w:r>
      <w:r w:rsidRPr="00A7207A">
        <w:rPr>
          <w:rFonts w:ascii="Arial" w:hAnsi="Arial" w:cs="Arial"/>
          <w:color w:val="auto"/>
          <w:u w:val="single"/>
          <w:lang w:val="en-AU"/>
        </w:rPr>
        <w:t>MDTF progress reports</w:t>
      </w:r>
      <w:r w:rsidRPr="00A7207A">
        <w:rPr>
          <w:rFonts w:ascii="Arial" w:hAnsi="Arial" w:cs="Arial"/>
          <w:color w:val="auto"/>
          <w:lang w:val="en-AU"/>
        </w:rPr>
        <w:t xml:space="preserve">, which include key outcomes and deliverables, project status, and finances. </w:t>
      </w:r>
      <w:r w:rsidR="00970BED">
        <w:rPr>
          <w:rFonts w:ascii="Arial" w:hAnsi="Arial" w:cs="Arial"/>
          <w:color w:val="auto"/>
          <w:lang w:val="en-AU"/>
        </w:rPr>
        <w:t xml:space="preserve">However, similar to the quarterly reports, the MTDF progress reports have different levels of detail and comprehensiveness in the description of projects, and actual activities and outputs are not systematically compared with the original plans. </w:t>
      </w:r>
    </w:p>
    <w:p w:rsidR="00B47A74" w:rsidRPr="00A769DE" w:rsidRDefault="00B47A74" w:rsidP="00B47A74">
      <w:pPr>
        <w:pStyle w:val="ListParagraph"/>
        <w:tabs>
          <w:tab w:val="left" w:pos="357"/>
        </w:tabs>
        <w:suppressAutoHyphens w:val="0"/>
        <w:spacing w:before="0" w:after="0" w:line="240" w:lineRule="auto"/>
        <w:ind w:left="0"/>
        <w:jc w:val="both"/>
        <w:rPr>
          <w:rFonts w:ascii="Arial" w:hAnsi="Arial" w:cs="Arial"/>
          <w:color w:val="auto"/>
          <w:lang w:val="en-AU"/>
        </w:rPr>
      </w:pPr>
      <w:bookmarkStart w:id="42" w:name="_Toc522800478"/>
      <w:bookmarkStart w:id="43" w:name="_Toc525930549"/>
      <w:bookmarkStart w:id="44" w:name="_Toc530307599"/>
    </w:p>
    <w:p w:rsidR="008A16C8" w:rsidRPr="00A769DE" w:rsidRDefault="008A16C8" w:rsidP="008A16C8">
      <w:pPr>
        <w:pStyle w:val="Heading2"/>
        <w:spacing w:before="0" w:after="60"/>
        <w:ind w:left="272" w:hanging="272"/>
        <w:rPr>
          <w:rFonts w:ascii="Arial" w:hAnsi="Arial" w:cs="Arial"/>
          <w:b/>
          <w:bCs/>
          <w:color w:val="auto"/>
          <w:sz w:val="24"/>
          <w:szCs w:val="24"/>
          <w:lang w:val="en-AU"/>
        </w:rPr>
      </w:pPr>
      <w:r w:rsidRPr="00A769DE">
        <w:rPr>
          <w:rFonts w:ascii="Arial" w:hAnsi="Arial" w:cs="Arial"/>
          <w:b/>
          <w:bCs/>
          <w:color w:val="auto"/>
          <w:sz w:val="24"/>
          <w:szCs w:val="24"/>
          <w:lang w:val="en-AU"/>
        </w:rPr>
        <w:t>3.</w:t>
      </w:r>
      <w:r>
        <w:rPr>
          <w:rFonts w:ascii="Arial" w:hAnsi="Arial" w:cs="Arial"/>
          <w:b/>
          <w:bCs/>
          <w:color w:val="auto"/>
          <w:sz w:val="24"/>
          <w:szCs w:val="24"/>
          <w:lang w:val="en-AU"/>
        </w:rPr>
        <w:t>5</w:t>
      </w:r>
      <w:r w:rsidRPr="00A769DE">
        <w:rPr>
          <w:rFonts w:ascii="Arial" w:hAnsi="Arial" w:cs="Arial"/>
          <w:b/>
          <w:bCs/>
          <w:color w:val="auto"/>
          <w:sz w:val="24"/>
          <w:szCs w:val="24"/>
          <w:lang w:val="en-AU"/>
        </w:rPr>
        <w:t xml:space="preserve"> </w:t>
      </w:r>
      <w:bookmarkEnd w:id="42"/>
      <w:r w:rsidRPr="00A769DE">
        <w:rPr>
          <w:rFonts w:ascii="Arial" w:hAnsi="Arial" w:cs="Arial"/>
          <w:b/>
          <w:bCs/>
          <w:color w:val="auto"/>
          <w:sz w:val="24"/>
          <w:szCs w:val="24"/>
          <w:lang w:val="en-AU"/>
        </w:rPr>
        <w:t>Gender Mainstreaming</w:t>
      </w:r>
      <w:bookmarkEnd w:id="43"/>
      <w:bookmarkEnd w:id="44"/>
    </w:p>
    <w:p w:rsidR="008A16C8" w:rsidRPr="00B7349C" w:rsidRDefault="008A16C8" w:rsidP="008A16C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B7349C">
        <w:rPr>
          <w:rFonts w:ascii="Arial" w:hAnsi="Arial" w:cs="Arial"/>
          <w:color w:val="auto"/>
          <w:lang w:val="en-AU"/>
        </w:rPr>
        <w:t>The World Bank Group’s 2015 Concept Note for the ICCP did not incorporate gender equity and a gender analysis was absent. DFAT’s Investment Design Summary therefore noted that the Concept Note did not meet DFAT’s quality criteria as regards gender equality, which was hence flagged as a risk. It was stated that DFAT would have significant scope to influence this during inception and implementation and, if necessary, to provide expertise to ensure that gender is adequately addressed.</w:t>
      </w:r>
      <w:r w:rsidRPr="00A769DE">
        <w:rPr>
          <w:rStyle w:val="FootnoteReference"/>
          <w:rFonts w:ascii="Arial" w:hAnsi="Arial" w:cs="Arial"/>
          <w:color w:val="auto"/>
          <w:lang w:val="en-AU"/>
        </w:rPr>
        <w:footnoteReference w:id="39"/>
      </w:r>
      <w:r w:rsidRPr="00B7349C">
        <w:rPr>
          <w:rFonts w:ascii="Arial" w:hAnsi="Arial" w:cs="Arial"/>
          <w:color w:val="auto"/>
          <w:lang w:val="en-AU"/>
        </w:rPr>
        <w:t xml:space="preserve"> DFID’s Business Case include</w:t>
      </w:r>
      <w:r>
        <w:rPr>
          <w:rFonts w:ascii="Arial" w:hAnsi="Arial" w:cs="Arial"/>
          <w:color w:val="auto"/>
          <w:lang w:val="en-AU"/>
        </w:rPr>
        <w:t>d</w:t>
      </w:r>
      <w:r w:rsidRPr="00B7349C">
        <w:rPr>
          <w:rFonts w:ascii="Arial" w:hAnsi="Arial" w:cs="Arial"/>
          <w:color w:val="auto"/>
          <w:lang w:val="en-AU"/>
        </w:rPr>
        <w:t xml:space="preserve"> a statement on gender equality and noted that one of the key principles underpinning </w:t>
      </w:r>
      <w:r>
        <w:rPr>
          <w:rFonts w:ascii="Arial" w:hAnsi="Arial" w:cs="Arial"/>
          <w:color w:val="auto"/>
          <w:lang w:val="en-AU"/>
        </w:rPr>
        <w:t xml:space="preserve">the </w:t>
      </w:r>
      <w:r w:rsidR="00274EDF" w:rsidRPr="00274EDF">
        <w:rPr>
          <w:rFonts w:ascii="Arial" w:hAnsi="Arial" w:cs="Arial"/>
          <w:color w:val="auto"/>
          <w:lang w:val="en-AU"/>
        </w:rPr>
        <w:t>Business for Shared Prosperity (BSP)</w:t>
      </w:r>
      <w:r w:rsidR="00274EDF">
        <w:rPr>
          <w:rFonts w:ascii="Arial" w:hAnsi="Arial" w:cs="Arial"/>
          <w:color w:val="auto"/>
          <w:lang w:val="en-AU"/>
        </w:rPr>
        <w:t xml:space="preserve"> </w:t>
      </w:r>
      <w:r w:rsidRPr="00B7349C">
        <w:rPr>
          <w:rFonts w:ascii="Arial" w:hAnsi="Arial" w:cs="Arial"/>
          <w:color w:val="auto"/>
          <w:lang w:val="en-AU"/>
        </w:rPr>
        <w:t>was the promotion of gender equality and women’s economic empowerment.</w:t>
      </w:r>
    </w:p>
    <w:p w:rsidR="008A16C8" w:rsidRDefault="008A16C8" w:rsidP="008A16C8">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8A16C8" w:rsidRDefault="008A16C8" w:rsidP="008A16C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937687">
        <w:rPr>
          <w:rFonts w:ascii="Arial" w:hAnsi="Arial" w:cs="Arial"/>
          <w:color w:val="auto"/>
          <w:lang w:val="en-AU"/>
        </w:rPr>
        <w:t xml:space="preserve">In December 2015, it was decided at the ICCP quarterly meeting that a work plan on trade and gender should be developed as part of the </w:t>
      </w:r>
      <w:r>
        <w:rPr>
          <w:rFonts w:ascii="Arial" w:hAnsi="Arial" w:cs="Arial"/>
          <w:color w:val="auto"/>
          <w:lang w:val="en-AU"/>
        </w:rPr>
        <w:t xml:space="preserve">upcoming </w:t>
      </w:r>
      <w:r w:rsidRPr="00937687">
        <w:rPr>
          <w:rFonts w:ascii="Arial" w:hAnsi="Arial" w:cs="Arial"/>
          <w:color w:val="auto"/>
          <w:lang w:val="en-AU"/>
        </w:rPr>
        <w:t xml:space="preserve">Diagnostic Trade Integration Study (DTIS). The DTIS report, published in June 2016, included some findings and considerations as regards gender </w:t>
      </w:r>
      <w:r>
        <w:rPr>
          <w:rFonts w:ascii="Arial" w:hAnsi="Arial" w:cs="Arial"/>
          <w:color w:val="auto"/>
          <w:lang w:val="en-AU"/>
        </w:rPr>
        <w:t xml:space="preserve">in relation to </w:t>
      </w:r>
      <w:r w:rsidRPr="00937687">
        <w:rPr>
          <w:rFonts w:ascii="Arial" w:hAnsi="Arial" w:cs="Arial"/>
          <w:color w:val="auto"/>
          <w:lang w:val="en-AU"/>
        </w:rPr>
        <w:t>trade facilitation</w:t>
      </w:r>
      <w:r>
        <w:rPr>
          <w:rFonts w:ascii="Arial" w:hAnsi="Arial" w:cs="Arial"/>
          <w:color w:val="auto"/>
          <w:lang w:val="en-AU"/>
        </w:rPr>
        <w:t xml:space="preserve">. </w:t>
      </w:r>
    </w:p>
    <w:p w:rsidR="008A16C8" w:rsidRDefault="008A16C8" w:rsidP="008A16C8">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8A16C8" w:rsidRDefault="008A16C8" w:rsidP="008A16C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8036D7">
        <w:rPr>
          <w:rFonts w:ascii="Arial" w:hAnsi="Arial" w:cs="Arial"/>
          <w:color w:val="auto"/>
          <w:lang w:val="en-AU"/>
        </w:rPr>
        <w:t>DFAT in January 2016 published a gender assessment report,</w:t>
      </w:r>
      <w:r w:rsidRPr="00A769DE">
        <w:rPr>
          <w:rStyle w:val="FootnoteReference"/>
          <w:rFonts w:ascii="Arial" w:hAnsi="Arial" w:cs="Arial"/>
          <w:color w:val="auto"/>
          <w:lang w:val="en-AU"/>
        </w:rPr>
        <w:footnoteReference w:id="40"/>
      </w:r>
      <w:r w:rsidRPr="008036D7">
        <w:rPr>
          <w:rFonts w:ascii="Arial" w:hAnsi="Arial" w:cs="Arial"/>
          <w:color w:val="auto"/>
          <w:lang w:val="en-AU"/>
        </w:rPr>
        <w:t xml:space="preserve"> which made a total of 26 specific recommendations for DFAT and the ICCP. These included that DFAT should earmark 5</w:t>
      </w:r>
      <w:r w:rsidR="00E45E9E">
        <w:rPr>
          <w:rFonts w:ascii="Arial" w:hAnsi="Arial" w:cs="Arial"/>
          <w:color w:val="auto"/>
          <w:lang w:val="en-AU"/>
        </w:rPr>
        <w:t xml:space="preserve"> per cent</w:t>
      </w:r>
      <w:r w:rsidRPr="008036D7">
        <w:rPr>
          <w:rFonts w:ascii="Arial" w:hAnsi="Arial" w:cs="Arial"/>
          <w:color w:val="auto"/>
          <w:lang w:val="en-AU"/>
        </w:rPr>
        <w:t xml:space="preserve"> of its annual grant-based tranches to the World Bank Group as a gender budget allocation under the ICCP, that DFAT should establish a link with an internal gender specialist to comment on ICCP gender mainstreaming efforts, that gender advice should be provided to the ICCP through World Bank Group global and regional specialist staff and consultants for the life of the ICCP, that the ICCP should conduct a gender impact assessment for selected sectors, and that an ICCP results framework incorporating gender-specific indicators should be developed. DFAT in its Management Response accepted and endorsed the findings and recommendations of the report.</w:t>
      </w:r>
    </w:p>
    <w:p w:rsidR="008A16C8" w:rsidRDefault="008A16C8" w:rsidP="008A16C8">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8A16C8" w:rsidRPr="008E05B7" w:rsidRDefault="008A16C8" w:rsidP="008A16C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8E05B7">
        <w:rPr>
          <w:rFonts w:ascii="Arial" w:hAnsi="Arial" w:cs="Arial"/>
          <w:color w:val="auto"/>
          <w:lang w:val="en-AU"/>
        </w:rPr>
        <w:lastRenderedPageBreak/>
        <w:t xml:space="preserve">It is understood that some recommendations were subsequently implemented, e.g. the IFC in mid-2016 </w:t>
      </w:r>
      <w:r>
        <w:rPr>
          <w:rFonts w:ascii="Arial" w:hAnsi="Arial" w:cs="Arial"/>
          <w:color w:val="auto"/>
          <w:lang w:val="en-AU"/>
        </w:rPr>
        <w:t>with DFAT funding</w:t>
      </w:r>
      <w:r w:rsidRPr="00A769DE">
        <w:rPr>
          <w:rStyle w:val="FootnoteReference"/>
          <w:rFonts w:ascii="Arial" w:hAnsi="Arial" w:cs="Arial"/>
          <w:color w:val="auto"/>
          <w:lang w:val="en-AU"/>
        </w:rPr>
        <w:footnoteReference w:id="41"/>
      </w:r>
      <w:r>
        <w:rPr>
          <w:rFonts w:ascii="Arial" w:hAnsi="Arial" w:cs="Arial"/>
          <w:color w:val="auto"/>
          <w:lang w:val="en-AU"/>
        </w:rPr>
        <w:t xml:space="preserve"> </w:t>
      </w:r>
      <w:r w:rsidRPr="008E05B7">
        <w:rPr>
          <w:rFonts w:ascii="Arial" w:hAnsi="Arial" w:cs="Arial"/>
          <w:color w:val="auto"/>
          <w:lang w:val="en-AU"/>
        </w:rPr>
        <w:t xml:space="preserve">engaged a gender specialist to support work planning and identify potential </w:t>
      </w:r>
      <w:r>
        <w:rPr>
          <w:rFonts w:ascii="Arial" w:hAnsi="Arial" w:cs="Arial"/>
          <w:color w:val="auto"/>
          <w:lang w:val="en-AU"/>
        </w:rPr>
        <w:t xml:space="preserve">ICCP </w:t>
      </w:r>
      <w:r w:rsidRPr="008E05B7">
        <w:rPr>
          <w:rFonts w:ascii="Arial" w:hAnsi="Arial" w:cs="Arial"/>
          <w:color w:val="auto"/>
          <w:lang w:val="en-AU"/>
        </w:rPr>
        <w:t>gender-</w:t>
      </w:r>
      <w:r>
        <w:rPr>
          <w:rFonts w:ascii="Arial" w:hAnsi="Arial" w:cs="Arial"/>
          <w:color w:val="auto"/>
          <w:lang w:val="en-AU"/>
        </w:rPr>
        <w:t>related intervention</w:t>
      </w:r>
      <w:r w:rsidR="0003608C">
        <w:rPr>
          <w:rFonts w:ascii="Arial" w:hAnsi="Arial" w:cs="Arial"/>
          <w:color w:val="auto"/>
          <w:lang w:val="en-AU"/>
        </w:rPr>
        <w:t>.</w:t>
      </w:r>
      <w:r w:rsidRPr="00A769DE">
        <w:rPr>
          <w:rStyle w:val="FootnoteReference"/>
          <w:rFonts w:ascii="Arial" w:hAnsi="Arial" w:cs="Arial"/>
          <w:color w:val="auto"/>
          <w:lang w:val="en-AU"/>
        </w:rPr>
        <w:footnoteReference w:id="42"/>
      </w:r>
      <w:r w:rsidRPr="008E05B7">
        <w:rPr>
          <w:rFonts w:ascii="Arial" w:hAnsi="Arial" w:cs="Arial"/>
          <w:color w:val="auto"/>
          <w:lang w:val="en-AU"/>
        </w:rPr>
        <w:t xml:space="preserve"> </w:t>
      </w:r>
      <w:r w:rsidR="0003608C">
        <w:rPr>
          <w:rFonts w:ascii="Arial" w:hAnsi="Arial" w:cs="Arial"/>
          <w:color w:val="auto"/>
          <w:lang w:val="en-AU"/>
        </w:rPr>
        <w:t xml:space="preserve">However, </w:t>
      </w:r>
      <w:r w:rsidRPr="008E05B7">
        <w:rPr>
          <w:rFonts w:ascii="Arial" w:hAnsi="Arial" w:cs="Arial"/>
          <w:color w:val="auto"/>
          <w:lang w:val="en-AU"/>
        </w:rPr>
        <w:t xml:space="preserve">it is not clear to which extent Post has undertaken systematic monitoring </w:t>
      </w:r>
      <w:r>
        <w:rPr>
          <w:rFonts w:ascii="Arial" w:hAnsi="Arial" w:cs="Arial"/>
          <w:color w:val="auto"/>
          <w:lang w:val="en-AU"/>
        </w:rPr>
        <w:t>across all</w:t>
      </w:r>
      <w:r w:rsidRPr="008E05B7">
        <w:rPr>
          <w:rFonts w:ascii="Arial" w:hAnsi="Arial" w:cs="Arial"/>
          <w:color w:val="auto"/>
          <w:lang w:val="en-AU"/>
        </w:rPr>
        <w:t xml:space="preserve"> the recommendations and the results achieved.</w:t>
      </w:r>
    </w:p>
    <w:p w:rsidR="008A16C8" w:rsidRDefault="008A16C8" w:rsidP="008A16C8">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8A16C8" w:rsidRPr="000F4424" w:rsidRDefault="008A16C8" w:rsidP="008A16C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0F4424">
        <w:rPr>
          <w:rFonts w:ascii="Arial" w:hAnsi="Arial" w:cs="Arial"/>
          <w:color w:val="auto"/>
          <w:lang w:val="en-AU"/>
        </w:rPr>
        <w:t>A stronger focus on gender issues has only come about following the engagement of a Yangon-based Gender Operations Officer, funded by DFAT (¾) and DFID (¼), in November 2017. However, since then all ICCP projects have been reviewed and two – Tourism and Agribusiness – have received the IFC gender flag, which means that they incorporate specific gender-related components in their implementation plans</w:t>
      </w:r>
      <w:r w:rsidRPr="00A769DE">
        <w:rPr>
          <w:rStyle w:val="FootnoteReference"/>
          <w:rFonts w:ascii="Arial" w:hAnsi="Arial" w:cs="Arial"/>
          <w:color w:val="auto"/>
          <w:lang w:val="en-AU"/>
        </w:rPr>
        <w:footnoteReference w:id="43"/>
      </w:r>
      <w:r w:rsidRPr="000F4424">
        <w:rPr>
          <w:rFonts w:ascii="Arial" w:hAnsi="Arial" w:cs="Arial"/>
          <w:color w:val="auto"/>
          <w:lang w:val="en-AU"/>
        </w:rPr>
        <w:t xml:space="preserve"> and contribute to closing gender gaps (e.g. </w:t>
      </w:r>
      <w:r>
        <w:rPr>
          <w:rFonts w:ascii="Arial" w:hAnsi="Arial" w:cs="Arial"/>
          <w:color w:val="auto"/>
          <w:lang w:val="en-AU"/>
        </w:rPr>
        <w:t xml:space="preserve">through the </w:t>
      </w:r>
      <w:r w:rsidRPr="000F4424">
        <w:rPr>
          <w:rFonts w:ascii="Arial" w:hAnsi="Arial" w:cs="Arial"/>
          <w:color w:val="auto"/>
          <w:lang w:val="en-AU"/>
        </w:rPr>
        <w:t xml:space="preserve">formation </w:t>
      </w:r>
      <w:r>
        <w:rPr>
          <w:rFonts w:ascii="Arial" w:hAnsi="Arial" w:cs="Arial"/>
          <w:color w:val="auto"/>
          <w:lang w:val="en-AU"/>
        </w:rPr>
        <w:t xml:space="preserve">of </w:t>
      </w:r>
      <w:r w:rsidRPr="000F4424">
        <w:rPr>
          <w:rFonts w:ascii="Arial" w:hAnsi="Arial" w:cs="Arial"/>
          <w:color w:val="auto"/>
          <w:lang w:val="en-AU"/>
        </w:rPr>
        <w:t xml:space="preserve">and support to the Inle Professional Women’s Network (IPNET) </w:t>
      </w:r>
      <w:r>
        <w:rPr>
          <w:rFonts w:ascii="Arial" w:hAnsi="Arial" w:cs="Arial"/>
          <w:color w:val="auto"/>
          <w:lang w:val="en-AU"/>
        </w:rPr>
        <w:t>as well as undertaking an</w:t>
      </w:r>
      <w:r w:rsidRPr="000F4424">
        <w:rPr>
          <w:rFonts w:ascii="Arial" w:hAnsi="Arial" w:cs="Arial"/>
          <w:color w:val="auto"/>
          <w:lang w:val="en-AU"/>
        </w:rPr>
        <w:t xml:space="preserve"> </w:t>
      </w:r>
      <w:r>
        <w:rPr>
          <w:rFonts w:ascii="Arial" w:hAnsi="Arial" w:cs="Arial"/>
          <w:color w:val="auto"/>
          <w:lang w:val="en-AU"/>
        </w:rPr>
        <w:t xml:space="preserve">agriculture </w:t>
      </w:r>
      <w:r w:rsidRPr="000F4424">
        <w:rPr>
          <w:rFonts w:ascii="Arial" w:hAnsi="Arial" w:cs="Arial"/>
          <w:color w:val="auto"/>
          <w:lang w:val="en-AU"/>
        </w:rPr>
        <w:t>supply chain gender mapping). Gender initiatives are also planned for some non-flagged projects, including for the Energy Access (Lighting Myanmar) project, Trade Competitiveness and Enterprise Development project, and Corporate Governance project.</w:t>
      </w:r>
    </w:p>
    <w:p w:rsidR="008A16C8" w:rsidRDefault="008A16C8" w:rsidP="008A16C8">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8A16C8" w:rsidRPr="0017551A" w:rsidRDefault="008A16C8" w:rsidP="008A16C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Pr>
          <w:rFonts w:ascii="Arial" w:hAnsi="Arial" w:cs="Arial"/>
          <w:color w:val="auto"/>
          <w:lang w:val="en-AU"/>
        </w:rPr>
        <w:t>While the focus on gender mainstreaming as part of ICCP implementation has thus been significantly improved</w:t>
      </w:r>
      <w:r w:rsidRPr="00C05202">
        <w:rPr>
          <w:rFonts w:ascii="Arial" w:hAnsi="Arial" w:cs="Arial"/>
          <w:color w:val="auto"/>
          <w:lang w:val="en-AU"/>
        </w:rPr>
        <w:t xml:space="preserve"> </w:t>
      </w:r>
      <w:r>
        <w:rPr>
          <w:rFonts w:ascii="Arial" w:hAnsi="Arial" w:cs="Arial"/>
          <w:color w:val="auto"/>
          <w:lang w:val="en-AU"/>
        </w:rPr>
        <w:t>during the past year</w:t>
      </w:r>
      <w:r w:rsidRPr="0017551A">
        <w:rPr>
          <w:rFonts w:ascii="Arial" w:hAnsi="Arial" w:cs="Arial"/>
          <w:color w:val="auto"/>
          <w:lang w:val="en-AU"/>
        </w:rPr>
        <w:t xml:space="preserve">, </w:t>
      </w:r>
      <w:r>
        <w:rPr>
          <w:rFonts w:ascii="Arial" w:hAnsi="Arial" w:cs="Arial"/>
          <w:color w:val="auto"/>
          <w:lang w:val="en-AU"/>
        </w:rPr>
        <w:t>it</w:t>
      </w:r>
      <w:r w:rsidRPr="0017551A">
        <w:rPr>
          <w:rFonts w:ascii="Arial" w:hAnsi="Arial" w:cs="Arial"/>
          <w:color w:val="auto"/>
          <w:lang w:val="en-AU"/>
        </w:rPr>
        <w:t xml:space="preserve"> </w:t>
      </w:r>
      <w:r>
        <w:rPr>
          <w:rFonts w:ascii="Arial" w:hAnsi="Arial" w:cs="Arial"/>
          <w:color w:val="auto"/>
          <w:lang w:val="en-AU"/>
        </w:rPr>
        <w:t>is still</w:t>
      </w:r>
      <w:r w:rsidRPr="0017551A">
        <w:rPr>
          <w:rFonts w:ascii="Arial" w:hAnsi="Arial" w:cs="Arial"/>
          <w:color w:val="auto"/>
          <w:lang w:val="en-AU"/>
        </w:rPr>
        <w:t xml:space="preserve"> to be ensured that gender </w:t>
      </w:r>
      <w:r>
        <w:rPr>
          <w:rFonts w:ascii="Arial" w:hAnsi="Arial" w:cs="Arial"/>
          <w:color w:val="auto"/>
          <w:lang w:val="en-AU"/>
        </w:rPr>
        <w:t>is i</w:t>
      </w:r>
      <w:r w:rsidRPr="0017551A">
        <w:rPr>
          <w:rFonts w:ascii="Arial" w:hAnsi="Arial" w:cs="Arial"/>
          <w:color w:val="auto"/>
          <w:lang w:val="en-AU"/>
        </w:rPr>
        <w:t>ncluded as a cross-cutting aspect in the ICCP quarterly progress reports and</w:t>
      </w:r>
      <w:r>
        <w:rPr>
          <w:rFonts w:ascii="Arial" w:hAnsi="Arial" w:cs="Arial"/>
          <w:color w:val="auto"/>
          <w:lang w:val="en-AU"/>
        </w:rPr>
        <w:t>,</w:t>
      </w:r>
      <w:r w:rsidRPr="0017551A">
        <w:rPr>
          <w:rFonts w:ascii="Arial" w:hAnsi="Arial" w:cs="Arial"/>
          <w:color w:val="auto"/>
          <w:lang w:val="en-AU"/>
        </w:rPr>
        <w:t xml:space="preserve"> also</w:t>
      </w:r>
      <w:r>
        <w:rPr>
          <w:rFonts w:ascii="Arial" w:hAnsi="Arial" w:cs="Arial"/>
          <w:color w:val="auto"/>
          <w:lang w:val="en-AU"/>
        </w:rPr>
        <w:t>,</w:t>
      </w:r>
      <w:r w:rsidRPr="0017551A">
        <w:rPr>
          <w:rFonts w:ascii="Arial" w:hAnsi="Arial" w:cs="Arial"/>
          <w:color w:val="auto"/>
          <w:lang w:val="en-AU"/>
        </w:rPr>
        <w:t xml:space="preserve"> that the Gender Operations Officer will be invited </w:t>
      </w:r>
      <w:r>
        <w:rPr>
          <w:rFonts w:ascii="Arial" w:hAnsi="Arial" w:cs="Arial"/>
          <w:color w:val="auto"/>
          <w:lang w:val="en-AU"/>
        </w:rPr>
        <w:t xml:space="preserve">as a regular participant </w:t>
      </w:r>
      <w:r w:rsidRPr="0017551A">
        <w:rPr>
          <w:rFonts w:ascii="Arial" w:hAnsi="Arial" w:cs="Arial"/>
          <w:color w:val="auto"/>
          <w:lang w:val="en-AU"/>
        </w:rPr>
        <w:t>to the quarterly ICCP meetings.</w:t>
      </w:r>
    </w:p>
    <w:p w:rsidR="008A16C8" w:rsidRPr="00A769DE" w:rsidRDefault="008A16C8" w:rsidP="008A16C8">
      <w:pPr>
        <w:spacing w:before="0" w:after="0" w:line="240" w:lineRule="auto"/>
        <w:jc w:val="both"/>
        <w:rPr>
          <w:rFonts w:ascii="Arial" w:hAnsi="Arial" w:cs="Arial"/>
          <w:color w:val="auto"/>
          <w:lang w:val="en-AU"/>
        </w:rPr>
      </w:pPr>
    </w:p>
    <w:p w:rsidR="000B785F" w:rsidRPr="00A769DE" w:rsidRDefault="00874CEE" w:rsidP="000B785F">
      <w:pPr>
        <w:pStyle w:val="Heading2"/>
        <w:spacing w:before="0" w:after="60"/>
        <w:ind w:left="272" w:hanging="272"/>
        <w:rPr>
          <w:rFonts w:ascii="Arial" w:hAnsi="Arial" w:cs="Arial"/>
          <w:b/>
          <w:bCs/>
          <w:color w:val="auto"/>
          <w:sz w:val="24"/>
          <w:szCs w:val="24"/>
          <w:lang w:val="en-AU"/>
        </w:rPr>
      </w:pPr>
      <w:bookmarkStart w:id="45" w:name="_Toc522800481"/>
      <w:bookmarkStart w:id="46" w:name="_Toc525930550"/>
      <w:bookmarkStart w:id="47" w:name="_Toc530307600"/>
      <w:r w:rsidRPr="00A769DE">
        <w:rPr>
          <w:rFonts w:ascii="Arial" w:hAnsi="Arial" w:cs="Arial"/>
          <w:b/>
          <w:bCs/>
          <w:color w:val="auto"/>
          <w:sz w:val="24"/>
          <w:szCs w:val="24"/>
          <w:lang w:val="en-AU"/>
        </w:rPr>
        <w:t>3</w:t>
      </w:r>
      <w:r w:rsidR="001B1D38" w:rsidRPr="00A769DE">
        <w:rPr>
          <w:rFonts w:ascii="Arial" w:hAnsi="Arial" w:cs="Arial"/>
          <w:b/>
          <w:bCs/>
          <w:color w:val="auto"/>
          <w:sz w:val="24"/>
          <w:szCs w:val="24"/>
          <w:lang w:val="en-AU"/>
        </w:rPr>
        <w:t>.6</w:t>
      </w:r>
      <w:r w:rsidR="000B785F" w:rsidRPr="00A769DE">
        <w:rPr>
          <w:rFonts w:ascii="Arial" w:hAnsi="Arial" w:cs="Arial"/>
          <w:b/>
          <w:bCs/>
          <w:color w:val="auto"/>
          <w:sz w:val="24"/>
          <w:szCs w:val="24"/>
          <w:lang w:val="en-AU"/>
        </w:rPr>
        <w:t xml:space="preserve"> Strategic Coherence and Synergies Across ICCP Projects</w:t>
      </w:r>
      <w:bookmarkEnd w:id="45"/>
      <w:bookmarkEnd w:id="46"/>
      <w:bookmarkEnd w:id="47"/>
    </w:p>
    <w:p w:rsidR="00872201" w:rsidRPr="00872201" w:rsidRDefault="00106AEA" w:rsidP="005D7BC5">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769DE">
        <w:rPr>
          <w:rFonts w:ascii="Arial" w:hAnsi="Arial" w:cs="Arial"/>
          <w:bCs/>
          <w:iCs/>
          <w:color w:val="auto"/>
          <w:lang w:val="en-AU"/>
        </w:rPr>
        <w:t xml:space="preserve">While the strategic coherence and potential synergies between the different ICCP projects is not necessarily very strong, there are several examples of meaningful links being created between projects. For example, the </w:t>
      </w:r>
      <w:r w:rsidRPr="00A769DE">
        <w:rPr>
          <w:rFonts w:ascii="Arial" w:hAnsi="Arial" w:cs="Arial"/>
          <w:color w:val="auto"/>
          <w:lang w:val="en-AU"/>
        </w:rPr>
        <w:t xml:space="preserve">Investment Climate </w:t>
      </w:r>
      <w:r w:rsidR="00872201">
        <w:rPr>
          <w:rFonts w:ascii="Arial" w:hAnsi="Arial" w:cs="Arial"/>
          <w:color w:val="auto"/>
          <w:lang w:val="en-AU"/>
        </w:rPr>
        <w:t>p</w:t>
      </w:r>
      <w:r w:rsidRPr="00A769DE">
        <w:rPr>
          <w:rFonts w:ascii="Arial" w:hAnsi="Arial" w:cs="Arial"/>
          <w:color w:val="auto"/>
          <w:lang w:val="en-AU"/>
        </w:rPr>
        <w:t>roject includes a trade component that links to the Trade Competitiveness and Enterprise Development</w:t>
      </w:r>
      <w:r w:rsidR="00872201">
        <w:rPr>
          <w:rFonts w:ascii="Arial" w:hAnsi="Arial" w:cs="Arial"/>
          <w:color w:val="auto"/>
          <w:lang w:val="en-AU"/>
        </w:rPr>
        <w:t xml:space="preserve"> project;</w:t>
      </w:r>
      <w:r w:rsidRPr="00A769DE">
        <w:rPr>
          <w:rFonts w:ascii="Arial" w:hAnsi="Arial" w:cs="Arial"/>
          <w:color w:val="auto"/>
          <w:lang w:val="en-AU"/>
        </w:rPr>
        <w:t xml:space="preserve"> the ef</w:t>
      </w:r>
      <w:r w:rsidR="00872201">
        <w:rPr>
          <w:rFonts w:ascii="Arial" w:hAnsi="Arial" w:cs="Arial"/>
          <w:color w:val="auto"/>
          <w:lang w:val="en-AU"/>
        </w:rPr>
        <w:t>forts of the Investment Policy p</w:t>
      </w:r>
      <w:r w:rsidRPr="00A769DE">
        <w:rPr>
          <w:rFonts w:ascii="Arial" w:hAnsi="Arial" w:cs="Arial"/>
          <w:color w:val="auto"/>
          <w:lang w:val="en-AU"/>
        </w:rPr>
        <w:t xml:space="preserve">roject </w:t>
      </w:r>
      <w:r w:rsidR="00872201">
        <w:rPr>
          <w:rFonts w:ascii="Arial" w:hAnsi="Arial" w:cs="Arial"/>
          <w:color w:val="auto"/>
          <w:lang w:val="en-AU"/>
        </w:rPr>
        <w:t>in</w:t>
      </w:r>
      <w:r w:rsidRPr="00A769DE">
        <w:rPr>
          <w:rFonts w:ascii="Arial" w:hAnsi="Arial" w:cs="Arial"/>
          <w:color w:val="auto"/>
          <w:lang w:val="en-AU"/>
        </w:rPr>
        <w:t xml:space="preserve"> attract</w:t>
      </w:r>
      <w:r w:rsidR="00872201">
        <w:rPr>
          <w:rFonts w:ascii="Arial" w:hAnsi="Arial" w:cs="Arial"/>
          <w:color w:val="auto"/>
          <w:lang w:val="en-AU"/>
        </w:rPr>
        <w:t>ing</w:t>
      </w:r>
      <w:r w:rsidRPr="00A769DE">
        <w:rPr>
          <w:rFonts w:ascii="Arial" w:hAnsi="Arial" w:cs="Arial"/>
          <w:color w:val="auto"/>
          <w:lang w:val="en-AU"/>
        </w:rPr>
        <w:t xml:space="preserve"> private sector investment links to the same efforts being made through the PPP </w:t>
      </w:r>
      <w:r w:rsidR="00872201">
        <w:rPr>
          <w:rFonts w:ascii="Arial" w:hAnsi="Arial" w:cs="Arial"/>
          <w:color w:val="auto"/>
          <w:lang w:val="en-AU"/>
        </w:rPr>
        <w:t>p</w:t>
      </w:r>
      <w:r w:rsidRPr="00A769DE">
        <w:rPr>
          <w:rFonts w:ascii="Arial" w:hAnsi="Arial" w:cs="Arial"/>
          <w:color w:val="auto"/>
          <w:lang w:val="en-AU"/>
        </w:rPr>
        <w:t>roject</w:t>
      </w:r>
      <w:r w:rsidR="00872201">
        <w:rPr>
          <w:rFonts w:ascii="Arial" w:hAnsi="Arial" w:cs="Arial"/>
          <w:color w:val="auto"/>
          <w:lang w:val="en-AU"/>
        </w:rPr>
        <w:t>;</w:t>
      </w:r>
      <w:r w:rsidRPr="00A769DE">
        <w:rPr>
          <w:rFonts w:ascii="Arial" w:hAnsi="Arial" w:cs="Arial"/>
          <w:color w:val="auto"/>
          <w:lang w:val="en-AU"/>
        </w:rPr>
        <w:t xml:space="preserve"> there are crossovers between the two agriculture projects (e.g. as regards rice) as well as between the two energy sector projects, and the Environmental and Social Advisory </w:t>
      </w:r>
      <w:r w:rsidR="00872201">
        <w:rPr>
          <w:rFonts w:ascii="Arial" w:hAnsi="Arial" w:cs="Arial"/>
          <w:color w:val="auto"/>
          <w:lang w:val="en-AU"/>
        </w:rPr>
        <w:t>p</w:t>
      </w:r>
      <w:r w:rsidRPr="00A769DE">
        <w:rPr>
          <w:rFonts w:ascii="Arial" w:hAnsi="Arial" w:cs="Arial"/>
          <w:color w:val="auto"/>
          <w:lang w:val="en-AU"/>
        </w:rPr>
        <w:t>roject has potential links to several projects (tourism, agricu</w:t>
      </w:r>
      <w:r w:rsidR="00872201">
        <w:rPr>
          <w:rFonts w:ascii="Arial" w:hAnsi="Arial" w:cs="Arial"/>
          <w:color w:val="auto"/>
          <w:lang w:val="en-AU"/>
        </w:rPr>
        <w:t>lture, and investment climate).</w:t>
      </w:r>
    </w:p>
    <w:p w:rsidR="00872201" w:rsidRPr="00872201" w:rsidRDefault="00872201" w:rsidP="00872201">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106AEA" w:rsidRPr="00A769DE" w:rsidRDefault="00872201" w:rsidP="005D7BC5">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t>S</w:t>
      </w:r>
      <w:r w:rsidRPr="00A769DE">
        <w:rPr>
          <w:rFonts w:ascii="Arial" w:hAnsi="Arial" w:cs="Arial"/>
          <w:color w:val="auto"/>
          <w:lang w:val="en-AU"/>
        </w:rPr>
        <w:t xml:space="preserve">ince the projects are all </w:t>
      </w:r>
      <w:r>
        <w:rPr>
          <w:rFonts w:ascii="Arial" w:hAnsi="Arial" w:cs="Arial"/>
          <w:color w:val="auto"/>
          <w:lang w:val="en-AU"/>
        </w:rPr>
        <w:t xml:space="preserve">being </w:t>
      </w:r>
      <w:r w:rsidRPr="00A769DE">
        <w:rPr>
          <w:rFonts w:ascii="Arial" w:hAnsi="Arial" w:cs="Arial"/>
          <w:color w:val="auto"/>
          <w:lang w:val="en-AU"/>
        </w:rPr>
        <w:t xml:space="preserve">implemented by the </w:t>
      </w:r>
      <w:r>
        <w:rPr>
          <w:rFonts w:ascii="Arial" w:hAnsi="Arial" w:cs="Arial"/>
          <w:color w:val="auto"/>
          <w:lang w:val="en-AU"/>
        </w:rPr>
        <w:t>World Bank Group, it seem</w:t>
      </w:r>
      <w:r w:rsidR="0003608C">
        <w:rPr>
          <w:rFonts w:ascii="Arial" w:hAnsi="Arial" w:cs="Arial"/>
          <w:color w:val="auto"/>
          <w:lang w:val="en-AU"/>
        </w:rPr>
        <w:t>s</w:t>
      </w:r>
      <w:r>
        <w:rPr>
          <w:rFonts w:ascii="Arial" w:hAnsi="Arial" w:cs="Arial"/>
          <w:color w:val="auto"/>
          <w:lang w:val="en-AU"/>
        </w:rPr>
        <w:t xml:space="preserve"> likely that s</w:t>
      </w:r>
      <w:r w:rsidR="00106AEA" w:rsidRPr="00A769DE">
        <w:rPr>
          <w:rFonts w:ascii="Arial" w:hAnsi="Arial" w:cs="Arial"/>
          <w:color w:val="auto"/>
          <w:lang w:val="en-AU"/>
        </w:rPr>
        <w:t xml:space="preserve">uch linkages </w:t>
      </w:r>
      <w:r w:rsidR="0003608C">
        <w:rPr>
          <w:rFonts w:ascii="Arial" w:hAnsi="Arial" w:cs="Arial"/>
          <w:color w:val="auto"/>
          <w:lang w:val="en-AU"/>
        </w:rPr>
        <w:t xml:space="preserve">would </w:t>
      </w:r>
      <w:r>
        <w:rPr>
          <w:rFonts w:ascii="Arial" w:hAnsi="Arial" w:cs="Arial"/>
          <w:color w:val="auto"/>
          <w:lang w:val="en-AU"/>
        </w:rPr>
        <w:t>also</w:t>
      </w:r>
      <w:r w:rsidR="00106AEA" w:rsidRPr="00A769DE">
        <w:rPr>
          <w:rFonts w:ascii="Arial" w:hAnsi="Arial" w:cs="Arial"/>
          <w:color w:val="auto"/>
          <w:lang w:val="en-AU"/>
        </w:rPr>
        <w:t xml:space="preserve"> be established in the absence of the ICCP</w:t>
      </w:r>
      <w:r>
        <w:rPr>
          <w:rFonts w:ascii="Arial" w:hAnsi="Arial" w:cs="Arial"/>
          <w:color w:val="auto"/>
          <w:lang w:val="en-AU"/>
        </w:rPr>
        <w:t xml:space="preserve">. However, </w:t>
      </w:r>
      <w:r w:rsidR="007241DD">
        <w:rPr>
          <w:rFonts w:ascii="Arial" w:hAnsi="Arial" w:cs="Arial"/>
          <w:color w:val="auto"/>
          <w:lang w:val="en-AU"/>
        </w:rPr>
        <w:t>having the ICCP in place</w:t>
      </w:r>
      <w:r w:rsidR="007241DD" w:rsidRPr="007241DD">
        <w:rPr>
          <w:rFonts w:ascii="Arial" w:hAnsi="Arial" w:cs="Arial"/>
          <w:color w:val="auto"/>
          <w:lang w:val="en-AU"/>
        </w:rPr>
        <w:t xml:space="preserve"> </w:t>
      </w:r>
      <w:r w:rsidR="007241DD" w:rsidRPr="00A769DE">
        <w:rPr>
          <w:rFonts w:ascii="Arial" w:hAnsi="Arial" w:cs="Arial"/>
          <w:color w:val="auto"/>
          <w:lang w:val="en-AU"/>
        </w:rPr>
        <w:t xml:space="preserve">as a </w:t>
      </w:r>
      <w:r w:rsidR="007241DD">
        <w:rPr>
          <w:rFonts w:ascii="Arial" w:hAnsi="Arial" w:cs="Arial"/>
          <w:color w:val="auto"/>
          <w:lang w:val="en-AU"/>
        </w:rPr>
        <w:t xml:space="preserve">PSD </w:t>
      </w:r>
      <w:r w:rsidR="007241DD" w:rsidRPr="00A769DE">
        <w:rPr>
          <w:rFonts w:ascii="Arial" w:hAnsi="Arial" w:cs="Arial"/>
          <w:color w:val="auto"/>
          <w:lang w:val="en-AU"/>
        </w:rPr>
        <w:t>framework</w:t>
      </w:r>
      <w:r w:rsidR="007241DD">
        <w:rPr>
          <w:rFonts w:ascii="Arial" w:hAnsi="Arial" w:cs="Arial"/>
          <w:color w:val="auto"/>
          <w:lang w:val="en-AU"/>
        </w:rPr>
        <w:t>, and in particular the efforts of the IFC’s ICCP Coordinator, helps</w:t>
      </w:r>
      <w:r w:rsidR="00106AEA" w:rsidRPr="00A769DE">
        <w:rPr>
          <w:rFonts w:ascii="Arial" w:hAnsi="Arial" w:cs="Arial"/>
          <w:color w:val="auto"/>
          <w:lang w:val="en-AU"/>
        </w:rPr>
        <w:t xml:space="preserve"> to provide a stronger focus on ensuring relevant linkages.</w:t>
      </w:r>
      <w:r w:rsidR="006C76AD">
        <w:rPr>
          <w:rFonts w:ascii="Arial" w:hAnsi="Arial" w:cs="Arial"/>
          <w:color w:val="auto"/>
          <w:lang w:val="en-AU"/>
        </w:rPr>
        <w:t xml:space="preserve"> This likely also applies to the gender equality </w:t>
      </w:r>
      <w:r w:rsidR="00BD2E98">
        <w:rPr>
          <w:rFonts w:ascii="Arial" w:hAnsi="Arial" w:cs="Arial"/>
          <w:color w:val="auto"/>
          <w:lang w:val="en-AU"/>
        </w:rPr>
        <w:t xml:space="preserve">activities </w:t>
      </w:r>
      <w:r w:rsidR="006C76AD">
        <w:rPr>
          <w:rFonts w:ascii="Arial" w:hAnsi="Arial" w:cs="Arial"/>
          <w:color w:val="auto"/>
          <w:lang w:val="en-AU"/>
        </w:rPr>
        <w:t xml:space="preserve">where a stronger focus </w:t>
      </w:r>
      <w:r w:rsidR="00BD2E98">
        <w:rPr>
          <w:rFonts w:ascii="Arial" w:hAnsi="Arial" w:cs="Arial"/>
          <w:color w:val="auto"/>
          <w:lang w:val="en-AU"/>
        </w:rPr>
        <w:t xml:space="preserve">is developing in part due to the </w:t>
      </w:r>
      <w:r w:rsidR="00E15A9B">
        <w:rPr>
          <w:rFonts w:ascii="Arial" w:hAnsi="Arial" w:cs="Arial"/>
          <w:color w:val="auto"/>
          <w:lang w:val="en-AU"/>
        </w:rPr>
        <w:t>crosscutting</w:t>
      </w:r>
      <w:r w:rsidR="00BD2E98">
        <w:rPr>
          <w:rFonts w:ascii="Arial" w:hAnsi="Arial" w:cs="Arial"/>
          <w:color w:val="auto"/>
          <w:lang w:val="en-AU"/>
        </w:rPr>
        <w:t xml:space="preserve"> nature of the interventions being planned.</w:t>
      </w:r>
    </w:p>
    <w:p w:rsidR="005D7BC5" w:rsidRPr="00A769DE" w:rsidRDefault="005D7BC5" w:rsidP="00106AEA">
      <w:pPr>
        <w:pStyle w:val="ListParagraph"/>
        <w:tabs>
          <w:tab w:val="left" w:pos="357"/>
        </w:tabs>
        <w:spacing w:before="0" w:after="0" w:line="240" w:lineRule="auto"/>
        <w:ind w:left="0"/>
        <w:contextualSpacing w:val="0"/>
        <w:jc w:val="both"/>
        <w:rPr>
          <w:rFonts w:ascii="Arial" w:hAnsi="Arial" w:cs="Arial"/>
          <w:iCs/>
          <w:color w:val="auto"/>
          <w:lang w:val="en-AU"/>
        </w:rPr>
      </w:pPr>
    </w:p>
    <w:p w:rsidR="000B785F" w:rsidRPr="00A769DE" w:rsidRDefault="00874CEE" w:rsidP="000B785F">
      <w:pPr>
        <w:pStyle w:val="Heading2"/>
        <w:spacing w:before="0" w:after="60"/>
        <w:ind w:left="272" w:hanging="272"/>
        <w:rPr>
          <w:rFonts w:ascii="Arial" w:hAnsi="Arial" w:cs="Arial"/>
          <w:b/>
          <w:bCs/>
          <w:color w:val="auto"/>
          <w:sz w:val="24"/>
          <w:szCs w:val="24"/>
          <w:lang w:val="en-AU"/>
        </w:rPr>
      </w:pPr>
      <w:bookmarkStart w:id="48" w:name="_Toc522800482"/>
      <w:bookmarkStart w:id="49" w:name="_Toc525930551"/>
      <w:bookmarkStart w:id="50" w:name="_Toc530307601"/>
      <w:r w:rsidRPr="00A769DE">
        <w:rPr>
          <w:rFonts w:ascii="Arial" w:hAnsi="Arial" w:cs="Arial"/>
          <w:b/>
          <w:bCs/>
          <w:color w:val="auto"/>
          <w:sz w:val="24"/>
          <w:szCs w:val="24"/>
          <w:lang w:val="en-AU"/>
        </w:rPr>
        <w:lastRenderedPageBreak/>
        <w:t>3</w:t>
      </w:r>
      <w:r w:rsidR="001B1D38" w:rsidRPr="00A769DE">
        <w:rPr>
          <w:rFonts w:ascii="Arial" w:hAnsi="Arial" w:cs="Arial"/>
          <w:b/>
          <w:bCs/>
          <w:color w:val="auto"/>
          <w:sz w:val="24"/>
          <w:szCs w:val="24"/>
          <w:lang w:val="en-AU"/>
        </w:rPr>
        <w:t>.7</w:t>
      </w:r>
      <w:r w:rsidR="000B785F" w:rsidRPr="00A769DE">
        <w:rPr>
          <w:rFonts w:ascii="Arial" w:hAnsi="Arial" w:cs="Arial"/>
          <w:b/>
          <w:bCs/>
          <w:color w:val="auto"/>
          <w:sz w:val="24"/>
          <w:szCs w:val="24"/>
          <w:lang w:val="en-AU"/>
        </w:rPr>
        <w:t xml:space="preserve"> </w:t>
      </w:r>
      <w:r w:rsidR="00B209AF" w:rsidRPr="00A769DE">
        <w:rPr>
          <w:rFonts w:ascii="Arial" w:hAnsi="Arial" w:cs="Arial"/>
          <w:b/>
          <w:bCs/>
          <w:color w:val="auto"/>
          <w:sz w:val="24"/>
          <w:szCs w:val="24"/>
          <w:lang w:val="en-AU"/>
        </w:rPr>
        <w:t>Relationship with the IFC and Branding</w:t>
      </w:r>
      <w:bookmarkEnd w:id="48"/>
      <w:bookmarkEnd w:id="49"/>
      <w:bookmarkEnd w:id="50"/>
    </w:p>
    <w:p w:rsidR="00DC6A62" w:rsidRDefault="00106AEA" w:rsidP="00106AE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DC6A62">
        <w:rPr>
          <w:rFonts w:ascii="Arial" w:hAnsi="Arial" w:cs="Arial"/>
          <w:color w:val="auto"/>
          <w:lang w:val="en-AU"/>
        </w:rPr>
        <w:t xml:space="preserve">The relationship between DFAT and IFC staff is </w:t>
      </w:r>
      <w:r w:rsidR="00DC6A62" w:rsidRPr="00DC6A62">
        <w:rPr>
          <w:rFonts w:ascii="Arial" w:hAnsi="Arial" w:cs="Arial"/>
          <w:color w:val="auto"/>
          <w:lang w:val="en-AU"/>
        </w:rPr>
        <w:t xml:space="preserve">formally governed </w:t>
      </w:r>
      <w:r w:rsidR="00DC6A62">
        <w:rPr>
          <w:rFonts w:ascii="Arial" w:hAnsi="Arial" w:cs="Arial"/>
          <w:color w:val="auto"/>
          <w:lang w:val="en-AU"/>
        </w:rPr>
        <w:t xml:space="preserve">by the </w:t>
      </w:r>
      <w:r w:rsidR="00DC6A62" w:rsidRPr="00DC6A62">
        <w:rPr>
          <w:rFonts w:ascii="Arial" w:hAnsi="Arial" w:cs="Arial"/>
          <w:color w:val="auto"/>
          <w:lang w:val="en-AU"/>
        </w:rPr>
        <w:t>World Bank Group’s Standard Provision (as part of the Administration Agreement)</w:t>
      </w:r>
      <w:r w:rsidR="00DC6A62">
        <w:rPr>
          <w:rFonts w:ascii="Arial" w:hAnsi="Arial" w:cs="Arial"/>
          <w:color w:val="auto"/>
          <w:lang w:val="en-AU"/>
        </w:rPr>
        <w:t xml:space="preserve">, which deals mainly with the World Bank Group’s funds administration and related aspects. There exists no formal agreement as regards </w:t>
      </w:r>
      <w:r w:rsidR="00DC6A62" w:rsidRPr="00DC6A62">
        <w:rPr>
          <w:rFonts w:ascii="Arial" w:hAnsi="Arial" w:cs="Arial"/>
          <w:color w:val="auto"/>
          <w:lang w:val="en-AU"/>
        </w:rPr>
        <w:t>DFAT’s information requirements (e.g. occasional ad-hoc reporting)</w:t>
      </w:r>
      <w:r w:rsidR="00DC6A62">
        <w:rPr>
          <w:rFonts w:ascii="Arial" w:hAnsi="Arial" w:cs="Arial"/>
          <w:color w:val="auto"/>
          <w:lang w:val="en-AU"/>
        </w:rPr>
        <w:t>, and an informal mutual understanding is not evident either.</w:t>
      </w:r>
      <w:r w:rsidR="00241728" w:rsidRPr="00A769DE">
        <w:rPr>
          <w:rStyle w:val="FootnoteReference"/>
          <w:rFonts w:ascii="Arial" w:hAnsi="Arial" w:cs="Arial"/>
          <w:color w:val="auto"/>
          <w:lang w:val="en-AU"/>
        </w:rPr>
        <w:footnoteReference w:id="44"/>
      </w:r>
    </w:p>
    <w:p w:rsidR="00DC6A62" w:rsidRDefault="00DC6A62" w:rsidP="00DC6A62">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106AEA" w:rsidRPr="00A769DE" w:rsidRDefault="00106AEA" w:rsidP="00106AE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 xml:space="preserve">According to the ICCP Coordinator, the IFC understands that updates and inputs outside the quarterly reporting cycle are sometimes required by the development partners. However, </w:t>
      </w:r>
      <w:r w:rsidR="00344A0D">
        <w:rPr>
          <w:rFonts w:ascii="Arial" w:hAnsi="Arial" w:cs="Arial"/>
          <w:color w:val="auto"/>
          <w:lang w:val="en-AU"/>
        </w:rPr>
        <w:t xml:space="preserve">according to DFAT </w:t>
      </w:r>
      <w:r w:rsidRPr="00A769DE">
        <w:rPr>
          <w:rFonts w:ascii="Arial" w:hAnsi="Arial" w:cs="Arial"/>
          <w:color w:val="auto"/>
          <w:lang w:val="en-AU"/>
        </w:rPr>
        <w:t xml:space="preserve">there </w:t>
      </w:r>
      <w:r w:rsidR="00344A0D">
        <w:rPr>
          <w:rFonts w:ascii="Arial" w:hAnsi="Arial" w:cs="Arial"/>
          <w:color w:val="auto"/>
          <w:lang w:val="en-AU"/>
        </w:rPr>
        <w:t>are</w:t>
      </w:r>
      <w:r w:rsidRPr="00A769DE">
        <w:rPr>
          <w:rFonts w:ascii="Arial" w:hAnsi="Arial" w:cs="Arial"/>
          <w:color w:val="auto"/>
          <w:lang w:val="en-AU"/>
        </w:rPr>
        <w:t xml:space="preserve"> examples in the past w</w:t>
      </w:r>
      <w:r w:rsidR="00344A0D">
        <w:rPr>
          <w:rFonts w:ascii="Arial" w:hAnsi="Arial" w:cs="Arial"/>
          <w:color w:val="auto"/>
          <w:lang w:val="en-AU"/>
        </w:rPr>
        <w:t>h</w:t>
      </w:r>
      <w:r w:rsidRPr="00A769DE">
        <w:rPr>
          <w:rFonts w:ascii="Arial" w:hAnsi="Arial" w:cs="Arial"/>
          <w:color w:val="auto"/>
          <w:lang w:val="en-AU"/>
        </w:rPr>
        <w:t xml:space="preserve">ere information requests remained unanswered or </w:t>
      </w:r>
      <w:r w:rsidR="00344A0D">
        <w:rPr>
          <w:rFonts w:ascii="Arial" w:hAnsi="Arial" w:cs="Arial"/>
          <w:color w:val="auto"/>
          <w:lang w:val="en-AU"/>
        </w:rPr>
        <w:t xml:space="preserve">where </w:t>
      </w:r>
      <w:r w:rsidR="00344A0D" w:rsidRPr="00A769DE">
        <w:rPr>
          <w:rFonts w:ascii="Arial" w:hAnsi="Arial" w:cs="Arial"/>
          <w:color w:val="auto"/>
          <w:lang w:val="en-AU"/>
        </w:rPr>
        <w:t>information</w:t>
      </w:r>
      <w:r w:rsidR="00344A0D">
        <w:rPr>
          <w:rFonts w:ascii="Arial" w:hAnsi="Arial" w:cs="Arial"/>
          <w:color w:val="auto"/>
          <w:lang w:val="en-AU"/>
        </w:rPr>
        <w:t xml:space="preserve"> was</w:t>
      </w:r>
      <w:r w:rsidRPr="00A769DE">
        <w:rPr>
          <w:rFonts w:ascii="Arial" w:hAnsi="Arial" w:cs="Arial"/>
          <w:color w:val="auto"/>
          <w:lang w:val="en-AU"/>
        </w:rPr>
        <w:t xml:space="preserve"> provided only with significant delay. Also, the five-month period where the ICCP Coordinator position was vacant, despite the IFC knowing well in advance that the position would become vacant, does not indicate a sufficiently strong focus on proper donor management by the IFC.</w:t>
      </w:r>
    </w:p>
    <w:p w:rsidR="00106AEA" w:rsidRPr="00A769DE" w:rsidRDefault="00106AEA" w:rsidP="00106AEA">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106AEA" w:rsidRPr="00A769DE" w:rsidRDefault="00106AEA" w:rsidP="00106AE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A769DE">
        <w:rPr>
          <w:rFonts w:ascii="Arial" w:hAnsi="Arial" w:cs="Arial"/>
          <w:color w:val="auto"/>
          <w:lang w:val="en-AU"/>
        </w:rPr>
        <w:t>It is un</w:t>
      </w:r>
      <w:r w:rsidR="00C87B60">
        <w:rPr>
          <w:rFonts w:ascii="Arial" w:hAnsi="Arial" w:cs="Arial"/>
          <w:color w:val="auto"/>
          <w:lang w:val="en-AU"/>
        </w:rPr>
        <w:t xml:space="preserve">derstood that the IFC has had </w:t>
      </w:r>
      <w:r w:rsidRPr="00A769DE">
        <w:rPr>
          <w:rFonts w:ascii="Arial" w:hAnsi="Arial" w:cs="Arial"/>
          <w:color w:val="auto"/>
          <w:lang w:val="en-AU"/>
        </w:rPr>
        <w:t>regional communication staff in place for several years, but – according to DFAT and DFID – it was not clear to which extent the staff has been, or should be, involved in ICCP-related activities. However, a Yangon-based communication staff is now being recruited</w:t>
      </w:r>
      <w:r w:rsidR="007241DD">
        <w:rPr>
          <w:rFonts w:ascii="Arial" w:hAnsi="Arial" w:cs="Arial"/>
          <w:color w:val="auto"/>
          <w:lang w:val="en-AU"/>
        </w:rPr>
        <w:t xml:space="preserve"> by the IFC</w:t>
      </w:r>
      <w:r w:rsidRPr="00A769DE">
        <w:rPr>
          <w:rFonts w:ascii="Arial" w:hAnsi="Arial" w:cs="Arial"/>
          <w:color w:val="auto"/>
          <w:lang w:val="en-AU"/>
        </w:rPr>
        <w:t>, which is expected to address the issue.</w:t>
      </w:r>
    </w:p>
    <w:p w:rsidR="00106AEA" w:rsidRPr="00A769DE" w:rsidRDefault="00106AEA" w:rsidP="00106AEA">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106AEA" w:rsidRPr="00A769DE" w:rsidRDefault="00106AEA" w:rsidP="00106AEA">
      <w:pPr>
        <w:pStyle w:val="ListParagraph"/>
        <w:tabs>
          <w:tab w:val="left" w:pos="357"/>
        </w:tabs>
        <w:suppressAutoHyphens w:val="0"/>
        <w:spacing w:before="0" w:after="0" w:line="240" w:lineRule="auto"/>
        <w:ind w:left="0"/>
        <w:contextualSpacing w:val="0"/>
        <w:jc w:val="both"/>
        <w:rPr>
          <w:rFonts w:ascii="Arial" w:hAnsi="Arial" w:cs="Arial"/>
          <w:color w:val="auto"/>
          <w:u w:val="single"/>
          <w:lang w:val="en-AU"/>
        </w:rPr>
      </w:pPr>
      <w:r w:rsidRPr="00A769DE">
        <w:rPr>
          <w:rFonts w:ascii="Arial" w:hAnsi="Arial" w:cs="Arial"/>
          <w:color w:val="auto"/>
          <w:u w:val="single"/>
          <w:lang w:val="en-AU"/>
        </w:rPr>
        <w:t>Branding</w:t>
      </w:r>
    </w:p>
    <w:p w:rsidR="00BC6640" w:rsidRPr="00BC6640" w:rsidRDefault="00BC6640" w:rsidP="00106AEA">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BC6640">
        <w:rPr>
          <w:rFonts w:ascii="Arial" w:hAnsi="Arial" w:cs="Arial"/>
          <w:color w:val="auto"/>
          <w:lang w:val="en-AU"/>
        </w:rPr>
        <w:t>The IFC generally places</w:t>
      </w:r>
      <w:r w:rsidR="007241DD" w:rsidRPr="00BC6640">
        <w:rPr>
          <w:rFonts w:ascii="Arial" w:hAnsi="Arial" w:cs="Arial"/>
          <w:color w:val="auto"/>
          <w:lang w:val="en-AU"/>
        </w:rPr>
        <w:t xml:space="preserve"> </w:t>
      </w:r>
      <w:r w:rsidR="00106AEA" w:rsidRPr="00BC6640">
        <w:rPr>
          <w:rFonts w:ascii="Arial" w:hAnsi="Arial" w:cs="Arial"/>
          <w:color w:val="auto"/>
          <w:lang w:val="en-AU"/>
        </w:rPr>
        <w:t xml:space="preserve">relevant </w:t>
      </w:r>
      <w:r w:rsidR="007241DD" w:rsidRPr="00BC6640">
        <w:rPr>
          <w:rFonts w:ascii="Arial" w:hAnsi="Arial" w:cs="Arial"/>
          <w:color w:val="auto"/>
          <w:lang w:val="en-AU"/>
        </w:rPr>
        <w:t xml:space="preserve">agency </w:t>
      </w:r>
      <w:r w:rsidRPr="00BC6640">
        <w:rPr>
          <w:rFonts w:ascii="Arial" w:hAnsi="Arial" w:cs="Arial"/>
          <w:color w:val="auto"/>
          <w:lang w:val="en-AU"/>
        </w:rPr>
        <w:t xml:space="preserve">information and logos </w:t>
      </w:r>
      <w:r w:rsidR="00106AEA" w:rsidRPr="00BC6640">
        <w:rPr>
          <w:rFonts w:ascii="Arial" w:hAnsi="Arial" w:cs="Arial"/>
          <w:color w:val="auto"/>
          <w:lang w:val="en-AU"/>
        </w:rPr>
        <w:t>on project promotional material, e.g. banners and brochures as well as some web-based products.</w:t>
      </w:r>
      <w:r w:rsidR="00106AEA" w:rsidRPr="00A769DE">
        <w:rPr>
          <w:rStyle w:val="FootnoteReference"/>
          <w:rFonts w:ascii="Arial" w:hAnsi="Arial" w:cs="Arial"/>
          <w:color w:val="auto"/>
          <w:lang w:val="en-AU"/>
        </w:rPr>
        <w:footnoteReference w:id="45"/>
      </w:r>
      <w:r w:rsidR="00106AEA" w:rsidRPr="00BC6640">
        <w:rPr>
          <w:rFonts w:ascii="Arial" w:hAnsi="Arial" w:cs="Arial"/>
          <w:color w:val="auto"/>
          <w:lang w:val="en-AU"/>
        </w:rPr>
        <w:t xml:space="preserve"> However, the project-specific web pages of the IFC</w:t>
      </w:r>
      <w:r w:rsidR="00106AEA" w:rsidRPr="00A769DE">
        <w:rPr>
          <w:rStyle w:val="FootnoteReference"/>
          <w:rFonts w:ascii="Arial" w:hAnsi="Arial" w:cs="Arial"/>
          <w:color w:val="auto"/>
          <w:lang w:val="en-AU"/>
        </w:rPr>
        <w:footnoteReference w:id="46"/>
      </w:r>
      <w:r w:rsidR="00106AEA" w:rsidRPr="00BC6640">
        <w:rPr>
          <w:rFonts w:ascii="Arial" w:hAnsi="Arial" w:cs="Arial"/>
          <w:color w:val="auto"/>
          <w:lang w:val="en-AU"/>
        </w:rPr>
        <w:t xml:space="preserve"> do not mention that the funding is provided by development partners, which seems an unfortunate omission. This might be because branding is not the s</w:t>
      </w:r>
      <w:r w:rsidR="007241DD" w:rsidRPr="00BC6640">
        <w:rPr>
          <w:rFonts w:ascii="Arial" w:hAnsi="Arial" w:cs="Arial"/>
          <w:color w:val="auto"/>
          <w:lang w:val="en-AU"/>
        </w:rPr>
        <w:t>ubject of any formal agreement.</w:t>
      </w:r>
      <w:r w:rsidRPr="00BC6640">
        <w:rPr>
          <w:rFonts w:ascii="Arial" w:hAnsi="Arial" w:cs="Arial"/>
          <w:iCs/>
          <w:color w:val="auto"/>
          <w:lang w:val="en-AU"/>
        </w:rPr>
        <w:t xml:space="preserve"> T</w:t>
      </w:r>
      <w:r w:rsidRPr="00BC6640">
        <w:rPr>
          <w:rFonts w:ascii="Arial" w:hAnsi="Arial" w:cs="Arial"/>
          <w:color w:val="auto"/>
          <w:lang w:val="en-AU"/>
        </w:rPr>
        <w:t xml:space="preserve">he IFC noted during consultations that it is aware of, and understand, the importance of branding for the development partners. However, it has subsequently stated that while it is its </w:t>
      </w:r>
      <w:r w:rsidRPr="00BC6640">
        <w:rPr>
          <w:rFonts w:ascii="Arial" w:hAnsi="Arial" w:cs="Arial"/>
          <w:iCs/>
          <w:color w:val="auto"/>
          <w:lang w:val="en-AU"/>
        </w:rPr>
        <w:t>standard policy is to acknowledge donor support for relevant programs in press release, it does not include donor logos in these since press releases are public statements reflecting the viewpoint of the issuer (i.e. the IFC) and that logos would assume that donors are in full agreement with statements made, which goes beyond the acknowledgement of support.</w:t>
      </w:r>
      <w:r w:rsidRPr="00A769DE">
        <w:rPr>
          <w:rStyle w:val="FootnoteReference"/>
          <w:rFonts w:ascii="Arial" w:hAnsi="Arial" w:cs="Arial"/>
          <w:color w:val="auto"/>
          <w:lang w:val="en-AU"/>
        </w:rPr>
        <w:footnoteReference w:id="47"/>
      </w:r>
    </w:p>
    <w:p w:rsidR="00BC6640" w:rsidRDefault="00BC6640" w:rsidP="00106AEA">
      <w:pPr>
        <w:pStyle w:val="ListParagraph"/>
        <w:tabs>
          <w:tab w:val="left" w:pos="357"/>
        </w:tabs>
        <w:spacing w:before="0" w:after="0" w:line="240" w:lineRule="auto"/>
        <w:ind w:left="0"/>
        <w:contextualSpacing w:val="0"/>
        <w:jc w:val="both"/>
        <w:rPr>
          <w:rFonts w:ascii="Arial" w:hAnsi="Arial" w:cs="Arial"/>
          <w:iCs/>
          <w:color w:val="auto"/>
          <w:lang w:val="en-AU"/>
        </w:rPr>
      </w:pPr>
    </w:p>
    <w:p w:rsidR="00106AEA" w:rsidRPr="00A769DE" w:rsidRDefault="00106AEA" w:rsidP="00106AEA">
      <w:pPr>
        <w:pStyle w:val="Heading2"/>
        <w:spacing w:before="0" w:after="60"/>
        <w:ind w:left="272" w:hanging="272"/>
        <w:rPr>
          <w:rFonts w:ascii="Arial" w:hAnsi="Arial" w:cs="Arial"/>
          <w:b/>
          <w:bCs/>
          <w:color w:val="auto"/>
          <w:sz w:val="24"/>
          <w:szCs w:val="24"/>
          <w:lang w:val="en-AU"/>
        </w:rPr>
      </w:pPr>
      <w:bookmarkStart w:id="51" w:name="_Toc525930552"/>
      <w:bookmarkStart w:id="52" w:name="_Toc530307602"/>
      <w:r w:rsidRPr="00A769DE">
        <w:rPr>
          <w:rFonts w:ascii="Arial" w:hAnsi="Arial" w:cs="Arial"/>
          <w:b/>
          <w:bCs/>
          <w:color w:val="auto"/>
          <w:sz w:val="24"/>
          <w:szCs w:val="24"/>
          <w:lang w:val="en-AU"/>
        </w:rPr>
        <w:t>3.8 Lessons Learned</w:t>
      </w:r>
      <w:bookmarkEnd w:id="51"/>
      <w:bookmarkEnd w:id="52"/>
    </w:p>
    <w:p w:rsidR="009C6826" w:rsidRPr="009C6826" w:rsidRDefault="009C6826" w:rsidP="005D7BC5">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t>The following le</w:t>
      </w:r>
      <w:r w:rsidRPr="009C6826">
        <w:rPr>
          <w:rFonts w:ascii="Arial" w:hAnsi="Arial" w:cs="Arial"/>
          <w:color w:val="auto"/>
          <w:lang w:val="en-AU"/>
        </w:rPr>
        <w:t xml:space="preserve">ssons learned </w:t>
      </w:r>
      <w:r>
        <w:rPr>
          <w:rFonts w:ascii="Arial" w:hAnsi="Arial" w:cs="Arial"/>
          <w:color w:val="auto"/>
          <w:lang w:val="en-AU"/>
        </w:rPr>
        <w:t>have been identified from the ICCP design and implementation</w:t>
      </w:r>
      <w:r w:rsidR="004E5A5E">
        <w:rPr>
          <w:rFonts w:ascii="Arial" w:hAnsi="Arial" w:cs="Arial"/>
          <w:color w:val="auto"/>
          <w:lang w:val="en-AU"/>
        </w:rPr>
        <w:t xml:space="preserve"> </w:t>
      </w:r>
      <w:r w:rsidR="00117314">
        <w:rPr>
          <w:rFonts w:ascii="Arial" w:hAnsi="Arial" w:cs="Arial"/>
          <w:color w:val="auto"/>
          <w:lang w:val="en-AU"/>
        </w:rPr>
        <w:t>phases</w:t>
      </w:r>
      <w:r w:rsidR="004E5A5E">
        <w:rPr>
          <w:rFonts w:ascii="Arial" w:hAnsi="Arial" w:cs="Arial"/>
          <w:color w:val="auto"/>
          <w:lang w:val="en-AU"/>
        </w:rPr>
        <w:t>:</w:t>
      </w:r>
    </w:p>
    <w:p w:rsidR="009C6826" w:rsidRDefault="009C6826" w:rsidP="009C6826">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9C6826" w:rsidRDefault="00A97ED4" w:rsidP="00C97F68">
      <w:pPr>
        <w:pStyle w:val="ListParagraph"/>
        <w:numPr>
          <w:ilvl w:val="0"/>
          <w:numId w:val="50"/>
        </w:numPr>
        <w:tabs>
          <w:tab w:val="left" w:pos="357"/>
        </w:tabs>
        <w:suppressAutoHyphens w:val="0"/>
        <w:spacing w:before="0" w:after="120" w:line="240" w:lineRule="auto"/>
        <w:ind w:left="360"/>
        <w:contextualSpacing w:val="0"/>
        <w:jc w:val="both"/>
        <w:rPr>
          <w:rFonts w:ascii="Arial" w:hAnsi="Arial" w:cs="Arial"/>
          <w:iCs/>
          <w:color w:val="auto"/>
          <w:lang w:val="en-AU"/>
        </w:rPr>
      </w:pPr>
      <w:r>
        <w:rPr>
          <w:rFonts w:ascii="Arial" w:hAnsi="Arial" w:cs="Arial"/>
          <w:iCs/>
          <w:color w:val="auto"/>
          <w:lang w:val="en-AU"/>
        </w:rPr>
        <w:t xml:space="preserve">Without a clear and agreed understanding regarding the requirements and implications of </w:t>
      </w:r>
      <w:r w:rsidRPr="00025CD1">
        <w:rPr>
          <w:rFonts w:ascii="Arial" w:hAnsi="Arial" w:cs="Arial"/>
          <w:b/>
          <w:bCs/>
          <w:iCs/>
          <w:color w:val="auto"/>
          <w:lang w:val="en-AU"/>
        </w:rPr>
        <w:t>program</w:t>
      </w:r>
      <w:r w:rsidR="007A2DCB" w:rsidRPr="00025CD1">
        <w:rPr>
          <w:rFonts w:ascii="Arial" w:hAnsi="Arial" w:cs="Arial"/>
          <w:b/>
          <w:bCs/>
          <w:iCs/>
          <w:color w:val="auto"/>
          <w:lang w:val="en-AU"/>
        </w:rPr>
        <w:t xml:space="preserve"> management</w:t>
      </w:r>
      <w:r>
        <w:rPr>
          <w:rFonts w:ascii="Arial" w:hAnsi="Arial" w:cs="Arial"/>
          <w:iCs/>
          <w:color w:val="auto"/>
          <w:lang w:val="en-AU"/>
        </w:rPr>
        <w:t xml:space="preserve">, including the application of a </w:t>
      </w:r>
      <w:r w:rsidR="007A2DCB">
        <w:rPr>
          <w:rFonts w:ascii="Arial" w:hAnsi="Arial" w:cs="Arial"/>
          <w:iCs/>
          <w:color w:val="auto"/>
          <w:lang w:val="en-AU"/>
        </w:rPr>
        <w:t xml:space="preserve">program logic in the form of a </w:t>
      </w:r>
      <w:r w:rsidRPr="00B55A92">
        <w:rPr>
          <w:rFonts w:ascii="Arial" w:hAnsi="Arial" w:cs="Arial"/>
          <w:iCs/>
          <w:color w:val="auto"/>
          <w:lang w:val="en-AU"/>
        </w:rPr>
        <w:t>results framework/logframe</w:t>
      </w:r>
      <w:r w:rsidR="00415CF8">
        <w:rPr>
          <w:rFonts w:ascii="Arial" w:hAnsi="Arial" w:cs="Arial"/>
          <w:iCs/>
          <w:color w:val="auto"/>
          <w:lang w:val="en-AU"/>
        </w:rPr>
        <w:t xml:space="preserve"> </w:t>
      </w:r>
      <w:r w:rsidR="00834E20">
        <w:rPr>
          <w:rFonts w:ascii="Arial" w:hAnsi="Arial" w:cs="Arial"/>
          <w:iCs/>
          <w:color w:val="auto"/>
          <w:lang w:val="en-AU"/>
        </w:rPr>
        <w:t>as well as</w:t>
      </w:r>
      <w:r w:rsidR="00415CF8">
        <w:rPr>
          <w:rFonts w:ascii="Arial" w:hAnsi="Arial" w:cs="Arial"/>
          <w:iCs/>
          <w:color w:val="auto"/>
          <w:lang w:val="en-AU"/>
        </w:rPr>
        <w:t xml:space="preserve"> defining the tasks of the team leader/coordinator</w:t>
      </w:r>
      <w:r>
        <w:rPr>
          <w:rFonts w:ascii="Arial" w:hAnsi="Arial" w:cs="Arial"/>
          <w:iCs/>
          <w:color w:val="auto"/>
          <w:lang w:val="en-AU"/>
        </w:rPr>
        <w:t xml:space="preserve">, </w:t>
      </w:r>
      <w:r w:rsidR="007A2DCB">
        <w:rPr>
          <w:rFonts w:ascii="Arial" w:hAnsi="Arial" w:cs="Arial"/>
          <w:iCs/>
          <w:color w:val="auto"/>
          <w:lang w:val="en-AU"/>
        </w:rPr>
        <w:t xml:space="preserve">implementation </w:t>
      </w:r>
      <w:r w:rsidR="00415CF8">
        <w:rPr>
          <w:rFonts w:ascii="Arial" w:hAnsi="Arial" w:cs="Arial"/>
          <w:iCs/>
          <w:color w:val="auto"/>
          <w:lang w:val="en-AU"/>
        </w:rPr>
        <w:t>very likely</w:t>
      </w:r>
      <w:r w:rsidR="007A2DCB">
        <w:rPr>
          <w:rFonts w:ascii="Arial" w:hAnsi="Arial" w:cs="Arial"/>
          <w:iCs/>
          <w:color w:val="auto"/>
          <w:lang w:val="en-AU"/>
        </w:rPr>
        <w:t xml:space="preserve"> become</w:t>
      </w:r>
      <w:r w:rsidR="00520C8E">
        <w:rPr>
          <w:rFonts w:ascii="Arial" w:hAnsi="Arial" w:cs="Arial"/>
          <w:iCs/>
          <w:color w:val="auto"/>
          <w:lang w:val="en-AU"/>
        </w:rPr>
        <w:t>s</w:t>
      </w:r>
      <w:r w:rsidR="007A2DCB">
        <w:rPr>
          <w:rFonts w:ascii="Arial" w:hAnsi="Arial" w:cs="Arial"/>
          <w:iCs/>
          <w:color w:val="auto"/>
          <w:lang w:val="en-AU"/>
        </w:rPr>
        <w:t xml:space="preserve"> project-focused.</w:t>
      </w:r>
    </w:p>
    <w:p w:rsidR="009C6826" w:rsidRDefault="007A2DCB" w:rsidP="00C97F68">
      <w:pPr>
        <w:pStyle w:val="ListParagraph"/>
        <w:numPr>
          <w:ilvl w:val="0"/>
          <w:numId w:val="50"/>
        </w:numPr>
        <w:tabs>
          <w:tab w:val="left" w:pos="357"/>
        </w:tabs>
        <w:suppressAutoHyphens w:val="0"/>
        <w:spacing w:after="120" w:line="240" w:lineRule="auto"/>
        <w:ind w:left="360"/>
        <w:contextualSpacing w:val="0"/>
        <w:jc w:val="both"/>
        <w:rPr>
          <w:rFonts w:ascii="Arial" w:hAnsi="Arial" w:cs="Arial"/>
          <w:iCs/>
          <w:color w:val="auto"/>
          <w:lang w:val="en-AU"/>
        </w:rPr>
      </w:pPr>
      <w:r>
        <w:rPr>
          <w:rFonts w:ascii="Arial" w:hAnsi="Arial" w:cs="Arial"/>
          <w:iCs/>
          <w:color w:val="auto"/>
          <w:lang w:val="en-AU"/>
        </w:rPr>
        <w:lastRenderedPageBreak/>
        <w:t>Successful implementation of projects</w:t>
      </w:r>
      <w:r w:rsidR="00206EA7">
        <w:rPr>
          <w:rFonts w:ascii="Arial" w:hAnsi="Arial" w:cs="Arial"/>
          <w:iCs/>
          <w:color w:val="auto"/>
          <w:lang w:val="en-AU"/>
        </w:rPr>
        <w:t>,</w:t>
      </w:r>
      <w:r>
        <w:rPr>
          <w:rFonts w:ascii="Arial" w:hAnsi="Arial" w:cs="Arial"/>
          <w:iCs/>
          <w:color w:val="auto"/>
          <w:lang w:val="en-AU"/>
        </w:rPr>
        <w:t xml:space="preserve"> in the present development context of Myanmar</w:t>
      </w:r>
      <w:r w:rsidR="00206EA7">
        <w:rPr>
          <w:rFonts w:ascii="Arial" w:hAnsi="Arial" w:cs="Arial"/>
          <w:iCs/>
          <w:color w:val="auto"/>
          <w:lang w:val="en-AU"/>
        </w:rPr>
        <w:t>,</w:t>
      </w:r>
      <w:r>
        <w:rPr>
          <w:rFonts w:ascii="Arial" w:hAnsi="Arial" w:cs="Arial"/>
          <w:iCs/>
          <w:color w:val="auto"/>
          <w:lang w:val="en-AU"/>
        </w:rPr>
        <w:t xml:space="preserve"> requires close</w:t>
      </w:r>
      <w:r w:rsidR="00834E20">
        <w:rPr>
          <w:rFonts w:ascii="Arial" w:hAnsi="Arial" w:cs="Arial"/>
          <w:iCs/>
          <w:color w:val="auto"/>
          <w:lang w:val="en-AU"/>
        </w:rPr>
        <w:t>, personal</w:t>
      </w:r>
      <w:r>
        <w:rPr>
          <w:rFonts w:ascii="Arial" w:hAnsi="Arial" w:cs="Arial"/>
          <w:iCs/>
          <w:color w:val="auto"/>
          <w:lang w:val="en-AU"/>
        </w:rPr>
        <w:t xml:space="preserve"> and regular </w:t>
      </w:r>
      <w:r w:rsidRPr="00025CD1">
        <w:rPr>
          <w:rFonts w:ascii="Arial" w:hAnsi="Arial" w:cs="Arial"/>
          <w:b/>
          <w:bCs/>
          <w:iCs/>
          <w:color w:val="auto"/>
          <w:lang w:val="en-AU"/>
        </w:rPr>
        <w:t>interaction with GoM counterparts and project beneficiaries</w:t>
      </w:r>
      <w:r>
        <w:rPr>
          <w:rFonts w:ascii="Arial" w:hAnsi="Arial" w:cs="Arial"/>
          <w:iCs/>
          <w:color w:val="auto"/>
          <w:lang w:val="en-AU"/>
        </w:rPr>
        <w:t xml:space="preserve"> to build up trust so as to </w:t>
      </w:r>
      <w:r w:rsidR="00025CD1">
        <w:rPr>
          <w:rFonts w:ascii="Arial" w:hAnsi="Arial" w:cs="Arial"/>
          <w:iCs/>
          <w:color w:val="auto"/>
          <w:lang w:val="en-AU"/>
        </w:rPr>
        <w:t xml:space="preserve">gain access and </w:t>
      </w:r>
      <w:r>
        <w:rPr>
          <w:rFonts w:ascii="Arial" w:hAnsi="Arial" w:cs="Arial"/>
          <w:iCs/>
          <w:color w:val="auto"/>
          <w:lang w:val="en-AU"/>
        </w:rPr>
        <w:t xml:space="preserve">enable </w:t>
      </w:r>
      <w:r w:rsidR="00025CD1">
        <w:rPr>
          <w:rFonts w:ascii="Arial" w:hAnsi="Arial" w:cs="Arial"/>
          <w:iCs/>
          <w:color w:val="auto"/>
          <w:lang w:val="en-AU"/>
        </w:rPr>
        <w:t>the actual execution of activities.</w:t>
      </w:r>
    </w:p>
    <w:p w:rsidR="00025CD1" w:rsidRDefault="00415CF8" w:rsidP="00C97F68">
      <w:pPr>
        <w:pStyle w:val="ListParagraph"/>
        <w:numPr>
          <w:ilvl w:val="0"/>
          <w:numId w:val="50"/>
        </w:numPr>
        <w:tabs>
          <w:tab w:val="left" w:pos="357"/>
        </w:tabs>
        <w:suppressAutoHyphens w:val="0"/>
        <w:spacing w:after="120" w:line="240" w:lineRule="auto"/>
        <w:ind w:left="360"/>
        <w:contextualSpacing w:val="0"/>
        <w:jc w:val="both"/>
        <w:rPr>
          <w:rFonts w:ascii="Arial" w:hAnsi="Arial" w:cs="Arial"/>
          <w:iCs/>
          <w:color w:val="auto"/>
          <w:lang w:val="en-AU"/>
        </w:rPr>
      </w:pPr>
      <w:r>
        <w:rPr>
          <w:rFonts w:ascii="Arial" w:hAnsi="Arial" w:cs="Arial"/>
          <w:iCs/>
          <w:color w:val="auto"/>
          <w:lang w:val="en-AU"/>
        </w:rPr>
        <w:t xml:space="preserve">While the use of a “standard” World Bank-managed </w:t>
      </w:r>
      <w:r w:rsidR="00A10AD6" w:rsidRPr="00A10AD6">
        <w:rPr>
          <w:rFonts w:ascii="Arial" w:hAnsi="Arial" w:cs="Arial"/>
          <w:iCs/>
          <w:color w:val="auto"/>
          <w:lang w:val="en-AU"/>
        </w:rPr>
        <w:t xml:space="preserve">Myanmar Partnership </w:t>
      </w:r>
      <w:r>
        <w:rPr>
          <w:rFonts w:ascii="Arial" w:hAnsi="Arial" w:cs="Arial"/>
          <w:iCs/>
          <w:color w:val="auto"/>
          <w:lang w:val="en-AU"/>
        </w:rPr>
        <w:t xml:space="preserve">MDTF as a </w:t>
      </w:r>
      <w:r w:rsidRPr="00C97F68">
        <w:rPr>
          <w:rFonts w:ascii="Arial" w:hAnsi="Arial" w:cs="Arial"/>
          <w:b/>
          <w:bCs/>
          <w:iCs/>
          <w:color w:val="auto"/>
          <w:lang w:val="en-AU"/>
        </w:rPr>
        <w:t>funding mechanism</w:t>
      </w:r>
      <w:r>
        <w:rPr>
          <w:rFonts w:ascii="Arial" w:hAnsi="Arial" w:cs="Arial"/>
          <w:iCs/>
          <w:color w:val="auto"/>
          <w:lang w:val="en-AU"/>
        </w:rPr>
        <w:t xml:space="preserve"> can have advantages compared to other options, these will only materialise if </w:t>
      </w:r>
      <w:r w:rsidR="00206EA7">
        <w:rPr>
          <w:rFonts w:ascii="Arial" w:hAnsi="Arial" w:cs="Arial"/>
          <w:iCs/>
          <w:color w:val="auto"/>
          <w:lang w:val="en-AU"/>
        </w:rPr>
        <w:t xml:space="preserve">and when </w:t>
      </w:r>
      <w:r>
        <w:rPr>
          <w:rFonts w:ascii="Arial" w:hAnsi="Arial" w:cs="Arial"/>
          <w:iCs/>
          <w:color w:val="auto"/>
          <w:lang w:val="en-AU"/>
        </w:rPr>
        <w:t xml:space="preserve">the governance arrangements and reporting approach is </w:t>
      </w:r>
      <w:r w:rsidR="00C97F68">
        <w:rPr>
          <w:rFonts w:ascii="Arial" w:hAnsi="Arial" w:cs="Arial"/>
          <w:iCs/>
          <w:color w:val="auto"/>
          <w:lang w:val="en-AU"/>
        </w:rPr>
        <w:t xml:space="preserve">geared towards the strategic and </w:t>
      </w:r>
      <w:r w:rsidR="00206EA7">
        <w:rPr>
          <w:rFonts w:ascii="Arial" w:hAnsi="Arial" w:cs="Arial"/>
          <w:iCs/>
          <w:color w:val="auto"/>
          <w:lang w:val="en-AU"/>
        </w:rPr>
        <w:t>general</w:t>
      </w:r>
      <w:r w:rsidR="00C97F68">
        <w:rPr>
          <w:rFonts w:ascii="Arial" w:hAnsi="Arial" w:cs="Arial"/>
          <w:iCs/>
          <w:color w:val="auto"/>
          <w:lang w:val="en-AU"/>
        </w:rPr>
        <w:t xml:space="preserve"> level (otherwise it will overlap with other fora or, at best, be inefficient and ineffective).</w:t>
      </w:r>
    </w:p>
    <w:p w:rsidR="00C97F68" w:rsidRDefault="00C97F68" w:rsidP="00C97F68">
      <w:pPr>
        <w:pStyle w:val="ListParagraph"/>
        <w:numPr>
          <w:ilvl w:val="0"/>
          <w:numId w:val="50"/>
        </w:numPr>
        <w:tabs>
          <w:tab w:val="left" w:pos="357"/>
        </w:tabs>
        <w:suppressAutoHyphens w:val="0"/>
        <w:spacing w:after="120" w:line="240" w:lineRule="auto"/>
        <w:ind w:left="360"/>
        <w:contextualSpacing w:val="0"/>
        <w:jc w:val="both"/>
        <w:rPr>
          <w:rFonts w:ascii="Arial" w:hAnsi="Arial" w:cs="Arial"/>
          <w:iCs/>
          <w:color w:val="auto"/>
          <w:lang w:val="en-AU"/>
        </w:rPr>
      </w:pPr>
      <w:r>
        <w:rPr>
          <w:rFonts w:ascii="Arial" w:hAnsi="Arial" w:cs="Arial"/>
          <w:b/>
          <w:bCs/>
          <w:iCs/>
          <w:color w:val="auto"/>
          <w:lang w:val="en-AU"/>
        </w:rPr>
        <w:t>Activity</w:t>
      </w:r>
      <w:r w:rsidRPr="00C97F68">
        <w:rPr>
          <w:rFonts w:ascii="Arial" w:hAnsi="Arial" w:cs="Arial"/>
          <w:b/>
          <w:bCs/>
          <w:iCs/>
          <w:color w:val="auto"/>
          <w:lang w:val="en-AU"/>
        </w:rPr>
        <w:t xml:space="preserve"> reporting</w:t>
      </w:r>
      <w:r>
        <w:rPr>
          <w:rFonts w:ascii="Arial" w:hAnsi="Arial" w:cs="Arial"/>
          <w:iCs/>
          <w:color w:val="auto"/>
          <w:lang w:val="en-AU"/>
        </w:rPr>
        <w:t xml:space="preserve"> that is not based on full and systematic comparison of plans versus actual</w:t>
      </w:r>
      <w:r w:rsidR="00834E20">
        <w:rPr>
          <w:rFonts w:ascii="Arial" w:hAnsi="Arial" w:cs="Arial"/>
          <w:iCs/>
          <w:color w:val="auto"/>
          <w:lang w:val="en-AU"/>
        </w:rPr>
        <w:t xml:space="preserve"> delivery</w:t>
      </w:r>
      <w:r>
        <w:rPr>
          <w:rFonts w:ascii="Arial" w:hAnsi="Arial" w:cs="Arial"/>
          <w:iCs/>
          <w:color w:val="auto"/>
          <w:lang w:val="en-AU"/>
        </w:rPr>
        <w:t xml:space="preserve"> results in potential information gaps regarding outputs and implementation challenges.</w:t>
      </w:r>
    </w:p>
    <w:p w:rsidR="00C97F68" w:rsidRPr="00311C3F" w:rsidRDefault="00311C3F" w:rsidP="00C97F68">
      <w:pPr>
        <w:pStyle w:val="ListParagraph"/>
        <w:numPr>
          <w:ilvl w:val="0"/>
          <w:numId w:val="50"/>
        </w:numPr>
        <w:tabs>
          <w:tab w:val="left" w:pos="357"/>
        </w:tabs>
        <w:suppressAutoHyphens w:val="0"/>
        <w:spacing w:after="0" w:line="240" w:lineRule="auto"/>
        <w:ind w:left="360"/>
        <w:contextualSpacing w:val="0"/>
        <w:jc w:val="both"/>
        <w:rPr>
          <w:rFonts w:ascii="Arial" w:hAnsi="Arial" w:cs="Arial"/>
          <w:iCs/>
          <w:color w:val="auto"/>
          <w:lang w:val="en-AU"/>
        </w:rPr>
      </w:pPr>
      <w:r w:rsidRPr="00311C3F">
        <w:rPr>
          <w:rFonts w:ascii="Arial" w:hAnsi="Arial" w:cs="Arial"/>
          <w:iCs/>
          <w:color w:val="auto"/>
          <w:lang w:val="en-AU"/>
        </w:rPr>
        <w:t>When providing financial support for a multifaceted development program, r</w:t>
      </w:r>
      <w:r w:rsidRPr="00311C3F">
        <w:rPr>
          <w:rFonts w:ascii="Arial" w:hAnsi="Arial" w:cs="Arial"/>
          <w:color w:val="auto"/>
          <w:lang w:val="en-AU"/>
        </w:rPr>
        <w:t xml:space="preserve">elying solely on an Administration Agreement (which focuses more or less exclusively on trust fund management), provides development partners with very limited formal leverage and – in practical terms – makes the </w:t>
      </w:r>
      <w:r w:rsidRPr="00311C3F">
        <w:rPr>
          <w:rFonts w:ascii="Arial" w:hAnsi="Arial" w:cs="Arial"/>
          <w:b/>
          <w:bCs/>
          <w:color w:val="auto"/>
          <w:lang w:val="en-AU"/>
        </w:rPr>
        <w:t xml:space="preserve">relationship with the </w:t>
      </w:r>
      <w:r w:rsidR="00C97F68" w:rsidRPr="00311C3F">
        <w:rPr>
          <w:rFonts w:ascii="Arial" w:hAnsi="Arial" w:cs="Arial"/>
          <w:b/>
          <w:bCs/>
          <w:color w:val="auto"/>
          <w:lang w:val="en-AU"/>
        </w:rPr>
        <w:t>World Bank Group</w:t>
      </w:r>
      <w:r w:rsidR="00C97F68" w:rsidRPr="00311C3F">
        <w:rPr>
          <w:rFonts w:ascii="Arial" w:hAnsi="Arial" w:cs="Arial"/>
          <w:color w:val="auto"/>
          <w:lang w:val="en-AU"/>
        </w:rPr>
        <w:t xml:space="preserve"> </w:t>
      </w:r>
      <w:r w:rsidRPr="00311C3F">
        <w:rPr>
          <w:rFonts w:ascii="Arial" w:hAnsi="Arial" w:cs="Arial"/>
          <w:color w:val="auto"/>
          <w:lang w:val="en-AU"/>
        </w:rPr>
        <w:t xml:space="preserve">principally </w:t>
      </w:r>
      <w:r w:rsidR="00C97F68" w:rsidRPr="00311C3F">
        <w:rPr>
          <w:rFonts w:ascii="Arial" w:hAnsi="Arial" w:cs="Arial"/>
          <w:color w:val="auto"/>
          <w:lang w:val="en-AU"/>
        </w:rPr>
        <w:t>trust-based</w:t>
      </w:r>
      <w:r w:rsidRPr="00311C3F">
        <w:rPr>
          <w:rFonts w:ascii="Arial" w:hAnsi="Arial" w:cs="Arial"/>
          <w:color w:val="auto"/>
          <w:lang w:val="en-AU"/>
        </w:rPr>
        <w:t>.</w:t>
      </w:r>
    </w:p>
    <w:p w:rsidR="009C6826" w:rsidRDefault="009C6826" w:rsidP="009C6826">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0B785F" w:rsidRPr="000E4221" w:rsidRDefault="009C6826" w:rsidP="005D7BC5">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372C1">
        <w:rPr>
          <w:rFonts w:ascii="Arial" w:hAnsi="Arial" w:cs="Arial"/>
          <w:color w:val="auto"/>
          <w:lang w:val="en-AU"/>
        </w:rPr>
        <w:t>These experiences should be taken into account going forward</w:t>
      </w:r>
      <w:r w:rsidR="00A372C1" w:rsidRPr="00A372C1">
        <w:rPr>
          <w:rFonts w:ascii="Arial" w:hAnsi="Arial" w:cs="Arial"/>
          <w:color w:val="auto"/>
          <w:lang w:val="en-AU"/>
        </w:rPr>
        <w:t xml:space="preserve"> – </w:t>
      </w:r>
      <w:r w:rsidRPr="00A372C1">
        <w:rPr>
          <w:rFonts w:ascii="Arial" w:hAnsi="Arial" w:cs="Arial"/>
          <w:color w:val="auto"/>
          <w:lang w:val="en-AU"/>
        </w:rPr>
        <w:t xml:space="preserve">both </w:t>
      </w:r>
      <w:r w:rsidR="00155188">
        <w:rPr>
          <w:rFonts w:ascii="Arial" w:hAnsi="Arial" w:cs="Arial"/>
          <w:color w:val="auto"/>
          <w:lang w:val="en-AU"/>
        </w:rPr>
        <w:t>for t</w:t>
      </w:r>
      <w:r w:rsidRPr="00A372C1">
        <w:rPr>
          <w:rFonts w:ascii="Arial" w:hAnsi="Arial" w:cs="Arial"/>
          <w:color w:val="auto"/>
          <w:lang w:val="en-AU"/>
        </w:rPr>
        <w:t xml:space="preserve">he remaining two years of ICCP implementation </w:t>
      </w:r>
      <w:r w:rsidR="00155188">
        <w:rPr>
          <w:rFonts w:ascii="Arial" w:hAnsi="Arial" w:cs="Arial"/>
          <w:color w:val="auto"/>
          <w:lang w:val="en-AU"/>
        </w:rPr>
        <w:t>as well as</w:t>
      </w:r>
      <w:r w:rsidRPr="00A372C1">
        <w:rPr>
          <w:rFonts w:ascii="Arial" w:hAnsi="Arial" w:cs="Arial"/>
          <w:color w:val="auto"/>
          <w:lang w:val="en-AU"/>
        </w:rPr>
        <w:t xml:space="preserve"> in planning and designing a new program post-2020.</w:t>
      </w:r>
    </w:p>
    <w:p w:rsidR="000E4221" w:rsidRDefault="000E4221" w:rsidP="000E4221">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0E4221" w:rsidRPr="00A372C1" w:rsidRDefault="000E4221" w:rsidP="000E4221">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0B785F" w:rsidRPr="00A769DE" w:rsidRDefault="000B785F" w:rsidP="000B785F">
      <w:pPr>
        <w:spacing w:before="0" w:after="0"/>
        <w:rPr>
          <w:rFonts w:ascii="Arial" w:hAnsi="Arial" w:cs="Arial"/>
          <w:b/>
          <w:color w:val="auto"/>
          <w:sz w:val="32"/>
          <w:szCs w:val="32"/>
          <w:lang w:val="en-AU"/>
        </w:rPr>
      </w:pPr>
      <w:bookmarkStart w:id="53" w:name="_Toc304542675"/>
      <w:r w:rsidRPr="00A769DE">
        <w:rPr>
          <w:rFonts w:ascii="Arial" w:hAnsi="Arial" w:cs="Arial"/>
          <w:color w:val="auto"/>
          <w:szCs w:val="32"/>
          <w:lang w:val="en-AU"/>
        </w:rPr>
        <w:br w:type="page"/>
      </w:r>
    </w:p>
    <w:p w:rsidR="000B785F" w:rsidRPr="00A769DE" w:rsidRDefault="00B5401C" w:rsidP="00B5401C">
      <w:pPr>
        <w:pStyle w:val="Heading1"/>
        <w:spacing w:before="0" w:after="600"/>
        <w:contextualSpacing w:val="0"/>
        <w:rPr>
          <w:rFonts w:ascii="Arial" w:hAnsi="Arial" w:cs="Arial"/>
          <w:color w:val="auto"/>
          <w:szCs w:val="32"/>
          <w:lang w:val="en-AU"/>
        </w:rPr>
      </w:pPr>
      <w:bookmarkStart w:id="54" w:name="_Toc522800483"/>
      <w:bookmarkStart w:id="55" w:name="_Toc525930553"/>
      <w:bookmarkStart w:id="56" w:name="_Toc530307603"/>
      <w:r w:rsidRPr="00A769DE">
        <w:rPr>
          <w:rFonts w:ascii="Arial" w:hAnsi="Arial" w:cs="Arial"/>
          <w:color w:val="auto"/>
          <w:szCs w:val="32"/>
          <w:lang w:val="en-AU"/>
        </w:rPr>
        <w:lastRenderedPageBreak/>
        <w:t>4</w:t>
      </w:r>
      <w:r w:rsidR="000B785F" w:rsidRPr="00A769DE">
        <w:rPr>
          <w:rFonts w:ascii="Arial" w:hAnsi="Arial" w:cs="Arial"/>
          <w:color w:val="auto"/>
          <w:szCs w:val="32"/>
          <w:lang w:val="en-AU"/>
        </w:rPr>
        <w:t xml:space="preserve">. </w:t>
      </w:r>
      <w:bookmarkEnd w:id="53"/>
      <w:r w:rsidR="000B785F" w:rsidRPr="00A769DE">
        <w:rPr>
          <w:rFonts w:ascii="Arial" w:hAnsi="Arial" w:cs="Arial"/>
          <w:color w:val="auto"/>
          <w:szCs w:val="32"/>
          <w:lang w:val="en-AU"/>
        </w:rPr>
        <w:t>CONCLUSIONS AND RECOMMENDATIONS</w:t>
      </w:r>
      <w:bookmarkEnd w:id="54"/>
      <w:bookmarkEnd w:id="55"/>
      <w:bookmarkEnd w:id="56"/>
    </w:p>
    <w:p w:rsidR="000B785F" w:rsidRPr="00A769DE" w:rsidRDefault="000B785F" w:rsidP="00A9264C">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iCs/>
          <w:color w:val="auto"/>
          <w:lang w:val="en-AU"/>
        </w:rPr>
        <w:t xml:space="preserve">This chapter provides conclusions based on the findings and observations noted above as well as recommendations for the </w:t>
      </w:r>
      <w:r w:rsidR="006C756A" w:rsidRPr="00A769DE">
        <w:rPr>
          <w:rFonts w:ascii="Arial" w:hAnsi="Arial" w:cs="Arial"/>
          <w:iCs/>
          <w:color w:val="auto"/>
          <w:lang w:val="en-AU"/>
        </w:rPr>
        <w:t>ICCP</w:t>
      </w:r>
      <w:r w:rsidRPr="00A769DE">
        <w:rPr>
          <w:rFonts w:ascii="Arial" w:hAnsi="Arial" w:cs="Arial"/>
          <w:iCs/>
          <w:color w:val="auto"/>
          <w:lang w:val="en-AU"/>
        </w:rPr>
        <w:t xml:space="preserve"> during the remainder of the </w:t>
      </w:r>
      <w:r w:rsidR="006C756A" w:rsidRPr="00A769DE">
        <w:rPr>
          <w:rFonts w:ascii="Arial" w:hAnsi="Arial" w:cs="Arial"/>
          <w:iCs/>
          <w:color w:val="auto"/>
          <w:lang w:val="en-AU"/>
        </w:rPr>
        <w:t>program</w:t>
      </w:r>
      <w:r w:rsidRPr="00A769DE">
        <w:rPr>
          <w:rFonts w:ascii="Arial" w:hAnsi="Arial" w:cs="Arial"/>
          <w:iCs/>
          <w:color w:val="auto"/>
          <w:lang w:val="en-AU"/>
        </w:rPr>
        <w:t>.</w:t>
      </w:r>
    </w:p>
    <w:p w:rsidR="000B785F" w:rsidRDefault="000B785F" w:rsidP="000B785F">
      <w:pPr>
        <w:pStyle w:val="ListParagraph"/>
        <w:tabs>
          <w:tab w:val="left" w:pos="357"/>
        </w:tabs>
        <w:spacing w:after="0" w:line="240" w:lineRule="auto"/>
        <w:ind w:left="0"/>
        <w:jc w:val="both"/>
        <w:rPr>
          <w:rFonts w:ascii="Arial" w:hAnsi="Arial" w:cs="Arial"/>
          <w:iCs/>
          <w:color w:val="auto"/>
          <w:lang w:val="en-AU"/>
        </w:rPr>
      </w:pPr>
    </w:p>
    <w:p w:rsidR="006C756A" w:rsidRPr="00A769DE" w:rsidRDefault="006C756A" w:rsidP="006C756A">
      <w:pPr>
        <w:pStyle w:val="Heading2"/>
        <w:spacing w:before="0" w:after="60"/>
        <w:ind w:left="272" w:hanging="272"/>
        <w:rPr>
          <w:rFonts w:ascii="Arial" w:hAnsi="Arial" w:cs="Arial"/>
          <w:b/>
          <w:bCs/>
          <w:color w:val="auto"/>
          <w:sz w:val="24"/>
          <w:szCs w:val="24"/>
          <w:lang w:val="en-AU"/>
        </w:rPr>
      </w:pPr>
      <w:bookmarkStart w:id="57" w:name="_Toc525930554"/>
      <w:bookmarkStart w:id="58" w:name="_Toc530307604"/>
      <w:r w:rsidRPr="00A769DE">
        <w:rPr>
          <w:rFonts w:ascii="Arial" w:hAnsi="Arial" w:cs="Arial"/>
          <w:b/>
          <w:bCs/>
          <w:color w:val="auto"/>
          <w:sz w:val="24"/>
          <w:szCs w:val="24"/>
          <w:lang w:val="en-AU"/>
        </w:rPr>
        <w:t xml:space="preserve">4.1 </w:t>
      </w:r>
      <w:r w:rsidR="00B209AF" w:rsidRPr="00A769DE">
        <w:rPr>
          <w:rFonts w:ascii="Arial" w:hAnsi="Arial" w:cs="Arial"/>
          <w:b/>
          <w:bCs/>
          <w:color w:val="auto"/>
          <w:sz w:val="24"/>
          <w:szCs w:val="24"/>
          <w:lang w:val="en-AU"/>
        </w:rPr>
        <w:t>ICCP as a Program</w:t>
      </w:r>
      <w:bookmarkEnd w:id="57"/>
      <w:bookmarkEnd w:id="58"/>
    </w:p>
    <w:p w:rsidR="006C756A" w:rsidRPr="00A769DE" w:rsidRDefault="006C756A" w:rsidP="006C756A">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The following conclusions are made regarding ICCP as a program:</w:t>
      </w:r>
    </w:p>
    <w:p w:rsidR="00F41FED" w:rsidRPr="00A769DE" w:rsidRDefault="00F41FED" w:rsidP="00F41FED">
      <w:pPr>
        <w:pStyle w:val="ListParagraph"/>
        <w:tabs>
          <w:tab w:val="left" w:pos="357"/>
        </w:tabs>
        <w:spacing w:after="0" w:line="240" w:lineRule="auto"/>
        <w:ind w:left="0"/>
        <w:jc w:val="both"/>
        <w:rPr>
          <w:rFonts w:ascii="Arial" w:hAnsi="Arial" w:cs="Arial"/>
          <w:iCs/>
          <w:color w:val="auto"/>
          <w:lang w:val="en-AU"/>
        </w:rPr>
      </w:pPr>
      <w:bookmarkStart w:id="59" w:name="_Toc522800484"/>
    </w:p>
    <w:p w:rsidR="00CC46CF" w:rsidRDefault="00CC46CF" w:rsidP="005D745B">
      <w:pPr>
        <w:pStyle w:val="ListParagraph"/>
        <w:numPr>
          <w:ilvl w:val="0"/>
          <w:numId w:val="28"/>
        </w:numPr>
        <w:tabs>
          <w:tab w:val="left" w:pos="357"/>
        </w:tabs>
        <w:suppressAutoHyphens w:val="0"/>
        <w:spacing w:before="0" w:after="120" w:line="240" w:lineRule="auto"/>
        <w:ind w:left="360"/>
        <w:contextualSpacing w:val="0"/>
        <w:jc w:val="both"/>
        <w:rPr>
          <w:rFonts w:ascii="Arial" w:hAnsi="Arial" w:cs="Arial"/>
          <w:color w:val="auto"/>
          <w:lang w:val="en-AU"/>
        </w:rPr>
      </w:pPr>
      <w:r>
        <w:rPr>
          <w:rFonts w:ascii="Arial" w:hAnsi="Arial" w:cs="Arial"/>
          <w:color w:val="auto"/>
          <w:lang w:val="en-AU"/>
        </w:rPr>
        <w:t xml:space="preserve">The </w:t>
      </w:r>
      <w:r w:rsidR="00D341B4">
        <w:rPr>
          <w:rFonts w:ascii="Arial" w:hAnsi="Arial" w:cs="Arial"/>
          <w:color w:val="auto"/>
          <w:lang w:val="en-AU"/>
        </w:rPr>
        <w:t>ICCP was at the design stage conceptualised as a program, but has during implementation functioned solely as a framework for a number of separate projects</w:t>
      </w:r>
      <w:r w:rsidR="00B55A92">
        <w:rPr>
          <w:rFonts w:ascii="Arial" w:hAnsi="Arial" w:cs="Arial"/>
          <w:color w:val="auto"/>
          <w:lang w:val="en-AU"/>
        </w:rPr>
        <w:t xml:space="preserve">, which is seen in there being no </w:t>
      </w:r>
      <w:r w:rsidR="00B55A92" w:rsidRPr="00B55A92">
        <w:rPr>
          <w:rFonts w:ascii="Arial" w:hAnsi="Arial" w:cs="Arial"/>
          <w:iCs/>
          <w:color w:val="auto"/>
          <w:lang w:val="en-AU"/>
        </w:rPr>
        <w:t>ICCP results framework/logframe or program logic in place</w:t>
      </w:r>
      <w:r w:rsidR="00D341B4">
        <w:rPr>
          <w:rFonts w:ascii="Arial" w:hAnsi="Arial" w:cs="Arial"/>
          <w:color w:val="auto"/>
          <w:lang w:val="en-AU"/>
        </w:rPr>
        <w:t>.</w:t>
      </w:r>
    </w:p>
    <w:p w:rsidR="00D341B4" w:rsidRDefault="00D341B4"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color w:val="auto"/>
          <w:lang w:val="en-AU"/>
        </w:rPr>
      </w:pPr>
      <w:r>
        <w:rPr>
          <w:rFonts w:ascii="Arial" w:hAnsi="Arial" w:cs="Arial"/>
          <w:color w:val="auto"/>
          <w:lang w:val="en-AU"/>
        </w:rPr>
        <w:t xml:space="preserve">This may not have adversely affected the </w:t>
      </w:r>
      <w:r w:rsidRPr="00A769DE">
        <w:rPr>
          <w:rFonts w:ascii="Arial" w:hAnsi="Arial" w:cs="Arial"/>
          <w:bCs/>
          <w:iCs/>
          <w:color w:val="auto"/>
          <w:lang w:val="en-AU"/>
        </w:rPr>
        <w:t>strategic coherence and synergies</w:t>
      </w:r>
      <w:r>
        <w:rPr>
          <w:rFonts w:ascii="Arial" w:hAnsi="Arial" w:cs="Arial"/>
          <w:bCs/>
          <w:iCs/>
          <w:color w:val="auto"/>
          <w:lang w:val="en-AU"/>
        </w:rPr>
        <w:t xml:space="preserve"> across and between projects</w:t>
      </w:r>
      <w:r w:rsidR="00B55A92">
        <w:rPr>
          <w:rFonts w:ascii="Arial" w:hAnsi="Arial" w:cs="Arial"/>
          <w:bCs/>
          <w:iCs/>
          <w:color w:val="auto"/>
          <w:lang w:val="en-AU"/>
        </w:rPr>
        <w:t>, which appear to having been identified and developed where relevant.</w:t>
      </w:r>
    </w:p>
    <w:p w:rsidR="00B55A92" w:rsidRPr="00B55A92" w:rsidRDefault="00B55A92" w:rsidP="005D745B">
      <w:pPr>
        <w:pStyle w:val="ListParagraph"/>
        <w:numPr>
          <w:ilvl w:val="0"/>
          <w:numId w:val="28"/>
        </w:numPr>
        <w:tabs>
          <w:tab w:val="left" w:pos="357"/>
        </w:tabs>
        <w:suppressAutoHyphens w:val="0"/>
        <w:spacing w:after="0" w:line="240" w:lineRule="auto"/>
        <w:ind w:left="360"/>
        <w:contextualSpacing w:val="0"/>
        <w:jc w:val="both"/>
        <w:rPr>
          <w:rFonts w:ascii="Arial" w:hAnsi="Arial" w:cs="Arial"/>
          <w:color w:val="auto"/>
          <w:lang w:val="en-AU"/>
        </w:rPr>
      </w:pPr>
      <w:r w:rsidRPr="00B55A92">
        <w:rPr>
          <w:rFonts w:ascii="Arial" w:hAnsi="Arial" w:cs="Arial"/>
          <w:color w:val="auto"/>
          <w:lang w:val="en-AU"/>
        </w:rPr>
        <w:t>However, t</w:t>
      </w:r>
      <w:r w:rsidR="00D52E5B" w:rsidRPr="00B55A92">
        <w:rPr>
          <w:rFonts w:ascii="Arial" w:hAnsi="Arial" w:cs="Arial"/>
          <w:iCs/>
          <w:color w:val="auto"/>
          <w:lang w:val="en-AU"/>
        </w:rPr>
        <w:t>he absence of a program-level focus</w:t>
      </w:r>
      <w:r>
        <w:rPr>
          <w:rFonts w:ascii="Arial" w:hAnsi="Arial" w:cs="Arial"/>
          <w:iCs/>
          <w:color w:val="auto"/>
          <w:lang w:val="en-AU"/>
        </w:rPr>
        <w:t xml:space="preserve"> has meant that impact and outcome indicators, which should </w:t>
      </w:r>
      <w:r w:rsidR="007B77A7">
        <w:rPr>
          <w:rFonts w:ascii="Arial" w:hAnsi="Arial" w:cs="Arial"/>
          <w:iCs/>
          <w:color w:val="auto"/>
          <w:lang w:val="en-AU"/>
        </w:rPr>
        <w:t>define</w:t>
      </w:r>
      <w:r>
        <w:rPr>
          <w:rFonts w:ascii="Arial" w:hAnsi="Arial" w:cs="Arial"/>
          <w:iCs/>
          <w:color w:val="auto"/>
          <w:lang w:val="en-AU"/>
        </w:rPr>
        <w:t xml:space="preserve"> progress towards achieving the overall goal and objectives of the ICCP, were not formulated and</w:t>
      </w:r>
      <w:r w:rsidR="007B77A7">
        <w:rPr>
          <w:rFonts w:ascii="Arial" w:hAnsi="Arial" w:cs="Arial"/>
          <w:iCs/>
          <w:color w:val="auto"/>
          <w:lang w:val="en-AU"/>
        </w:rPr>
        <w:t xml:space="preserve"> measured. H</w:t>
      </w:r>
      <w:r>
        <w:rPr>
          <w:rFonts w:ascii="Arial" w:hAnsi="Arial" w:cs="Arial"/>
          <w:iCs/>
          <w:color w:val="auto"/>
          <w:lang w:val="en-AU"/>
        </w:rPr>
        <w:t xml:space="preserve">ence, </w:t>
      </w:r>
      <w:r w:rsidR="007B77A7">
        <w:rPr>
          <w:rFonts w:ascii="Arial" w:hAnsi="Arial" w:cs="Arial"/>
          <w:iCs/>
          <w:color w:val="auto"/>
          <w:lang w:val="en-AU"/>
        </w:rPr>
        <w:t>the program-level results of</w:t>
      </w:r>
      <w:r w:rsidR="00175F18">
        <w:rPr>
          <w:rFonts w:ascii="Arial" w:hAnsi="Arial" w:cs="Arial"/>
          <w:iCs/>
          <w:color w:val="auto"/>
          <w:lang w:val="en-AU"/>
        </w:rPr>
        <w:t xml:space="preserve"> the ICCP are not </w:t>
      </w:r>
      <w:r w:rsidR="007B77A7">
        <w:rPr>
          <w:rFonts w:ascii="Arial" w:hAnsi="Arial" w:cs="Arial"/>
          <w:iCs/>
          <w:color w:val="auto"/>
          <w:lang w:val="en-AU"/>
        </w:rPr>
        <w:t>clear.</w:t>
      </w:r>
    </w:p>
    <w:p w:rsidR="00F41FED" w:rsidRPr="00A769DE" w:rsidRDefault="00F41FED" w:rsidP="00F41FED">
      <w:pPr>
        <w:pStyle w:val="nm"/>
        <w:spacing w:after="0"/>
        <w:ind w:left="0"/>
        <w:rPr>
          <w:rFonts w:ascii="Arial" w:hAnsi="Arial" w:cs="Arial"/>
          <w:lang w:val="en-AU"/>
        </w:rPr>
      </w:pPr>
    </w:p>
    <w:p w:rsidR="000B785F" w:rsidRPr="00A769DE" w:rsidRDefault="00B5401C" w:rsidP="000B785F">
      <w:pPr>
        <w:pStyle w:val="Heading2"/>
        <w:spacing w:before="0" w:after="60"/>
        <w:ind w:left="272" w:hanging="272"/>
        <w:rPr>
          <w:rFonts w:ascii="Arial" w:hAnsi="Arial" w:cs="Arial"/>
          <w:b/>
          <w:bCs/>
          <w:color w:val="auto"/>
          <w:sz w:val="24"/>
          <w:szCs w:val="24"/>
          <w:lang w:val="en-AU"/>
        </w:rPr>
      </w:pPr>
      <w:bookmarkStart w:id="60" w:name="_Toc525930555"/>
      <w:bookmarkStart w:id="61" w:name="_Toc530307605"/>
      <w:r w:rsidRPr="00A769DE">
        <w:rPr>
          <w:rFonts w:ascii="Arial" w:hAnsi="Arial" w:cs="Arial"/>
          <w:b/>
          <w:bCs/>
          <w:color w:val="auto"/>
          <w:sz w:val="24"/>
          <w:szCs w:val="24"/>
          <w:lang w:val="en-AU"/>
        </w:rPr>
        <w:t>4</w:t>
      </w:r>
      <w:r w:rsidR="000B785F" w:rsidRPr="00A769DE">
        <w:rPr>
          <w:rFonts w:ascii="Arial" w:hAnsi="Arial" w:cs="Arial"/>
          <w:b/>
          <w:bCs/>
          <w:color w:val="auto"/>
          <w:sz w:val="24"/>
          <w:szCs w:val="24"/>
          <w:lang w:val="en-AU"/>
        </w:rPr>
        <w:t>.</w:t>
      </w:r>
      <w:r w:rsidR="001B1D38" w:rsidRPr="00A769DE">
        <w:rPr>
          <w:rFonts w:ascii="Arial" w:hAnsi="Arial" w:cs="Arial"/>
          <w:b/>
          <w:bCs/>
          <w:color w:val="auto"/>
          <w:sz w:val="24"/>
          <w:szCs w:val="24"/>
          <w:lang w:val="en-AU"/>
        </w:rPr>
        <w:t>2</w:t>
      </w:r>
      <w:r w:rsidR="000B785F" w:rsidRPr="00A769DE">
        <w:rPr>
          <w:rFonts w:ascii="Arial" w:hAnsi="Arial" w:cs="Arial"/>
          <w:b/>
          <w:bCs/>
          <w:color w:val="auto"/>
          <w:sz w:val="24"/>
          <w:szCs w:val="24"/>
          <w:lang w:val="en-AU"/>
        </w:rPr>
        <w:t xml:space="preserve"> </w:t>
      </w:r>
      <w:r w:rsidR="00B209AF" w:rsidRPr="00A769DE">
        <w:rPr>
          <w:rFonts w:ascii="Arial" w:hAnsi="Arial" w:cs="Arial"/>
          <w:b/>
          <w:bCs/>
          <w:color w:val="auto"/>
          <w:sz w:val="24"/>
          <w:szCs w:val="24"/>
          <w:lang w:val="en-AU"/>
        </w:rPr>
        <w:t>The</w:t>
      </w:r>
      <w:r w:rsidR="001B1D38" w:rsidRPr="00A769DE">
        <w:rPr>
          <w:rFonts w:ascii="Arial" w:hAnsi="Arial" w:cs="Arial"/>
          <w:b/>
          <w:bCs/>
          <w:color w:val="auto"/>
          <w:sz w:val="24"/>
          <w:szCs w:val="24"/>
          <w:lang w:val="en-AU"/>
        </w:rPr>
        <w:t xml:space="preserve"> ICCP </w:t>
      </w:r>
      <w:bookmarkEnd w:id="59"/>
      <w:r w:rsidR="00B209AF" w:rsidRPr="00A769DE">
        <w:rPr>
          <w:rFonts w:ascii="Arial" w:hAnsi="Arial" w:cs="Arial"/>
          <w:b/>
          <w:bCs/>
          <w:color w:val="auto"/>
          <w:sz w:val="24"/>
          <w:szCs w:val="24"/>
          <w:lang w:val="en-AU"/>
        </w:rPr>
        <w:t>Project</w:t>
      </w:r>
      <w:r w:rsidR="00CB5E00">
        <w:rPr>
          <w:rFonts w:ascii="Arial" w:hAnsi="Arial" w:cs="Arial"/>
          <w:b/>
          <w:bCs/>
          <w:color w:val="auto"/>
          <w:sz w:val="24"/>
          <w:szCs w:val="24"/>
          <w:lang w:val="en-AU"/>
        </w:rPr>
        <w:t xml:space="preserve"> Portfolio</w:t>
      </w:r>
      <w:bookmarkEnd w:id="60"/>
      <w:bookmarkEnd w:id="61"/>
    </w:p>
    <w:p w:rsidR="000B785F" w:rsidRPr="00A769DE" w:rsidRDefault="000B785F" w:rsidP="00A9264C">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 xml:space="preserve">The following conclusions are made regarding the </w:t>
      </w:r>
      <w:r w:rsidR="001B1D38" w:rsidRPr="00A769DE">
        <w:rPr>
          <w:rFonts w:ascii="Arial" w:hAnsi="Arial" w:cs="Arial"/>
          <w:color w:val="auto"/>
          <w:lang w:val="en-AU"/>
        </w:rPr>
        <w:t>specific projects of the ICCP</w:t>
      </w:r>
      <w:r w:rsidRPr="00A769DE">
        <w:rPr>
          <w:rFonts w:ascii="Arial" w:hAnsi="Arial" w:cs="Arial"/>
          <w:color w:val="auto"/>
          <w:lang w:val="en-AU"/>
        </w:rPr>
        <w:t>:</w:t>
      </w: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AA3F92" w:rsidRDefault="00AA3F92" w:rsidP="005D745B">
      <w:pPr>
        <w:pStyle w:val="ListParagraph"/>
        <w:numPr>
          <w:ilvl w:val="0"/>
          <w:numId w:val="28"/>
        </w:numPr>
        <w:tabs>
          <w:tab w:val="left" w:pos="357"/>
        </w:tabs>
        <w:suppressAutoHyphens w:val="0"/>
        <w:spacing w:before="0" w:after="120" w:line="240" w:lineRule="auto"/>
        <w:ind w:left="360"/>
        <w:contextualSpacing w:val="0"/>
        <w:jc w:val="both"/>
        <w:rPr>
          <w:rFonts w:ascii="Arial" w:hAnsi="Arial" w:cs="Arial"/>
          <w:iCs/>
          <w:color w:val="auto"/>
          <w:lang w:val="en-AU"/>
        </w:rPr>
      </w:pPr>
      <w:r>
        <w:rPr>
          <w:rFonts w:ascii="Arial" w:hAnsi="Arial" w:cs="Arial"/>
          <w:iCs/>
          <w:color w:val="auto"/>
          <w:lang w:val="en-AU"/>
        </w:rPr>
        <w:t xml:space="preserve">The ICCP projects are </w:t>
      </w:r>
      <w:r w:rsidRPr="00AA3F92">
        <w:rPr>
          <w:rFonts w:ascii="Arial" w:hAnsi="Arial" w:cs="Arial"/>
          <w:iCs/>
          <w:color w:val="auto"/>
          <w:lang w:val="en-AU"/>
        </w:rPr>
        <w:t xml:space="preserve">well-designed with clearly stated objectives, relevant targeted outcomes, and appropriately sequenced components and activities. </w:t>
      </w:r>
    </w:p>
    <w:p w:rsidR="00D52E5B" w:rsidRPr="00F47F68" w:rsidRDefault="00F47F68"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iCs/>
          <w:color w:val="auto"/>
          <w:lang w:val="en-AU"/>
        </w:rPr>
      </w:pPr>
      <w:r w:rsidRPr="00F47F68">
        <w:rPr>
          <w:rFonts w:ascii="Arial" w:hAnsi="Arial" w:cs="Arial"/>
          <w:iCs/>
          <w:color w:val="auto"/>
          <w:lang w:val="en-AU"/>
        </w:rPr>
        <w:t>I</w:t>
      </w:r>
      <w:r w:rsidR="00AA3F92" w:rsidRPr="00F47F68">
        <w:rPr>
          <w:rFonts w:ascii="Arial" w:hAnsi="Arial" w:cs="Arial"/>
          <w:iCs/>
          <w:color w:val="auto"/>
          <w:lang w:val="en-AU"/>
        </w:rPr>
        <w:t xml:space="preserve">mplementation </w:t>
      </w:r>
      <w:r w:rsidR="00BA39AE">
        <w:rPr>
          <w:rFonts w:ascii="Arial" w:hAnsi="Arial" w:cs="Arial"/>
          <w:iCs/>
          <w:color w:val="auto"/>
          <w:lang w:val="en-AU"/>
        </w:rPr>
        <w:t>appears to</w:t>
      </w:r>
      <w:r w:rsidR="00AA3F92" w:rsidRPr="00F47F68">
        <w:rPr>
          <w:rFonts w:ascii="Arial" w:hAnsi="Arial" w:cs="Arial"/>
          <w:iCs/>
          <w:color w:val="auto"/>
          <w:lang w:val="en-AU"/>
        </w:rPr>
        <w:t xml:space="preserve"> </w:t>
      </w:r>
      <w:r w:rsidRPr="00F47F68">
        <w:rPr>
          <w:rFonts w:ascii="Arial" w:hAnsi="Arial" w:cs="Arial"/>
          <w:iCs/>
          <w:color w:val="auto"/>
          <w:lang w:val="en-AU"/>
        </w:rPr>
        <w:t>follow</w:t>
      </w:r>
      <w:r w:rsidR="00AA3F92" w:rsidRPr="00F47F68">
        <w:rPr>
          <w:rFonts w:ascii="Arial" w:hAnsi="Arial" w:cs="Arial"/>
          <w:iCs/>
          <w:color w:val="auto"/>
          <w:lang w:val="en-AU"/>
        </w:rPr>
        <w:t xml:space="preserve"> the project plans, </w:t>
      </w:r>
      <w:r w:rsidR="00BF2F11">
        <w:rPr>
          <w:rFonts w:ascii="Arial" w:hAnsi="Arial" w:cs="Arial"/>
          <w:iCs/>
          <w:color w:val="auto"/>
          <w:lang w:val="en-AU"/>
        </w:rPr>
        <w:t>with</w:t>
      </w:r>
      <w:r w:rsidR="00AA3F92" w:rsidRPr="00F47F68">
        <w:rPr>
          <w:rFonts w:ascii="Arial" w:hAnsi="Arial" w:cs="Arial"/>
          <w:iCs/>
          <w:color w:val="auto"/>
          <w:lang w:val="en-AU"/>
        </w:rPr>
        <w:t xml:space="preserve"> some time and activity adjustments hav</w:t>
      </w:r>
      <w:r w:rsidR="00BF2F11">
        <w:rPr>
          <w:rFonts w:ascii="Arial" w:hAnsi="Arial" w:cs="Arial"/>
          <w:iCs/>
          <w:color w:val="auto"/>
          <w:lang w:val="en-AU"/>
        </w:rPr>
        <w:t>ing</w:t>
      </w:r>
      <w:r w:rsidR="00AA3F92" w:rsidRPr="00F47F68">
        <w:rPr>
          <w:rFonts w:ascii="Arial" w:hAnsi="Arial" w:cs="Arial"/>
          <w:iCs/>
          <w:color w:val="auto"/>
          <w:lang w:val="en-AU"/>
        </w:rPr>
        <w:t xml:space="preserve"> been necessary </w:t>
      </w:r>
      <w:r w:rsidRPr="00F47F68">
        <w:rPr>
          <w:rFonts w:ascii="Arial" w:hAnsi="Arial" w:cs="Arial"/>
          <w:iCs/>
          <w:color w:val="auto"/>
          <w:lang w:val="en-AU"/>
        </w:rPr>
        <w:t xml:space="preserve">in some cases, and the </w:t>
      </w:r>
      <w:r w:rsidR="00D103DB" w:rsidRPr="00F47F68">
        <w:rPr>
          <w:rFonts w:ascii="Arial" w:hAnsi="Arial" w:cs="Arial"/>
          <w:iCs/>
          <w:color w:val="auto"/>
          <w:lang w:val="en-AU"/>
        </w:rPr>
        <w:t>projects generally</w:t>
      </w:r>
      <w:r w:rsidR="00BA39AE">
        <w:rPr>
          <w:rFonts w:ascii="Arial" w:hAnsi="Arial" w:cs="Arial"/>
          <w:iCs/>
          <w:color w:val="auto"/>
          <w:lang w:val="en-AU"/>
        </w:rPr>
        <w:t xml:space="preserve"> seem to</w:t>
      </w:r>
      <w:r w:rsidR="00D103DB" w:rsidRPr="00F47F68">
        <w:rPr>
          <w:rFonts w:ascii="Arial" w:hAnsi="Arial" w:cs="Arial"/>
          <w:iCs/>
          <w:color w:val="auto"/>
          <w:lang w:val="en-AU"/>
        </w:rPr>
        <w:t xml:space="preserve"> perform well and </w:t>
      </w:r>
      <w:r w:rsidR="00D52E5B" w:rsidRPr="00F47F68">
        <w:rPr>
          <w:rFonts w:ascii="Arial" w:hAnsi="Arial" w:cs="Arial"/>
          <w:iCs/>
          <w:color w:val="auto"/>
          <w:lang w:val="en-AU"/>
        </w:rPr>
        <w:t>generat</w:t>
      </w:r>
      <w:r>
        <w:rPr>
          <w:rFonts w:ascii="Arial" w:hAnsi="Arial" w:cs="Arial"/>
          <w:iCs/>
          <w:color w:val="auto"/>
          <w:lang w:val="en-AU"/>
        </w:rPr>
        <w:t xml:space="preserve">e </w:t>
      </w:r>
      <w:r w:rsidR="00D52E5B" w:rsidRPr="00F47F68">
        <w:rPr>
          <w:rFonts w:ascii="Arial" w:hAnsi="Arial" w:cs="Arial"/>
          <w:iCs/>
          <w:color w:val="auto"/>
          <w:lang w:val="en-AU"/>
        </w:rPr>
        <w:t>a number of important results for the PSD sector.</w:t>
      </w:r>
    </w:p>
    <w:p w:rsidR="00F47F68" w:rsidRPr="00F47F68" w:rsidRDefault="00F47F68"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iCs/>
          <w:color w:val="auto"/>
          <w:lang w:val="en-AU"/>
        </w:rPr>
      </w:pPr>
      <w:r w:rsidRPr="00F47F68">
        <w:rPr>
          <w:rFonts w:ascii="Arial" w:hAnsi="Arial" w:cs="Arial"/>
          <w:iCs/>
          <w:color w:val="auto"/>
          <w:lang w:val="en-AU"/>
        </w:rPr>
        <w:t>The staff of the IFC/World Bank have established good contacts with GoM counterparts and project beneficiaries, which is an important factor in the successful project implementation.</w:t>
      </w:r>
    </w:p>
    <w:p w:rsidR="00D52E5B" w:rsidRDefault="00D103DB"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iCs/>
          <w:color w:val="auto"/>
          <w:lang w:val="en-AU"/>
        </w:rPr>
      </w:pPr>
      <w:r>
        <w:rPr>
          <w:rFonts w:ascii="Arial" w:hAnsi="Arial" w:cs="Arial"/>
          <w:iCs/>
          <w:color w:val="auto"/>
          <w:lang w:val="en-AU"/>
        </w:rPr>
        <w:t>B</w:t>
      </w:r>
      <w:r w:rsidR="00D52E5B" w:rsidRPr="00D52E5B">
        <w:rPr>
          <w:rFonts w:ascii="Arial" w:hAnsi="Arial" w:cs="Arial"/>
          <w:iCs/>
          <w:color w:val="auto"/>
          <w:lang w:val="en-AU"/>
        </w:rPr>
        <w:t xml:space="preserve">udget execution </w:t>
      </w:r>
      <w:r>
        <w:rPr>
          <w:rFonts w:ascii="Arial" w:hAnsi="Arial" w:cs="Arial"/>
          <w:iCs/>
          <w:color w:val="auto"/>
          <w:lang w:val="en-AU"/>
        </w:rPr>
        <w:t xml:space="preserve">was somewhat low </w:t>
      </w:r>
      <w:r w:rsidR="00D52E5B" w:rsidRPr="00D52E5B">
        <w:rPr>
          <w:rFonts w:ascii="Arial" w:hAnsi="Arial" w:cs="Arial"/>
          <w:iCs/>
          <w:color w:val="auto"/>
          <w:lang w:val="en-AU"/>
        </w:rPr>
        <w:t>in the initial years of project implementation</w:t>
      </w:r>
      <w:r>
        <w:rPr>
          <w:rFonts w:ascii="Arial" w:hAnsi="Arial" w:cs="Arial"/>
          <w:iCs/>
          <w:color w:val="auto"/>
          <w:lang w:val="en-AU"/>
        </w:rPr>
        <w:t>, mainly</w:t>
      </w:r>
      <w:r w:rsidR="00D52E5B" w:rsidRPr="00D52E5B">
        <w:rPr>
          <w:rFonts w:ascii="Arial" w:hAnsi="Arial" w:cs="Arial"/>
          <w:iCs/>
          <w:color w:val="auto"/>
          <w:lang w:val="en-AU"/>
        </w:rPr>
        <w:t xml:space="preserve"> </w:t>
      </w:r>
      <w:r>
        <w:rPr>
          <w:rFonts w:ascii="Arial" w:hAnsi="Arial" w:cs="Arial"/>
          <w:iCs/>
          <w:color w:val="auto"/>
          <w:lang w:val="en-AU"/>
        </w:rPr>
        <w:t>due to limited</w:t>
      </w:r>
      <w:r w:rsidR="00D52E5B" w:rsidRPr="00D52E5B">
        <w:rPr>
          <w:rFonts w:ascii="Arial" w:hAnsi="Arial" w:cs="Arial"/>
          <w:iCs/>
          <w:color w:val="auto"/>
          <w:lang w:val="en-AU"/>
        </w:rPr>
        <w:t xml:space="preserve"> GoM absorption capacity.</w:t>
      </w:r>
      <w:r>
        <w:rPr>
          <w:rFonts w:ascii="Arial" w:hAnsi="Arial" w:cs="Arial"/>
          <w:iCs/>
          <w:color w:val="auto"/>
          <w:lang w:val="en-AU"/>
        </w:rPr>
        <w:t xml:space="preserve"> Given the </w:t>
      </w:r>
      <w:r w:rsidR="00BF2F11">
        <w:rPr>
          <w:rFonts w:ascii="Arial" w:hAnsi="Arial" w:cs="Arial"/>
          <w:iCs/>
          <w:color w:val="auto"/>
          <w:lang w:val="en-AU"/>
        </w:rPr>
        <w:t>total</w:t>
      </w:r>
      <w:r w:rsidR="00F47F68">
        <w:rPr>
          <w:rFonts w:ascii="Arial" w:hAnsi="Arial" w:cs="Arial"/>
          <w:iCs/>
          <w:color w:val="auto"/>
          <w:lang w:val="en-AU"/>
        </w:rPr>
        <w:t xml:space="preserve"> size of the ICCP </w:t>
      </w:r>
      <w:r>
        <w:rPr>
          <w:rFonts w:ascii="Arial" w:hAnsi="Arial" w:cs="Arial"/>
          <w:iCs/>
          <w:color w:val="auto"/>
          <w:lang w:val="en-AU"/>
        </w:rPr>
        <w:t xml:space="preserve">budget, it was therefore in 2017 </w:t>
      </w:r>
      <w:r w:rsidR="00F47F68">
        <w:rPr>
          <w:rFonts w:ascii="Arial" w:hAnsi="Arial" w:cs="Arial"/>
          <w:iCs/>
          <w:color w:val="auto"/>
          <w:lang w:val="en-AU"/>
        </w:rPr>
        <w:t>decided</w:t>
      </w:r>
      <w:r>
        <w:rPr>
          <w:rFonts w:ascii="Arial" w:hAnsi="Arial" w:cs="Arial"/>
          <w:iCs/>
          <w:color w:val="auto"/>
          <w:lang w:val="en-AU"/>
        </w:rPr>
        <w:t xml:space="preserve"> to </w:t>
      </w:r>
      <w:r w:rsidR="00F47F68">
        <w:rPr>
          <w:rFonts w:ascii="Arial" w:hAnsi="Arial" w:cs="Arial"/>
          <w:iCs/>
          <w:color w:val="auto"/>
          <w:lang w:val="en-AU"/>
        </w:rPr>
        <w:t>add new</w:t>
      </w:r>
      <w:r>
        <w:rPr>
          <w:rFonts w:ascii="Arial" w:hAnsi="Arial" w:cs="Arial"/>
          <w:iCs/>
          <w:color w:val="auto"/>
          <w:lang w:val="en-AU"/>
        </w:rPr>
        <w:t xml:space="preserve"> projects so as </w:t>
      </w:r>
      <w:r w:rsidR="00F47F68">
        <w:rPr>
          <w:rFonts w:ascii="Arial" w:hAnsi="Arial" w:cs="Arial"/>
          <w:iCs/>
          <w:color w:val="auto"/>
          <w:lang w:val="en-AU"/>
        </w:rPr>
        <w:t xml:space="preserve">to </w:t>
      </w:r>
      <w:r>
        <w:rPr>
          <w:rFonts w:ascii="Arial" w:hAnsi="Arial" w:cs="Arial"/>
          <w:iCs/>
          <w:color w:val="auto"/>
          <w:lang w:val="en-AU"/>
        </w:rPr>
        <w:t>increase the overall budget execution rate.</w:t>
      </w:r>
    </w:p>
    <w:p w:rsidR="00D52E5B" w:rsidRPr="00D52E5B" w:rsidRDefault="000E4221" w:rsidP="005D745B">
      <w:pPr>
        <w:pStyle w:val="ListParagraph"/>
        <w:numPr>
          <w:ilvl w:val="0"/>
          <w:numId w:val="28"/>
        </w:numPr>
        <w:tabs>
          <w:tab w:val="left" w:pos="357"/>
        </w:tabs>
        <w:suppressAutoHyphens w:val="0"/>
        <w:spacing w:after="0" w:line="240" w:lineRule="auto"/>
        <w:ind w:left="360"/>
        <w:contextualSpacing w:val="0"/>
        <w:jc w:val="both"/>
        <w:rPr>
          <w:rFonts w:ascii="Arial" w:hAnsi="Arial" w:cs="Arial"/>
          <w:iCs/>
          <w:color w:val="auto"/>
          <w:lang w:val="en-AU"/>
        </w:rPr>
      </w:pPr>
      <w:r>
        <w:rPr>
          <w:rFonts w:ascii="Arial" w:hAnsi="Arial" w:cs="Arial"/>
          <w:iCs/>
          <w:color w:val="auto"/>
          <w:lang w:val="en-AU"/>
        </w:rPr>
        <w:t>A</w:t>
      </w:r>
      <w:r w:rsidR="00D52E5B" w:rsidRPr="00D52E5B">
        <w:rPr>
          <w:rFonts w:ascii="Arial" w:hAnsi="Arial" w:cs="Arial"/>
          <w:iCs/>
          <w:color w:val="auto"/>
          <w:lang w:val="en-AU"/>
        </w:rPr>
        <w:t>s regards the Lighting Myanmar project</w:t>
      </w:r>
      <w:r>
        <w:rPr>
          <w:rFonts w:ascii="Arial" w:hAnsi="Arial" w:cs="Arial"/>
          <w:iCs/>
          <w:color w:val="auto"/>
          <w:lang w:val="en-AU"/>
        </w:rPr>
        <w:t xml:space="preserve">, the </w:t>
      </w:r>
      <w:r w:rsidRPr="000E4221">
        <w:rPr>
          <w:rFonts w:ascii="Arial" w:hAnsi="Arial" w:cs="Arial"/>
          <w:iCs/>
          <w:color w:val="auto"/>
          <w:lang w:val="en-AU"/>
        </w:rPr>
        <w:t>World Bank</w:t>
      </w:r>
      <w:r>
        <w:rPr>
          <w:rFonts w:ascii="Arial" w:hAnsi="Arial" w:cs="Arial"/>
          <w:iCs/>
          <w:color w:val="auto"/>
          <w:lang w:val="en-AU"/>
        </w:rPr>
        <w:t xml:space="preserve"> Group </w:t>
      </w:r>
      <w:r w:rsidR="004962DF">
        <w:rPr>
          <w:rFonts w:ascii="Arial" w:hAnsi="Arial" w:cs="Arial"/>
          <w:iCs/>
          <w:color w:val="auto"/>
          <w:lang w:val="en-AU"/>
        </w:rPr>
        <w:t>internally</w:t>
      </w:r>
      <w:r w:rsidR="00BF2F11" w:rsidRPr="00BF2F11">
        <w:rPr>
          <w:rFonts w:ascii="Arial" w:hAnsi="Arial" w:cs="Arial"/>
          <w:iCs/>
          <w:color w:val="auto"/>
          <w:lang w:val="en-AU"/>
        </w:rPr>
        <w:t xml:space="preserve"> </w:t>
      </w:r>
      <w:r w:rsidR="00BF2F11">
        <w:rPr>
          <w:rFonts w:ascii="Arial" w:hAnsi="Arial" w:cs="Arial"/>
          <w:iCs/>
          <w:color w:val="auto"/>
          <w:lang w:val="en-AU"/>
        </w:rPr>
        <w:t>failed</w:t>
      </w:r>
      <w:r w:rsidR="004962DF">
        <w:rPr>
          <w:rFonts w:ascii="Arial" w:hAnsi="Arial" w:cs="Arial"/>
          <w:iCs/>
          <w:color w:val="auto"/>
          <w:lang w:val="en-AU"/>
        </w:rPr>
        <w:t xml:space="preserve"> </w:t>
      </w:r>
      <w:r>
        <w:rPr>
          <w:rFonts w:ascii="Arial" w:hAnsi="Arial" w:cs="Arial"/>
          <w:iCs/>
          <w:color w:val="auto"/>
          <w:lang w:val="en-AU"/>
        </w:rPr>
        <w:t xml:space="preserve">to adequately coordinate, which led to </w:t>
      </w:r>
      <w:r w:rsidRPr="000E4221">
        <w:rPr>
          <w:rFonts w:ascii="Arial" w:hAnsi="Arial" w:cs="Arial"/>
          <w:iCs/>
          <w:color w:val="auto"/>
          <w:lang w:val="en-AU"/>
        </w:rPr>
        <w:t xml:space="preserve">contradictory </w:t>
      </w:r>
      <w:r>
        <w:rPr>
          <w:rFonts w:ascii="Arial" w:hAnsi="Arial" w:cs="Arial"/>
          <w:iCs/>
          <w:color w:val="auto"/>
          <w:lang w:val="en-AU"/>
        </w:rPr>
        <w:t>project approaches in</w:t>
      </w:r>
      <w:r w:rsidRPr="000E4221">
        <w:rPr>
          <w:rFonts w:ascii="Arial" w:hAnsi="Arial" w:cs="Arial"/>
          <w:iCs/>
          <w:color w:val="auto"/>
          <w:lang w:val="en-AU"/>
        </w:rPr>
        <w:t xml:space="preserve"> </w:t>
      </w:r>
      <w:r>
        <w:rPr>
          <w:rFonts w:ascii="Arial" w:hAnsi="Arial" w:cs="Arial"/>
          <w:iCs/>
          <w:color w:val="auto"/>
          <w:lang w:val="en-AU"/>
        </w:rPr>
        <w:t xml:space="preserve">the </w:t>
      </w:r>
      <w:r w:rsidRPr="000E4221">
        <w:rPr>
          <w:rFonts w:ascii="Arial" w:hAnsi="Arial" w:cs="Arial"/>
          <w:iCs/>
          <w:color w:val="auto"/>
          <w:lang w:val="en-AU"/>
        </w:rPr>
        <w:t>support</w:t>
      </w:r>
      <w:r>
        <w:rPr>
          <w:rFonts w:ascii="Arial" w:hAnsi="Arial" w:cs="Arial"/>
          <w:iCs/>
          <w:color w:val="auto"/>
          <w:lang w:val="en-AU"/>
        </w:rPr>
        <w:t xml:space="preserve"> provided to the GoM.</w:t>
      </w:r>
    </w:p>
    <w:p w:rsidR="00D52E5B" w:rsidRPr="00A769DE" w:rsidRDefault="00D52E5B" w:rsidP="00D52E5B">
      <w:pPr>
        <w:pStyle w:val="nm"/>
        <w:spacing w:after="0"/>
        <w:ind w:left="0"/>
        <w:rPr>
          <w:rFonts w:ascii="Arial" w:hAnsi="Arial" w:cs="Arial"/>
          <w:lang w:val="en-AU"/>
        </w:rPr>
      </w:pPr>
      <w:bookmarkStart w:id="62" w:name="_Toc522800486"/>
    </w:p>
    <w:p w:rsidR="000B785F" w:rsidRPr="00A769DE" w:rsidRDefault="00B5401C" w:rsidP="000B785F">
      <w:pPr>
        <w:pStyle w:val="Heading2"/>
        <w:spacing w:before="0" w:after="60"/>
        <w:ind w:left="272" w:hanging="272"/>
        <w:rPr>
          <w:rFonts w:ascii="Arial" w:hAnsi="Arial" w:cs="Arial"/>
          <w:b/>
          <w:bCs/>
          <w:color w:val="auto"/>
          <w:sz w:val="24"/>
          <w:szCs w:val="24"/>
          <w:lang w:val="en-AU"/>
        </w:rPr>
      </w:pPr>
      <w:bookmarkStart w:id="63" w:name="_Toc525930556"/>
      <w:bookmarkStart w:id="64" w:name="_Toc530307606"/>
      <w:r w:rsidRPr="00A769DE">
        <w:rPr>
          <w:rFonts w:ascii="Arial" w:hAnsi="Arial" w:cs="Arial"/>
          <w:b/>
          <w:bCs/>
          <w:color w:val="auto"/>
          <w:sz w:val="24"/>
          <w:szCs w:val="24"/>
          <w:lang w:val="en-AU"/>
        </w:rPr>
        <w:t>4</w:t>
      </w:r>
      <w:r w:rsidR="001B1D38" w:rsidRPr="00A769DE">
        <w:rPr>
          <w:rFonts w:ascii="Arial" w:hAnsi="Arial" w:cs="Arial"/>
          <w:b/>
          <w:bCs/>
          <w:color w:val="auto"/>
          <w:sz w:val="24"/>
          <w:szCs w:val="24"/>
          <w:lang w:val="en-AU"/>
        </w:rPr>
        <w:t>.</w:t>
      </w:r>
      <w:r w:rsidR="00D52E5B">
        <w:rPr>
          <w:rFonts w:ascii="Arial" w:hAnsi="Arial" w:cs="Arial"/>
          <w:b/>
          <w:bCs/>
          <w:color w:val="auto"/>
          <w:sz w:val="24"/>
          <w:szCs w:val="24"/>
          <w:lang w:val="en-AU"/>
        </w:rPr>
        <w:t>3</w:t>
      </w:r>
      <w:r w:rsidR="000B785F" w:rsidRPr="00A769DE">
        <w:rPr>
          <w:rFonts w:ascii="Arial" w:hAnsi="Arial" w:cs="Arial"/>
          <w:b/>
          <w:bCs/>
          <w:color w:val="auto"/>
          <w:sz w:val="24"/>
          <w:szCs w:val="24"/>
          <w:lang w:val="en-AU"/>
        </w:rPr>
        <w:t xml:space="preserve"> Governance</w:t>
      </w:r>
      <w:r w:rsidR="00B71142">
        <w:rPr>
          <w:rFonts w:ascii="Arial" w:hAnsi="Arial" w:cs="Arial"/>
          <w:b/>
          <w:bCs/>
          <w:color w:val="auto"/>
          <w:sz w:val="24"/>
          <w:szCs w:val="24"/>
          <w:lang w:val="en-AU"/>
        </w:rPr>
        <w:t xml:space="preserve"> Arrangements and </w:t>
      </w:r>
      <w:r w:rsidR="000B785F" w:rsidRPr="00A769DE">
        <w:rPr>
          <w:rFonts w:ascii="Arial" w:hAnsi="Arial" w:cs="Arial"/>
          <w:b/>
          <w:bCs/>
          <w:color w:val="auto"/>
          <w:sz w:val="24"/>
          <w:szCs w:val="24"/>
          <w:lang w:val="en-AU"/>
        </w:rPr>
        <w:t>Reporting</w:t>
      </w:r>
      <w:bookmarkEnd w:id="62"/>
      <w:bookmarkEnd w:id="63"/>
      <w:bookmarkEnd w:id="64"/>
    </w:p>
    <w:p w:rsidR="006C756A" w:rsidRPr="00A769DE" w:rsidRDefault="006C756A" w:rsidP="006C756A">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The following conclusions are made regarding the governance</w:t>
      </w:r>
      <w:r w:rsidR="00B71142">
        <w:rPr>
          <w:rFonts w:ascii="Arial" w:hAnsi="Arial" w:cs="Arial"/>
          <w:color w:val="auto"/>
          <w:lang w:val="en-AU"/>
        </w:rPr>
        <w:t xml:space="preserve"> arrangements and</w:t>
      </w:r>
      <w:r w:rsidRPr="00A769DE">
        <w:rPr>
          <w:rFonts w:ascii="Arial" w:hAnsi="Arial" w:cs="Arial"/>
          <w:color w:val="auto"/>
          <w:lang w:val="en-AU"/>
        </w:rPr>
        <w:t xml:space="preserve"> </w:t>
      </w:r>
      <w:r w:rsidR="00B71142">
        <w:rPr>
          <w:rFonts w:ascii="Arial" w:hAnsi="Arial" w:cs="Arial"/>
          <w:color w:val="auto"/>
          <w:lang w:val="en-AU"/>
        </w:rPr>
        <w:t>re</w:t>
      </w:r>
      <w:r w:rsidRPr="00A769DE">
        <w:rPr>
          <w:rFonts w:ascii="Arial" w:hAnsi="Arial" w:cs="Arial"/>
          <w:color w:val="auto"/>
          <w:lang w:val="en-AU"/>
        </w:rPr>
        <w:t>porting of the ICCP:</w:t>
      </w:r>
    </w:p>
    <w:p w:rsidR="006C756A" w:rsidRPr="00A769DE" w:rsidRDefault="006C756A" w:rsidP="006C756A">
      <w:pPr>
        <w:pStyle w:val="ListParagraph"/>
        <w:tabs>
          <w:tab w:val="left" w:pos="357"/>
        </w:tabs>
        <w:spacing w:after="0" w:line="240" w:lineRule="auto"/>
        <w:ind w:left="0"/>
        <w:jc w:val="both"/>
        <w:rPr>
          <w:rFonts w:ascii="Arial" w:hAnsi="Arial" w:cs="Arial"/>
          <w:iCs/>
          <w:color w:val="auto"/>
          <w:lang w:val="en-AU"/>
        </w:rPr>
      </w:pPr>
    </w:p>
    <w:p w:rsidR="00D52E5B" w:rsidRPr="00B71142" w:rsidRDefault="00D52E5B" w:rsidP="005D745B">
      <w:pPr>
        <w:pStyle w:val="ListParagraph"/>
        <w:numPr>
          <w:ilvl w:val="0"/>
          <w:numId w:val="28"/>
        </w:numPr>
        <w:tabs>
          <w:tab w:val="left" w:pos="357"/>
        </w:tabs>
        <w:suppressAutoHyphens w:val="0"/>
        <w:spacing w:before="0" w:after="120" w:line="240" w:lineRule="auto"/>
        <w:ind w:left="360"/>
        <w:contextualSpacing w:val="0"/>
        <w:jc w:val="both"/>
        <w:rPr>
          <w:rFonts w:ascii="Arial" w:hAnsi="Arial" w:cs="Arial"/>
          <w:color w:val="auto"/>
          <w:lang w:val="en-AU"/>
        </w:rPr>
      </w:pPr>
      <w:r w:rsidRPr="00D52E5B">
        <w:rPr>
          <w:rFonts w:ascii="Arial" w:hAnsi="Arial" w:cs="Arial"/>
          <w:iCs/>
          <w:color w:val="auto"/>
          <w:lang w:val="en-AU"/>
        </w:rPr>
        <w:t xml:space="preserve">The </w:t>
      </w:r>
      <w:r w:rsidR="00B71142" w:rsidRPr="00D52E5B">
        <w:rPr>
          <w:rFonts w:ascii="Arial" w:hAnsi="Arial" w:cs="Arial"/>
          <w:iCs/>
          <w:color w:val="auto"/>
          <w:lang w:val="en-AU"/>
        </w:rPr>
        <w:t xml:space="preserve">tasks and responsibilities </w:t>
      </w:r>
      <w:r w:rsidR="00B71142">
        <w:rPr>
          <w:rFonts w:ascii="Arial" w:hAnsi="Arial" w:cs="Arial"/>
          <w:iCs/>
          <w:color w:val="auto"/>
          <w:lang w:val="en-AU"/>
        </w:rPr>
        <w:t xml:space="preserve">of the </w:t>
      </w:r>
      <w:r w:rsidR="00A10AD6" w:rsidRPr="00A10AD6">
        <w:rPr>
          <w:rFonts w:ascii="Arial" w:hAnsi="Arial" w:cs="Arial"/>
          <w:iCs/>
          <w:color w:val="auto"/>
          <w:lang w:val="en-AU"/>
        </w:rPr>
        <w:t xml:space="preserve">Myanmar Partnership </w:t>
      </w:r>
      <w:r w:rsidR="004962DF" w:rsidRPr="00D52E5B">
        <w:rPr>
          <w:rFonts w:ascii="Arial" w:hAnsi="Arial" w:cs="Arial"/>
          <w:iCs/>
          <w:color w:val="auto"/>
          <w:lang w:val="en-AU"/>
        </w:rPr>
        <w:t xml:space="preserve">MDTF Steering Committee </w:t>
      </w:r>
      <w:r w:rsidR="00B71142">
        <w:rPr>
          <w:rFonts w:ascii="Arial" w:hAnsi="Arial" w:cs="Arial"/>
          <w:iCs/>
          <w:color w:val="auto"/>
          <w:lang w:val="en-AU"/>
        </w:rPr>
        <w:t xml:space="preserve">and the </w:t>
      </w:r>
      <w:r w:rsidR="004962DF" w:rsidRPr="00D52E5B">
        <w:rPr>
          <w:rFonts w:ascii="Arial" w:hAnsi="Arial" w:cs="Arial"/>
          <w:iCs/>
          <w:color w:val="auto"/>
          <w:lang w:val="en-AU"/>
        </w:rPr>
        <w:t xml:space="preserve">ICCP </w:t>
      </w:r>
      <w:r w:rsidR="004962DF">
        <w:rPr>
          <w:rFonts w:ascii="Arial" w:hAnsi="Arial" w:cs="Arial"/>
          <w:iCs/>
          <w:color w:val="auto"/>
          <w:lang w:val="en-AU"/>
        </w:rPr>
        <w:t xml:space="preserve">quarterly forum </w:t>
      </w:r>
      <w:r w:rsidRPr="00D52E5B">
        <w:rPr>
          <w:rFonts w:ascii="Arial" w:hAnsi="Arial" w:cs="Arial"/>
          <w:iCs/>
          <w:color w:val="auto"/>
          <w:lang w:val="en-AU"/>
        </w:rPr>
        <w:t>lack a cle</w:t>
      </w:r>
      <w:r w:rsidR="00B71142">
        <w:rPr>
          <w:rFonts w:ascii="Arial" w:hAnsi="Arial" w:cs="Arial"/>
          <w:iCs/>
          <w:color w:val="auto"/>
          <w:lang w:val="en-AU"/>
        </w:rPr>
        <w:t>ar delineation</w:t>
      </w:r>
      <w:r w:rsidR="004962DF">
        <w:rPr>
          <w:rFonts w:ascii="Arial" w:hAnsi="Arial" w:cs="Arial"/>
          <w:iCs/>
          <w:color w:val="auto"/>
          <w:lang w:val="en-AU"/>
        </w:rPr>
        <w:t xml:space="preserve"> and thus overlap somewhat</w:t>
      </w:r>
      <w:r w:rsidRPr="00D52E5B">
        <w:rPr>
          <w:rFonts w:ascii="Arial" w:hAnsi="Arial" w:cs="Arial"/>
          <w:iCs/>
          <w:color w:val="auto"/>
          <w:lang w:val="en-AU"/>
        </w:rPr>
        <w:t>.</w:t>
      </w:r>
      <w:r w:rsidR="00F62967">
        <w:rPr>
          <w:rFonts w:ascii="Arial" w:hAnsi="Arial" w:cs="Arial"/>
          <w:iCs/>
          <w:color w:val="auto"/>
          <w:lang w:val="en-AU"/>
        </w:rPr>
        <w:t xml:space="preserve"> While formally the </w:t>
      </w:r>
      <w:r w:rsidR="004962DF">
        <w:rPr>
          <w:rFonts w:ascii="Arial" w:hAnsi="Arial" w:cs="Arial"/>
          <w:iCs/>
          <w:color w:val="auto"/>
          <w:lang w:val="en-AU"/>
        </w:rPr>
        <w:t xml:space="preserve">former </w:t>
      </w:r>
      <w:r w:rsidR="00F62967">
        <w:rPr>
          <w:rFonts w:ascii="Arial" w:hAnsi="Arial" w:cs="Arial"/>
          <w:iCs/>
          <w:color w:val="auto"/>
          <w:lang w:val="en-AU"/>
        </w:rPr>
        <w:t xml:space="preserve">is the main decision-making body for the ICCP, in actual terms decisions are made </w:t>
      </w:r>
      <w:r w:rsidR="004962DF">
        <w:rPr>
          <w:rFonts w:ascii="Arial" w:hAnsi="Arial" w:cs="Arial"/>
          <w:iCs/>
          <w:color w:val="auto"/>
          <w:lang w:val="en-AU"/>
        </w:rPr>
        <w:t>by the latter</w:t>
      </w:r>
      <w:r w:rsidR="00F62967">
        <w:rPr>
          <w:rFonts w:ascii="Arial" w:hAnsi="Arial" w:cs="Arial"/>
          <w:iCs/>
          <w:color w:val="auto"/>
          <w:lang w:val="en-AU"/>
        </w:rPr>
        <w:t>.</w:t>
      </w:r>
    </w:p>
    <w:p w:rsidR="00B71142" w:rsidRPr="00B71142" w:rsidRDefault="00B71142"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color w:val="auto"/>
          <w:lang w:val="en-AU"/>
        </w:rPr>
      </w:pPr>
      <w:r>
        <w:rPr>
          <w:rFonts w:ascii="Arial" w:hAnsi="Arial" w:cs="Arial"/>
          <w:color w:val="auto"/>
          <w:lang w:val="en-AU"/>
        </w:rPr>
        <w:lastRenderedPageBreak/>
        <w:t xml:space="preserve">It does not appear that the </w:t>
      </w:r>
      <w:r w:rsidR="00A10AD6" w:rsidRPr="00A10AD6">
        <w:rPr>
          <w:rFonts w:ascii="Arial" w:hAnsi="Arial" w:cs="Arial"/>
          <w:iCs/>
          <w:color w:val="auto"/>
          <w:lang w:val="en-AU"/>
        </w:rPr>
        <w:t xml:space="preserve">Myanmar Partnership </w:t>
      </w:r>
      <w:r w:rsidRPr="00B71142">
        <w:rPr>
          <w:rFonts w:ascii="Arial" w:hAnsi="Arial" w:cs="Arial"/>
          <w:iCs/>
          <w:color w:val="auto"/>
          <w:lang w:val="en-AU"/>
        </w:rPr>
        <w:t xml:space="preserve">MDTF Steering Committee </w:t>
      </w:r>
      <w:r>
        <w:rPr>
          <w:rFonts w:ascii="Arial" w:hAnsi="Arial" w:cs="Arial"/>
          <w:iCs/>
          <w:color w:val="auto"/>
          <w:lang w:val="en-AU"/>
        </w:rPr>
        <w:t>is providing strategic guidance or general oversight to the ICCP, hence it does not add value to the PSD process.</w:t>
      </w:r>
    </w:p>
    <w:p w:rsidR="00F62967" w:rsidRPr="00F62967" w:rsidRDefault="00F62967"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color w:val="auto"/>
          <w:lang w:val="en-AU"/>
        </w:rPr>
      </w:pPr>
      <w:r>
        <w:rPr>
          <w:rFonts w:ascii="Arial" w:hAnsi="Arial" w:cs="Arial"/>
          <w:color w:val="auto"/>
          <w:lang w:val="en-AU"/>
        </w:rPr>
        <w:t xml:space="preserve">The role and responsibilities of the IFC’s ICCP Coordinator have not been discussed </w:t>
      </w:r>
      <w:r w:rsidR="00BF2F11">
        <w:rPr>
          <w:rFonts w:ascii="Arial" w:hAnsi="Arial" w:cs="Arial"/>
          <w:color w:val="auto"/>
          <w:lang w:val="en-AU"/>
        </w:rPr>
        <w:t>or</w:t>
      </w:r>
      <w:r>
        <w:rPr>
          <w:rFonts w:ascii="Arial" w:hAnsi="Arial" w:cs="Arial"/>
          <w:color w:val="auto"/>
          <w:lang w:val="en-AU"/>
        </w:rPr>
        <w:t xml:space="preserve"> formally defined, which may have contributed to the lack of a program management focus in the ICCP.</w:t>
      </w:r>
    </w:p>
    <w:p w:rsidR="00D52E5B" w:rsidRPr="00D52E5B" w:rsidRDefault="00F62967" w:rsidP="005D745B">
      <w:pPr>
        <w:pStyle w:val="ListParagraph"/>
        <w:numPr>
          <w:ilvl w:val="0"/>
          <w:numId w:val="28"/>
        </w:numPr>
        <w:tabs>
          <w:tab w:val="left" w:pos="357"/>
        </w:tabs>
        <w:suppressAutoHyphens w:val="0"/>
        <w:spacing w:after="0" w:line="240" w:lineRule="auto"/>
        <w:ind w:left="360"/>
        <w:contextualSpacing w:val="0"/>
        <w:jc w:val="both"/>
        <w:rPr>
          <w:rFonts w:ascii="Arial" w:hAnsi="Arial" w:cs="Arial"/>
          <w:color w:val="auto"/>
          <w:lang w:val="en-AU"/>
        </w:rPr>
      </w:pPr>
      <w:r>
        <w:rPr>
          <w:rFonts w:ascii="Arial" w:hAnsi="Arial" w:cs="Arial"/>
          <w:iCs/>
          <w:color w:val="auto"/>
          <w:lang w:val="en-AU"/>
        </w:rPr>
        <w:t>The ICCP progress r</w:t>
      </w:r>
      <w:r w:rsidR="00D52E5B" w:rsidRPr="00D52E5B">
        <w:rPr>
          <w:rFonts w:ascii="Arial" w:hAnsi="Arial" w:cs="Arial"/>
          <w:iCs/>
          <w:color w:val="auto"/>
          <w:lang w:val="en-AU"/>
        </w:rPr>
        <w:t xml:space="preserve">eporting has been solely project-oriented (due to the lack of a program-focus) </w:t>
      </w:r>
      <w:r>
        <w:rPr>
          <w:rFonts w:ascii="Arial" w:hAnsi="Arial" w:cs="Arial"/>
          <w:iCs/>
          <w:color w:val="auto"/>
          <w:lang w:val="en-AU"/>
        </w:rPr>
        <w:t xml:space="preserve">and </w:t>
      </w:r>
      <w:r w:rsidR="00D52E5B" w:rsidRPr="00D52E5B">
        <w:rPr>
          <w:rFonts w:ascii="Arial" w:hAnsi="Arial" w:cs="Arial"/>
          <w:iCs/>
          <w:color w:val="auto"/>
          <w:lang w:val="en-AU"/>
        </w:rPr>
        <w:t xml:space="preserve">with quarterly reports that </w:t>
      </w:r>
      <w:r>
        <w:rPr>
          <w:rFonts w:ascii="Arial" w:hAnsi="Arial" w:cs="Arial"/>
          <w:iCs/>
          <w:color w:val="auto"/>
          <w:lang w:val="en-AU"/>
        </w:rPr>
        <w:t xml:space="preserve">do not provide a clear and systematic overview of technical </w:t>
      </w:r>
      <w:r w:rsidR="004962DF">
        <w:rPr>
          <w:rFonts w:ascii="Arial" w:hAnsi="Arial" w:cs="Arial"/>
          <w:iCs/>
          <w:color w:val="auto"/>
          <w:lang w:val="en-AU"/>
        </w:rPr>
        <w:t>delivery and financial progress vis-à-vis plans.</w:t>
      </w:r>
    </w:p>
    <w:p w:rsidR="007241DD" w:rsidRDefault="007241DD" w:rsidP="006C756A">
      <w:pPr>
        <w:pStyle w:val="ListParagraph"/>
        <w:tabs>
          <w:tab w:val="left" w:pos="357"/>
        </w:tabs>
        <w:spacing w:after="0" w:line="240" w:lineRule="auto"/>
        <w:ind w:left="0"/>
        <w:jc w:val="both"/>
        <w:rPr>
          <w:rFonts w:ascii="Arial" w:hAnsi="Arial" w:cs="Arial"/>
          <w:iCs/>
          <w:color w:val="auto"/>
          <w:lang w:val="en-AU"/>
        </w:rPr>
      </w:pPr>
    </w:p>
    <w:p w:rsidR="00D52E5B" w:rsidRPr="00A769DE" w:rsidRDefault="00D52E5B" w:rsidP="00D52E5B">
      <w:pPr>
        <w:pStyle w:val="Heading2"/>
        <w:spacing w:before="0" w:after="60"/>
        <w:ind w:left="272" w:hanging="272"/>
        <w:rPr>
          <w:rFonts w:ascii="Arial" w:hAnsi="Arial" w:cs="Arial"/>
          <w:b/>
          <w:bCs/>
          <w:color w:val="auto"/>
          <w:sz w:val="24"/>
          <w:szCs w:val="24"/>
          <w:lang w:val="en-AU"/>
        </w:rPr>
      </w:pPr>
      <w:bookmarkStart w:id="65" w:name="_Toc522800485"/>
      <w:bookmarkStart w:id="66" w:name="_Toc525930557"/>
      <w:bookmarkStart w:id="67" w:name="_Toc530307607"/>
      <w:r w:rsidRPr="00A769DE">
        <w:rPr>
          <w:rFonts w:ascii="Arial" w:hAnsi="Arial" w:cs="Arial"/>
          <w:b/>
          <w:bCs/>
          <w:color w:val="auto"/>
          <w:sz w:val="24"/>
          <w:szCs w:val="24"/>
          <w:lang w:val="en-AU"/>
        </w:rPr>
        <w:t>4.</w:t>
      </w:r>
      <w:r>
        <w:rPr>
          <w:rFonts w:ascii="Arial" w:hAnsi="Arial" w:cs="Arial"/>
          <w:b/>
          <w:bCs/>
          <w:color w:val="auto"/>
          <w:sz w:val="24"/>
          <w:szCs w:val="24"/>
          <w:lang w:val="en-AU"/>
        </w:rPr>
        <w:t>4</w:t>
      </w:r>
      <w:r w:rsidRPr="00A769DE">
        <w:rPr>
          <w:rFonts w:ascii="Arial" w:hAnsi="Arial" w:cs="Arial"/>
          <w:b/>
          <w:bCs/>
          <w:color w:val="auto"/>
          <w:sz w:val="24"/>
          <w:szCs w:val="24"/>
          <w:lang w:val="en-AU"/>
        </w:rPr>
        <w:t xml:space="preserve"> Gender </w:t>
      </w:r>
      <w:bookmarkEnd w:id="65"/>
      <w:r w:rsidRPr="00A769DE">
        <w:rPr>
          <w:rFonts w:ascii="Arial" w:hAnsi="Arial" w:cs="Arial"/>
          <w:b/>
          <w:bCs/>
          <w:color w:val="auto"/>
          <w:sz w:val="24"/>
          <w:szCs w:val="24"/>
          <w:lang w:val="en-AU"/>
        </w:rPr>
        <w:t>Mainstreaming</w:t>
      </w:r>
      <w:bookmarkEnd w:id="66"/>
      <w:bookmarkEnd w:id="67"/>
    </w:p>
    <w:p w:rsidR="00D52E5B" w:rsidRPr="00A769DE" w:rsidRDefault="00D52E5B" w:rsidP="00D52E5B">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The following conclusions are made regarding the gender mainstreaming aspects of the ICCP:</w:t>
      </w:r>
    </w:p>
    <w:p w:rsidR="00D52E5B" w:rsidRPr="00A769DE" w:rsidRDefault="00D52E5B" w:rsidP="00D52E5B">
      <w:pPr>
        <w:pStyle w:val="ListParagraph"/>
        <w:tabs>
          <w:tab w:val="left" w:pos="357"/>
        </w:tabs>
        <w:spacing w:after="0" w:line="240" w:lineRule="auto"/>
        <w:ind w:left="0"/>
        <w:jc w:val="both"/>
        <w:rPr>
          <w:rFonts w:ascii="Arial" w:hAnsi="Arial" w:cs="Arial"/>
          <w:iCs/>
          <w:color w:val="auto"/>
          <w:lang w:val="en-AU"/>
        </w:rPr>
      </w:pPr>
    </w:p>
    <w:p w:rsidR="00244E74" w:rsidRPr="00244E74" w:rsidRDefault="00244E74" w:rsidP="005D745B">
      <w:pPr>
        <w:pStyle w:val="ListParagraph"/>
        <w:numPr>
          <w:ilvl w:val="0"/>
          <w:numId w:val="28"/>
        </w:numPr>
        <w:tabs>
          <w:tab w:val="left" w:pos="357"/>
        </w:tabs>
        <w:suppressAutoHyphens w:val="0"/>
        <w:spacing w:before="0" w:after="120" w:line="240" w:lineRule="auto"/>
        <w:ind w:left="360"/>
        <w:contextualSpacing w:val="0"/>
        <w:jc w:val="both"/>
        <w:rPr>
          <w:rFonts w:ascii="Arial" w:hAnsi="Arial" w:cs="Arial"/>
          <w:iCs/>
          <w:color w:val="auto"/>
          <w:lang w:val="en-AU"/>
        </w:rPr>
      </w:pPr>
      <w:r>
        <w:rPr>
          <w:rFonts w:ascii="Arial" w:hAnsi="Arial" w:cs="Arial"/>
          <w:color w:val="auto"/>
          <w:lang w:val="en-AU"/>
        </w:rPr>
        <w:t xml:space="preserve">Considerations about </w:t>
      </w:r>
      <w:r w:rsidR="00BA39AE" w:rsidRPr="00244E74">
        <w:rPr>
          <w:rFonts w:ascii="Arial" w:hAnsi="Arial" w:cs="Arial"/>
          <w:color w:val="auto"/>
          <w:lang w:val="en-AU"/>
        </w:rPr>
        <w:t xml:space="preserve">gender equity </w:t>
      </w:r>
      <w:r>
        <w:rPr>
          <w:rFonts w:ascii="Arial" w:hAnsi="Arial" w:cs="Arial"/>
          <w:color w:val="auto"/>
          <w:lang w:val="en-AU"/>
        </w:rPr>
        <w:t xml:space="preserve">were wholly absent when the ICCP was initially conceptualised, </w:t>
      </w:r>
      <w:r w:rsidR="00BA39AE" w:rsidRPr="00244E74">
        <w:rPr>
          <w:rFonts w:ascii="Arial" w:hAnsi="Arial" w:cs="Arial"/>
          <w:color w:val="auto"/>
          <w:lang w:val="en-AU"/>
        </w:rPr>
        <w:t xml:space="preserve">and </w:t>
      </w:r>
      <w:r>
        <w:rPr>
          <w:rFonts w:ascii="Arial" w:hAnsi="Arial" w:cs="Arial"/>
          <w:color w:val="auto"/>
          <w:lang w:val="en-AU"/>
        </w:rPr>
        <w:t xml:space="preserve">efforts by DFAT </w:t>
      </w:r>
      <w:r w:rsidR="00BF2F11">
        <w:rPr>
          <w:rFonts w:ascii="Arial" w:hAnsi="Arial" w:cs="Arial"/>
          <w:color w:val="auto"/>
          <w:lang w:val="en-AU"/>
        </w:rPr>
        <w:t>for</w:t>
      </w:r>
      <w:r>
        <w:rPr>
          <w:rFonts w:ascii="Arial" w:hAnsi="Arial" w:cs="Arial"/>
          <w:color w:val="auto"/>
          <w:lang w:val="en-AU"/>
        </w:rPr>
        <w:t xml:space="preserve"> such a focus </w:t>
      </w:r>
      <w:r w:rsidR="00BF2F11">
        <w:rPr>
          <w:rFonts w:ascii="Arial" w:hAnsi="Arial" w:cs="Arial"/>
          <w:color w:val="auto"/>
          <w:lang w:val="en-AU"/>
        </w:rPr>
        <w:t xml:space="preserve">to be </w:t>
      </w:r>
      <w:r>
        <w:rPr>
          <w:rFonts w:ascii="Arial" w:hAnsi="Arial" w:cs="Arial"/>
          <w:color w:val="auto"/>
          <w:lang w:val="en-AU"/>
        </w:rPr>
        <w:t>developed has been challenging and time-consuming, but eventually successful.</w:t>
      </w:r>
    </w:p>
    <w:p w:rsidR="008838FE" w:rsidRPr="008838FE" w:rsidRDefault="00244E74"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iCs/>
          <w:color w:val="auto"/>
          <w:lang w:val="en-AU"/>
        </w:rPr>
      </w:pPr>
      <w:r>
        <w:rPr>
          <w:rFonts w:ascii="Arial" w:hAnsi="Arial" w:cs="Arial"/>
          <w:color w:val="auto"/>
          <w:lang w:val="en-AU"/>
        </w:rPr>
        <w:t xml:space="preserve">It is not clear to which extent recommendations made to </w:t>
      </w:r>
      <w:r w:rsidR="00BA39AE" w:rsidRPr="00244E74">
        <w:rPr>
          <w:rFonts w:ascii="Arial" w:hAnsi="Arial" w:cs="Arial"/>
          <w:color w:val="auto"/>
          <w:lang w:val="en-AU"/>
        </w:rPr>
        <w:t xml:space="preserve">DFAT </w:t>
      </w:r>
      <w:r>
        <w:rPr>
          <w:rFonts w:ascii="Arial" w:hAnsi="Arial" w:cs="Arial"/>
          <w:color w:val="auto"/>
          <w:lang w:val="en-AU"/>
        </w:rPr>
        <w:t xml:space="preserve">and the ICCP </w:t>
      </w:r>
      <w:r w:rsidR="00BA39AE" w:rsidRPr="00244E74">
        <w:rPr>
          <w:rFonts w:ascii="Arial" w:hAnsi="Arial" w:cs="Arial"/>
          <w:color w:val="auto"/>
          <w:lang w:val="en-AU"/>
        </w:rPr>
        <w:t xml:space="preserve">in </w:t>
      </w:r>
      <w:r>
        <w:rPr>
          <w:rFonts w:ascii="Arial" w:hAnsi="Arial" w:cs="Arial"/>
          <w:color w:val="auto"/>
          <w:lang w:val="en-AU"/>
        </w:rPr>
        <w:t>a</w:t>
      </w:r>
      <w:r w:rsidR="00BA39AE" w:rsidRPr="00244E74">
        <w:rPr>
          <w:rFonts w:ascii="Arial" w:hAnsi="Arial" w:cs="Arial"/>
          <w:color w:val="auto"/>
          <w:lang w:val="en-AU"/>
        </w:rPr>
        <w:t xml:space="preserve"> 2016</w:t>
      </w:r>
      <w:r>
        <w:rPr>
          <w:rFonts w:ascii="Arial" w:hAnsi="Arial" w:cs="Arial"/>
          <w:color w:val="auto"/>
          <w:lang w:val="en-AU"/>
        </w:rPr>
        <w:t xml:space="preserve"> g</w:t>
      </w:r>
      <w:r w:rsidR="00BA39AE" w:rsidRPr="00244E74">
        <w:rPr>
          <w:rFonts w:ascii="Arial" w:hAnsi="Arial" w:cs="Arial"/>
          <w:color w:val="auto"/>
          <w:lang w:val="en-AU"/>
        </w:rPr>
        <w:t>ender assessment report</w:t>
      </w:r>
      <w:r w:rsidR="008838FE">
        <w:rPr>
          <w:rFonts w:ascii="Arial" w:hAnsi="Arial" w:cs="Arial"/>
          <w:color w:val="auto"/>
          <w:lang w:val="en-AU"/>
        </w:rPr>
        <w:t xml:space="preserve"> have been fully implemented.</w:t>
      </w:r>
    </w:p>
    <w:p w:rsidR="008838FE" w:rsidRDefault="008838FE"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color w:val="auto"/>
          <w:lang w:val="en-AU"/>
        </w:rPr>
      </w:pPr>
      <w:r>
        <w:rPr>
          <w:rFonts w:ascii="Arial" w:hAnsi="Arial" w:cs="Arial"/>
          <w:color w:val="auto"/>
          <w:lang w:val="en-AU"/>
        </w:rPr>
        <w:t>A</w:t>
      </w:r>
      <w:r w:rsidR="00BA39AE" w:rsidRPr="008838FE">
        <w:rPr>
          <w:rFonts w:ascii="Arial" w:hAnsi="Arial" w:cs="Arial"/>
          <w:color w:val="auto"/>
          <w:lang w:val="en-AU"/>
        </w:rPr>
        <w:t xml:space="preserve"> Yangon-based Gender Operations Officer, funded by DFAT and DFID, </w:t>
      </w:r>
      <w:r>
        <w:rPr>
          <w:rFonts w:ascii="Arial" w:hAnsi="Arial" w:cs="Arial"/>
          <w:color w:val="auto"/>
          <w:lang w:val="en-AU"/>
        </w:rPr>
        <w:t xml:space="preserve">has been </w:t>
      </w:r>
      <w:r w:rsidR="00BA39AE" w:rsidRPr="008838FE">
        <w:rPr>
          <w:rFonts w:ascii="Arial" w:hAnsi="Arial" w:cs="Arial"/>
          <w:color w:val="auto"/>
          <w:lang w:val="en-AU"/>
        </w:rPr>
        <w:t xml:space="preserve">in </w:t>
      </w:r>
      <w:r w:rsidR="00150EB4">
        <w:rPr>
          <w:rFonts w:ascii="Arial" w:hAnsi="Arial" w:cs="Arial"/>
          <w:color w:val="auto"/>
          <w:lang w:val="en-AU"/>
        </w:rPr>
        <w:t xml:space="preserve">place </w:t>
      </w:r>
      <w:r>
        <w:rPr>
          <w:rFonts w:ascii="Arial" w:hAnsi="Arial" w:cs="Arial"/>
          <w:color w:val="auto"/>
          <w:lang w:val="en-AU"/>
        </w:rPr>
        <w:t xml:space="preserve">since </w:t>
      </w:r>
      <w:r w:rsidR="00BA39AE" w:rsidRPr="008838FE">
        <w:rPr>
          <w:rFonts w:ascii="Arial" w:hAnsi="Arial" w:cs="Arial"/>
          <w:color w:val="auto"/>
          <w:lang w:val="en-AU"/>
        </w:rPr>
        <w:t>November 2017</w:t>
      </w:r>
      <w:r>
        <w:rPr>
          <w:rFonts w:ascii="Arial" w:hAnsi="Arial" w:cs="Arial"/>
          <w:color w:val="auto"/>
          <w:lang w:val="en-AU"/>
        </w:rPr>
        <w:t>, which has resulted in a number of gender-related activities being initiated.</w:t>
      </w:r>
    </w:p>
    <w:p w:rsidR="00BA39AE" w:rsidRPr="008838FE" w:rsidRDefault="008838FE" w:rsidP="005D745B">
      <w:pPr>
        <w:pStyle w:val="ListParagraph"/>
        <w:numPr>
          <w:ilvl w:val="0"/>
          <w:numId w:val="28"/>
        </w:numPr>
        <w:tabs>
          <w:tab w:val="left" w:pos="357"/>
        </w:tabs>
        <w:suppressAutoHyphens w:val="0"/>
        <w:spacing w:after="0" w:line="240" w:lineRule="auto"/>
        <w:ind w:left="360"/>
        <w:contextualSpacing w:val="0"/>
        <w:jc w:val="both"/>
        <w:rPr>
          <w:rFonts w:ascii="Arial" w:hAnsi="Arial" w:cs="Arial"/>
          <w:color w:val="auto"/>
          <w:lang w:val="en-AU"/>
        </w:rPr>
      </w:pPr>
      <w:r>
        <w:rPr>
          <w:rFonts w:ascii="Arial" w:hAnsi="Arial" w:cs="Arial"/>
          <w:color w:val="auto"/>
          <w:lang w:val="en-AU"/>
        </w:rPr>
        <w:t xml:space="preserve">However, </w:t>
      </w:r>
      <w:r w:rsidR="00BA39AE" w:rsidRPr="008838FE">
        <w:rPr>
          <w:rFonts w:ascii="Arial" w:hAnsi="Arial" w:cs="Arial"/>
          <w:color w:val="auto"/>
          <w:lang w:val="en-AU"/>
        </w:rPr>
        <w:t xml:space="preserve">gender </w:t>
      </w:r>
      <w:r>
        <w:rPr>
          <w:rFonts w:ascii="Arial" w:hAnsi="Arial" w:cs="Arial"/>
          <w:color w:val="auto"/>
          <w:lang w:val="en-AU"/>
        </w:rPr>
        <w:t xml:space="preserve">remains to be </w:t>
      </w:r>
      <w:r w:rsidR="00BA39AE" w:rsidRPr="008838FE">
        <w:rPr>
          <w:rFonts w:ascii="Arial" w:hAnsi="Arial" w:cs="Arial"/>
          <w:color w:val="auto"/>
          <w:lang w:val="en-AU"/>
        </w:rPr>
        <w:t xml:space="preserve">included as a </w:t>
      </w:r>
      <w:r w:rsidR="00E15A9B" w:rsidRPr="008838FE">
        <w:rPr>
          <w:rFonts w:ascii="Arial" w:hAnsi="Arial" w:cs="Arial"/>
          <w:color w:val="auto"/>
          <w:lang w:val="en-AU"/>
        </w:rPr>
        <w:t>crosscutting</w:t>
      </w:r>
      <w:r w:rsidR="00BA39AE" w:rsidRPr="008838FE">
        <w:rPr>
          <w:rFonts w:ascii="Arial" w:hAnsi="Arial" w:cs="Arial"/>
          <w:color w:val="auto"/>
          <w:lang w:val="en-AU"/>
        </w:rPr>
        <w:t xml:space="preserve"> </w:t>
      </w:r>
      <w:r>
        <w:rPr>
          <w:rFonts w:ascii="Arial" w:hAnsi="Arial" w:cs="Arial"/>
          <w:color w:val="auto"/>
          <w:lang w:val="en-AU"/>
        </w:rPr>
        <w:t>theme</w:t>
      </w:r>
      <w:r w:rsidR="00BA39AE" w:rsidRPr="008838FE">
        <w:rPr>
          <w:rFonts w:ascii="Arial" w:hAnsi="Arial" w:cs="Arial"/>
          <w:color w:val="auto"/>
          <w:lang w:val="en-AU"/>
        </w:rPr>
        <w:t xml:space="preserve"> in the quarterly </w:t>
      </w:r>
      <w:r w:rsidRPr="008838FE">
        <w:rPr>
          <w:rFonts w:ascii="Arial" w:hAnsi="Arial" w:cs="Arial"/>
          <w:color w:val="auto"/>
          <w:lang w:val="en-AU"/>
        </w:rPr>
        <w:t xml:space="preserve">ICCP </w:t>
      </w:r>
      <w:r>
        <w:rPr>
          <w:rFonts w:ascii="Arial" w:hAnsi="Arial" w:cs="Arial"/>
          <w:color w:val="auto"/>
          <w:lang w:val="en-AU"/>
        </w:rPr>
        <w:t xml:space="preserve">reports, </w:t>
      </w:r>
      <w:r w:rsidR="00BA39AE" w:rsidRPr="008838FE">
        <w:rPr>
          <w:rFonts w:ascii="Arial" w:hAnsi="Arial" w:cs="Arial"/>
          <w:color w:val="auto"/>
          <w:lang w:val="en-AU"/>
        </w:rPr>
        <w:t>and</w:t>
      </w:r>
      <w:r>
        <w:rPr>
          <w:rFonts w:ascii="Arial" w:hAnsi="Arial" w:cs="Arial"/>
          <w:color w:val="auto"/>
          <w:lang w:val="en-AU"/>
        </w:rPr>
        <w:t xml:space="preserve"> </w:t>
      </w:r>
      <w:r w:rsidR="00BA39AE" w:rsidRPr="008838FE">
        <w:rPr>
          <w:rFonts w:ascii="Arial" w:hAnsi="Arial" w:cs="Arial"/>
          <w:color w:val="auto"/>
          <w:lang w:val="en-AU"/>
        </w:rPr>
        <w:t xml:space="preserve">the Gender Operations Officer </w:t>
      </w:r>
      <w:r>
        <w:rPr>
          <w:rFonts w:ascii="Arial" w:hAnsi="Arial" w:cs="Arial"/>
          <w:color w:val="auto"/>
          <w:lang w:val="en-AU"/>
        </w:rPr>
        <w:t xml:space="preserve">is yet to </w:t>
      </w:r>
      <w:r w:rsidR="00BA39AE" w:rsidRPr="008838FE">
        <w:rPr>
          <w:rFonts w:ascii="Arial" w:hAnsi="Arial" w:cs="Arial"/>
          <w:color w:val="auto"/>
          <w:lang w:val="en-AU"/>
        </w:rPr>
        <w:t>regular</w:t>
      </w:r>
      <w:r>
        <w:rPr>
          <w:rFonts w:ascii="Arial" w:hAnsi="Arial" w:cs="Arial"/>
          <w:color w:val="auto"/>
          <w:lang w:val="en-AU"/>
        </w:rPr>
        <w:t>ly</w:t>
      </w:r>
      <w:r w:rsidR="00BA39AE" w:rsidRPr="008838FE">
        <w:rPr>
          <w:rFonts w:ascii="Arial" w:hAnsi="Arial" w:cs="Arial"/>
          <w:color w:val="auto"/>
          <w:lang w:val="en-AU"/>
        </w:rPr>
        <w:t xml:space="preserve"> </w:t>
      </w:r>
      <w:r>
        <w:rPr>
          <w:rFonts w:ascii="Arial" w:hAnsi="Arial" w:cs="Arial"/>
          <w:color w:val="auto"/>
          <w:lang w:val="en-AU"/>
        </w:rPr>
        <w:t>join th</w:t>
      </w:r>
      <w:r w:rsidR="00BA39AE" w:rsidRPr="008838FE">
        <w:rPr>
          <w:rFonts w:ascii="Arial" w:hAnsi="Arial" w:cs="Arial"/>
          <w:color w:val="auto"/>
          <w:lang w:val="en-AU"/>
        </w:rPr>
        <w:t>e quarterly meetings.</w:t>
      </w:r>
    </w:p>
    <w:p w:rsidR="00965890" w:rsidRPr="00A769DE" w:rsidRDefault="00965890" w:rsidP="00D52E5B">
      <w:pPr>
        <w:pStyle w:val="nm"/>
        <w:spacing w:after="0"/>
        <w:ind w:left="0"/>
        <w:rPr>
          <w:rFonts w:ascii="Arial" w:hAnsi="Arial" w:cs="Arial"/>
          <w:lang w:val="en-AU"/>
        </w:rPr>
      </w:pPr>
    </w:p>
    <w:p w:rsidR="007241DD" w:rsidRPr="00A769DE" w:rsidRDefault="007241DD" w:rsidP="007241DD">
      <w:pPr>
        <w:pStyle w:val="Heading2"/>
        <w:spacing w:before="0" w:after="60"/>
        <w:ind w:left="272" w:hanging="272"/>
        <w:rPr>
          <w:rFonts w:ascii="Arial" w:hAnsi="Arial" w:cs="Arial"/>
          <w:b/>
          <w:bCs/>
          <w:color w:val="auto"/>
          <w:sz w:val="24"/>
          <w:szCs w:val="24"/>
          <w:lang w:val="en-AU"/>
        </w:rPr>
      </w:pPr>
      <w:bookmarkStart w:id="68" w:name="_Toc525930558"/>
      <w:bookmarkStart w:id="69" w:name="_Toc530307608"/>
      <w:r w:rsidRPr="00A769DE">
        <w:rPr>
          <w:rFonts w:ascii="Arial" w:hAnsi="Arial" w:cs="Arial"/>
          <w:b/>
          <w:bCs/>
          <w:color w:val="auto"/>
          <w:sz w:val="24"/>
          <w:szCs w:val="24"/>
          <w:lang w:val="en-AU"/>
        </w:rPr>
        <w:t>4.</w:t>
      </w:r>
      <w:r>
        <w:rPr>
          <w:rFonts w:ascii="Arial" w:hAnsi="Arial" w:cs="Arial"/>
          <w:b/>
          <w:bCs/>
          <w:color w:val="auto"/>
          <w:sz w:val="24"/>
          <w:szCs w:val="24"/>
          <w:lang w:val="en-AU"/>
        </w:rPr>
        <w:t>5</w:t>
      </w:r>
      <w:r w:rsidRPr="00A769DE">
        <w:rPr>
          <w:rFonts w:ascii="Arial" w:hAnsi="Arial" w:cs="Arial"/>
          <w:b/>
          <w:bCs/>
          <w:color w:val="auto"/>
          <w:sz w:val="24"/>
          <w:szCs w:val="24"/>
          <w:lang w:val="en-AU"/>
        </w:rPr>
        <w:t xml:space="preserve"> Relationship with the IFC and Branding</w:t>
      </w:r>
      <w:bookmarkEnd w:id="68"/>
      <w:bookmarkEnd w:id="69"/>
    </w:p>
    <w:p w:rsidR="007241DD" w:rsidRPr="00A769DE" w:rsidRDefault="007241DD" w:rsidP="007241DD">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 xml:space="preserve">The following conclusions are made regarding the </w:t>
      </w:r>
      <w:r>
        <w:rPr>
          <w:rFonts w:ascii="Arial" w:hAnsi="Arial" w:cs="Arial"/>
          <w:color w:val="auto"/>
          <w:lang w:val="en-AU"/>
        </w:rPr>
        <w:t>relationship with the IFC and as regards branding</w:t>
      </w:r>
      <w:r w:rsidRPr="00A769DE">
        <w:rPr>
          <w:rFonts w:ascii="Arial" w:hAnsi="Arial" w:cs="Arial"/>
          <w:color w:val="auto"/>
          <w:lang w:val="en-AU"/>
        </w:rPr>
        <w:t>:</w:t>
      </w:r>
    </w:p>
    <w:p w:rsidR="007241DD" w:rsidRPr="00A769DE" w:rsidRDefault="007241DD" w:rsidP="007241DD">
      <w:pPr>
        <w:pStyle w:val="ListParagraph"/>
        <w:tabs>
          <w:tab w:val="left" w:pos="357"/>
        </w:tabs>
        <w:spacing w:after="0" w:line="240" w:lineRule="auto"/>
        <w:ind w:left="0"/>
        <w:jc w:val="both"/>
        <w:rPr>
          <w:rFonts w:ascii="Arial" w:hAnsi="Arial" w:cs="Arial"/>
          <w:iCs/>
          <w:color w:val="auto"/>
          <w:lang w:val="en-AU"/>
        </w:rPr>
      </w:pPr>
    </w:p>
    <w:p w:rsidR="00CC7DE3" w:rsidRPr="00CC7DE3" w:rsidRDefault="00DD4BAD" w:rsidP="005D745B">
      <w:pPr>
        <w:pStyle w:val="ListParagraph"/>
        <w:numPr>
          <w:ilvl w:val="0"/>
          <w:numId w:val="28"/>
        </w:numPr>
        <w:tabs>
          <w:tab w:val="left" w:pos="357"/>
        </w:tabs>
        <w:suppressAutoHyphens w:val="0"/>
        <w:spacing w:before="0" w:after="120" w:line="240" w:lineRule="auto"/>
        <w:ind w:left="360"/>
        <w:contextualSpacing w:val="0"/>
        <w:jc w:val="both"/>
        <w:rPr>
          <w:rFonts w:ascii="Arial" w:hAnsi="Arial" w:cs="Arial"/>
          <w:iCs/>
          <w:color w:val="auto"/>
          <w:lang w:val="en-AU"/>
        </w:rPr>
      </w:pPr>
      <w:r w:rsidRPr="00CC7DE3">
        <w:rPr>
          <w:rFonts w:ascii="Arial" w:hAnsi="Arial" w:cs="Arial"/>
          <w:color w:val="auto"/>
          <w:lang w:val="en-AU"/>
        </w:rPr>
        <w:t>Given that the DFAT</w:t>
      </w:r>
      <w:r w:rsidR="00C87B60">
        <w:rPr>
          <w:rFonts w:ascii="Arial" w:hAnsi="Arial" w:cs="Arial"/>
          <w:color w:val="auto"/>
          <w:lang w:val="en-AU"/>
        </w:rPr>
        <w:t>-</w:t>
      </w:r>
      <w:r w:rsidRPr="00CC7DE3">
        <w:rPr>
          <w:rFonts w:ascii="Arial" w:hAnsi="Arial" w:cs="Arial"/>
          <w:color w:val="auto"/>
          <w:lang w:val="en-AU"/>
        </w:rPr>
        <w:t xml:space="preserve">World Bank Group </w:t>
      </w:r>
      <w:r w:rsidR="00C87B60" w:rsidRPr="00CC7DE3">
        <w:rPr>
          <w:rFonts w:ascii="Arial" w:hAnsi="Arial" w:cs="Arial"/>
          <w:color w:val="auto"/>
          <w:lang w:val="en-AU"/>
        </w:rPr>
        <w:t xml:space="preserve">Administration Agreement </w:t>
      </w:r>
      <w:r w:rsidR="00CC7DE3" w:rsidRPr="00CC7DE3">
        <w:rPr>
          <w:rFonts w:ascii="Arial" w:hAnsi="Arial" w:cs="Arial"/>
          <w:color w:val="auto"/>
          <w:lang w:val="en-AU"/>
        </w:rPr>
        <w:t xml:space="preserve">is focused at the </w:t>
      </w:r>
      <w:r w:rsidR="00A10AD6" w:rsidRPr="00A10AD6">
        <w:rPr>
          <w:rFonts w:ascii="Arial" w:hAnsi="Arial" w:cs="Arial"/>
          <w:iCs/>
          <w:color w:val="auto"/>
          <w:lang w:val="en-AU"/>
        </w:rPr>
        <w:t xml:space="preserve">Myanmar Partnership </w:t>
      </w:r>
      <w:r w:rsidR="00CC7DE3" w:rsidRPr="00CC7DE3">
        <w:rPr>
          <w:rFonts w:ascii="Arial" w:hAnsi="Arial" w:cs="Arial"/>
          <w:color w:val="auto"/>
          <w:lang w:val="en-AU"/>
        </w:rPr>
        <w:t xml:space="preserve">MDTF, and that no separate or additional accord exists for the ICCP, </w:t>
      </w:r>
      <w:r w:rsidR="00CC7DE3" w:rsidRPr="00CC7DE3">
        <w:rPr>
          <w:rFonts w:ascii="Arial" w:hAnsi="Arial" w:cs="Arial"/>
          <w:iCs/>
          <w:color w:val="auto"/>
          <w:lang w:val="en-AU"/>
        </w:rPr>
        <w:t>t</w:t>
      </w:r>
      <w:r w:rsidR="003C39C7" w:rsidRPr="00CC7DE3">
        <w:rPr>
          <w:rFonts w:ascii="Arial" w:hAnsi="Arial" w:cs="Arial"/>
          <w:color w:val="auto"/>
          <w:lang w:val="en-AU"/>
        </w:rPr>
        <w:t xml:space="preserve">he relationship between DFAT and </w:t>
      </w:r>
      <w:r w:rsidRPr="00CC7DE3">
        <w:rPr>
          <w:rFonts w:ascii="Arial" w:hAnsi="Arial" w:cs="Arial"/>
          <w:color w:val="auto"/>
          <w:lang w:val="en-AU"/>
        </w:rPr>
        <w:t xml:space="preserve">the </w:t>
      </w:r>
      <w:r w:rsidR="003C39C7" w:rsidRPr="00CC7DE3">
        <w:rPr>
          <w:rFonts w:ascii="Arial" w:hAnsi="Arial" w:cs="Arial"/>
          <w:color w:val="auto"/>
          <w:lang w:val="en-AU"/>
        </w:rPr>
        <w:t xml:space="preserve">IFC is </w:t>
      </w:r>
      <w:r w:rsidR="00CC7DE3">
        <w:rPr>
          <w:rFonts w:ascii="Arial" w:hAnsi="Arial" w:cs="Arial"/>
          <w:color w:val="auto"/>
          <w:lang w:val="en-AU"/>
        </w:rPr>
        <w:t>essentially trust-based, and provides DFAT with very limited formal leverage.</w:t>
      </w:r>
    </w:p>
    <w:p w:rsidR="00C87B60" w:rsidRDefault="00C87B60"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iCs/>
          <w:color w:val="auto"/>
          <w:lang w:val="en-AU"/>
        </w:rPr>
      </w:pPr>
      <w:r>
        <w:rPr>
          <w:rFonts w:ascii="Arial" w:hAnsi="Arial" w:cs="Arial"/>
          <w:color w:val="auto"/>
          <w:lang w:val="en-AU"/>
        </w:rPr>
        <w:t>T</w:t>
      </w:r>
      <w:r w:rsidR="003C39C7" w:rsidRPr="00C87B60">
        <w:rPr>
          <w:rFonts w:ascii="Arial" w:hAnsi="Arial" w:cs="Arial"/>
          <w:color w:val="auto"/>
          <w:lang w:val="en-AU"/>
        </w:rPr>
        <w:t>he IFC</w:t>
      </w:r>
      <w:r>
        <w:rPr>
          <w:rFonts w:ascii="Arial" w:hAnsi="Arial" w:cs="Arial"/>
          <w:color w:val="auto"/>
          <w:lang w:val="en-AU"/>
        </w:rPr>
        <w:t xml:space="preserve"> states that it</w:t>
      </w:r>
      <w:r w:rsidR="003C39C7" w:rsidRPr="00C87B60">
        <w:rPr>
          <w:rFonts w:ascii="Arial" w:hAnsi="Arial" w:cs="Arial"/>
          <w:color w:val="auto"/>
          <w:lang w:val="en-AU"/>
        </w:rPr>
        <w:t xml:space="preserve"> understands </w:t>
      </w:r>
      <w:r>
        <w:rPr>
          <w:rFonts w:ascii="Arial" w:hAnsi="Arial" w:cs="Arial"/>
          <w:color w:val="auto"/>
          <w:lang w:val="en-AU"/>
        </w:rPr>
        <w:t xml:space="preserve">the need of DFAT and DFID for </w:t>
      </w:r>
      <w:r w:rsidRPr="00CC7DE3">
        <w:rPr>
          <w:rFonts w:ascii="Arial" w:hAnsi="Arial" w:cs="Arial"/>
          <w:color w:val="auto"/>
          <w:lang w:val="en-AU"/>
        </w:rPr>
        <w:t xml:space="preserve">occasional ad-hoc </w:t>
      </w:r>
      <w:r>
        <w:rPr>
          <w:rFonts w:ascii="Arial" w:hAnsi="Arial" w:cs="Arial"/>
          <w:color w:val="auto"/>
          <w:lang w:val="en-AU"/>
        </w:rPr>
        <w:t>information</w:t>
      </w:r>
      <w:r w:rsidRPr="00C87B60">
        <w:rPr>
          <w:rFonts w:ascii="Arial" w:hAnsi="Arial" w:cs="Arial"/>
          <w:color w:val="auto"/>
          <w:lang w:val="en-AU"/>
        </w:rPr>
        <w:t xml:space="preserve"> </w:t>
      </w:r>
      <w:r w:rsidR="003C39C7" w:rsidRPr="00C87B60">
        <w:rPr>
          <w:rFonts w:ascii="Arial" w:hAnsi="Arial" w:cs="Arial"/>
          <w:color w:val="auto"/>
          <w:lang w:val="en-AU"/>
        </w:rPr>
        <w:t>outsid</w:t>
      </w:r>
      <w:r>
        <w:rPr>
          <w:rFonts w:ascii="Arial" w:hAnsi="Arial" w:cs="Arial"/>
          <w:color w:val="auto"/>
          <w:lang w:val="en-AU"/>
        </w:rPr>
        <w:t xml:space="preserve">e the quarterly reporting cycle, but </w:t>
      </w:r>
      <w:r w:rsidR="003C39C7" w:rsidRPr="00C87B60">
        <w:rPr>
          <w:rFonts w:ascii="Arial" w:hAnsi="Arial" w:cs="Arial"/>
          <w:color w:val="auto"/>
          <w:lang w:val="en-AU"/>
        </w:rPr>
        <w:t>there have been examples in the past were requests have remained unanswered or been provided only with significant delay.</w:t>
      </w:r>
    </w:p>
    <w:p w:rsidR="000C1BEB" w:rsidRPr="000C1BEB" w:rsidRDefault="00C87B60" w:rsidP="005D745B">
      <w:pPr>
        <w:pStyle w:val="ListParagraph"/>
        <w:numPr>
          <w:ilvl w:val="0"/>
          <w:numId w:val="28"/>
        </w:numPr>
        <w:tabs>
          <w:tab w:val="left" w:pos="357"/>
        </w:tabs>
        <w:suppressAutoHyphens w:val="0"/>
        <w:spacing w:after="120" w:line="240" w:lineRule="auto"/>
        <w:ind w:left="360"/>
        <w:contextualSpacing w:val="0"/>
        <w:jc w:val="both"/>
        <w:rPr>
          <w:rFonts w:ascii="Arial" w:hAnsi="Arial" w:cs="Arial"/>
          <w:iCs/>
          <w:color w:val="auto"/>
          <w:lang w:val="en-AU"/>
        </w:rPr>
      </w:pPr>
      <w:r>
        <w:rPr>
          <w:rFonts w:ascii="Arial" w:hAnsi="Arial" w:cs="Arial"/>
          <w:color w:val="auto"/>
          <w:lang w:val="en-AU"/>
        </w:rPr>
        <w:t>P</w:t>
      </w:r>
      <w:r w:rsidRPr="00C87B60">
        <w:rPr>
          <w:rFonts w:ascii="Arial" w:hAnsi="Arial" w:cs="Arial"/>
          <w:color w:val="auto"/>
          <w:lang w:val="en-AU"/>
        </w:rPr>
        <w:t>roject promotional material</w:t>
      </w:r>
      <w:r>
        <w:rPr>
          <w:rFonts w:ascii="Arial" w:hAnsi="Arial" w:cs="Arial"/>
          <w:color w:val="auto"/>
          <w:lang w:val="en-AU"/>
        </w:rPr>
        <w:t xml:space="preserve"> generally include r</w:t>
      </w:r>
      <w:r w:rsidRPr="00C87B60">
        <w:rPr>
          <w:rFonts w:ascii="Arial" w:hAnsi="Arial" w:cs="Arial"/>
          <w:color w:val="auto"/>
          <w:lang w:val="en-AU"/>
        </w:rPr>
        <w:t xml:space="preserve">elevant agency information and logos, </w:t>
      </w:r>
      <w:r>
        <w:rPr>
          <w:rFonts w:ascii="Arial" w:hAnsi="Arial" w:cs="Arial"/>
          <w:color w:val="auto"/>
          <w:lang w:val="en-AU"/>
        </w:rPr>
        <w:t>but</w:t>
      </w:r>
      <w:r w:rsidRPr="00C87B60">
        <w:rPr>
          <w:rFonts w:ascii="Arial" w:hAnsi="Arial" w:cs="Arial"/>
          <w:color w:val="auto"/>
          <w:lang w:val="en-AU"/>
        </w:rPr>
        <w:t xml:space="preserve"> the </w:t>
      </w:r>
      <w:r>
        <w:rPr>
          <w:rFonts w:ascii="Arial" w:hAnsi="Arial" w:cs="Arial"/>
          <w:color w:val="auto"/>
          <w:lang w:val="en-AU"/>
        </w:rPr>
        <w:t xml:space="preserve">IFC’s </w:t>
      </w:r>
      <w:r w:rsidRPr="00C87B60">
        <w:rPr>
          <w:rFonts w:ascii="Arial" w:hAnsi="Arial" w:cs="Arial"/>
          <w:color w:val="auto"/>
          <w:lang w:val="en-AU"/>
        </w:rPr>
        <w:t xml:space="preserve">project-specific web pages do not mention that </w:t>
      </w:r>
      <w:r w:rsidR="00CE5010">
        <w:rPr>
          <w:rFonts w:ascii="Arial" w:hAnsi="Arial" w:cs="Arial"/>
          <w:color w:val="auto"/>
          <w:lang w:val="en-AU"/>
        </w:rPr>
        <w:t xml:space="preserve">the </w:t>
      </w:r>
      <w:r w:rsidRPr="00C87B60">
        <w:rPr>
          <w:rFonts w:ascii="Arial" w:hAnsi="Arial" w:cs="Arial"/>
          <w:color w:val="auto"/>
          <w:lang w:val="en-AU"/>
        </w:rPr>
        <w:t xml:space="preserve">funding is provided by </w:t>
      </w:r>
      <w:r>
        <w:rPr>
          <w:rFonts w:ascii="Arial" w:hAnsi="Arial" w:cs="Arial"/>
          <w:color w:val="auto"/>
          <w:lang w:val="en-AU"/>
        </w:rPr>
        <w:t>DFAT and DFID</w:t>
      </w:r>
    </w:p>
    <w:p w:rsidR="003C39C7" w:rsidRPr="000C1BEB" w:rsidRDefault="000C1BEB" w:rsidP="005D745B">
      <w:pPr>
        <w:pStyle w:val="ListParagraph"/>
        <w:numPr>
          <w:ilvl w:val="0"/>
          <w:numId w:val="28"/>
        </w:numPr>
        <w:tabs>
          <w:tab w:val="left" w:pos="357"/>
        </w:tabs>
        <w:suppressAutoHyphens w:val="0"/>
        <w:spacing w:after="0" w:line="240" w:lineRule="auto"/>
        <w:ind w:left="360"/>
        <w:contextualSpacing w:val="0"/>
        <w:jc w:val="both"/>
        <w:rPr>
          <w:rFonts w:ascii="Arial" w:hAnsi="Arial" w:cs="Arial"/>
          <w:iCs/>
          <w:color w:val="auto"/>
          <w:lang w:val="en-AU"/>
        </w:rPr>
      </w:pPr>
      <w:r w:rsidRPr="000C1BEB">
        <w:rPr>
          <w:rFonts w:ascii="Arial" w:hAnsi="Arial" w:cs="Arial"/>
          <w:iCs/>
          <w:color w:val="auto"/>
          <w:lang w:val="en-AU"/>
        </w:rPr>
        <w:t xml:space="preserve">The IFC is currently in the process of recruiting </w:t>
      </w:r>
      <w:r w:rsidRPr="000C1BEB">
        <w:rPr>
          <w:rFonts w:ascii="Arial" w:hAnsi="Arial" w:cs="Arial"/>
          <w:color w:val="auto"/>
          <w:lang w:val="en-AU"/>
        </w:rPr>
        <w:t xml:space="preserve">a Yangon-based communication staff which, once in place, is expected to improve ICCP-related </w:t>
      </w:r>
      <w:r w:rsidR="003C39C7" w:rsidRPr="000C1BEB">
        <w:rPr>
          <w:rFonts w:ascii="Arial" w:hAnsi="Arial" w:cs="Arial"/>
          <w:color w:val="auto"/>
          <w:lang w:val="en-AU"/>
        </w:rPr>
        <w:t xml:space="preserve">communication </w:t>
      </w:r>
      <w:r w:rsidRPr="000C1BEB">
        <w:rPr>
          <w:rFonts w:ascii="Arial" w:hAnsi="Arial" w:cs="Arial"/>
          <w:color w:val="auto"/>
          <w:lang w:val="en-AU"/>
        </w:rPr>
        <w:t>activities</w:t>
      </w:r>
      <w:r w:rsidR="003C39C7" w:rsidRPr="000C1BEB">
        <w:rPr>
          <w:rFonts w:ascii="Arial" w:hAnsi="Arial" w:cs="Arial"/>
          <w:color w:val="auto"/>
          <w:lang w:val="en-AU"/>
        </w:rPr>
        <w:t>.</w:t>
      </w:r>
    </w:p>
    <w:p w:rsidR="007241DD" w:rsidRPr="00A769DE" w:rsidRDefault="007241DD" w:rsidP="006C756A">
      <w:pPr>
        <w:pStyle w:val="ListParagraph"/>
        <w:tabs>
          <w:tab w:val="left" w:pos="357"/>
        </w:tabs>
        <w:spacing w:after="0" w:line="240" w:lineRule="auto"/>
        <w:ind w:left="0"/>
        <w:jc w:val="both"/>
        <w:rPr>
          <w:rFonts w:ascii="Arial" w:hAnsi="Arial" w:cs="Arial"/>
          <w:iCs/>
          <w:color w:val="auto"/>
          <w:lang w:val="en-AU"/>
        </w:rPr>
      </w:pPr>
    </w:p>
    <w:p w:rsidR="000B785F" w:rsidRPr="00A769DE" w:rsidRDefault="00B5401C" w:rsidP="000B785F">
      <w:pPr>
        <w:pStyle w:val="Heading2"/>
        <w:spacing w:before="0" w:after="60"/>
        <w:ind w:left="272" w:hanging="272"/>
        <w:rPr>
          <w:rFonts w:ascii="Arial" w:hAnsi="Arial" w:cs="Arial"/>
          <w:b/>
          <w:bCs/>
          <w:color w:val="auto"/>
          <w:sz w:val="24"/>
          <w:szCs w:val="24"/>
          <w:lang w:val="en-AU"/>
        </w:rPr>
      </w:pPr>
      <w:bookmarkStart w:id="70" w:name="_Toc522800487"/>
      <w:bookmarkStart w:id="71" w:name="_Toc525930559"/>
      <w:bookmarkStart w:id="72" w:name="_Toc530307609"/>
      <w:r w:rsidRPr="00A769DE">
        <w:rPr>
          <w:rFonts w:ascii="Arial" w:hAnsi="Arial" w:cs="Arial"/>
          <w:b/>
          <w:bCs/>
          <w:color w:val="auto"/>
          <w:sz w:val="24"/>
          <w:szCs w:val="24"/>
          <w:lang w:val="en-AU"/>
        </w:rPr>
        <w:t>4</w:t>
      </w:r>
      <w:r w:rsidR="000B785F" w:rsidRPr="00A769DE">
        <w:rPr>
          <w:rFonts w:ascii="Arial" w:hAnsi="Arial" w:cs="Arial"/>
          <w:b/>
          <w:bCs/>
          <w:color w:val="auto"/>
          <w:sz w:val="24"/>
          <w:szCs w:val="24"/>
          <w:lang w:val="en-AU"/>
        </w:rPr>
        <w:t>.</w:t>
      </w:r>
      <w:r w:rsidR="007241DD">
        <w:rPr>
          <w:rFonts w:ascii="Arial" w:hAnsi="Arial" w:cs="Arial"/>
          <w:b/>
          <w:bCs/>
          <w:color w:val="auto"/>
          <w:sz w:val="24"/>
          <w:szCs w:val="24"/>
          <w:lang w:val="en-AU"/>
        </w:rPr>
        <w:t>6</w:t>
      </w:r>
      <w:r w:rsidR="000B785F" w:rsidRPr="00A769DE">
        <w:rPr>
          <w:rFonts w:ascii="Arial" w:hAnsi="Arial" w:cs="Arial"/>
          <w:b/>
          <w:bCs/>
          <w:color w:val="auto"/>
          <w:sz w:val="24"/>
          <w:szCs w:val="24"/>
          <w:lang w:val="en-AU"/>
        </w:rPr>
        <w:t xml:space="preserve"> Evaluation Criteria</w:t>
      </w:r>
      <w:bookmarkEnd w:id="70"/>
      <w:bookmarkEnd w:id="71"/>
      <w:bookmarkEnd w:id="72"/>
    </w:p>
    <w:p w:rsidR="000B785F" w:rsidRPr="00A769DE" w:rsidRDefault="000B785F" w:rsidP="00A9264C">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As required, the ICCP has been assessed against three specific evaluation criteria:</w:t>
      </w:r>
    </w:p>
    <w:p w:rsidR="000B785F" w:rsidRPr="00A769DE" w:rsidRDefault="000B785F" w:rsidP="0086397E">
      <w:pPr>
        <w:spacing w:before="0" w:after="0" w:line="240" w:lineRule="auto"/>
        <w:jc w:val="both"/>
        <w:rPr>
          <w:rFonts w:ascii="Arial" w:hAnsi="Arial" w:cs="Arial"/>
          <w:color w:val="auto"/>
          <w:lang w:val="en-AU"/>
        </w:rPr>
      </w:pPr>
    </w:p>
    <w:p w:rsidR="0086397E" w:rsidRPr="000828F6" w:rsidRDefault="0086397E" w:rsidP="005D745B">
      <w:pPr>
        <w:pStyle w:val="ListParagraph"/>
        <w:numPr>
          <w:ilvl w:val="0"/>
          <w:numId w:val="18"/>
        </w:numPr>
        <w:suppressAutoHyphens w:val="0"/>
        <w:spacing w:before="0" w:after="120" w:line="240" w:lineRule="auto"/>
        <w:ind w:left="360"/>
        <w:contextualSpacing w:val="0"/>
        <w:jc w:val="both"/>
        <w:rPr>
          <w:rFonts w:ascii="Arial" w:hAnsi="Arial" w:cs="Arial"/>
          <w:color w:val="auto"/>
          <w:lang w:val="en-AU"/>
        </w:rPr>
      </w:pPr>
      <w:r w:rsidRPr="000828F6">
        <w:rPr>
          <w:rFonts w:ascii="Arial" w:hAnsi="Arial" w:cs="Arial"/>
          <w:b/>
          <w:color w:val="auto"/>
          <w:lang w:val="en-AU"/>
        </w:rPr>
        <w:lastRenderedPageBreak/>
        <w:t>Effectiveness</w:t>
      </w:r>
      <w:r w:rsidRPr="000828F6">
        <w:rPr>
          <w:rFonts w:ascii="Arial" w:hAnsi="Arial" w:cs="Arial"/>
          <w:color w:val="auto"/>
          <w:lang w:val="en-AU"/>
        </w:rPr>
        <w:t xml:space="preserve"> – All ICCP projects have clearly stated objectives and targeted outcomes but</w:t>
      </w:r>
      <w:r w:rsidR="0097383B" w:rsidRPr="000828F6">
        <w:rPr>
          <w:rFonts w:ascii="Arial" w:hAnsi="Arial" w:cs="Arial"/>
          <w:color w:val="auto"/>
          <w:lang w:val="en-AU"/>
        </w:rPr>
        <w:t>,</w:t>
      </w:r>
      <w:r w:rsidRPr="000828F6">
        <w:rPr>
          <w:rFonts w:ascii="Arial" w:hAnsi="Arial" w:cs="Arial"/>
          <w:color w:val="auto"/>
          <w:lang w:val="en-AU"/>
        </w:rPr>
        <w:t xml:space="preserve"> due to the </w:t>
      </w:r>
      <w:r w:rsidR="00BE6586" w:rsidRPr="000828F6">
        <w:rPr>
          <w:rFonts w:ascii="Arial" w:hAnsi="Arial" w:cs="Arial"/>
          <w:color w:val="auto"/>
          <w:lang w:val="en-AU"/>
        </w:rPr>
        <w:t>applied progress reporting</w:t>
      </w:r>
      <w:r w:rsidRPr="000828F6">
        <w:rPr>
          <w:rFonts w:ascii="Arial" w:hAnsi="Arial" w:cs="Arial"/>
          <w:color w:val="auto"/>
          <w:lang w:val="en-AU"/>
        </w:rPr>
        <w:t>, it is not possible to assess conclusively to which extent these are being met, or are on track to be met (although this generally does appear to be the case except for some cases where attribution might be difficult).</w:t>
      </w:r>
      <w:r w:rsidRPr="00A769DE">
        <w:rPr>
          <w:rStyle w:val="FootnoteReference"/>
          <w:rFonts w:ascii="Arial" w:hAnsi="Arial" w:cs="Arial"/>
          <w:color w:val="auto"/>
          <w:lang w:val="en-AU"/>
        </w:rPr>
        <w:footnoteReference w:id="48"/>
      </w:r>
      <w:r w:rsidRPr="000828F6">
        <w:rPr>
          <w:rFonts w:ascii="Arial" w:hAnsi="Arial" w:cs="Arial"/>
          <w:color w:val="auto"/>
          <w:lang w:val="en-AU"/>
        </w:rPr>
        <w:t xml:space="preserve"> For the program-level, however, </w:t>
      </w:r>
      <w:r w:rsidR="00BE6586" w:rsidRPr="000828F6">
        <w:rPr>
          <w:rFonts w:ascii="Arial" w:hAnsi="Arial" w:cs="Arial"/>
          <w:color w:val="auto"/>
          <w:lang w:val="en-AU"/>
        </w:rPr>
        <w:t xml:space="preserve">the achievement of </w:t>
      </w:r>
      <w:r w:rsidR="00176305" w:rsidRPr="000828F6">
        <w:rPr>
          <w:rFonts w:ascii="Arial" w:hAnsi="Arial" w:cs="Arial"/>
          <w:color w:val="auto"/>
          <w:lang w:val="en-AU"/>
        </w:rPr>
        <w:t xml:space="preserve">stated </w:t>
      </w:r>
      <w:r w:rsidR="00BE6586" w:rsidRPr="000828F6">
        <w:rPr>
          <w:rFonts w:ascii="Arial" w:hAnsi="Arial" w:cs="Arial"/>
          <w:color w:val="auto"/>
          <w:lang w:val="en-AU"/>
        </w:rPr>
        <w:t xml:space="preserve">objectives and outcomes can be measured only once </w:t>
      </w:r>
      <w:r w:rsidRPr="000828F6">
        <w:rPr>
          <w:rFonts w:ascii="Arial" w:hAnsi="Arial" w:cs="Arial"/>
          <w:color w:val="auto"/>
          <w:lang w:val="en-AU"/>
        </w:rPr>
        <w:t xml:space="preserve">a </w:t>
      </w:r>
      <w:r w:rsidR="00BE6586" w:rsidRPr="000828F6">
        <w:rPr>
          <w:rFonts w:ascii="Arial" w:hAnsi="Arial" w:cs="Arial"/>
          <w:color w:val="auto"/>
          <w:lang w:val="en-AU"/>
        </w:rPr>
        <w:t xml:space="preserve">program </w:t>
      </w:r>
      <w:r w:rsidRPr="000828F6">
        <w:rPr>
          <w:rFonts w:ascii="Arial" w:hAnsi="Arial" w:cs="Arial"/>
          <w:color w:val="auto"/>
          <w:lang w:val="en-AU"/>
        </w:rPr>
        <w:t xml:space="preserve">results framework/logframe </w:t>
      </w:r>
      <w:r w:rsidR="00BE6586" w:rsidRPr="000828F6">
        <w:rPr>
          <w:rFonts w:ascii="Arial" w:hAnsi="Arial" w:cs="Arial"/>
          <w:color w:val="auto"/>
          <w:lang w:val="en-AU"/>
        </w:rPr>
        <w:t xml:space="preserve">has been developed and indicators are being </w:t>
      </w:r>
      <w:r w:rsidRPr="000828F6">
        <w:rPr>
          <w:rFonts w:ascii="Arial" w:hAnsi="Arial" w:cs="Arial"/>
          <w:color w:val="auto"/>
          <w:lang w:val="en-AU"/>
        </w:rPr>
        <w:t>as</w:t>
      </w:r>
      <w:r w:rsidR="00BE6586" w:rsidRPr="000828F6">
        <w:rPr>
          <w:rFonts w:ascii="Arial" w:hAnsi="Arial" w:cs="Arial"/>
          <w:color w:val="auto"/>
          <w:lang w:val="en-AU"/>
        </w:rPr>
        <w:t>sessed</w:t>
      </w:r>
      <w:r w:rsidRPr="000828F6">
        <w:rPr>
          <w:rFonts w:ascii="Arial" w:hAnsi="Arial" w:cs="Arial"/>
          <w:color w:val="auto"/>
          <w:lang w:val="en-AU"/>
        </w:rPr>
        <w:t xml:space="preserve">. </w:t>
      </w:r>
      <w:r w:rsidR="000828F6" w:rsidRPr="000828F6">
        <w:rPr>
          <w:rFonts w:ascii="Arial" w:hAnsi="Arial" w:cs="Arial"/>
          <w:color w:val="auto"/>
          <w:lang w:val="en-AU"/>
        </w:rPr>
        <w:t xml:space="preserve">The failure to establish this at an early stage of implementation is likely due to the somewhat unclear division of responsibilities between the </w:t>
      </w:r>
      <w:r w:rsidR="00A10AD6" w:rsidRPr="00A10AD6">
        <w:rPr>
          <w:rFonts w:ascii="Arial" w:hAnsi="Arial" w:cs="Arial"/>
          <w:iCs/>
          <w:color w:val="auto"/>
          <w:lang w:val="en-AU"/>
        </w:rPr>
        <w:t xml:space="preserve">Myanmar Partnership </w:t>
      </w:r>
      <w:r w:rsidR="000828F6" w:rsidRPr="000828F6">
        <w:rPr>
          <w:rFonts w:ascii="Arial" w:hAnsi="Arial" w:cs="Arial"/>
          <w:color w:val="auto"/>
          <w:lang w:val="en-AU"/>
        </w:rPr>
        <w:t xml:space="preserve">MDTF Steering Committee and the quarterly ICCP forum as well as the fact that ICCP progress reporting has been entirely project-focused. </w:t>
      </w:r>
      <w:r w:rsidR="000828F6">
        <w:rPr>
          <w:rFonts w:ascii="Arial" w:hAnsi="Arial" w:cs="Arial"/>
          <w:color w:val="auto"/>
          <w:lang w:val="en-AU"/>
        </w:rPr>
        <w:t>It is noted that t</w:t>
      </w:r>
      <w:r w:rsidRPr="000828F6">
        <w:rPr>
          <w:rFonts w:ascii="Arial" w:hAnsi="Arial" w:cs="Arial"/>
          <w:color w:val="auto"/>
          <w:lang w:val="en-AU"/>
        </w:rPr>
        <w:t xml:space="preserve">he project teams have established good relationships with </w:t>
      </w:r>
      <w:r w:rsidR="00BE6586" w:rsidRPr="000828F6">
        <w:rPr>
          <w:rFonts w:ascii="Arial" w:hAnsi="Arial" w:cs="Arial"/>
          <w:color w:val="auto"/>
          <w:lang w:val="en-AU"/>
        </w:rPr>
        <w:t xml:space="preserve">GoM </w:t>
      </w:r>
      <w:r w:rsidRPr="000828F6">
        <w:rPr>
          <w:rFonts w:ascii="Arial" w:hAnsi="Arial" w:cs="Arial"/>
          <w:color w:val="auto"/>
          <w:lang w:val="en-AU"/>
        </w:rPr>
        <w:t xml:space="preserve">counterparts and </w:t>
      </w:r>
      <w:r w:rsidR="00BE6586" w:rsidRPr="000828F6">
        <w:rPr>
          <w:rFonts w:ascii="Arial" w:hAnsi="Arial" w:cs="Arial"/>
          <w:color w:val="auto"/>
          <w:lang w:val="en-AU"/>
        </w:rPr>
        <w:t xml:space="preserve">project </w:t>
      </w:r>
      <w:r w:rsidRPr="000828F6">
        <w:rPr>
          <w:rFonts w:ascii="Arial" w:hAnsi="Arial" w:cs="Arial"/>
          <w:color w:val="auto"/>
          <w:lang w:val="en-AU"/>
        </w:rPr>
        <w:t>beneficiaries</w:t>
      </w:r>
      <w:r w:rsidR="00BE6586" w:rsidRPr="000828F6">
        <w:rPr>
          <w:rFonts w:ascii="Arial" w:hAnsi="Arial" w:cs="Arial"/>
          <w:color w:val="auto"/>
          <w:lang w:val="en-AU"/>
        </w:rPr>
        <w:t>, which is an important aspect that</w:t>
      </w:r>
      <w:r w:rsidRPr="000828F6">
        <w:rPr>
          <w:rFonts w:ascii="Arial" w:hAnsi="Arial" w:cs="Arial"/>
          <w:color w:val="auto"/>
          <w:lang w:val="en-AU"/>
        </w:rPr>
        <w:t xml:space="preserve"> contribute</w:t>
      </w:r>
      <w:r w:rsidR="00BE6586" w:rsidRPr="000828F6">
        <w:rPr>
          <w:rFonts w:ascii="Arial" w:hAnsi="Arial" w:cs="Arial"/>
          <w:color w:val="auto"/>
          <w:lang w:val="en-AU"/>
        </w:rPr>
        <w:t>s</w:t>
      </w:r>
      <w:r w:rsidRPr="000828F6">
        <w:rPr>
          <w:rFonts w:ascii="Arial" w:hAnsi="Arial" w:cs="Arial"/>
          <w:color w:val="auto"/>
          <w:lang w:val="en-AU"/>
        </w:rPr>
        <w:t xml:space="preserve"> to effectiveness</w:t>
      </w:r>
      <w:r w:rsidR="000828F6">
        <w:rPr>
          <w:rFonts w:ascii="Arial" w:hAnsi="Arial" w:cs="Arial"/>
          <w:color w:val="auto"/>
          <w:lang w:val="en-AU"/>
        </w:rPr>
        <w:t xml:space="preserve"> at the project-level</w:t>
      </w:r>
      <w:r w:rsidRPr="000828F6">
        <w:rPr>
          <w:rFonts w:ascii="Arial" w:hAnsi="Arial" w:cs="Arial"/>
          <w:color w:val="auto"/>
          <w:lang w:val="en-AU"/>
        </w:rPr>
        <w:t xml:space="preserve">. One exception </w:t>
      </w:r>
      <w:r w:rsidR="003B3D32" w:rsidRPr="000828F6">
        <w:rPr>
          <w:rFonts w:ascii="Arial" w:hAnsi="Arial" w:cs="Arial"/>
          <w:color w:val="auto"/>
          <w:lang w:val="en-AU"/>
        </w:rPr>
        <w:t>is</w:t>
      </w:r>
      <w:r w:rsidRPr="000828F6">
        <w:rPr>
          <w:rFonts w:ascii="Arial" w:hAnsi="Arial" w:cs="Arial"/>
          <w:color w:val="auto"/>
          <w:lang w:val="en-AU"/>
        </w:rPr>
        <w:t xml:space="preserve"> in the area of capacity building, where it does not appear that baselines have been created or changes</w:t>
      </w:r>
      <w:r w:rsidR="00176305" w:rsidRPr="000828F6">
        <w:rPr>
          <w:rFonts w:ascii="Arial" w:hAnsi="Arial" w:cs="Arial"/>
          <w:color w:val="auto"/>
          <w:lang w:val="en-AU"/>
        </w:rPr>
        <w:t xml:space="preserve">, if taking place, </w:t>
      </w:r>
      <w:r w:rsidRPr="000828F6">
        <w:rPr>
          <w:rFonts w:ascii="Arial" w:hAnsi="Arial" w:cs="Arial"/>
          <w:color w:val="auto"/>
          <w:lang w:val="en-AU"/>
        </w:rPr>
        <w:t>are being tracked.</w:t>
      </w:r>
    </w:p>
    <w:p w:rsidR="000828F6" w:rsidRPr="000828F6" w:rsidRDefault="0086397E" w:rsidP="000828F6">
      <w:pPr>
        <w:pStyle w:val="ListParagraph"/>
        <w:numPr>
          <w:ilvl w:val="0"/>
          <w:numId w:val="18"/>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color w:val="auto"/>
          <w:lang w:val="en-AU"/>
        </w:rPr>
        <w:t>Efficiency</w:t>
      </w:r>
      <w:r w:rsidRPr="00A769DE">
        <w:rPr>
          <w:rFonts w:ascii="Arial" w:hAnsi="Arial" w:cs="Arial"/>
          <w:color w:val="auto"/>
          <w:lang w:val="en-AU"/>
        </w:rPr>
        <w:t xml:space="preserve"> – All projects appear to be implemented within budget, </w:t>
      </w:r>
      <w:r w:rsidR="00176305">
        <w:rPr>
          <w:rFonts w:ascii="Arial" w:hAnsi="Arial" w:cs="Arial"/>
          <w:color w:val="auto"/>
          <w:lang w:val="en-AU"/>
        </w:rPr>
        <w:t>but</w:t>
      </w:r>
      <w:r w:rsidRPr="00A769DE">
        <w:rPr>
          <w:rFonts w:ascii="Arial" w:hAnsi="Arial" w:cs="Arial"/>
          <w:color w:val="auto"/>
          <w:lang w:val="en-AU"/>
        </w:rPr>
        <w:t xml:space="preserve"> some have experienced time delays</w:t>
      </w:r>
      <w:r w:rsidR="003B3D32">
        <w:rPr>
          <w:rFonts w:ascii="Arial" w:hAnsi="Arial" w:cs="Arial"/>
          <w:color w:val="auto"/>
          <w:lang w:val="en-AU"/>
        </w:rPr>
        <w:t xml:space="preserve"> although this has not been a major issue</w:t>
      </w:r>
      <w:r w:rsidRPr="00A769DE">
        <w:rPr>
          <w:rFonts w:ascii="Arial" w:hAnsi="Arial" w:cs="Arial"/>
          <w:color w:val="auto"/>
          <w:lang w:val="en-AU"/>
        </w:rPr>
        <w:t xml:space="preserve">. </w:t>
      </w:r>
      <w:r w:rsidR="003B3D32">
        <w:rPr>
          <w:rFonts w:ascii="Arial" w:hAnsi="Arial" w:cs="Arial"/>
          <w:color w:val="auto"/>
          <w:lang w:val="en-AU"/>
        </w:rPr>
        <w:t>V</w:t>
      </w:r>
      <w:r w:rsidRPr="00A769DE">
        <w:rPr>
          <w:rFonts w:ascii="Arial" w:hAnsi="Arial" w:cs="Arial"/>
          <w:color w:val="auto"/>
          <w:lang w:val="en-AU"/>
        </w:rPr>
        <w:t xml:space="preserve">alue-for-money aspects </w:t>
      </w:r>
      <w:r w:rsidR="00BE6586">
        <w:rPr>
          <w:rFonts w:ascii="Arial" w:hAnsi="Arial" w:cs="Arial"/>
          <w:color w:val="auto"/>
          <w:lang w:val="en-AU"/>
        </w:rPr>
        <w:t>are</w:t>
      </w:r>
      <w:r w:rsidRPr="00A769DE">
        <w:rPr>
          <w:rFonts w:ascii="Arial" w:hAnsi="Arial" w:cs="Arial"/>
          <w:color w:val="auto"/>
          <w:lang w:val="en-AU"/>
        </w:rPr>
        <w:t xml:space="preserve"> not possible to measure since this require</w:t>
      </w:r>
      <w:r w:rsidR="00BE6586">
        <w:rPr>
          <w:rFonts w:ascii="Arial" w:hAnsi="Arial" w:cs="Arial"/>
          <w:color w:val="auto"/>
          <w:lang w:val="en-AU"/>
        </w:rPr>
        <w:t>s</w:t>
      </w:r>
      <w:r w:rsidRPr="00A769DE">
        <w:rPr>
          <w:rFonts w:ascii="Arial" w:hAnsi="Arial" w:cs="Arial"/>
          <w:color w:val="auto"/>
          <w:lang w:val="en-AU"/>
        </w:rPr>
        <w:t xml:space="preserve"> detailed budget and expenditure data, which </w:t>
      </w:r>
      <w:r w:rsidR="00BE6586">
        <w:rPr>
          <w:rFonts w:ascii="Arial" w:hAnsi="Arial" w:cs="Arial"/>
          <w:color w:val="auto"/>
          <w:lang w:val="en-AU"/>
        </w:rPr>
        <w:t xml:space="preserve">has </w:t>
      </w:r>
      <w:r w:rsidRPr="00A769DE">
        <w:rPr>
          <w:rFonts w:ascii="Arial" w:hAnsi="Arial" w:cs="Arial"/>
          <w:color w:val="auto"/>
          <w:lang w:val="en-AU"/>
        </w:rPr>
        <w:t xml:space="preserve">not </w:t>
      </w:r>
      <w:r w:rsidR="00BE6586">
        <w:rPr>
          <w:rFonts w:ascii="Arial" w:hAnsi="Arial" w:cs="Arial"/>
          <w:color w:val="auto"/>
          <w:lang w:val="en-AU"/>
        </w:rPr>
        <w:t>been shared</w:t>
      </w:r>
      <w:r w:rsidRPr="00A769DE">
        <w:rPr>
          <w:rFonts w:ascii="Arial" w:hAnsi="Arial" w:cs="Arial"/>
          <w:color w:val="auto"/>
          <w:lang w:val="en-AU"/>
        </w:rPr>
        <w:t xml:space="preserve"> </w:t>
      </w:r>
      <w:r w:rsidR="00BE6586">
        <w:rPr>
          <w:rFonts w:ascii="Arial" w:hAnsi="Arial" w:cs="Arial"/>
          <w:color w:val="auto"/>
          <w:lang w:val="en-AU"/>
        </w:rPr>
        <w:t xml:space="preserve">by </w:t>
      </w:r>
      <w:r w:rsidRPr="00A769DE">
        <w:rPr>
          <w:rFonts w:ascii="Arial" w:hAnsi="Arial" w:cs="Arial"/>
          <w:color w:val="auto"/>
          <w:lang w:val="en-AU"/>
        </w:rPr>
        <w:t xml:space="preserve">the IFC or the World Bank. It is understood that the IFC has internal assessment procedures that include efficiency measures, but </w:t>
      </w:r>
      <w:r w:rsidR="00BE6586">
        <w:rPr>
          <w:rFonts w:ascii="Arial" w:hAnsi="Arial" w:cs="Arial"/>
          <w:color w:val="auto"/>
          <w:lang w:val="en-AU"/>
        </w:rPr>
        <w:t>the details in this regard are not available to development partners</w:t>
      </w:r>
      <w:r w:rsidRPr="00A769DE">
        <w:rPr>
          <w:rFonts w:ascii="Arial" w:hAnsi="Arial" w:cs="Arial"/>
          <w:color w:val="auto"/>
          <w:lang w:val="en-AU"/>
        </w:rPr>
        <w:t>. It is also not clear to which extent this takes into account the management of risks and the extent to which risks may adversely affect implementation.</w:t>
      </w:r>
      <w:r w:rsidR="000828F6">
        <w:rPr>
          <w:rFonts w:ascii="Arial" w:hAnsi="Arial" w:cs="Arial"/>
          <w:color w:val="auto"/>
          <w:lang w:val="en-AU"/>
        </w:rPr>
        <w:t xml:space="preserve"> It </w:t>
      </w:r>
      <w:r w:rsidR="005834D7">
        <w:rPr>
          <w:rFonts w:ascii="Arial" w:hAnsi="Arial" w:cs="Arial"/>
          <w:color w:val="auto"/>
          <w:lang w:val="en-AU"/>
        </w:rPr>
        <w:t>i</w:t>
      </w:r>
      <w:r w:rsidR="000828F6">
        <w:rPr>
          <w:rFonts w:ascii="Arial" w:hAnsi="Arial" w:cs="Arial"/>
          <w:color w:val="auto"/>
          <w:lang w:val="en-AU"/>
        </w:rPr>
        <w:t xml:space="preserve">s furthermore noted that while discussions of gender-related issues took place early on during implementation, a proper </w:t>
      </w:r>
      <w:r w:rsidR="000828F6" w:rsidRPr="000828F6">
        <w:rPr>
          <w:rFonts w:ascii="Arial" w:hAnsi="Arial" w:cs="Arial"/>
          <w:color w:val="auto"/>
          <w:lang w:val="en-AU"/>
        </w:rPr>
        <w:t xml:space="preserve">focus on gender issues has only come about following the engagement of a </w:t>
      </w:r>
      <w:r w:rsidR="000828F6">
        <w:rPr>
          <w:rFonts w:ascii="Arial" w:hAnsi="Arial" w:cs="Arial"/>
          <w:color w:val="auto"/>
          <w:lang w:val="en-AU"/>
        </w:rPr>
        <w:t xml:space="preserve">partner-funded </w:t>
      </w:r>
      <w:r w:rsidR="000828F6" w:rsidRPr="000828F6">
        <w:rPr>
          <w:rFonts w:ascii="Arial" w:hAnsi="Arial" w:cs="Arial"/>
          <w:color w:val="auto"/>
          <w:lang w:val="en-AU"/>
        </w:rPr>
        <w:t>Gender Operations Officer</w:t>
      </w:r>
      <w:r w:rsidR="000828F6">
        <w:rPr>
          <w:rFonts w:ascii="Arial" w:hAnsi="Arial" w:cs="Arial"/>
          <w:color w:val="auto"/>
          <w:lang w:val="en-AU"/>
        </w:rPr>
        <w:t xml:space="preserve"> placed in-country</w:t>
      </w:r>
      <w:r w:rsidR="00CE6096">
        <w:rPr>
          <w:rFonts w:ascii="Arial" w:hAnsi="Arial" w:cs="Arial"/>
          <w:color w:val="auto"/>
          <w:lang w:val="en-AU"/>
        </w:rPr>
        <w:t xml:space="preserve"> in late 2017 which, however, since then has resulted in several relevant initiatives being taken.</w:t>
      </w:r>
    </w:p>
    <w:p w:rsidR="00CE6096" w:rsidRPr="00CE6096" w:rsidRDefault="0086397E" w:rsidP="00CE6096">
      <w:pPr>
        <w:pStyle w:val="ListParagraph"/>
        <w:numPr>
          <w:ilvl w:val="0"/>
          <w:numId w:val="18"/>
        </w:numPr>
        <w:suppressAutoHyphens w:val="0"/>
        <w:spacing w:after="0" w:line="240" w:lineRule="auto"/>
        <w:ind w:left="360"/>
        <w:contextualSpacing w:val="0"/>
        <w:jc w:val="both"/>
        <w:rPr>
          <w:rFonts w:ascii="Arial" w:hAnsi="Arial" w:cs="Arial"/>
          <w:color w:val="auto"/>
          <w:lang w:val="en-AU"/>
        </w:rPr>
      </w:pPr>
      <w:r w:rsidRPr="00A769DE">
        <w:rPr>
          <w:rFonts w:ascii="Arial" w:hAnsi="Arial" w:cs="Arial"/>
          <w:b/>
          <w:color w:val="auto"/>
          <w:lang w:val="en-AU"/>
        </w:rPr>
        <w:t>Relevance</w:t>
      </w:r>
      <w:r w:rsidRPr="00A769DE">
        <w:rPr>
          <w:rFonts w:ascii="Arial" w:hAnsi="Arial" w:cs="Arial"/>
          <w:color w:val="auto"/>
          <w:lang w:val="en-AU"/>
        </w:rPr>
        <w:t xml:space="preserve"> – Support for PSD remains highly relevant as a key priority for generating economic growth and alleviating poverty</w:t>
      </w:r>
      <w:r w:rsidR="00BE6586" w:rsidRPr="00BE6586">
        <w:rPr>
          <w:rFonts w:ascii="Arial" w:hAnsi="Arial" w:cs="Arial"/>
          <w:color w:val="auto"/>
          <w:lang w:val="en-AU"/>
        </w:rPr>
        <w:t xml:space="preserve"> </w:t>
      </w:r>
      <w:r w:rsidR="00BE6586" w:rsidRPr="00A769DE">
        <w:rPr>
          <w:rFonts w:ascii="Arial" w:hAnsi="Arial" w:cs="Arial"/>
          <w:color w:val="auto"/>
          <w:lang w:val="en-AU"/>
        </w:rPr>
        <w:t>in Myanmar</w:t>
      </w:r>
      <w:r w:rsidRPr="00A769DE">
        <w:rPr>
          <w:rFonts w:ascii="Arial" w:hAnsi="Arial" w:cs="Arial"/>
          <w:color w:val="auto"/>
          <w:lang w:val="en-AU"/>
        </w:rPr>
        <w:t xml:space="preserve">. The applied delivery modalities – </w:t>
      </w:r>
      <w:r w:rsidR="00BE6586">
        <w:rPr>
          <w:rFonts w:ascii="Arial" w:hAnsi="Arial" w:cs="Arial"/>
          <w:color w:val="auto"/>
          <w:lang w:val="en-AU"/>
        </w:rPr>
        <w:t xml:space="preserve">which focus mainly on </w:t>
      </w:r>
      <w:r w:rsidRPr="00A769DE">
        <w:rPr>
          <w:rFonts w:ascii="Arial" w:hAnsi="Arial" w:cs="Arial"/>
          <w:color w:val="auto"/>
          <w:lang w:val="en-AU"/>
        </w:rPr>
        <w:t>advisory services and TA – also remain very relevant, but a more targeted and systematic approach towards capacity building will eventually be required across all project areas (capacity building is so far achieved only indirectly in some projects)</w:t>
      </w:r>
      <w:r w:rsidR="00176305">
        <w:rPr>
          <w:rFonts w:ascii="Arial" w:hAnsi="Arial" w:cs="Arial"/>
          <w:color w:val="auto"/>
          <w:lang w:val="en-AU"/>
        </w:rPr>
        <w:t xml:space="preserve">. </w:t>
      </w:r>
      <w:r w:rsidR="00CE6096">
        <w:rPr>
          <w:rFonts w:ascii="Arial" w:hAnsi="Arial" w:cs="Arial"/>
          <w:color w:val="auto"/>
          <w:lang w:val="en-AU"/>
        </w:rPr>
        <w:t xml:space="preserve">This </w:t>
      </w:r>
      <w:r w:rsidRPr="00A769DE">
        <w:rPr>
          <w:rFonts w:ascii="Arial" w:hAnsi="Arial" w:cs="Arial"/>
          <w:color w:val="auto"/>
          <w:lang w:val="en-AU"/>
        </w:rPr>
        <w:t xml:space="preserve">is likely only possible </w:t>
      </w:r>
      <w:r w:rsidR="00176305">
        <w:rPr>
          <w:rFonts w:ascii="Arial" w:hAnsi="Arial" w:cs="Arial"/>
          <w:color w:val="auto"/>
          <w:lang w:val="en-AU"/>
        </w:rPr>
        <w:t xml:space="preserve">to achieve </w:t>
      </w:r>
      <w:r w:rsidRPr="00A769DE">
        <w:rPr>
          <w:rFonts w:ascii="Arial" w:hAnsi="Arial" w:cs="Arial"/>
          <w:color w:val="auto"/>
          <w:lang w:val="en-AU"/>
        </w:rPr>
        <w:t>in the longer term (i.e. beyond the lifetime of the ICCP)</w:t>
      </w:r>
      <w:r w:rsidR="00CE6096">
        <w:rPr>
          <w:rFonts w:ascii="Arial" w:hAnsi="Arial" w:cs="Arial"/>
          <w:color w:val="auto"/>
          <w:lang w:val="en-AU"/>
        </w:rPr>
        <w:t xml:space="preserve"> and, h</w:t>
      </w:r>
      <w:r w:rsidR="003B3D32">
        <w:rPr>
          <w:rFonts w:ascii="Arial" w:hAnsi="Arial" w:cs="Arial"/>
          <w:color w:val="auto"/>
          <w:lang w:val="en-AU"/>
        </w:rPr>
        <w:t>ence</w:t>
      </w:r>
      <w:r w:rsidR="00CE6096">
        <w:rPr>
          <w:rFonts w:ascii="Arial" w:hAnsi="Arial" w:cs="Arial"/>
          <w:color w:val="auto"/>
          <w:lang w:val="en-AU"/>
        </w:rPr>
        <w:t xml:space="preserve">, </w:t>
      </w:r>
      <w:r w:rsidR="003B3D32">
        <w:rPr>
          <w:rFonts w:ascii="Arial" w:hAnsi="Arial" w:cs="Arial"/>
          <w:color w:val="auto"/>
          <w:lang w:val="en-AU"/>
        </w:rPr>
        <w:t>a</w:t>
      </w:r>
      <w:r w:rsidRPr="00A769DE">
        <w:rPr>
          <w:rFonts w:ascii="Arial" w:hAnsi="Arial" w:cs="Arial"/>
          <w:color w:val="auto"/>
          <w:lang w:val="en-AU"/>
        </w:rPr>
        <w:t xml:space="preserve"> focus on capacity building in GoM entities </w:t>
      </w:r>
      <w:r w:rsidR="00BE6586">
        <w:rPr>
          <w:rFonts w:ascii="Arial" w:hAnsi="Arial" w:cs="Arial"/>
          <w:color w:val="auto"/>
          <w:lang w:val="en-AU"/>
        </w:rPr>
        <w:t>should be a future priority</w:t>
      </w:r>
      <w:r w:rsidR="00CE6096">
        <w:rPr>
          <w:rFonts w:ascii="Arial" w:hAnsi="Arial" w:cs="Arial"/>
          <w:color w:val="auto"/>
          <w:lang w:val="en-AU"/>
        </w:rPr>
        <w:t xml:space="preserve"> that</w:t>
      </w:r>
      <w:r w:rsidRPr="00A769DE">
        <w:rPr>
          <w:rFonts w:ascii="Arial" w:hAnsi="Arial" w:cs="Arial"/>
          <w:color w:val="auto"/>
          <w:lang w:val="en-AU"/>
        </w:rPr>
        <w:t xml:space="preserve"> </w:t>
      </w:r>
      <w:r w:rsidR="003B3D32">
        <w:rPr>
          <w:rFonts w:ascii="Arial" w:hAnsi="Arial" w:cs="Arial"/>
          <w:color w:val="auto"/>
          <w:lang w:val="en-AU"/>
        </w:rPr>
        <w:t xml:space="preserve">could also include </w:t>
      </w:r>
      <w:r w:rsidRPr="00A769DE">
        <w:rPr>
          <w:rFonts w:ascii="Arial" w:hAnsi="Arial" w:cs="Arial"/>
          <w:color w:val="auto"/>
          <w:lang w:val="en-AU"/>
        </w:rPr>
        <w:t>private sector organisations (e.g. UMFCCI).</w:t>
      </w:r>
      <w:r w:rsidR="00CE6096">
        <w:rPr>
          <w:rFonts w:ascii="Arial" w:hAnsi="Arial" w:cs="Arial"/>
          <w:color w:val="auto"/>
          <w:lang w:val="en-AU"/>
        </w:rPr>
        <w:t xml:space="preserve"> The relevance of PSD support would, furthermore, be enhanced if better PPD practices and structures can be (re-)introduced that include local organisations </w:t>
      </w:r>
      <w:r w:rsidR="00CE6096" w:rsidRPr="00CE6096">
        <w:rPr>
          <w:rFonts w:ascii="Arial" w:hAnsi="Arial" w:cs="Arial"/>
          <w:color w:val="auto"/>
          <w:lang w:val="en-AU"/>
        </w:rPr>
        <w:t>advocat</w:t>
      </w:r>
      <w:r w:rsidR="00CE6096">
        <w:rPr>
          <w:rFonts w:ascii="Arial" w:hAnsi="Arial" w:cs="Arial"/>
          <w:color w:val="auto"/>
          <w:lang w:val="en-AU"/>
        </w:rPr>
        <w:t>ing</w:t>
      </w:r>
      <w:r w:rsidR="00CE6096" w:rsidRPr="00CE6096">
        <w:rPr>
          <w:rFonts w:ascii="Arial" w:hAnsi="Arial" w:cs="Arial"/>
          <w:color w:val="auto"/>
          <w:lang w:val="en-AU"/>
        </w:rPr>
        <w:t xml:space="preserve"> constructively for policy change vis-à-vis the Government. </w:t>
      </w:r>
    </w:p>
    <w:p w:rsidR="00CE6096" w:rsidRPr="00A769DE" w:rsidRDefault="00CE6096" w:rsidP="00CE6096">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0B785F" w:rsidRPr="00A769DE" w:rsidRDefault="00B5401C" w:rsidP="00B5401C">
      <w:pPr>
        <w:pStyle w:val="Heading2"/>
        <w:spacing w:before="0" w:after="60" w:line="240" w:lineRule="auto"/>
        <w:ind w:left="274" w:hanging="274"/>
        <w:contextualSpacing w:val="0"/>
        <w:jc w:val="both"/>
        <w:rPr>
          <w:rFonts w:ascii="Arial" w:hAnsi="Arial" w:cs="Arial"/>
          <w:b/>
          <w:bCs/>
          <w:color w:val="auto"/>
          <w:sz w:val="24"/>
          <w:szCs w:val="24"/>
          <w:lang w:val="en-AU"/>
        </w:rPr>
      </w:pPr>
      <w:bookmarkStart w:id="73" w:name="_Toc522800488"/>
      <w:bookmarkStart w:id="74" w:name="_Toc525930560"/>
      <w:bookmarkStart w:id="75" w:name="_Toc530307610"/>
      <w:r w:rsidRPr="00A769DE">
        <w:rPr>
          <w:rFonts w:ascii="Arial" w:hAnsi="Arial" w:cs="Arial"/>
          <w:b/>
          <w:bCs/>
          <w:color w:val="auto"/>
          <w:sz w:val="24"/>
          <w:szCs w:val="24"/>
          <w:lang w:val="en-AU"/>
        </w:rPr>
        <w:t>4</w:t>
      </w:r>
      <w:r w:rsidR="000B785F" w:rsidRPr="00A769DE">
        <w:rPr>
          <w:rFonts w:ascii="Arial" w:hAnsi="Arial" w:cs="Arial"/>
          <w:b/>
          <w:bCs/>
          <w:color w:val="auto"/>
          <w:sz w:val="24"/>
          <w:szCs w:val="24"/>
          <w:lang w:val="en-AU"/>
        </w:rPr>
        <w:t>.</w:t>
      </w:r>
      <w:r w:rsidR="007241DD">
        <w:rPr>
          <w:rFonts w:ascii="Arial" w:hAnsi="Arial" w:cs="Arial"/>
          <w:b/>
          <w:bCs/>
          <w:color w:val="auto"/>
          <w:sz w:val="24"/>
          <w:szCs w:val="24"/>
          <w:lang w:val="en-AU"/>
        </w:rPr>
        <w:t>7</w:t>
      </w:r>
      <w:r w:rsidR="000B785F" w:rsidRPr="00A769DE">
        <w:rPr>
          <w:rFonts w:ascii="Arial" w:hAnsi="Arial" w:cs="Arial"/>
          <w:b/>
          <w:bCs/>
          <w:color w:val="auto"/>
          <w:sz w:val="24"/>
          <w:szCs w:val="24"/>
          <w:lang w:val="en-AU"/>
        </w:rPr>
        <w:t xml:space="preserve"> Recommendations to DFAT on Future Program Design and Modality for Investments in Economic Growth</w:t>
      </w:r>
      <w:bookmarkEnd w:id="73"/>
      <w:bookmarkEnd w:id="74"/>
      <w:bookmarkEnd w:id="75"/>
    </w:p>
    <w:p w:rsidR="000B785F" w:rsidRPr="00A769DE" w:rsidRDefault="000B785F" w:rsidP="00A9264C">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 xml:space="preserve">The observations made and analyses undertaken as part of the evaluation </w:t>
      </w:r>
      <w:r w:rsidR="004E58D8">
        <w:rPr>
          <w:rFonts w:ascii="Arial" w:hAnsi="Arial" w:cs="Arial"/>
          <w:color w:val="auto"/>
          <w:lang w:val="en-AU"/>
        </w:rPr>
        <w:t xml:space="preserve">lead to </w:t>
      </w:r>
      <w:r w:rsidRPr="00A769DE">
        <w:rPr>
          <w:rFonts w:ascii="Arial" w:hAnsi="Arial" w:cs="Arial"/>
          <w:color w:val="auto"/>
          <w:lang w:val="en-AU"/>
        </w:rPr>
        <w:t>the following recommendations:</w:t>
      </w: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u w:val="single"/>
          <w:lang w:val="en-AU"/>
        </w:rPr>
      </w:pPr>
      <w:r w:rsidRPr="00A769DE">
        <w:rPr>
          <w:rFonts w:ascii="Arial" w:hAnsi="Arial" w:cs="Arial"/>
          <w:iCs/>
          <w:color w:val="auto"/>
          <w:u w:val="single"/>
          <w:lang w:val="en-AU"/>
        </w:rPr>
        <w:t>On-going program implementation</w:t>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color w:val="auto"/>
          <w:lang w:val="en-AU"/>
        </w:rPr>
        <w:lastRenderedPageBreak/>
        <w:t xml:space="preserve">The IFC to </w:t>
      </w:r>
      <w:r w:rsidR="00A87C50">
        <w:rPr>
          <w:rFonts w:ascii="Arial" w:hAnsi="Arial" w:cs="Arial"/>
          <w:color w:val="auto"/>
          <w:lang w:val="en-AU"/>
        </w:rPr>
        <w:t>develop</w:t>
      </w:r>
      <w:r w:rsidRPr="00A769DE">
        <w:rPr>
          <w:rFonts w:ascii="Arial" w:hAnsi="Arial" w:cs="Arial"/>
          <w:color w:val="auto"/>
          <w:lang w:val="en-AU"/>
        </w:rPr>
        <w:t xml:space="preserve"> a </w:t>
      </w:r>
      <w:r w:rsidR="004E58D8">
        <w:rPr>
          <w:rFonts w:ascii="Arial" w:hAnsi="Arial" w:cs="Arial"/>
          <w:color w:val="auto"/>
          <w:lang w:val="en-AU"/>
        </w:rPr>
        <w:t xml:space="preserve">program logic for the ICCP based on a </w:t>
      </w:r>
      <w:r w:rsidRPr="00A769DE">
        <w:rPr>
          <w:rFonts w:ascii="Arial" w:hAnsi="Arial" w:cs="Arial"/>
          <w:color w:val="auto"/>
          <w:lang w:val="en-AU"/>
        </w:rPr>
        <w:t xml:space="preserve">results framework/logframe – encompassing relevant impact-, outcome- and output-indicators – which </w:t>
      </w:r>
      <w:r w:rsidR="00AA396D">
        <w:rPr>
          <w:rFonts w:ascii="Arial" w:hAnsi="Arial" w:cs="Arial"/>
          <w:color w:val="auto"/>
          <w:lang w:val="en-AU"/>
        </w:rPr>
        <w:t>will be</w:t>
      </w:r>
      <w:r w:rsidRPr="00A769DE">
        <w:rPr>
          <w:rFonts w:ascii="Arial" w:hAnsi="Arial" w:cs="Arial"/>
          <w:color w:val="auto"/>
          <w:lang w:val="en-AU"/>
        </w:rPr>
        <w:t xml:space="preserve"> monitored on a regular basis.</w:t>
      </w:r>
      <w:r w:rsidR="004E672C" w:rsidRPr="00A769DE">
        <w:rPr>
          <w:rStyle w:val="FootnoteReference"/>
          <w:rFonts w:ascii="Arial" w:hAnsi="Arial" w:cs="Arial"/>
          <w:color w:val="auto"/>
          <w:lang w:val="en-AU"/>
        </w:rPr>
        <w:footnoteReference w:id="49"/>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The IFC to develop an outline of an ICCP program/portfolio management approach which is discussed at a quarterly meeting to ensure that the IFC, DFAT and DFID have a</w:t>
      </w:r>
      <w:r w:rsidR="00AA396D" w:rsidRPr="00D82DAC">
        <w:rPr>
          <w:rFonts w:ascii="Arial" w:hAnsi="Arial" w:cs="Arial"/>
          <w:color w:val="auto"/>
          <w:lang w:val="en-AU"/>
        </w:rPr>
        <w:t>n agreed and</w:t>
      </w:r>
      <w:r w:rsidRPr="00D82DAC">
        <w:rPr>
          <w:rFonts w:ascii="Arial" w:hAnsi="Arial" w:cs="Arial"/>
          <w:color w:val="auto"/>
          <w:lang w:val="en-AU"/>
        </w:rPr>
        <w:t xml:space="preserve"> common understanding.</w:t>
      </w:r>
      <w:r w:rsidR="003B3D32" w:rsidRPr="00D82DAC">
        <w:rPr>
          <w:rFonts w:ascii="Arial" w:hAnsi="Arial" w:cs="Arial"/>
          <w:color w:val="auto"/>
          <w:lang w:val="en-AU"/>
        </w:rPr>
        <w:t xml:space="preserve"> This should include the role and tasks of the IFC’s ICCP Coordinator, for example in the form of a short ToR.</w:t>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 xml:space="preserve">The IFC, DFAT and DFID </w:t>
      </w:r>
      <w:r w:rsidR="00AA396D" w:rsidRPr="00D82DAC">
        <w:rPr>
          <w:rFonts w:ascii="Arial" w:hAnsi="Arial" w:cs="Arial"/>
          <w:color w:val="auto"/>
          <w:lang w:val="en-AU"/>
        </w:rPr>
        <w:t>to</w:t>
      </w:r>
      <w:r w:rsidRPr="00D82DAC">
        <w:rPr>
          <w:rFonts w:ascii="Arial" w:hAnsi="Arial" w:cs="Arial"/>
          <w:color w:val="auto"/>
          <w:lang w:val="en-AU"/>
        </w:rPr>
        <w:t xml:space="preserve"> agree </w:t>
      </w:r>
      <w:r w:rsidR="00AA396D" w:rsidRPr="00D82DAC">
        <w:rPr>
          <w:rFonts w:ascii="Arial" w:hAnsi="Arial" w:cs="Arial"/>
          <w:color w:val="auto"/>
          <w:lang w:val="en-AU"/>
        </w:rPr>
        <w:t xml:space="preserve">on </w:t>
      </w:r>
      <w:r w:rsidRPr="00D82DAC">
        <w:rPr>
          <w:rFonts w:ascii="Arial" w:hAnsi="Arial" w:cs="Arial"/>
          <w:color w:val="auto"/>
          <w:lang w:val="en-AU"/>
        </w:rPr>
        <w:t xml:space="preserve">a new reporting format for the ICCP quarterly </w:t>
      </w:r>
      <w:r w:rsidR="00AA396D" w:rsidRPr="00D82DAC">
        <w:rPr>
          <w:rFonts w:ascii="Arial" w:hAnsi="Arial" w:cs="Arial"/>
          <w:color w:val="auto"/>
          <w:lang w:val="en-AU"/>
        </w:rPr>
        <w:t>forum</w:t>
      </w:r>
      <w:r w:rsidRPr="00D82DAC">
        <w:rPr>
          <w:rFonts w:ascii="Arial" w:hAnsi="Arial" w:cs="Arial"/>
          <w:color w:val="auto"/>
          <w:lang w:val="en-AU"/>
        </w:rPr>
        <w:t xml:space="preserve"> that provides an adequate program-level overview</w:t>
      </w:r>
      <w:r w:rsidR="00AA396D" w:rsidRPr="00D82DAC">
        <w:rPr>
          <w:rFonts w:ascii="Arial" w:hAnsi="Arial" w:cs="Arial"/>
          <w:color w:val="auto"/>
          <w:lang w:val="en-AU"/>
        </w:rPr>
        <w:t>, properly compares project-level plans with actual progress, and also</w:t>
      </w:r>
      <w:r w:rsidR="003B3D32" w:rsidRPr="00D82DAC">
        <w:rPr>
          <w:rFonts w:ascii="Arial" w:hAnsi="Arial" w:cs="Arial"/>
          <w:color w:val="auto"/>
          <w:lang w:val="en-AU"/>
        </w:rPr>
        <w:t xml:space="preserve"> include</w:t>
      </w:r>
      <w:r w:rsidR="00AA396D" w:rsidRPr="00D82DAC">
        <w:rPr>
          <w:rFonts w:ascii="Arial" w:hAnsi="Arial" w:cs="Arial"/>
          <w:color w:val="auto"/>
          <w:lang w:val="en-AU"/>
        </w:rPr>
        <w:t xml:space="preserve"> relevant </w:t>
      </w:r>
      <w:r w:rsidRPr="00D82DAC">
        <w:rPr>
          <w:rFonts w:ascii="Arial" w:hAnsi="Arial" w:cs="Arial"/>
          <w:color w:val="auto"/>
          <w:lang w:val="en-AU"/>
        </w:rPr>
        <w:t>financ</w:t>
      </w:r>
      <w:r w:rsidR="00AA396D" w:rsidRPr="00D82DAC">
        <w:rPr>
          <w:rFonts w:ascii="Arial" w:hAnsi="Arial" w:cs="Arial"/>
          <w:color w:val="auto"/>
          <w:lang w:val="en-AU"/>
        </w:rPr>
        <w:t>ial data and gender aspects</w:t>
      </w:r>
      <w:r w:rsidRPr="00D82DAC">
        <w:rPr>
          <w:rFonts w:ascii="Arial" w:hAnsi="Arial" w:cs="Arial"/>
          <w:color w:val="auto"/>
          <w:lang w:val="en-AU"/>
        </w:rPr>
        <w:t>.</w:t>
      </w:r>
      <w:r w:rsidR="004E672C" w:rsidRPr="00A769DE">
        <w:rPr>
          <w:rStyle w:val="FootnoteReference"/>
          <w:rFonts w:ascii="Arial" w:hAnsi="Arial" w:cs="Arial"/>
          <w:color w:val="auto"/>
          <w:lang w:val="en-AU"/>
        </w:rPr>
        <w:footnoteReference w:id="50"/>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 xml:space="preserve">DFAT </w:t>
      </w:r>
      <w:r w:rsidR="00AA396D" w:rsidRPr="00D82DAC">
        <w:rPr>
          <w:rFonts w:ascii="Arial" w:hAnsi="Arial" w:cs="Arial"/>
          <w:color w:val="auto"/>
          <w:lang w:val="en-AU"/>
        </w:rPr>
        <w:t>to</w:t>
      </w:r>
      <w:r w:rsidRPr="00D82DAC">
        <w:rPr>
          <w:rFonts w:ascii="Arial" w:hAnsi="Arial" w:cs="Arial"/>
          <w:color w:val="auto"/>
          <w:lang w:val="en-AU"/>
        </w:rPr>
        <w:t xml:space="preserve"> follow up vis-à-vis the IFC to ensure that the Gender Operations Officer is actively involved in relevant ICCP activities, including the quarterly meetings.</w:t>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 xml:space="preserve">DFAT </w:t>
      </w:r>
      <w:r w:rsidR="00AA396D" w:rsidRPr="00D82DAC">
        <w:rPr>
          <w:rFonts w:ascii="Arial" w:hAnsi="Arial" w:cs="Arial"/>
          <w:color w:val="auto"/>
          <w:lang w:val="en-AU"/>
        </w:rPr>
        <w:t>to</w:t>
      </w:r>
      <w:r w:rsidRPr="00D82DAC">
        <w:rPr>
          <w:rFonts w:ascii="Arial" w:hAnsi="Arial" w:cs="Arial"/>
          <w:color w:val="auto"/>
          <w:lang w:val="en-AU"/>
        </w:rPr>
        <w:t xml:space="preserve"> consider if and how, in the context of the ICCP, it can engage with and use the new Yangon-based Communications Officer.</w:t>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 xml:space="preserve">DFAT </w:t>
      </w:r>
      <w:r w:rsidR="00AA396D" w:rsidRPr="00D82DAC">
        <w:rPr>
          <w:rFonts w:ascii="Arial" w:hAnsi="Arial" w:cs="Arial"/>
          <w:color w:val="auto"/>
          <w:lang w:val="en-AU"/>
        </w:rPr>
        <w:t>to</w:t>
      </w:r>
      <w:r w:rsidRPr="00D82DAC">
        <w:rPr>
          <w:rFonts w:ascii="Arial" w:hAnsi="Arial" w:cs="Arial"/>
          <w:color w:val="auto"/>
          <w:lang w:val="en-AU"/>
        </w:rPr>
        <w:t xml:space="preserve"> consider how, based on the existing </w:t>
      </w:r>
      <w:r w:rsidR="00AA396D" w:rsidRPr="00D82DAC">
        <w:rPr>
          <w:rFonts w:ascii="Arial" w:hAnsi="Arial" w:cs="Arial"/>
          <w:color w:val="auto"/>
          <w:lang w:val="en-AU"/>
        </w:rPr>
        <w:t>Administration A</w:t>
      </w:r>
      <w:r w:rsidRPr="00D82DAC">
        <w:rPr>
          <w:rFonts w:ascii="Arial" w:hAnsi="Arial" w:cs="Arial"/>
          <w:color w:val="auto"/>
          <w:lang w:val="en-AU"/>
        </w:rPr>
        <w:t xml:space="preserve">greement with the World Bank Group, it </w:t>
      </w:r>
      <w:r w:rsidR="00AA396D" w:rsidRPr="00D82DAC">
        <w:rPr>
          <w:rFonts w:ascii="Arial" w:hAnsi="Arial" w:cs="Arial"/>
          <w:color w:val="auto"/>
          <w:lang w:val="en-AU"/>
        </w:rPr>
        <w:t>can</w:t>
      </w:r>
      <w:r w:rsidRPr="00D82DAC">
        <w:rPr>
          <w:rFonts w:ascii="Arial" w:hAnsi="Arial" w:cs="Arial"/>
          <w:color w:val="auto"/>
          <w:lang w:val="en-AU"/>
        </w:rPr>
        <w:t xml:space="preserve"> strengthen its relationship management vis-à-vis the IFC</w:t>
      </w:r>
      <w:r w:rsidR="003B3D32" w:rsidRPr="00D82DAC">
        <w:rPr>
          <w:rFonts w:ascii="Arial" w:hAnsi="Arial" w:cs="Arial"/>
          <w:color w:val="auto"/>
          <w:lang w:val="en-AU"/>
        </w:rPr>
        <w:t xml:space="preserve"> as regards the ICCP and vis-à-vis the World Bank as regards the </w:t>
      </w:r>
      <w:r w:rsidR="00A10AD6" w:rsidRPr="00A10AD6">
        <w:rPr>
          <w:rFonts w:ascii="Arial" w:hAnsi="Arial" w:cs="Arial"/>
          <w:iCs/>
          <w:color w:val="auto"/>
          <w:lang w:val="en-AU"/>
        </w:rPr>
        <w:t xml:space="preserve">Myanmar Partnership </w:t>
      </w:r>
      <w:r w:rsidR="003B3D32" w:rsidRPr="00D82DAC">
        <w:rPr>
          <w:rFonts w:ascii="Arial" w:hAnsi="Arial" w:cs="Arial"/>
          <w:color w:val="auto"/>
          <w:lang w:val="en-AU"/>
        </w:rPr>
        <w:t>MDTF</w:t>
      </w:r>
      <w:r w:rsidRPr="00D82DAC">
        <w:rPr>
          <w:rFonts w:ascii="Arial" w:hAnsi="Arial" w:cs="Arial"/>
          <w:color w:val="auto"/>
          <w:lang w:val="en-AU"/>
        </w:rPr>
        <w:t>.</w:t>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 xml:space="preserve">DFAT </w:t>
      </w:r>
      <w:r w:rsidR="00AA396D" w:rsidRPr="00D82DAC">
        <w:rPr>
          <w:rFonts w:ascii="Arial" w:hAnsi="Arial" w:cs="Arial"/>
          <w:color w:val="auto"/>
          <w:lang w:val="en-AU"/>
        </w:rPr>
        <w:t>and DFID to</w:t>
      </w:r>
      <w:r w:rsidRPr="00D82DAC">
        <w:rPr>
          <w:rFonts w:ascii="Arial" w:hAnsi="Arial" w:cs="Arial"/>
          <w:color w:val="auto"/>
          <w:lang w:val="en-AU"/>
        </w:rPr>
        <w:t xml:space="preserve"> </w:t>
      </w:r>
      <w:r w:rsidR="00AA396D" w:rsidRPr="00D82DAC">
        <w:rPr>
          <w:rFonts w:ascii="Arial" w:hAnsi="Arial" w:cs="Arial"/>
          <w:color w:val="auto"/>
          <w:lang w:val="en-AU"/>
        </w:rPr>
        <w:t xml:space="preserve">formally </w:t>
      </w:r>
      <w:r w:rsidRPr="00D82DAC">
        <w:rPr>
          <w:rFonts w:ascii="Arial" w:hAnsi="Arial" w:cs="Arial"/>
          <w:color w:val="auto"/>
          <w:lang w:val="en-AU"/>
        </w:rPr>
        <w:t xml:space="preserve">discuss with the IFC </w:t>
      </w:r>
      <w:r w:rsidR="003B3D32" w:rsidRPr="00D82DAC">
        <w:rPr>
          <w:rFonts w:ascii="Arial" w:hAnsi="Arial" w:cs="Arial"/>
          <w:color w:val="auto"/>
          <w:lang w:val="en-AU"/>
        </w:rPr>
        <w:t>their</w:t>
      </w:r>
      <w:r w:rsidRPr="00D82DAC">
        <w:rPr>
          <w:rFonts w:ascii="Arial" w:hAnsi="Arial" w:cs="Arial"/>
          <w:color w:val="auto"/>
          <w:lang w:val="en-AU"/>
        </w:rPr>
        <w:t xml:space="preserve"> expectations and requirements as regards branding, technical ad-hoc inputs (e.g. briefings) and information distribution (about events, tenders, etc.)</w:t>
      </w:r>
      <w:r w:rsidR="00E33BF0" w:rsidRPr="00D82DAC">
        <w:rPr>
          <w:rFonts w:ascii="Arial" w:hAnsi="Arial" w:cs="Arial"/>
          <w:color w:val="auto"/>
          <w:lang w:val="en-AU"/>
        </w:rPr>
        <w:t xml:space="preserve"> as well as how donors are recognized on project materials</w:t>
      </w:r>
      <w:r w:rsidRPr="00D82DAC">
        <w:rPr>
          <w:rFonts w:ascii="Arial" w:hAnsi="Arial" w:cs="Arial"/>
          <w:color w:val="auto"/>
          <w:lang w:val="en-AU"/>
        </w:rPr>
        <w:t>.</w:t>
      </w:r>
    </w:p>
    <w:p w:rsid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 xml:space="preserve">DFAT </w:t>
      </w:r>
      <w:r w:rsidR="00AA396D" w:rsidRPr="00D82DAC">
        <w:rPr>
          <w:rFonts w:ascii="Arial" w:hAnsi="Arial" w:cs="Arial"/>
          <w:color w:val="auto"/>
          <w:lang w:val="en-AU"/>
        </w:rPr>
        <w:t>to</w:t>
      </w:r>
      <w:r w:rsidRPr="00D82DAC">
        <w:rPr>
          <w:rFonts w:ascii="Arial" w:hAnsi="Arial" w:cs="Arial"/>
          <w:color w:val="auto"/>
          <w:lang w:val="en-AU"/>
        </w:rPr>
        <w:t xml:space="preserve"> request the IFC to prepare a note on the capacity building approach used for the ICCP projects and the extent to which this meets the current requirements of </w:t>
      </w:r>
      <w:r w:rsidR="00AA396D" w:rsidRPr="00D82DAC">
        <w:rPr>
          <w:rFonts w:ascii="Arial" w:hAnsi="Arial" w:cs="Arial"/>
          <w:color w:val="auto"/>
          <w:lang w:val="en-AU"/>
        </w:rPr>
        <w:t>GoM</w:t>
      </w:r>
      <w:r w:rsidRPr="00D82DAC">
        <w:rPr>
          <w:rFonts w:ascii="Arial" w:hAnsi="Arial" w:cs="Arial"/>
          <w:color w:val="auto"/>
          <w:lang w:val="en-AU"/>
        </w:rPr>
        <w:t xml:space="preserve"> counterparts and </w:t>
      </w:r>
      <w:r w:rsidR="00AA396D" w:rsidRPr="00D82DAC">
        <w:rPr>
          <w:rFonts w:ascii="Arial" w:hAnsi="Arial" w:cs="Arial"/>
          <w:color w:val="auto"/>
          <w:lang w:val="en-AU"/>
        </w:rPr>
        <w:t xml:space="preserve">project </w:t>
      </w:r>
      <w:r w:rsidRPr="00D82DAC">
        <w:rPr>
          <w:rFonts w:ascii="Arial" w:hAnsi="Arial" w:cs="Arial"/>
          <w:color w:val="auto"/>
          <w:lang w:val="en-AU"/>
        </w:rPr>
        <w:t xml:space="preserve">beneficiaries, so that corrective measures – if </w:t>
      </w:r>
      <w:r w:rsidR="00AA396D" w:rsidRPr="00D82DAC">
        <w:rPr>
          <w:rFonts w:ascii="Arial" w:hAnsi="Arial" w:cs="Arial"/>
          <w:color w:val="auto"/>
          <w:lang w:val="en-AU"/>
        </w:rPr>
        <w:t>needed</w:t>
      </w:r>
      <w:r w:rsidRPr="00D82DAC">
        <w:rPr>
          <w:rFonts w:ascii="Arial" w:hAnsi="Arial" w:cs="Arial"/>
          <w:color w:val="auto"/>
          <w:lang w:val="en-AU"/>
        </w:rPr>
        <w:t xml:space="preserve"> – can be agreed.</w:t>
      </w:r>
      <w:r w:rsidR="00F206E3" w:rsidRPr="00D82DAC">
        <w:rPr>
          <w:rFonts w:ascii="Arial" w:hAnsi="Arial" w:cs="Arial"/>
          <w:color w:val="auto"/>
          <w:lang w:val="en-AU"/>
        </w:rPr>
        <w:t xml:space="preserve"> The note could be presented and discussed at a quarterly meeting.</w:t>
      </w:r>
    </w:p>
    <w:p w:rsidR="002746E1" w:rsidRPr="00D82DAC" w:rsidRDefault="002746E1" w:rsidP="00D82DAC">
      <w:pPr>
        <w:pStyle w:val="ListParagraph"/>
        <w:numPr>
          <w:ilvl w:val="0"/>
          <w:numId w:val="31"/>
        </w:numPr>
        <w:suppressAutoHyphens w:val="0"/>
        <w:spacing w:after="120" w:line="240" w:lineRule="auto"/>
        <w:ind w:left="360"/>
        <w:contextualSpacing w:val="0"/>
        <w:jc w:val="both"/>
        <w:rPr>
          <w:rFonts w:ascii="Arial" w:hAnsi="Arial" w:cs="Arial"/>
          <w:color w:val="auto"/>
          <w:lang w:val="en-AU"/>
        </w:rPr>
      </w:pPr>
      <w:r w:rsidRPr="00D82DAC">
        <w:rPr>
          <w:rFonts w:ascii="Arial" w:hAnsi="Arial" w:cs="Arial"/>
          <w:color w:val="auto"/>
          <w:lang w:val="en-AU"/>
        </w:rPr>
        <w:t xml:space="preserve">DFAT </w:t>
      </w:r>
      <w:r w:rsidR="00AA396D" w:rsidRPr="00D82DAC">
        <w:rPr>
          <w:rFonts w:ascii="Arial" w:hAnsi="Arial" w:cs="Arial"/>
          <w:color w:val="auto"/>
          <w:lang w:val="en-AU"/>
        </w:rPr>
        <w:t>to</w:t>
      </w:r>
      <w:r w:rsidRPr="00D82DAC">
        <w:rPr>
          <w:rFonts w:ascii="Arial" w:hAnsi="Arial" w:cs="Arial"/>
          <w:color w:val="auto"/>
          <w:lang w:val="en-AU"/>
        </w:rPr>
        <w:t xml:space="preserve"> consider if and how the functioning of the </w:t>
      </w:r>
      <w:r w:rsidR="00A10AD6" w:rsidRPr="00A10AD6">
        <w:rPr>
          <w:rFonts w:ascii="Arial" w:hAnsi="Arial" w:cs="Arial"/>
          <w:iCs/>
          <w:color w:val="auto"/>
          <w:lang w:val="en-AU"/>
        </w:rPr>
        <w:t xml:space="preserve">Myanmar Partnership </w:t>
      </w:r>
      <w:r w:rsidRPr="00D82DAC">
        <w:rPr>
          <w:rFonts w:ascii="Arial" w:hAnsi="Arial" w:cs="Arial"/>
          <w:color w:val="auto"/>
          <w:lang w:val="en-AU"/>
        </w:rPr>
        <w:t xml:space="preserve">MDTF Steering Committee </w:t>
      </w:r>
      <w:r w:rsidR="00AA396D" w:rsidRPr="00D82DAC">
        <w:rPr>
          <w:rFonts w:ascii="Arial" w:hAnsi="Arial" w:cs="Arial"/>
          <w:color w:val="auto"/>
          <w:lang w:val="en-AU"/>
        </w:rPr>
        <w:t>can</w:t>
      </w:r>
      <w:r w:rsidRPr="00D82DAC">
        <w:rPr>
          <w:rFonts w:ascii="Arial" w:hAnsi="Arial" w:cs="Arial"/>
          <w:color w:val="auto"/>
          <w:lang w:val="en-AU"/>
        </w:rPr>
        <w:t xml:space="preserve"> be strengthened </w:t>
      </w:r>
      <w:r w:rsidR="00E15A9B" w:rsidRPr="00D82DAC">
        <w:rPr>
          <w:rFonts w:ascii="Arial" w:hAnsi="Arial" w:cs="Arial"/>
          <w:color w:val="auto"/>
          <w:lang w:val="en-AU"/>
        </w:rPr>
        <w:t>to</w:t>
      </w:r>
      <w:r w:rsidRPr="00D82DAC">
        <w:rPr>
          <w:rFonts w:ascii="Arial" w:hAnsi="Arial" w:cs="Arial"/>
          <w:color w:val="auto"/>
          <w:lang w:val="en-AU"/>
        </w:rPr>
        <w:t xml:space="preserve"> </w:t>
      </w:r>
      <w:r w:rsidR="00AA396D" w:rsidRPr="00D82DAC">
        <w:rPr>
          <w:rFonts w:ascii="Arial" w:hAnsi="Arial" w:cs="Arial"/>
          <w:color w:val="auto"/>
          <w:lang w:val="en-AU"/>
        </w:rPr>
        <w:t>ensure</w:t>
      </w:r>
      <w:r w:rsidRPr="00D82DAC">
        <w:rPr>
          <w:rFonts w:ascii="Arial" w:hAnsi="Arial" w:cs="Arial"/>
          <w:color w:val="auto"/>
          <w:lang w:val="en-AU"/>
        </w:rPr>
        <w:t xml:space="preserve"> a high-level and strategic focus</w:t>
      </w:r>
      <w:r w:rsidR="00AA396D" w:rsidRPr="00D82DAC">
        <w:rPr>
          <w:rFonts w:ascii="Arial" w:hAnsi="Arial" w:cs="Arial"/>
          <w:color w:val="auto"/>
          <w:lang w:val="en-AU"/>
        </w:rPr>
        <w:t xml:space="preserve"> as well as </w:t>
      </w:r>
      <w:r w:rsidR="003B3D32" w:rsidRPr="00D82DAC">
        <w:rPr>
          <w:rFonts w:ascii="Arial" w:hAnsi="Arial" w:cs="Arial"/>
          <w:color w:val="auto"/>
          <w:lang w:val="en-AU"/>
        </w:rPr>
        <w:t xml:space="preserve">to </w:t>
      </w:r>
      <w:r w:rsidR="00AA396D" w:rsidRPr="00D82DAC">
        <w:rPr>
          <w:rFonts w:ascii="Arial" w:hAnsi="Arial" w:cs="Arial"/>
          <w:color w:val="auto"/>
          <w:lang w:val="en-AU"/>
        </w:rPr>
        <w:t>avoid overlaps with the ICCP quarterly forum</w:t>
      </w:r>
      <w:r w:rsidRPr="00D82DAC">
        <w:rPr>
          <w:rFonts w:ascii="Arial" w:hAnsi="Arial" w:cs="Arial"/>
          <w:color w:val="auto"/>
          <w:lang w:val="en-AU"/>
        </w:rPr>
        <w:t>.</w:t>
      </w:r>
    </w:p>
    <w:p w:rsidR="002746E1" w:rsidRPr="00A769DE" w:rsidRDefault="002746E1" w:rsidP="002746E1">
      <w:pPr>
        <w:suppressAutoHyphens w:val="0"/>
        <w:spacing w:before="0" w:after="0" w:line="240" w:lineRule="auto"/>
        <w:jc w:val="both"/>
        <w:rPr>
          <w:rFonts w:ascii="Arial" w:hAnsi="Arial" w:cs="Arial"/>
          <w:color w:val="auto"/>
          <w:lang w:val="en-AU"/>
        </w:rPr>
      </w:pPr>
    </w:p>
    <w:p w:rsidR="002746E1" w:rsidRPr="00A769DE" w:rsidRDefault="002746E1" w:rsidP="002746E1">
      <w:pPr>
        <w:pStyle w:val="ListParagraph"/>
        <w:tabs>
          <w:tab w:val="left" w:pos="357"/>
        </w:tabs>
        <w:spacing w:before="0" w:after="0" w:line="240" w:lineRule="auto"/>
        <w:ind w:left="0"/>
        <w:contextualSpacing w:val="0"/>
        <w:jc w:val="both"/>
        <w:rPr>
          <w:rFonts w:ascii="Arial" w:hAnsi="Arial" w:cs="Arial"/>
          <w:iCs/>
          <w:color w:val="auto"/>
          <w:u w:val="single"/>
          <w:lang w:val="en-AU"/>
        </w:rPr>
      </w:pPr>
      <w:r w:rsidRPr="00A769DE">
        <w:rPr>
          <w:rFonts w:ascii="Arial" w:hAnsi="Arial" w:cs="Arial"/>
          <w:iCs/>
          <w:color w:val="auto"/>
          <w:u w:val="single"/>
          <w:lang w:val="en-AU"/>
        </w:rPr>
        <w:t>Future program design and modality</w:t>
      </w:r>
    </w:p>
    <w:p w:rsidR="002746E1" w:rsidRPr="00A769DE" w:rsidRDefault="002746E1" w:rsidP="005D745B">
      <w:pPr>
        <w:pStyle w:val="ListParagraph"/>
        <w:numPr>
          <w:ilvl w:val="0"/>
          <w:numId w:val="40"/>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color w:val="auto"/>
          <w:lang w:val="en-AU"/>
        </w:rPr>
        <w:t>Going forward, DFAT should, in addition to and</w:t>
      </w:r>
      <w:r w:rsidR="00AA396D">
        <w:rPr>
          <w:rFonts w:ascii="Arial" w:hAnsi="Arial" w:cs="Arial"/>
          <w:color w:val="auto"/>
          <w:lang w:val="en-AU"/>
        </w:rPr>
        <w:t>/or</w:t>
      </w:r>
      <w:r w:rsidRPr="00A769DE">
        <w:rPr>
          <w:rFonts w:ascii="Arial" w:hAnsi="Arial" w:cs="Arial"/>
          <w:color w:val="auto"/>
          <w:lang w:val="en-AU"/>
        </w:rPr>
        <w:t xml:space="preserve"> instead of a multilateral partner, consider program delivery modalities such a managing contractor (to directly deliver activities in partnership with </w:t>
      </w:r>
      <w:r w:rsidR="00AA396D">
        <w:rPr>
          <w:rFonts w:ascii="Arial" w:hAnsi="Arial" w:cs="Arial"/>
          <w:color w:val="auto"/>
          <w:lang w:val="en-AU"/>
        </w:rPr>
        <w:t>the GoM</w:t>
      </w:r>
      <w:r w:rsidRPr="00A769DE">
        <w:rPr>
          <w:rFonts w:ascii="Arial" w:hAnsi="Arial" w:cs="Arial"/>
          <w:color w:val="auto"/>
          <w:lang w:val="en-AU"/>
        </w:rPr>
        <w:t xml:space="preserve"> and other partners) and a reform fund (to provide funding on a case-by-case basis to specific initiatives).</w:t>
      </w:r>
    </w:p>
    <w:p w:rsidR="002746E1" w:rsidRPr="00A769DE" w:rsidRDefault="002746E1" w:rsidP="005D745B">
      <w:pPr>
        <w:pStyle w:val="ListParagraph"/>
        <w:numPr>
          <w:ilvl w:val="0"/>
          <w:numId w:val="40"/>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color w:val="auto"/>
          <w:lang w:val="en-AU"/>
        </w:rPr>
        <w:t xml:space="preserve">If DFAT decides to continue providing financial support directly to </w:t>
      </w:r>
      <w:r w:rsidR="00AA396D">
        <w:rPr>
          <w:rFonts w:ascii="Arial" w:hAnsi="Arial" w:cs="Arial"/>
          <w:color w:val="auto"/>
          <w:lang w:val="en-AU"/>
        </w:rPr>
        <w:t xml:space="preserve">and via </w:t>
      </w:r>
      <w:r w:rsidRPr="00A769DE">
        <w:rPr>
          <w:rFonts w:ascii="Arial" w:hAnsi="Arial" w:cs="Arial"/>
          <w:color w:val="auto"/>
          <w:lang w:val="en-AU"/>
        </w:rPr>
        <w:t>the World Bank Group, it should consider how it can strengthen the directive aspects of the relationship, including through a m</w:t>
      </w:r>
      <w:r w:rsidR="00AA396D">
        <w:rPr>
          <w:rFonts w:ascii="Arial" w:hAnsi="Arial" w:cs="Arial"/>
          <w:color w:val="auto"/>
          <w:lang w:val="en-AU"/>
        </w:rPr>
        <w:t>ore elaborate agreement/side letter</w:t>
      </w:r>
      <w:r w:rsidRPr="00A769DE">
        <w:rPr>
          <w:rFonts w:ascii="Arial" w:hAnsi="Arial" w:cs="Arial"/>
          <w:color w:val="auto"/>
          <w:lang w:val="en-AU"/>
        </w:rPr>
        <w:t>.</w:t>
      </w:r>
    </w:p>
    <w:p w:rsidR="0097383B" w:rsidRPr="00A769DE" w:rsidRDefault="0097383B"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spacing w:before="0" w:after="0"/>
        <w:rPr>
          <w:rFonts w:ascii="Arial" w:hAnsi="Arial" w:cs="Arial"/>
          <w:b/>
          <w:color w:val="auto"/>
          <w:sz w:val="32"/>
          <w:szCs w:val="32"/>
          <w:lang w:val="en-AU"/>
        </w:rPr>
      </w:pPr>
      <w:r w:rsidRPr="00A769DE">
        <w:rPr>
          <w:rFonts w:ascii="Arial" w:hAnsi="Arial" w:cs="Arial"/>
          <w:color w:val="auto"/>
          <w:szCs w:val="32"/>
          <w:lang w:val="en-AU"/>
        </w:rPr>
        <w:br w:type="page"/>
      </w:r>
    </w:p>
    <w:p w:rsidR="000B785F" w:rsidRPr="00A769DE" w:rsidRDefault="00B5401C" w:rsidP="0097383B">
      <w:pPr>
        <w:pStyle w:val="Heading1"/>
        <w:spacing w:before="0" w:after="600"/>
        <w:contextualSpacing w:val="0"/>
        <w:jc w:val="both"/>
        <w:rPr>
          <w:rFonts w:ascii="Arial" w:hAnsi="Arial" w:cs="Arial"/>
          <w:color w:val="auto"/>
          <w:szCs w:val="32"/>
          <w:lang w:val="en-AU"/>
        </w:rPr>
      </w:pPr>
      <w:bookmarkStart w:id="76" w:name="_Toc522800489"/>
      <w:bookmarkStart w:id="77" w:name="_Toc525930561"/>
      <w:bookmarkStart w:id="78" w:name="_Toc530307611"/>
      <w:r w:rsidRPr="00A769DE">
        <w:rPr>
          <w:rFonts w:ascii="Arial" w:hAnsi="Arial" w:cs="Arial"/>
          <w:color w:val="auto"/>
          <w:szCs w:val="32"/>
          <w:lang w:val="en-AU"/>
        </w:rPr>
        <w:lastRenderedPageBreak/>
        <w:t>5</w:t>
      </w:r>
      <w:r w:rsidR="000B785F" w:rsidRPr="00A769DE">
        <w:rPr>
          <w:rFonts w:ascii="Arial" w:hAnsi="Arial" w:cs="Arial"/>
          <w:color w:val="auto"/>
          <w:szCs w:val="32"/>
          <w:lang w:val="en-AU"/>
        </w:rPr>
        <w:t>. ANALYSIS AGAINST THE AUSTRALIAN GOVERNMENT’S AIP</w:t>
      </w:r>
      <w:bookmarkEnd w:id="76"/>
      <w:r w:rsidR="00057FFD" w:rsidRPr="00A769DE">
        <w:rPr>
          <w:rFonts w:ascii="Arial" w:hAnsi="Arial" w:cs="Arial"/>
          <w:color w:val="auto"/>
          <w:szCs w:val="32"/>
          <w:lang w:val="en-AU"/>
        </w:rPr>
        <w:t xml:space="preserve"> 2015-2020</w:t>
      </w:r>
      <w:bookmarkEnd w:id="77"/>
      <w:bookmarkEnd w:id="78"/>
    </w:p>
    <w:p w:rsidR="005F471B" w:rsidRPr="00A769DE" w:rsidRDefault="000B785F" w:rsidP="005F471B">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iCs/>
          <w:color w:val="auto"/>
          <w:lang w:val="en-AU"/>
        </w:rPr>
        <w:t xml:space="preserve">This chapter </w:t>
      </w:r>
      <w:r w:rsidR="005F471B" w:rsidRPr="00A769DE">
        <w:rPr>
          <w:rFonts w:ascii="Arial" w:hAnsi="Arial" w:cs="Arial"/>
          <w:iCs/>
          <w:color w:val="auto"/>
          <w:lang w:val="en-AU"/>
        </w:rPr>
        <w:t>comprises an analysis of the ICCP evaluation and the DFID PFM evaluation</w:t>
      </w:r>
      <w:r w:rsidR="005F471B" w:rsidRPr="00A769DE">
        <w:rPr>
          <w:rStyle w:val="FootnoteReference"/>
          <w:rFonts w:ascii="Arial" w:hAnsi="Arial" w:cs="Arial"/>
          <w:color w:val="auto"/>
          <w:lang w:val="en-AU"/>
        </w:rPr>
        <w:footnoteReference w:id="51"/>
      </w:r>
      <w:r w:rsidR="005F471B" w:rsidRPr="00A769DE">
        <w:rPr>
          <w:rFonts w:ascii="Arial" w:hAnsi="Arial" w:cs="Arial"/>
          <w:iCs/>
          <w:color w:val="auto"/>
          <w:lang w:val="en-AU"/>
        </w:rPr>
        <w:t xml:space="preserve"> against objective</w:t>
      </w:r>
      <w:r w:rsidR="00A769DE" w:rsidRPr="00A769DE">
        <w:rPr>
          <w:rFonts w:ascii="Arial" w:hAnsi="Arial" w:cs="Arial"/>
          <w:iCs/>
          <w:color w:val="auto"/>
          <w:lang w:val="en-AU"/>
        </w:rPr>
        <w:t xml:space="preserve"> no. 3</w:t>
      </w:r>
      <w:r w:rsidR="005F471B" w:rsidRPr="00A769DE">
        <w:rPr>
          <w:rFonts w:ascii="Arial" w:hAnsi="Arial" w:cs="Arial"/>
          <w:iCs/>
          <w:color w:val="auto"/>
          <w:lang w:val="en-AU"/>
        </w:rPr>
        <w:t xml:space="preserve"> of the Australian Government’s AIP – promoting inclusive economic growth and govern</w:t>
      </w:r>
      <w:r w:rsidR="008A0BE2" w:rsidRPr="00A769DE">
        <w:rPr>
          <w:rFonts w:ascii="Arial" w:hAnsi="Arial" w:cs="Arial"/>
          <w:iCs/>
          <w:color w:val="auto"/>
          <w:lang w:val="en-AU"/>
        </w:rPr>
        <w:t>ment</w:t>
      </w:r>
      <w:r w:rsidR="005F471B" w:rsidRPr="00A769DE">
        <w:rPr>
          <w:rFonts w:ascii="Arial" w:hAnsi="Arial" w:cs="Arial"/>
          <w:iCs/>
          <w:color w:val="auto"/>
          <w:lang w:val="en-AU"/>
        </w:rPr>
        <w:t xml:space="preserve"> management</w:t>
      </w:r>
      <w:r w:rsidR="008A0BE2" w:rsidRPr="00A769DE">
        <w:rPr>
          <w:rFonts w:ascii="Arial" w:hAnsi="Arial" w:cs="Arial"/>
          <w:iCs/>
          <w:color w:val="auto"/>
          <w:lang w:val="en-AU"/>
        </w:rPr>
        <w:t xml:space="preserve"> – based on which </w:t>
      </w:r>
      <w:r w:rsidR="005F471B" w:rsidRPr="00A769DE">
        <w:rPr>
          <w:rFonts w:ascii="Arial" w:hAnsi="Arial" w:cs="Arial"/>
          <w:iCs/>
          <w:color w:val="auto"/>
          <w:lang w:val="en-AU"/>
        </w:rPr>
        <w:t xml:space="preserve">recommendations </w:t>
      </w:r>
      <w:r w:rsidR="00C71BE0" w:rsidRPr="00A769DE">
        <w:rPr>
          <w:rFonts w:ascii="Arial" w:hAnsi="Arial" w:cs="Arial"/>
          <w:iCs/>
          <w:color w:val="auto"/>
          <w:lang w:val="en-AU"/>
        </w:rPr>
        <w:t>are</w:t>
      </w:r>
      <w:r w:rsidR="008A0BE2" w:rsidRPr="00A769DE">
        <w:rPr>
          <w:rFonts w:ascii="Arial" w:hAnsi="Arial" w:cs="Arial"/>
          <w:iCs/>
          <w:color w:val="auto"/>
          <w:lang w:val="en-AU"/>
        </w:rPr>
        <w:t xml:space="preserve"> made </w:t>
      </w:r>
      <w:r w:rsidR="005F471B" w:rsidRPr="00A769DE">
        <w:rPr>
          <w:rFonts w:ascii="Arial" w:hAnsi="Arial" w:cs="Arial"/>
          <w:iCs/>
          <w:color w:val="auto"/>
          <w:lang w:val="en-AU"/>
        </w:rPr>
        <w:t xml:space="preserve">to DFAT for consideration </w:t>
      </w:r>
      <w:r w:rsidR="00C71BE0" w:rsidRPr="00A769DE">
        <w:rPr>
          <w:rFonts w:ascii="Arial" w:hAnsi="Arial" w:cs="Arial"/>
          <w:iCs/>
          <w:color w:val="auto"/>
          <w:lang w:val="en-AU"/>
        </w:rPr>
        <w:t>regarding</w:t>
      </w:r>
      <w:r w:rsidR="003B3D32">
        <w:rPr>
          <w:rFonts w:ascii="Arial" w:hAnsi="Arial" w:cs="Arial"/>
          <w:iCs/>
          <w:color w:val="auto"/>
          <w:lang w:val="en-AU"/>
        </w:rPr>
        <w:t xml:space="preserve"> its future aid investments</w:t>
      </w:r>
      <w:r w:rsidR="005F471B" w:rsidRPr="00A769DE">
        <w:rPr>
          <w:rFonts w:ascii="Arial" w:hAnsi="Arial" w:cs="Arial"/>
          <w:iCs/>
          <w:color w:val="auto"/>
          <w:lang w:val="en-AU"/>
        </w:rPr>
        <w:t>.</w:t>
      </w:r>
    </w:p>
    <w:p w:rsidR="005F471B" w:rsidRPr="00A769DE" w:rsidRDefault="005F471B" w:rsidP="00B5401C">
      <w:pPr>
        <w:pStyle w:val="ListParagraph"/>
        <w:tabs>
          <w:tab w:val="left" w:pos="357"/>
        </w:tabs>
        <w:spacing w:after="0" w:line="240" w:lineRule="auto"/>
        <w:ind w:left="0"/>
        <w:jc w:val="both"/>
        <w:rPr>
          <w:rFonts w:ascii="Arial" w:hAnsi="Arial" w:cs="Arial"/>
          <w:iCs/>
          <w:color w:val="auto"/>
          <w:lang w:val="en-AU"/>
        </w:rPr>
      </w:pPr>
    </w:p>
    <w:p w:rsidR="000B785F" w:rsidRPr="00A769DE" w:rsidRDefault="00B5401C" w:rsidP="00B5401C">
      <w:pPr>
        <w:pStyle w:val="Heading2"/>
        <w:spacing w:before="0" w:after="60"/>
        <w:ind w:left="272" w:hanging="272"/>
        <w:jc w:val="both"/>
        <w:rPr>
          <w:rFonts w:ascii="Arial" w:hAnsi="Arial" w:cs="Arial"/>
          <w:b/>
          <w:bCs/>
          <w:color w:val="auto"/>
          <w:sz w:val="24"/>
          <w:szCs w:val="24"/>
          <w:lang w:val="en-AU"/>
        </w:rPr>
      </w:pPr>
      <w:bookmarkStart w:id="79" w:name="_Toc522800490"/>
      <w:bookmarkStart w:id="80" w:name="_Toc525930562"/>
      <w:bookmarkStart w:id="81" w:name="_Toc530307612"/>
      <w:r w:rsidRPr="00A769DE">
        <w:rPr>
          <w:rFonts w:ascii="Arial" w:hAnsi="Arial" w:cs="Arial"/>
          <w:b/>
          <w:bCs/>
          <w:color w:val="auto"/>
          <w:sz w:val="24"/>
          <w:szCs w:val="24"/>
          <w:lang w:val="en-AU"/>
        </w:rPr>
        <w:t>5</w:t>
      </w:r>
      <w:r w:rsidR="000B785F" w:rsidRPr="00A769DE">
        <w:rPr>
          <w:rFonts w:ascii="Arial" w:hAnsi="Arial" w:cs="Arial"/>
          <w:b/>
          <w:bCs/>
          <w:color w:val="auto"/>
          <w:sz w:val="24"/>
          <w:szCs w:val="24"/>
          <w:lang w:val="en-AU"/>
        </w:rPr>
        <w:t>.1 ICCP Performance Evaluation</w:t>
      </w:r>
      <w:bookmarkEnd w:id="79"/>
      <w:bookmarkEnd w:id="80"/>
      <w:bookmarkEnd w:id="81"/>
    </w:p>
    <w:p w:rsidR="00311819" w:rsidRPr="001C1298" w:rsidRDefault="00311819" w:rsidP="00311819">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1C1298">
        <w:rPr>
          <w:rFonts w:ascii="Arial" w:hAnsi="Arial" w:cs="Arial"/>
          <w:color w:val="auto"/>
          <w:lang w:val="en-AU"/>
        </w:rPr>
        <w:t>The AIP 2015-2020 under objective 3</w:t>
      </w:r>
      <w:r w:rsidR="00503EA4" w:rsidRPr="001C1298">
        <w:rPr>
          <w:rFonts w:ascii="Arial" w:hAnsi="Arial" w:cs="Arial"/>
          <w:color w:val="auto"/>
          <w:lang w:val="en-AU"/>
        </w:rPr>
        <w:t xml:space="preserve"> states</w:t>
      </w:r>
      <w:r w:rsidRPr="001C1298">
        <w:rPr>
          <w:rFonts w:ascii="Arial" w:hAnsi="Arial" w:cs="Arial"/>
          <w:color w:val="auto"/>
          <w:lang w:val="en-AU"/>
        </w:rPr>
        <w:t xml:space="preserve"> that “</w:t>
      </w:r>
      <w:r w:rsidR="00503EA4" w:rsidRPr="001C1298">
        <w:rPr>
          <w:rFonts w:ascii="Arial" w:hAnsi="Arial" w:cs="Arial"/>
          <w:i/>
          <w:color w:val="auto"/>
          <w:lang w:val="en-AU"/>
        </w:rPr>
        <w:t>Australia will promote economic growth by supporting a policy environment that provides incentives for inclusive foreign direct investment, trade and economic reform</w:t>
      </w:r>
      <w:r w:rsidR="00503EA4" w:rsidRPr="001C1298">
        <w:rPr>
          <w:rFonts w:ascii="Arial" w:hAnsi="Arial" w:cs="Arial"/>
          <w:iCs/>
          <w:color w:val="auto"/>
          <w:lang w:val="en-AU"/>
        </w:rPr>
        <w:t>”</w:t>
      </w:r>
      <w:r w:rsidR="001C1298" w:rsidRPr="001C1298">
        <w:rPr>
          <w:rFonts w:ascii="Arial" w:hAnsi="Arial" w:cs="Arial"/>
          <w:iCs/>
          <w:color w:val="auto"/>
          <w:lang w:val="en-AU"/>
        </w:rPr>
        <w:t xml:space="preserve"> and that </w:t>
      </w:r>
      <w:r w:rsidR="00503EA4" w:rsidRPr="001C1298">
        <w:rPr>
          <w:rFonts w:ascii="Arial" w:hAnsi="Arial" w:cs="Arial"/>
          <w:iCs/>
          <w:color w:val="auto"/>
          <w:lang w:val="en-AU"/>
        </w:rPr>
        <w:t>Australia</w:t>
      </w:r>
      <w:r w:rsidR="001C1298" w:rsidRPr="001C1298">
        <w:rPr>
          <w:rFonts w:ascii="Arial" w:hAnsi="Arial" w:cs="Arial"/>
          <w:iCs/>
          <w:color w:val="auto"/>
          <w:lang w:val="en-AU"/>
        </w:rPr>
        <w:t xml:space="preserve"> will “</w:t>
      </w:r>
      <w:r w:rsidR="001C1298" w:rsidRPr="001C1298">
        <w:rPr>
          <w:rFonts w:ascii="Arial" w:hAnsi="Arial" w:cs="Arial"/>
          <w:i/>
          <w:color w:val="auto"/>
          <w:lang w:val="en-AU"/>
        </w:rPr>
        <w:t>…</w:t>
      </w:r>
      <w:r w:rsidR="00503EA4" w:rsidRPr="001C1298">
        <w:rPr>
          <w:rFonts w:ascii="Arial" w:hAnsi="Arial" w:cs="Arial"/>
          <w:i/>
          <w:color w:val="auto"/>
          <w:lang w:val="en-AU"/>
        </w:rPr>
        <w:t>increase investments in aid for trade, support legal and regulatory reform and broker engagement and trust between government and business, to promote private sector-led growth, entrepreneurship and responsible business</w:t>
      </w:r>
      <w:r w:rsidR="001C1298" w:rsidRPr="001C1298">
        <w:rPr>
          <w:rFonts w:ascii="Arial" w:hAnsi="Arial" w:cs="Arial"/>
          <w:iCs/>
          <w:color w:val="auto"/>
          <w:lang w:val="en-AU"/>
        </w:rPr>
        <w:t>”</w:t>
      </w:r>
      <w:r w:rsidR="001C1298">
        <w:rPr>
          <w:rFonts w:ascii="Arial" w:hAnsi="Arial" w:cs="Arial"/>
          <w:iCs/>
          <w:color w:val="auto"/>
          <w:lang w:val="en-AU"/>
        </w:rPr>
        <w:t>. This i</w:t>
      </w:r>
      <w:r w:rsidR="001C1298" w:rsidRPr="001C1298">
        <w:rPr>
          <w:rFonts w:ascii="Arial" w:hAnsi="Arial" w:cs="Arial"/>
          <w:iCs/>
          <w:color w:val="auto"/>
          <w:lang w:val="en-AU"/>
        </w:rPr>
        <w:t>s expected to</w:t>
      </w:r>
      <w:r w:rsidR="00503EA4" w:rsidRPr="001C1298">
        <w:rPr>
          <w:rFonts w:ascii="Arial" w:hAnsi="Arial" w:cs="Arial"/>
          <w:iCs/>
          <w:color w:val="auto"/>
          <w:lang w:val="en-AU"/>
        </w:rPr>
        <w:t xml:space="preserve"> attract foreign investment to promote domestic growth and supplement domestic resources.</w:t>
      </w:r>
    </w:p>
    <w:p w:rsidR="004673DA" w:rsidRDefault="004673DA" w:rsidP="00311819">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311819" w:rsidRPr="002E7CCD" w:rsidRDefault="00311819" w:rsidP="00311819">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2E7CCD">
        <w:rPr>
          <w:rFonts w:ascii="Arial" w:hAnsi="Arial" w:cs="Arial"/>
          <w:iCs/>
          <w:color w:val="auto"/>
          <w:lang w:val="en-AU"/>
        </w:rPr>
        <w:t xml:space="preserve">The performance benchmark and annual targets stated in the AIP for the </w:t>
      </w:r>
      <w:r>
        <w:rPr>
          <w:rFonts w:ascii="Arial" w:hAnsi="Arial" w:cs="Arial"/>
          <w:iCs/>
          <w:color w:val="auto"/>
          <w:lang w:val="en-AU"/>
        </w:rPr>
        <w:t xml:space="preserve">PSD area are </w:t>
      </w:r>
      <w:r w:rsidR="009C7E0E">
        <w:rPr>
          <w:rFonts w:ascii="Arial" w:hAnsi="Arial" w:cs="Arial"/>
          <w:iCs/>
          <w:color w:val="auto"/>
          <w:lang w:val="en-AU"/>
        </w:rPr>
        <w:t>the</w:t>
      </w:r>
      <w:r>
        <w:rPr>
          <w:rFonts w:ascii="Arial" w:hAnsi="Arial" w:cs="Arial"/>
          <w:iCs/>
          <w:color w:val="auto"/>
          <w:lang w:val="en-AU"/>
        </w:rPr>
        <w:t xml:space="preserve"> follow</w:t>
      </w:r>
      <w:r w:rsidR="009C7E0E">
        <w:rPr>
          <w:rFonts w:ascii="Arial" w:hAnsi="Arial" w:cs="Arial"/>
          <w:iCs/>
          <w:color w:val="auto"/>
          <w:lang w:val="en-AU"/>
        </w:rPr>
        <w:t>ing</w:t>
      </w:r>
      <w:r w:rsidRPr="002E7CCD">
        <w:rPr>
          <w:rFonts w:ascii="Arial" w:hAnsi="Arial" w:cs="Arial"/>
          <w:iCs/>
          <w:color w:val="auto"/>
          <w:lang w:val="en-AU"/>
        </w:rPr>
        <w:t>:</w:t>
      </w:r>
    </w:p>
    <w:p w:rsidR="00857A5D" w:rsidRDefault="00857A5D" w:rsidP="00B5401C">
      <w:pPr>
        <w:pStyle w:val="ListParagraph"/>
        <w:tabs>
          <w:tab w:val="left" w:pos="357"/>
        </w:tabs>
        <w:spacing w:after="0" w:line="240" w:lineRule="auto"/>
        <w:ind w:left="0"/>
        <w:jc w:val="both"/>
        <w:rPr>
          <w:rFonts w:ascii="Arial" w:hAnsi="Arial" w:cs="Arial"/>
          <w:iCs/>
          <w:color w:val="auto"/>
          <w:lang w:val="en-AU"/>
        </w:rPr>
      </w:pPr>
    </w:p>
    <w:p w:rsidR="00A769DE" w:rsidRPr="00A769DE" w:rsidRDefault="00A769DE" w:rsidP="00A769DE">
      <w:pPr>
        <w:pStyle w:val="ListParagraph"/>
        <w:tabs>
          <w:tab w:val="left" w:pos="357"/>
        </w:tabs>
        <w:spacing w:before="0" w:after="20" w:line="240" w:lineRule="auto"/>
        <w:ind w:left="0"/>
        <w:contextualSpacing w:val="0"/>
        <w:jc w:val="both"/>
        <w:rPr>
          <w:rFonts w:ascii="Arial" w:hAnsi="Arial" w:cs="Arial"/>
          <w:b/>
          <w:bCs/>
          <w:i/>
          <w:color w:val="auto"/>
          <w:lang w:val="en-AU"/>
        </w:rPr>
      </w:pPr>
      <w:r w:rsidRPr="00A769DE">
        <w:rPr>
          <w:rFonts w:ascii="Arial" w:hAnsi="Arial" w:cs="Arial"/>
          <w:b/>
          <w:bCs/>
          <w:i/>
          <w:color w:val="auto"/>
          <w:lang w:val="en-AU"/>
        </w:rPr>
        <w:t xml:space="preserve">Table </w:t>
      </w:r>
      <w:r w:rsidR="00295AD8">
        <w:rPr>
          <w:rFonts w:ascii="Arial" w:hAnsi="Arial" w:cs="Arial"/>
          <w:b/>
          <w:bCs/>
          <w:i/>
          <w:color w:val="auto"/>
          <w:lang w:val="en-AU"/>
        </w:rPr>
        <w:t>2</w:t>
      </w:r>
      <w:r w:rsidRPr="00A769DE">
        <w:rPr>
          <w:rFonts w:ascii="Arial" w:hAnsi="Arial" w:cs="Arial"/>
          <w:b/>
          <w:bCs/>
          <w:i/>
          <w:color w:val="auto"/>
          <w:lang w:val="en-AU"/>
        </w:rPr>
        <w:t xml:space="preserve"> – ICCP performance benchmark</w:t>
      </w:r>
      <w:r>
        <w:rPr>
          <w:rFonts w:ascii="Arial" w:hAnsi="Arial" w:cs="Arial"/>
          <w:b/>
          <w:bCs/>
          <w:i/>
          <w:color w:val="auto"/>
          <w:lang w:val="en-AU"/>
        </w:rPr>
        <w:t xml:space="preserve"> and annual</w:t>
      </w:r>
      <w:r w:rsidR="004E10BC">
        <w:rPr>
          <w:rFonts w:ascii="Arial" w:hAnsi="Arial" w:cs="Arial"/>
          <w:b/>
          <w:bCs/>
          <w:i/>
          <w:color w:val="auto"/>
          <w:lang w:val="en-AU"/>
        </w:rPr>
        <w:t xml:space="preserve"> </w:t>
      </w:r>
      <w:r>
        <w:rPr>
          <w:rFonts w:ascii="Arial" w:hAnsi="Arial" w:cs="Arial"/>
          <w:b/>
          <w:bCs/>
          <w:i/>
          <w:color w:val="auto"/>
          <w:lang w:val="en-AU"/>
        </w:rPr>
        <w:t>target</w:t>
      </w:r>
      <w:r w:rsidRPr="00A769DE">
        <w:rPr>
          <w:rFonts w:ascii="Arial" w:hAnsi="Arial" w:cs="Arial"/>
          <w:b/>
          <w:bCs/>
          <w:i/>
          <w:color w:val="auto"/>
          <w:lang w:val="en-AU"/>
        </w:rPr>
        <w:t>s of the AIP</w:t>
      </w:r>
    </w:p>
    <w:tbl>
      <w:tblPr>
        <w:tblW w:w="0" w:type="auto"/>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70"/>
        <w:gridCol w:w="1919"/>
        <w:gridCol w:w="1919"/>
        <w:gridCol w:w="1919"/>
        <w:gridCol w:w="1919"/>
      </w:tblGrid>
      <w:tr w:rsidR="00A769DE" w:rsidRPr="00A769DE" w:rsidTr="00260B9D">
        <w:trPr>
          <w:trHeight w:val="360"/>
        </w:trPr>
        <w:tc>
          <w:tcPr>
            <w:tcW w:w="2070"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A769DE" w:rsidRPr="00A769DE" w:rsidRDefault="00A769DE" w:rsidP="004C7846">
            <w:pPr>
              <w:pStyle w:val="Default"/>
              <w:spacing w:before="40" w:after="40"/>
              <w:jc w:val="center"/>
              <w:rPr>
                <w:color w:val="auto"/>
                <w:sz w:val="19"/>
                <w:szCs w:val="19"/>
                <w:lang w:val="en-AU"/>
              </w:rPr>
            </w:pP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A769DE" w:rsidRPr="00A769DE" w:rsidRDefault="00A769DE" w:rsidP="004C7846">
            <w:pPr>
              <w:pStyle w:val="Default"/>
              <w:spacing w:before="40" w:after="40"/>
              <w:jc w:val="center"/>
              <w:rPr>
                <w:b/>
                <w:bCs/>
                <w:color w:val="auto"/>
                <w:sz w:val="19"/>
                <w:szCs w:val="19"/>
                <w:lang w:val="en-AU"/>
              </w:rPr>
            </w:pPr>
            <w:r w:rsidRPr="00A769DE">
              <w:rPr>
                <w:b/>
                <w:bCs/>
                <w:color w:val="auto"/>
                <w:sz w:val="19"/>
                <w:szCs w:val="19"/>
                <w:lang w:val="en-AU"/>
              </w:rPr>
              <w:t>2015/16</w:t>
            </w: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A769DE" w:rsidRPr="00A769DE" w:rsidRDefault="00A769DE" w:rsidP="004C7846">
            <w:pPr>
              <w:pStyle w:val="Default"/>
              <w:spacing w:before="40" w:after="40"/>
              <w:jc w:val="center"/>
              <w:rPr>
                <w:b/>
                <w:bCs/>
                <w:color w:val="auto"/>
                <w:sz w:val="19"/>
                <w:szCs w:val="19"/>
                <w:lang w:val="en-AU"/>
              </w:rPr>
            </w:pPr>
            <w:r w:rsidRPr="00A769DE">
              <w:rPr>
                <w:b/>
                <w:bCs/>
                <w:color w:val="auto"/>
                <w:sz w:val="19"/>
                <w:szCs w:val="19"/>
                <w:lang w:val="en-AU"/>
              </w:rPr>
              <w:t>2016/17</w:t>
            </w: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A769DE" w:rsidRPr="00A769DE" w:rsidRDefault="00A769DE" w:rsidP="004C7846">
            <w:pPr>
              <w:pStyle w:val="Default"/>
              <w:spacing w:before="40" w:after="40"/>
              <w:jc w:val="center"/>
              <w:rPr>
                <w:b/>
                <w:bCs/>
                <w:color w:val="auto"/>
                <w:sz w:val="19"/>
                <w:szCs w:val="19"/>
                <w:lang w:val="en-AU"/>
              </w:rPr>
            </w:pPr>
            <w:r w:rsidRPr="00A769DE">
              <w:rPr>
                <w:b/>
                <w:bCs/>
                <w:color w:val="auto"/>
                <w:sz w:val="19"/>
                <w:szCs w:val="19"/>
                <w:lang w:val="en-AU"/>
              </w:rPr>
              <w:t>2017/18</w:t>
            </w: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A769DE" w:rsidRPr="00A769DE" w:rsidRDefault="00A769DE" w:rsidP="004C7846">
            <w:pPr>
              <w:pStyle w:val="Default"/>
              <w:spacing w:before="40" w:after="40"/>
              <w:jc w:val="center"/>
              <w:rPr>
                <w:b/>
                <w:bCs/>
                <w:color w:val="auto"/>
                <w:sz w:val="19"/>
                <w:szCs w:val="19"/>
                <w:lang w:val="en-AU"/>
              </w:rPr>
            </w:pPr>
            <w:r w:rsidRPr="00A769DE">
              <w:rPr>
                <w:b/>
                <w:bCs/>
                <w:color w:val="auto"/>
                <w:sz w:val="19"/>
                <w:szCs w:val="19"/>
                <w:lang w:val="en-AU"/>
              </w:rPr>
              <w:t>2018/19</w:t>
            </w:r>
          </w:p>
        </w:tc>
      </w:tr>
      <w:tr w:rsidR="00A769DE" w:rsidRPr="00A769DE" w:rsidTr="00260B9D">
        <w:trPr>
          <w:trHeight w:val="468"/>
        </w:trPr>
        <w:tc>
          <w:tcPr>
            <w:tcW w:w="2070" w:type="dxa"/>
            <w:tcBorders>
              <w:top w:val="double" w:sz="4" w:space="0" w:color="auto"/>
            </w:tcBorders>
            <w:tcMar>
              <w:top w:w="0" w:type="dxa"/>
              <w:left w:w="108" w:type="dxa"/>
              <w:bottom w:w="0" w:type="dxa"/>
              <w:right w:w="108" w:type="dxa"/>
            </w:tcMar>
            <w:vAlign w:val="center"/>
            <w:hideMark/>
          </w:tcPr>
          <w:p w:rsidR="00A769DE" w:rsidRPr="00A769DE" w:rsidRDefault="00A769DE" w:rsidP="00A769DE">
            <w:pPr>
              <w:pStyle w:val="Default"/>
              <w:spacing w:before="40" w:after="40"/>
              <w:rPr>
                <w:color w:val="auto"/>
                <w:sz w:val="19"/>
                <w:szCs w:val="19"/>
                <w:lang w:val="en-AU"/>
              </w:rPr>
            </w:pPr>
            <w:r w:rsidRPr="00A769DE">
              <w:rPr>
                <w:color w:val="auto"/>
                <w:sz w:val="19"/>
                <w:szCs w:val="19"/>
                <w:u w:val="single"/>
                <w:lang w:val="en-AU"/>
              </w:rPr>
              <w:t>Performance benchmark</w:t>
            </w:r>
            <w:r>
              <w:rPr>
                <w:color w:val="auto"/>
                <w:sz w:val="19"/>
                <w:szCs w:val="19"/>
                <w:lang w:val="en-AU"/>
              </w:rPr>
              <w:t xml:space="preserve">: </w:t>
            </w:r>
            <w:r w:rsidRPr="00A769DE">
              <w:rPr>
                <w:color w:val="auto"/>
                <w:sz w:val="19"/>
                <w:szCs w:val="19"/>
                <w:lang w:val="en-AU"/>
              </w:rPr>
              <w:t>The establishment of an effective and responsible investment environment</w:t>
            </w:r>
            <w:r>
              <w:rPr>
                <w:color w:val="auto"/>
                <w:sz w:val="19"/>
                <w:szCs w:val="19"/>
                <w:lang w:val="en-AU"/>
              </w:rPr>
              <w:t>.</w:t>
            </w:r>
          </w:p>
        </w:tc>
        <w:tc>
          <w:tcPr>
            <w:tcW w:w="1919" w:type="dxa"/>
            <w:tcBorders>
              <w:top w:val="double" w:sz="4" w:space="0" w:color="auto"/>
            </w:tcBorders>
            <w:tcMar>
              <w:top w:w="0" w:type="dxa"/>
              <w:left w:w="108" w:type="dxa"/>
              <w:bottom w:w="0" w:type="dxa"/>
              <w:right w:w="108" w:type="dxa"/>
            </w:tcMar>
            <w:vAlign w:val="center"/>
            <w:hideMark/>
          </w:tcPr>
          <w:p w:rsidR="00A769DE" w:rsidRPr="00A769DE" w:rsidRDefault="00A769DE" w:rsidP="00A769DE">
            <w:pPr>
              <w:pStyle w:val="Default"/>
              <w:spacing w:before="40" w:after="40"/>
              <w:rPr>
                <w:color w:val="auto"/>
                <w:sz w:val="19"/>
                <w:szCs w:val="19"/>
                <w:lang w:val="en-AU"/>
              </w:rPr>
            </w:pPr>
            <w:r w:rsidRPr="00A769DE">
              <w:rPr>
                <w:color w:val="auto"/>
                <w:sz w:val="19"/>
                <w:szCs w:val="19"/>
                <w:lang w:val="en-AU"/>
              </w:rPr>
              <w:t>Draft investment law finalised for submission to parliament</w:t>
            </w:r>
            <w:r>
              <w:rPr>
                <w:color w:val="auto"/>
                <w:sz w:val="19"/>
                <w:szCs w:val="19"/>
                <w:lang w:val="en-AU"/>
              </w:rPr>
              <w:t>.</w:t>
            </w:r>
          </w:p>
        </w:tc>
        <w:tc>
          <w:tcPr>
            <w:tcW w:w="1919" w:type="dxa"/>
            <w:tcBorders>
              <w:top w:val="double" w:sz="4" w:space="0" w:color="auto"/>
            </w:tcBorders>
            <w:tcMar>
              <w:top w:w="0" w:type="dxa"/>
              <w:left w:w="108" w:type="dxa"/>
              <w:bottom w:w="0" w:type="dxa"/>
              <w:right w:w="108" w:type="dxa"/>
            </w:tcMar>
            <w:vAlign w:val="center"/>
            <w:hideMark/>
          </w:tcPr>
          <w:p w:rsidR="00A769DE" w:rsidRPr="00A769DE" w:rsidRDefault="00A769DE" w:rsidP="00A769DE">
            <w:pPr>
              <w:pStyle w:val="Default"/>
              <w:spacing w:before="40" w:after="40"/>
              <w:rPr>
                <w:color w:val="auto"/>
                <w:sz w:val="19"/>
                <w:szCs w:val="19"/>
                <w:lang w:val="en-AU"/>
              </w:rPr>
            </w:pPr>
            <w:r w:rsidRPr="00A769DE">
              <w:rPr>
                <w:color w:val="auto"/>
                <w:sz w:val="19"/>
                <w:szCs w:val="19"/>
                <w:lang w:val="en-AU"/>
              </w:rPr>
              <w:t>Investment procedures clarified, including through consultation with business and civil society</w:t>
            </w:r>
            <w:r>
              <w:rPr>
                <w:color w:val="auto"/>
                <w:sz w:val="19"/>
                <w:szCs w:val="19"/>
                <w:lang w:val="en-AU"/>
              </w:rPr>
              <w:t>.</w:t>
            </w:r>
          </w:p>
        </w:tc>
        <w:tc>
          <w:tcPr>
            <w:tcW w:w="1919" w:type="dxa"/>
            <w:tcBorders>
              <w:top w:val="double" w:sz="4" w:space="0" w:color="auto"/>
            </w:tcBorders>
            <w:tcMar>
              <w:top w:w="0" w:type="dxa"/>
              <w:left w:w="108" w:type="dxa"/>
              <w:bottom w:w="0" w:type="dxa"/>
              <w:right w:w="108" w:type="dxa"/>
            </w:tcMar>
            <w:vAlign w:val="center"/>
            <w:hideMark/>
          </w:tcPr>
          <w:p w:rsidR="00A769DE" w:rsidRPr="00A769DE" w:rsidRDefault="00A769DE" w:rsidP="00A769DE">
            <w:pPr>
              <w:pStyle w:val="Default"/>
              <w:spacing w:before="40" w:after="40"/>
              <w:rPr>
                <w:color w:val="auto"/>
                <w:sz w:val="19"/>
                <w:szCs w:val="19"/>
                <w:lang w:val="en-AU"/>
              </w:rPr>
            </w:pPr>
            <w:r w:rsidRPr="00A769DE">
              <w:rPr>
                <w:color w:val="auto"/>
                <w:sz w:val="19"/>
                <w:szCs w:val="19"/>
                <w:lang w:val="en-AU"/>
              </w:rPr>
              <w:t>A more certain and predictable investment environment</w:t>
            </w:r>
            <w:r>
              <w:rPr>
                <w:color w:val="auto"/>
                <w:sz w:val="19"/>
                <w:szCs w:val="19"/>
                <w:lang w:val="en-AU"/>
              </w:rPr>
              <w:t>.</w:t>
            </w:r>
          </w:p>
        </w:tc>
        <w:tc>
          <w:tcPr>
            <w:tcW w:w="1919" w:type="dxa"/>
            <w:tcBorders>
              <w:top w:val="double" w:sz="4" w:space="0" w:color="auto"/>
            </w:tcBorders>
            <w:tcMar>
              <w:top w:w="0" w:type="dxa"/>
              <w:left w:w="108" w:type="dxa"/>
              <w:bottom w:w="0" w:type="dxa"/>
              <w:right w:w="108" w:type="dxa"/>
            </w:tcMar>
            <w:vAlign w:val="center"/>
            <w:hideMark/>
          </w:tcPr>
          <w:p w:rsidR="00A769DE" w:rsidRPr="00A769DE" w:rsidRDefault="00A769DE" w:rsidP="00A769DE">
            <w:pPr>
              <w:pStyle w:val="Default"/>
              <w:spacing w:before="40" w:after="40"/>
              <w:rPr>
                <w:color w:val="auto"/>
                <w:sz w:val="19"/>
                <w:szCs w:val="19"/>
                <w:lang w:val="en-AU"/>
              </w:rPr>
            </w:pPr>
            <w:r w:rsidRPr="00A769DE">
              <w:rPr>
                <w:color w:val="auto"/>
                <w:sz w:val="19"/>
                <w:szCs w:val="19"/>
                <w:lang w:val="en-AU"/>
              </w:rPr>
              <w:t xml:space="preserve">On track to meet an increase in investment to a total </w:t>
            </w:r>
            <w:r>
              <w:rPr>
                <w:color w:val="auto"/>
                <w:sz w:val="19"/>
                <w:szCs w:val="19"/>
                <w:lang w:val="en-AU"/>
              </w:rPr>
              <w:t>value of US$ 500 million by 2020/</w:t>
            </w:r>
            <w:r w:rsidRPr="00A769DE">
              <w:rPr>
                <w:color w:val="auto"/>
                <w:sz w:val="19"/>
                <w:szCs w:val="19"/>
                <w:lang w:val="en-AU"/>
              </w:rPr>
              <w:t>21</w:t>
            </w:r>
            <w:r>
              <w:rPr>
                <w:color w:val="auto"/>
                <w:sz w:val="19"/>
                <w:szCs w:val="19"/>
                <w:lang w:val="en-AU"/>
              </w:rPr>
              <w:t>.</w:t>
            </w:r>
          </w:p>
        </w:tc>
      </w:tr>
    </w:tbl>
    <w:p w:rsidR="00311819" w:rsidRPr="00A769DE" w:rsidRDefault="00311819" w:rsidP="00311819">
      <w:pPr>
        <w:spacing w:before="0" w:after="0" w:line="240" w:lineRule="auto"/>
        <w:jc w:val="both"/>
        <w:rPr>
          <w:rFonts w:ascii="Arial" w:hAnsi="Arial" w:cs="Arial"/>
          <w:color w:val="auto"/>
          <w:lang w:val="en-AU"/>
        </w:rPr>
      </w:pPr>
    </w:p>
    <w:p w:rsidR="00311819" w:rsidRPr="00311819" w:rsidRDefault="00311819" w:rsidP="00311819">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311819">
        <w:rPr>
          <w:rFonts w:ascii="Arial" w:hAnsi="Arial" w:cs="Arial"/>
          <w:color w:val="auto"/>
          <w:lang w:val="en-AU"/>
        </w:rPr>
        <w:t xml:space="preserve">Based on the analysis undertaken, the status </w:t>
      </w:r>
      <w:r w:rsidR="003B3D32">
        <w:rPr>
          <w:rFonts w:ascii="Arial" w:hAnsi="Arial" w:cs="Arial"/>
          <w:color w:val="auto"/>
          <w:lang w:val="en-AU"/>
        </w:rPr>
        <w:t>has been established</w:t>
      </w:r>
      <w:r w:rsidR="009C7E0E">
        <w:rPr>
          <w:rFonts w:ascii="Arial" w:hAnsi="Arial" w:cs="Arial"/>
          <w:color w:val="auto"/>
          <w:lang w:val="en-AU"/>
        </w:rPr>
        <w:t xml:space="preserve"> as follows</w:t>
      </w:r>
      <w:r w:rsidRPr="00311819">
        <w:rPr>
          <w:rFonts w:ascii="Arial" w:hAnsi="Arial" w:cs="Arial"/>
          <w:color w:val="auto"/>
          <w:lang w:val="en-AU"/>
        </w:rPr>
        <w:t>:</w:t>
      </w:r>
    </w:p>
    <w:p w:rsidR="00311819" w:rsidRPr="00A769DE" w:rsidRDefault="00311819" w:rsidP="00311819">
      <w:pPr>
        <w:spacing w:before="0" w:after="0" w:line="240" w:lineRule="auto"/>
        <w:jc w:val="both"/>
        <w:rPr>
          <w:rFonts w:ascii="Arial" w:hAnsi="Arial" w:cs="Arial"/>
          <w:color w:val="auto"/>
          <w:lang w:val="en-AU"/>
        </w:rPr>
      </w:pPr>
    </w:p>
    <w:p w:rsidR="00311819" w:rsidRPr="001C61DC" w:rsidRDefault="00311819" w:rsidP="00732779">
      <w:pPr>
        <w:pStyle w:val="ListParagraph"/>
        <w:numPr>
          <w:ilvl w:val="0"/>
          <w:numId w:val="43"/>
        </w:numPr>
        <w:tabs>
          <w:tab w:val="left" w:pos="357"/>
        </w:tabs>
        <w:spacing w:before="0" w:after="120" w:line="240" w:lineRule="auto"/>
        <w:ind w:left="360"/>
        <w:contextualSpacing w:val="0"/>
        <w:jc w:val="both"/>
        <w:rPr>
          <w:rFonts w:ascii="Arial" w:hAnsi="Arial" w:cs="Arial"/>
          <w:iCs/>
          <w:color w:val="auto"/>
          <w:lang w:val="en-AU"/>
        </w:rPr>
      </w:pPr>
      <w:r w:rsidRPr="001C61DC">
        <w:rPr>
          <w:rFonts w:ascii="Arial" w:hAnsi="Arial" w:cs="Arial"/>
          <w:b/>
          <w:bCs/>
          <w:iCs/>
          <w:color w:val="auto"/>
          <w:lang w:val="en-AU"/>
        </w:rPr>
        <w:t>2015/16</w:t>
      </w:r>
      <w:r w:rsidRPr="001C61DC">
        <w:rPr>
          <w:rFonts w:ascii="Arial" w:hAnsi="Arial" w:cs="Arial"/>
          <w:iCs/>
          <w:color w:val="auto"/>
          <w:lang w:val="en-AU"/>
        </w:rPr>
        <w:t xml:space="preserve"> – </w:t>
      </w:r>
      <w:r w:rsidR="00ED61C4" w:rsidRPr="001C61DC">
        <w:rPr>
          <w:rFonts w:ascii="Arial" w:hAnsi="Arial" w:cs="Arial"/>
          <w:iCs/>
          <w:color w:val="auto"/>
          <w:lang w:val="en-AU"/>
        </w:rPr>
        <w:t xml:space="preserve">The </w:t>
      </w:r>
      <w:r w:rsidR="003B3D32" w:rsidRPr="003B3D32">
        <w:rPr>
          <w:rFonts w:ascii="Arial" w:hAnsi="Arial" w:cs="Arial"/>
          <w:iCs/>
          <w:color w:val="auto"/>
          <w:lang w:val="en-AU"/>
        </w:rPr>
        <w:t xml:space="preserve">Myanmar Investment Commission </w:t>
      </w:r>
      <w:r w:rsidR="003B3D32">
        <w:rPr>
          <w:rFonts w:ascii="Arial" w:hAnsi="Arial" w:cs="Arial"/>
          <w:iCs/>
          <w:color w:val="auto"/>
          <w:lang w:val="en-AU"/>
        </w:rPr>
        <w:t>(</w:t>
      </w:r>
      <w:r w:rsidR="00ED61C4" w:rsidRPr="001C61DC">
        <w:rPr>
          <w:rFonts w:ascii="Arial" w:hAnsi="Arial" w:cs="Arial"/>
          <w:iCs/>
          <w:color w:val="auto"/>
          <w:lang w:val="en-AU"/>
        </w:rPr>
        <w:t>MIC</w:t>
      </w:r>
      <w:r w:rsidR="003B3D32">
        <w:rPr>
          <w:rFonts w:ascii="Arial" w:hAnsi="Arial" w:cs="Arial"/>
          <w:iCs/>
          <w:color w:val="auto"/>
          <w:lang w:val="en-AU"/>
        </w:rPr>
        <w:t>)</w:t>
      </w:r>
      <w:r w:rsidR="00ED61C4" w:rsidRPr="001C61DC">
        <w:rPr>
          <w:rFonts w:ascii="Arial" w:hAnsi="Arial" w:cs="Arial"/>
          <w:iCs/>
          <w:color w:val="auto"/>
          <w:lang w:val="en-AU"/>
        </w:rPr>
        <w:t xml:space="preserve"> began draft</w:t>
      </w:r>
      <w:r w:rsidR="001C61DC" w:rsidRPr="001C61DC">
        <w:rPr>
          <w:rFonts w:ascii="Arial" w:hAnsi="Arial" w:cs="Arial"/>
          <w:iCs/>
          <w:color w:val="auto"/>
          <w:lang w:val="en-AU"/>
        </w:rPr>
        <w:t>ing</w:t>
      </w:r>
      <w:r w:rsidR="00ED61C4" w:rsidRPr="001C61DC">
        <w:rPr>
          <w:rFonts w:ascii="Arial" w:hAnsi="Arial" w:cs="Arial"/>
          <w:iCs/>
          <w:color w:val="auto"/>
          <w:lang w:val="en-AU"/>
        </w:rPr>
        <w:t xml:space="preserve"> the </w:t>
      </w:r>
      <w:r w:rsidR="001C61DC" w:rsidRPr="001C61DC">
        <w:rPr>
          <w:rFonts w:ascii="Arial" w:hAnsi="Arial" w:cs="Arial"/>
          <w:iCs/>
          <w:color w:val="auto"/>
          <w:lang w:val="en-AU"/>
        </w:rPr>
        <w:t xml:space="preserve">Myanmar Investment Law (MIL) in 2014 with support from the Investment Policy Project. </w:t>
      </w:r>
      <w:r w:rsidR="00ED61C4" w:rsidRPr="001C61DC">
        <w:rPr>
          <w:rFonts w:ascii="Arial" w:hAnsi="Arial" w:cs="Arial"/>
          <w:iCs/>
          <w:color w:val="auto"/>
          <w:lang w:val="en-AU"/>
        </w:rPr>
        <w:t>T</w:t>
      </w:r>
      <w:r w:rsidR="001C61DC">
        <w:rPr>
          <w:rFonts w:ascii="Arial" w:hAnsi="Arial" w:cs="Arial"/>
          <w:iCs/>
          <w:color w:val="auto"/>
          <w:lang w:val="en-AU"/>
        </w:rPr>
        <w:t>he final draft</w:t>
      </w:r>
      <w:r w:rsidR="00ED61C4" w:rsidRPr="001C61DC">
        <w:rPr>
          <w:rFonts w:ascii="Arial" w:hAnsi="Arial" w:cs="Arial"/>
          <w:iCs/>
          <w:color w:val="auto"/>
          <w:lang w:val="en-AU"/>
        </w:rPr>
        <w:t xml:space="preserve"> MIL</w:t>
      </w:r>
      <w:r w:rsidR="004858D2">
        <w:rPr>
          <w:rFonts w:ascii="Arial" w:hAnsi="Arial" w:cs="Arial"/>
          <w:iCs/>
          <w:color w:val="auto"/>
          <w:lang w:val="en-AU"/>
        </w:rPr>
        <w:t xml:space="preserve">, which includes some elements to promote the development of </w:t>
      </w:r>
      <w:r w:rsidR="004858D2" w:rsidRPr="004858D2">
        <w:rPr>
          <w:rFonts w:ascii="Arial" w:hAnsi="Arial" w:cs="Arial"/>
          <w:iCs/>
          <w:color w:val="auto"/>
          <w:lang w:val="en-AU"/>
        </w:rPr>
        <w:t>responsible investment businesses</w:t>
      </w:r>
      <w:r w:rsidR="004858D2">
        <w:rPr>
          <w:rFonts w:ascii="Arial" w:hAnsi="Arial" w:cs="Arial"/>
          <w:iCs/>
          <w:color w:val="auto"/>
          <w:lang w:val="en-AU"/>
        </w:rPr>
        <w:t>,</w:t>
      </w:r>
      <w:r w:rsidR="00ED61C4" w:rsidRPr="001C61DC">
        <w:rPr>
          <w:rFonts w:ascii="Arial" w:hAnsi="Arial" w:cs="Arial"/>
          <w:iCs/>
          <w:color w:val="auto"/>
          <w:lang w:val="en-AU"/>
        </w:rPr>
        <w:t xml:space="preserve"> was submitted by DICA to Parliament on 16 September 2016, </w:t>
      </w:r>
      <w:r w:rsidR="001C61DC">
        <w:rPr>
          <w:rFonts w:ascii="Arial" w:hAnsi="Arial" w:cs="Arial"/>
          <w:iCs/>
          <w:color w:val="auto"/>
          <w:lang w:val="en-AU"/>
        </w:rPr>
        <w:t>which approved the law on 28 September 2016.</w:t>
      </w:r>
      <w:r w:rsidR="001C61DC" w:rsidRPr="001C61DC">
        <w:rPr>
          <w:rFonts w:ascii="Arial" w:hAnsi="Arial" w:cs="Arial"/>
          <w:iCs/>
          <w:color w:val="auto"/>
          <w:lang w:val="en-AU"/>
        </w:rPr>
        <w:t xml:space="preserve"> </w:t>
      </w:r>
      <w:r w:rsidR="001C61DC" w:rsidRPr="00BF5544">
        <w:rPr>
          <w:rFonts w:ascii="Arial" w:hAnsi="Arial" w:cs="Arial"/>
          <w:iCs/>
          <w:color w:val="auto"/>
          <w:u w:val="single"/>
          <w:lang w:val="en-AU"/>
        </w:rPr>
        <w:t>The target is met</w:t>
      </w:r>
      <w:r w:rsidR="001C61DC" w:rsidRPr="001C61DC">
        <w:rPr>
          <w:rFonts w:ascii="Arial" w:hAnsi="Arial" w:cs="Arial"/>
          <w:iCs/>
          <w:color w:val="auto"/>
          <w:lang w:val="en-AU"/>
        </w:rPr>
        <w:t xml:space="preserve"> </w:t>
      </w:r>
      <w:r w:rsidR="003B3D32">
        <w:rPr>
          <w:rFonts w:ascii="Arial" w:hAnsi="Arial" w:cs="Arial"/>
          <w:iCs/>
          <w:color w:val="auto"/>
          <w:lang w:val="en-AU"/>
        </w:rPr>
        <w:t>(</w:t>
      </w:r>
      <w:r w:rsidR="001C61DC" w:rsidRPr="001C61DC">
        <w:rPr>
          <w:rFonts w:ascii="Arial" w:hAnsi="Arial" w:cs="Arial"/>
          <w:iCs/>
          <w:color w:val="auto"/>
          <w:lang w:val="en-AU"/>
        </w:rPr>
        <w:t xml:space="preserve">although </w:t>
      </w:r>
      <w:r w:rsidR="001C61DC">
        <w:rPr>
          <w:rFonts w:ascii="Arial" w:hAnsi="Arial" w:cs="Arial"/>
          <w:iCs/>
          <w:color w:val="auto"/>
          <w:lang w:val="en-AU"/>
        </w:rPr>
        <w:t>with a 2½ month delay</w:t>
      </w:r>
      <w:r w:rsidR="003B3D32">
        <w:rPr>
          <w:rFonts w:ascii="Arial" w:hAnsi="Arial" w:cs="Arial"/>
          <w:iCs/>
          <w:color w:val="auto"/>
          <w:lang w:val="en-AU"/>
        </w:rPr>
        <w:t>)</w:t>
      </w:r>
      <w:r w:rsidR="001C61DC">
        <w:rPr>
          <w:rFonts w:ascii="Arial" w:hAnsi="Arial" w:cs="Arial"/>
          <w:iCs/>
          <w:color w:val="auto"/>
          <w:lang w:val="en-AU"/>
        </w:rPr>
        <w:t>.</w:t>
      </w:r>
    </w:p>
    <w:p w:rsidR="00311819" w:rsidRDefault="00311819" w:rsidP="00732779">
      <w:pPr>
        <w:pStyle w:val="ListParagraph"/>
        <w:numPr>
          <w:ilvl w:val="0"/>
          <w:numId w:val="43"/>
        </w:numPr>
        <w:tabs>
          <w:tab w:val="left" w:pos="357"/>
        </w:tabs>
        <w:spacing w:after="120" w:line="240" w:lineRule="auto"/>
        <w:ind w:left="360"/>
        <w:contextualSpacing w:val="0"/>
        <w:jc w:val="both"/>
        <w:rPr>
          <w:rFonts w:ascii="Arial" w:hAnsi="Arial" w:cs="Arial"/>
          <w:iCs/>
          <w:color w:val="auto"/>
          <w:lang w:val="en-AU"/>
        </w:rPr>
      </w:pPr>
      <w:r w:rsidRPr="00624876">
        <w:rPr>
          <w:rFonts w:ascii="Arial" w:hAnsi="Arial" w:cs="Arial"/>
          <w:b/>
          <w:bCs/>
          <w:iCs/>
          <w:color w:val="auto"/>
          <w:lang w:val="en-AU"/>
        </w:rPr>
        <w:t>2016/17</w:t>
      </w:r>
      <w:r w:rsidRPr="00624876">
        <w:rPr>
          <w:rFonts w:ascii="Arial" w:hAnsi="Arial" w:cs="Arial"/>
          <w:iCs/>
          <w:color w:val="auto"/>
          <w:lang w:val="en-AU"/>
        </w:rPr>
        <w:t xml:space="preserve"> – </w:t>
      </w:r>
      <w:r w:rsidR="00624876" w:rsidRPr="00624876">
        <w:rPr>
          <w:rFonts w:ascii="Arial" w:hAnsi="Arial" w:cs="Arial"/>
          <w:iCs/>
          <w:color w:val="auto"/>
          <w:lang w:val="en-AU"/>
        </w:rPr>
        <w:t xml:space="preserve">The MoPF </w:t>
      </w:r>
      <w:r w:rsidR="00624876">
        <w:rPr>
          <w:rFonts w:ascii="Arial" w:hAnsi="Arial" w:cs="Arial"/>
          <w:iCs/>
          <w:color w:val="auto"/>
          <w:lang w:val="en-AU"/>
        </w:rPr>
        <w:t>on 30</w:t>
      </w:r>
      <w:r w:rsidR="00624876" w:rsidRPr="00624876">
        <w:rPr>
          <w:rFonts w:ascii="Arial" w:hAnsi="Arial" w:cs="Arial"/>
          <w:iCs/>
          <w:color w:val="auto"/>
          <w:lang w:val="en-AU"/>
        </w:rPr>
        <w:t xml:space="preserve"> March 2017 issued the Myanmar Investment Rules through Notification No. 35</w:t>
      </w:r>
      <w:r w:rsidR="00624876">
        <w:rPr>
          <w:rFonts w:ascii="Arial" w:hAnsi="Arial" w:cs="Arial"/>
          <w:iCs/>
          <w:color w:val="auto"/>
          <w:lang w:val="en-AU"/>
        </w:rPr>
        <w:t>, which were prepared based on a public consultation process</w:t>
      </w:r>
      <w:r w:rsidR="00624876" w:rsidRPr="00624876">
        <w:t xml:space="preserve"> </w:t>
      </w:r>
      <w:r w:rsidR="00624876" w:rsidRPr="00624876">
        <w:rPr>
          <w:rFonts w:ascii="Arial" w:hAnsi="Arial" w:cs="Arial"/>
          <w:iCs/>
          <w:color w:val="auto"/>
          <w:lang w:val="en-AU"/>
        </w:rPr>
        <w:t xml:space="preserve">with </w:t>
      </w:r>
      <w:r w:rsidR="00624876">
        <w:rPr>
          <w:rFonts w:ascii="Arial" w:hAnsi="Arial" w:cs="Arial"/>
          <w:iCs/>
          <w:color w:val="auto"/>
          <w:lang w:val="en-AU"/>
        </w:rPr>
        <w:t xml:space="preserve">private sector organisations, </w:t>
      </w:r>
      <w:r w:rsidR="00624876" w:rsidRPr="00624876">
        <w:rPr>
          <w:rFonts w:ascii="Arial" w:hAnsi="Arial" w:cs="Arial"/>
          <w:iCs/>
          <w:color w:val="auto"/>
          <w:lang w:val="en-AU"/>
        </w:rPr>
        <w:t>business</w:t>
      </w:r>
      <w:r w:rsidR="00624876">
        <w:rPr>
          <w:rFonts w:ascii="Arial" w:hAnsi="Arial" w:cs="Arial"/>
          <w:iCs/>
          <w:color w:val="auto"/>
          <w:lang w:val="en-AU"/>
        </w:rPr>
        <w:t>es</w:t>
      </w:r>
      <w:r w:rsidR="00624876" w:rsidRPr="00624876">
        <w:rPr>
          <w:rFonts w:ascii="Arial" w:hAnsi="Arial" w:cs="Arial"/>
          <w:iCs/>
          <w:color w:val="auto"/>
          <w:lang w:val="en-AU"/>
        </w:rPr>
        <w:t xml:space="preserve"> and civil society.</w:t>
      </w:r>
      <w:r w:rsidR="00624876" w:rsidRPr="00A769DE">
        <w:rPr>
          <w:rStyle w:val="FootnoteReference"/>
          <w:rFonts w:ascii="Arial" w:hAnsi="Arial" w:cs="Arial"/>
          <w:color w:val="auto"/>
          <w:lang w:val="en-AU"/>
        </w:rPr>
        <w:footnoteReference w:id="52"/>
      </w:r>
      <w:r w:rsidR="000F5439" w:rsidRPr="000F5439">
        <w:rPr>
          <w:rFonts w:ascii="Arial" w:hAnsi="Arial" w:cs="Arial"/>
          <w:iCs/>
          <w:color w:val="auto"/>
          <w:lang w:val="en-AU"/>
        </w:rPr>
        <w:t xml:space="preserve"> </w:t>
      </w:r>
      <w:r w:rsidR="000F5439" w:rsidRPr="00BF5544">
        <w:rPr>
          <w:rFonts w:ascii="Arial" w:hAnsi="Arial" w:cs="Arial"/>
          <w:iCs/>
          <w:color w:val="auto"/>
          <w:u w:val="single"/>
          <w:lang w:val="en-AU"/>
        </w:rPr>
        <w:t>The target is met</w:t>
      </w:r>
      <w:r w:rsidR="000F5439">
        <w:rPr>
          <w:rFonts w:ascii="Arial" w:hAnsi="Arial" w:cs="Arial"/>
          <w:iCs/>
          <w:color w:val="auto"/>
          <w:lang w:val="en-AU"/>
        </w:rPr>
        <w:t>.</w:t>
      </w:r>
    </w:p>
    <w:p w:rsidR="00311819" w:rsidRDefault="00311819" w:rsidP="00732779">
      <w:pPr>
        <w:pStyle w:val="ListParagraph"/>
        <w:numPr>
          <w:ilvl w:val="0"/>
          <w:numId w:val="43"/>
        </w:numPr>
        <w:tabs>
          <w:tab w:val="left" w:pos="357"/>
        </w:tabs>
        <w:spacing w:after="120" w:line="240" w:lineRule="auto"/>
        <w:ind w:left="360"/>
        <w:contextualSpacing w:val="0"/>
        <w:jc w:val="both"/>
        <w:rPr>
          <w:rFonts w:ascii="Arial" w:hAnsi="Arial" w:cs="Arial"/>
          <w:iCs/>
          <w:color w:val="auto"/>
          <w:lang w:val="en-AU"/>
        </w:rPr>
      </w:pPr>
      <w:r w:rsidRPr="00853336">
        <w:rPr>
          <w:rFonts w:ascii="Arial" w:hAnsi="Arial" w:cs="Arial"/>
          <w:b/>
          <w:bCs/>
          <w:iCs/>
          <w:color w:val="auto"/>
          <w:lang w:val="en-AU"/>
        </w:rPr>
        <w:t>2017/18</w:t>
      </w:r>
      <w:r>
        <w:rPr>
          <w:rFonts w:ascii="Arial" w:hAnsi="Arial" w:cs="Arial"/>
          <w:iCs/>
          <w:color w:val="auto"/>
          <w:lang w:val="en-AU"/>
        </w:rPr>
        <w:t xml:space="preserve"> – </w:t>
      </w:r>
      <w:r w:rsidR="00F71703">
        <w:rPr>
          <w:rFonts w:ascii="Arial" w:hAnsi="Arial" w:cs="Arial"/>
          <w:iCs/>
          <w:color w:val="auto"/>
          <w:lang w:val="en-AU"/>
        </w:rPr>
        <w:t>A survey carried out by the IFC</w:t>
      </w:r>
      <w:r w:rsidR="00E05A4F">
        <w:rPr>
          <w:rFonts w:ascii="Arial" w:hAnsi="Arial" w:cs="Arial"/>
          <w:iCs/>
          <w:color w:val="auto"/>
          <w:lang w:val="en-AU"/>
        </w:rPr>
        <w:t xml:space="preserve"> </w:t>
      </w:r>
      <w:r w:rsidR="009147C9">
        <w:rPr>
          <w:rFonts w:ascii="Arial" w:hAnsi="Arial" w:cs="Arial"/>
          <w:iCs/>
          <w:color w:val="auto"/>
          <w:lang w:val="en-AU"/>
        </w:rPr>
        <w:t>during the second half 2017</w:t>
      </w:r>
      <w:r w:rsidR="00E05A4F" w:rsidRPr="00A769DE">
        <w:rPr>
          <w:rStyle w:val="FootnoteReference"/>
          <w:rFonts w:ascii="Arial" w:hAnsi="Arial" w:cs="Arial"/>
          <w:color w:val="auto"/>
          <w:lang w:val="en-AU"/>
        </w:rPr>
        <w:footnoteReference w:id="53"/>
      </w:r>
      <w:r w:rsidR="00E05A4F" w:rsidRPr="000F5439">
        <w:rPr>
          <w:rFonts w:ascii="Arial" w:hAnsi="Arial" w:cs="Arial"/>
          <w:iCs/>
          <w:color w:val="auto"/>
          <w:lang w:val="en-AU"/>
        </w:rPr>
        <w:t xml:space="preserve"> </w:t>
      </w:r>
      <w:r w:rsidR="00F71703">
        <w:rPr>
          <w:rFonts w:ascii="Arial" w:hAnsi="Arial" w:cs="Arial"/>
          <w:iCs/>
          <w:color w:val="auto"/>
          <w:lang w:val="en-AU"/>
        </w:rPr>
        <w:t xml:space="preserve">finds that while only about half of all firms are aware of the MIL, </w:t>
      </w:r>
      <w:r w:rsidR="00E05A4F">
        <w:rPr>
          <w:rFonts w:ascii="Arial" w:hAnsi="Arial" w:cs="Arial"/>
          <w:iCs/>
          <w:color w:val="auto"/>
          <w:lang w:val="en-AU"/>
        </w:rPr>
        <w:t xml:space="preserve">two-thirds of domestic firms and three-quarter of </w:t>
      </w:r>
      <w:r w:rsidR="00E05A4F">
        <w:rPr>
          <w:rFonts w:ascii="Arial" w:hAnsi="Arial" w:cs="Arial"/>
          <w:iCs/>
          <w:color w:val="auto"/>
          <w:lang w:val="en-AU"/>
        </w:rPr>
        <w:lastRenderedPageBreak/>
        <w:t>foreign firms expect it to be beneficial</w:t>
      </w:r>
      <w:r w:rsidR="00F13EC6">
        <w:rPr>
          <w:rFonts w:ascii="Arial" w:hAnsi="Arial" w:cs="Arial"/>
          <w:iCs/>
          <w:color w:val="auto"/>
          <w:lang w:val="en-AU"/>
        </w:rPr>
        <w:t xml:space="preserve"> for their respective sectors</w:t>
      </w:r>
      <w:r w:rsidR="00E05A4F">
        <w:rPr>
          <w:rFonts w:ascii="Arial" w:hAnsi="Arial" w:cs="Arial"/>
          <w:iCs/>
          <w:color w:val="auto"/>
          <w:lang w:val="en-AU"/>
        </w:rPr>
        <w:t>.</w:t>
      </w:r>
      <w:r w:rsidR="00E05A4F" w:rsidRPr="00A769DE">
        <w:rPr>
          <w:rStyle w:val="FootnoteReference"/>
          <w:rFonts w:ascii="Arial" w:hAnsi="Arial" w:cs="Arial"/>
          <w:color w:val="auto"/>
          <w:lang w:val="en-AU"/>
        </w:rPr>
        <w:footnoteReference w:id="54"/>
      </w:r>
      <w:r w:rsidR="00C632DB">
        <w:rPr>
          <w:rFonts w:ascii="Arial" w:hAnsi="Arial" w:cs="Arial"/>
          <w:iCs/>
          <w:color w:val="auto"/>
          <w:lang w:val="en-AU"/>
        </w:rPr>
        <w:t xml:space="preserve"> However, the survey also finds that many b</w:t>
      </w:r>
      <w:r w:rsidR="00C632DB" w:rsidRPr="00C632DB">
        <w:rPr>
          <w:rFonts w:ascii="Arial" w:hAnsi="Arial" w:cs="Arial"/>
          <w:iCs/>
          <w:color w:val="auto"/>
          <w:lang w:val="en-AU"/>
        </w:rPr>
        <w:t xml:space="preserve">usiness procedures </w:t>
      </w:r>
      <w:r w:rsidR="00C632DB">
        <w:rPr>
          <w:rFonts w:ascii="Arial" w:hAnsi="Arial" w:cs="Arial"/>
          <w:iCs/>
          <w:color w:val="auto"/>
          <w:lang w:val="en-AU"/>
        </w:rPr>
        <w:t>remain</w:t>
      </w:r>
      <w:r w:rsidR="00C632DB" w:rsidRPr="00C632DB">
        <w:rPr>
          <w:rFonts w:ascii="Arial" w:hAnsi="Arial" w:cs="Arial"/>
          <w:iCs/>
          <w:color w:val="auto"/>
          <w:lang w:val="en-AU"/>
        </w:rPr>
        <w:t xml:space="preserve"> unpredictable</w:t>
      </w:r>
      <w:r w:rsidR="00C632DB">
        <w:rPr>
          <w:rFonts w:ascii="Arial" w:hAnsi="Arial" w:cs="Arial"/>
          <w:iCs/>
          <w:color w:val="auto"/>
          <w:lang w:val="en-AU"/>
        </w:rPr>
        <w:t>.</w:t>
      </w:r>
      <w:r w:rsidR="00C632DB" w:rsidRPr="00A769DE">
        <w:rPr>
          <w:rStyle w:val="FootnoteReference"/>
          <w:rFonts w:ascii="Arial" w:hAnsi="Arial" w:cs="Arial"/>
          <w:color w:val="auto"/>
          <w:lang w:val="en-AU"/>
        </w:rPr>
        <w:footnoteReference w:id="55"/>
      </w:r>
      <w:r w:rsidR="009C0651">
        <w:rPr>
          <w:rFonts w:ascii="Arial" w:hAnsi="Arial" w:cs="Arial"/>
          <w:iCs/>
          <w:color w:val="auto"/>
          <w:lang w:val="en-AU"/>
        </w:rPr>
        <w:t xml:space="preserve"> The </w:t>
      </w:r>
      <w:r w:rsidR="007554E6">
        <w:rPr>
          <w:rFonts w:ascii="Arial" w:hAnsi="Arial" w:cs="Arial"/>
          <w:iCs/>
          <w:color w:val="auto"/>
          <w:lang w:val="en-AU"/>
        </w:rPr>
        <w:t xml:space="preserve">World Bank’s </w:t>
      </w:r>
      <w:r w:rsidR="009C0651">
        <w:rPr>
          <w:rFonts w:ascii="Arial" w:hAnsi="Arial" w:cs="Arial"/>
          <w:iCs/>
          <w:color w:val="auto"/>
          <w:lang w:val="en-AU"/>
        </w:rPr>
        <w:t>Doing Business survey furthermore shows that, except for the ‘</w:t>
      </w:r>
      <w:r w:rsidR="009C0651" w:rsidRPr="009C0651">
        <w:rPr>
          <w:rFonts w:ascii="Arial" w:hAnsi="Arial" w:cs="Arial"/>
          <w:iCs/>
          <w:color w:val="auto"/>
          <w:lang w:val="en-AU"/>
        </w:rPr>
        <w:t>Registering Property</w:t>
      </w:r>
      <w:r w:rsidR="009C0651">
        <w:rPr>
          <w:rFonts w:ascii="Arial" w:hAnsi="Arial" w:cs="Arial"/>
          <w:iCs/>
          <w:color w:val="auto"/>
          <w:lang w:val="en-AU"/>
        </w:rPr>
        <w:t>’ indicator</w:t>
      </w:r>
      <w:r w:rsidR="007554E6">
        <w:rPr>
          <w:rFonts w:ascii="Arial" w:hAnsi="Arial" w:cs="Arial"/>
          <w:iCs/>
          <w:color w:val="auto"/>
          <w:lang w:val="en-AU"/>
        </w:rPr>
        <w:t>, there have been no improvement in the distance to frontier (DTF) from 2017 to 2018</w:t>
      </w:r>
      <w:r w:rsidR="00596296">
        <w:rPr>
          <w:rFonts w:ascii="Arial" w:hAnsi="Arial" w:cs="Arial"/>
          <w:iCs/>
          <w:color w:val="auto"/>
          <w:lang w:val="en-AU"/>
        </w:rPr>
        <w:t xml:space="preserve"> (see Annex H)</w:t>
      </w:r>
      <w:r w:rsidR="007554E6">
        <w:rPr>
          <w:rFonts w:ascii="Arial" w:hAnsi="Arial" w:cs="Arial"/>
          <w:iCs/>
          <w:color w:val="auto"/>
          <w:lang w:val="en-AU"/>
        </w:rPr>
        <w:t xml:space="preserve">, and </w:t>
      </w:r>
      <w:r w:rsidR="00596296">
        <w:rPr>
          <w:rFonts w:ascii="Arial" w:hAnsi="Arial" w:cs="Arial"/>
          <w:iCs/>
          <w:color w:val="auto"/>
          <w:lang w:val="en-AU"/>
        </w:rPr>
        <w:t xml:space="preserve">hence </w:t>
      </w:r>
      <w:r w:rsidR="007554E6">
        <w:rPr>
          <w:rFonts w:ascii="Arial" w:hAnsi="Arial" w:cs="Arial"/>
          <w:iCs/>
          <w:color w:val="auto"/>
          <w:lang w:val="en-AU"/>
        </w:rPr>
        <w:t>that the regulatory performance of Myanmar overall remains</w:t>
      </w:r>
      <w:r w:rsidR="00596296">
        <w:rPr>
          <w:rFonts w:ascii="Arial" w:hAnsi="Arial" w:cs="Arial"/>
          <w:iCs/>
          <w:color w:val="auto"/>
          <w:lang w:val="en-AU"/>
        </w:rPr>
        <w:t xml:space="preserve"> very challenging for businesses</w:t>
      </w:r>
      <w:r w:rsidR="007554E6">
        <w:rPr>
          <w:rFonts w:ascii="Arial" w:hAnsi="Arial" w:cs="Arial"/>
          <w:iCs/>
          <w:color w:val="auto"/>
          <w:lang w:val="en-AU"/>
        </w:rPr>
        <w:t>.</w:t>
      </w:r>
      <w:r w:rsidR="00596296" w:rsidRPr="00596296">
        <w:rPr>
          <w:rFonts w:ascii="Arial" w:hAnsi="Arial" w:cs="Arial"/>
          <w:iCs/>
          <w:color w:val="auto"/>
          <w:lang w:val="en-AU"/>
        </w:rPr>
        <w:t xml:space="preserve"> </w:t>
      </w:r>
      <w:r w:rsidR="00596296" w:rsidRPr="003B3D32">
        <w:rPr>
          <w:rFonts w:ascii="Arial" w:hAnsi="Arial" w:cs="Arial"/>
          <w:iCs/>
          <w:color w:val="auto"/>
          <w:lang w:val="en-AU"/>
        </w:rPr>
        <w:t>Despite some positive developments,</w:t>
      </w:r>
      <w:r w:rsidR="00596296" w:rsidRPr="005D12BA">
        <w:rPr>
          <w:rFonts w:ascii="Arial" w:hAnsi="Arial" w:cs="Arial"/>
          <w:iCs/>
          <w:color w:val="auto"/>
          <w:lang w:val="en-AU"/>
        </w:rPr>
        <w:t xml:space="preserve"> </w:t>
      </w:r>
      <w:r w:rsidR="00596296">
        <w:rPr>
          <w:rFonts w:ascii="Arial" w:hAnsi="Arial" w:cs="Arial"/>
          <w:iCs/>
          <w:color w:val="auto"/>
          <w:u w:val="single"/>
          <w:lang w:val="en-AU"/>
        </w:rPr>
        <w:t>t</w:t>
      </w:r>
      <w:r w:rsidR="00596296" w:rsidRPr="00BF5544">
        <w:rPr>
          <w:rFonts w:ascii="Arial" w:hAnsi="Arial" w:cs="Arial"/>
          <w:iCs/>
          <w:color w:val="auto"/>
          <w:u w:val="single"/>
          <w:lang w:val="en-AU"/>
        </w:rPr>
        <w:t xml:space="preserve">he target is </w:t>
      </w:r>
      <w:r w:rsidR="00596296">
        <w:rPr>
          <w:rFonts w:ascii="Arial" w:hAnsi="Arial" w:cs="Arial"/>
          <w:iCs/>
          <w:color w:val="auto"/>
          <w:u w:val="single"/>
          <w:lang w:val="en-AU"/>
        </w:rPr>
        <w:t xml:space="preserve">not </w:t>
      </w:r>
      <w:r w:rsidR="00596296" w:rsidRPr="00BF5544">
        <w:rPr>
          <w:rFonts w:ascii="Arial" w:hAnsi="Arial" w:cs="Arial"/>
          <w:iCs/>
          <w:color w:val="auto"/>
          <w:u w:val="single"/>
          <w:lang w:val="en-AU"/>
        </w:rPr>
        <w:t>met</w:t>
      </w:r>
      <w:r w:rsidR="00596296">
        <w:rPr>
          <w:rFonts w:ascii="Arial" w:hAnsi="Arial" w:cs="Arial"/>
          <w:iCs/>
          <w:color w:val="auto"/>
          <w:lang w:val="en-AU"/>
        </w:rPr>
        <w:t>.</w:t>
      </w:r>
    </w:p>
    <w:p w:rsidR="004C7846" w:rsidRPr="00E03BB8" w:rsidRDefault="00311819" w:rsidP="00732779">
      <w:pPr>
        <w:pStyle w:val="ListParagraph"/>
        <w:numPr>
          <w:ilvl w:val="0"/>
          <w:numId w:val="43"/>
        </w:numPr>
        <w:tabs>
          <w:tab w:val="left" w:pos="357"/>
        </w:tabs>
        <w:spacing w:after="0" w:line="240" w:lineRule="auto"/>
        <w:ind w:left="360"/>
        <w:contextualSpacing w:val="0"/>
        <w:jc w:val="both"/>
        <w:rPr>
          <w:rFonts w:ascii="Arial" w:hAnsi="Arial" w:cs="Arial"/>
          <w:color w:val="auto"/>
          <w:lang w:val="en-AU"/>
        </w:rPr>
      </w:pPr>
      <w:r w:rsidRPr="00E03BB8">
        <w:rPr>
          <w:rFonts w:ascii="Arial" w:hAnsi="Arial" w:cs="Arial"/>
          <w:b/>
          <w:bCs/>
          <w:iCs/>
          <w:color w:val="auto"/>
          <w:lang w:val="en-AU"/>
        </w:rPr>
        <w:t>2018/19</w:t>
      </w:r>
      <w:r w:rsidRPr="00E03BB8">
        <w:rPr>
          <w:rFonts w:ascii="Arial" w:hAnsi="Arial" w:cs="Arial"/>
          <w:iCs/>
          <w:color w:val="auto"/>
          <w:lang w:val="en-AU"/>
        </w:rPr>
        <w:t xml:space="preserve"> –</w:t>
      </w:r>
      <w:r w:rsidR="002304AB" w:rsidRPr="00E03BB8">
        <w:rPr>
          <w:rFonts w:ascii="Arial" w:hAnsi="Arial" w:cs="Arial"/>
          <w:iCs/>
          <w:color w:val="auto"/>
          <w:lang w:val="en-AU"/>
        </w:rPr>
        <w:t xml:space="preserve"> </w:t>
      </w:r>
      <w:r w:rsidR="00E03BB8" w:rsidRPr="001022E6">
        <w:rPr>
          <w:rFonts w:ascii="Arial" w:hAnsi="Arial" w:cs="Arial"/>
          <w:iCs/>
          <w:color w:val="auto"/>
          <w:lang w:val="en-AU"/>
        </w:rPr>
        <w:t xml:space="preserve">Progress towards meeting the target </w:t>
      </w:r>
      <w:r w:rsidR="00E03BB8" w:rsidRPr="00E03BB8">
        <w:rPr>
          <w:rFonts w:ascii="Arial" w:hAnsi="Arial" w:cs="Arial"/>
          <w:iCs/>
          <w:color w:val="auto"/>
          <w:u w:val="single"/>
          <w:lang w:val="en-AU"/>
        </w:rPr>
        <w:t xml:space="preserve">cannot yet be assessed due to lack of </w:t>
      </w:r>
      <w:r w:rsidR="00152DEB">
        <w:rPr>
          <w:rFonts w:ascii="Arial" w:hAnsi="Arial" w:cs="Arial"/>
          <w:iCs/>
          <w:color w:val="auto"/>
          <w:u w:val="single"/>
          <w:lang w:val="en-AU"/>
        </w:rPr>
        <w:t xml:space="preserve">specific </w:t>
      </w:r>
      <w:r w:rsidR="00E03BB8" w:rsidRPr="00E03BB8">
        <w:rPr>
          <w:rFonts w:ascii="Arial" w:hAnsi="Arial" w:cs="Arial"/>
          <w:iCs/>
          <w:color w:val="auto"/>
          <w:u w:val="single"/>
          <w:lang w:val="en-AU"/>
        </w:rPr>
        <w:t>data</w:t>
      </w:r>
      <w:r w:rsidR="00E03BB8" w:rsidRPr="00E03BB8">
        <w:rPr>
          <w:rFonts w:ascii="Arial" w:hAnsi="Arial" w:cs="Arial"/>
          <w:iCs/>
          <w:color w:val="auto"/>
          <w:lang w:val="en-AU"/>
        </w:rPr>
        <w:t xml:space="preserve">. </w:t>
      </w:r>
      <w:r w:rsidR="002304AB" w:rsidRPr="00E03BB8">
        <w:rPr>
          <w:rFonts w:ascii="Arial" w:hAnsi="Arial" w:cs="Arial"/>
          <w:iCs/>
          <w:color w:val="auto"/>
          <w:lang w:val="en-AU"/>
        </w:rPr>
        <w:t>T</w:t>
      </w:r>
      <w:r w:rsidR="004C7846" w:rsidRPr="00E03BB8">
        <w:rPr>
          <w:rFonts w:ascii="Arial" w:hAnsi="Arial" w:cs="Arial"/>
          <w:iCs/>
          <w:color w:val="auto"/>
          <w:lang w:val="en-AU"/>
        </w:rPr>
        <w:t xml:space="preserve">he IFC will measure the increase in investment </w:t>
      </w:r>
      <w:r w:rsidR="00E03BB8" w:rsidRPr="00E03BB8">
        <w:rPr>
          <w:rFonts w:ascii="Arial" w:hAnsi="Arial" w:cs="Arial"/>
          <w:iCs/>
          <w:color w:val="auto"/>
          <w:lang w:val="en-AU"/>
        </w:rPr>
        <w:t xml:space="preserve">when </w:t>
      </w:r>
      <w:r w:rsidR="004C7846" w:rsidRPr="00E03BB8">
        <w:rPr>
          <w:rFonts w:ascii="Arial" w:hAnsi="Arial" w:cs="Arial"/>
          <w:color w:val="auto"/>
          <w:lang w:val="en-AU"/>
        </w:rPr>
        <w:t>preparing the Investment Policy Project Closing Report in 2020.</w:t>
      </w:r>
      <w:r w:rsidR="00527A16" w:rsidRPr="00A769DE">
        <w:rPr>
          <w:rStyle w:val="FootnoteReference"/>
          <w:rFonts w:ascii="Arial" w:hAnsi="Arial" w:cs="Arial"/>
          <w:color w:val="auto"/>
          <w:lang w:val="en-AU"/>
        </w:rPr>
        <w:footnoteReference w:id="56"/>
      </w:r>
      <w:r w:rsidR="004C7846" w:rsidRPr="00E03BB8">
        <w:rPr>
          <w:rFonts w:ascii="Arial" w:hAnsi="Arial" w:cs="Arial"/>
          <w:color w:val="auto"/>
          <w:lang w:val="en-AU"/>
        </w:rPr>
        <w:t xml:space="preserve"> </w:t>
      </w:r>
      <w:r w:rsidR="00E03BB8" w:rsidRPr="00E03BB8">
        <w:rPr>
          <w:rFonts w:ascii="Arial" w:hAnsi="Arial" w:cs="Arial"/>
          <w:color w:val="auto"/>
          <w:lang w:val="en-AU"/>
        </w:rPr>
        <w:t>T</w:t>
      </w:r>
      <w:r w:rsidR="004C7846" w:rsidRPr="00E03BB8">
        <w:rPr>
          <w:rFonts w:ascii="Arial" w:hAnsi="Arial" w:cs="Arial"/>
          <w:color w:val="auto"/>
          <w:lang w:val="en-AU"/>
        </w:rPr>
        <w:t>he IFC expresses confidence that its target (USD 200 million)</w:t>
      </w:r>
      <w:r w:rsidR="000B0F05" w:rsidRPr="00A769DE">
        <w:rPr>
          <w:rStyle w:val="FootnoteReference"/>
          <w:rFonts w:ascii="Arial" w:hAnsi="Arial" w:cs="Arial"/>
          <w:color w:val="auto"/>
          <w:lang w:val="en-AU"/>
        </w:rPr>
        <w:footnoteReference w:id="57"/>
      </w:r>
      <w:r w:rsidR="004C7846" w:rsidRPr="00E03BB8">
        <w:rPr>
          <w:rFonts w:ascii="Arial" w:hAnsi="Arial" w:cs="Arial"/>
          <w:color w:val="auto"/>
          <w:lang w:val="en-AU"/>
        </w:rPr>
        <w:t xml:space="preserve"> will be fulfilled</w:t>
      </w:r>
      <w:r w:rsidR="0046192F">
        <w:rPr>
          <w:rFonts w:ascii="Arial" w:hAnsi="Arial" w:cs="Arial"/>
          <w:color w:val="auto"/>
          <w:lang w:val="en-AU"/>
        </w:rPr>
        <w:t xml:space="preserve"> </w:t>
      </w:r>
      <w:r w:rsidR="00E03BB8" w:rsidRPr="00E03BB8">
        <w:rPr>
          <w:rFonts w:ascii="Arial" w:hAnsi="Arial" w:cs="Arial"/>
          <w:color w:val="auto"/>
          <w:lang w:val="en-AU"/>
        </w:rPr>
        <w:t xml:space="preserve">as the IFC itself, since the </w:t>
      </w:r>
      <w:r w:rsidR="000B0F05" w:rsidRPr="00E03BB8">
        <w:rPr>
          <w:rFonts w:ascii="Arial" w:hAnsi="Arial" w:cs="Arial"/>
          <w:color w:val="auto"/>
          <w:lang w:val="en-AU"/>
        </w:rPr>
        <w:t xml:space="preserve">approval of the </w:t>
      </w:r>
      <w:r w:rsidR="00E03BB8" w:rsidRPr="00E03BB8">
        <w:rPr>
          <w:rFonts w:ascii="Arial" w:hAnsi="Arial" w:cs="Arial"/>
          <w:color w:val="auto"/>
          <w:lang w:val="en-AU"/>
        </w:rPr>
        <w:t xml:space="preserve">new </w:t>
      </w:r>
      <w:r w:rsidR="00C7591D">
        <w:rPr>
          <w:rFonts w:ascii="Arial" w:hAnsi="Arial" w:cs="Arial"/>
          <w:color w:val="auto"/>
          <w:lang w:val="en-AU"/>
        </w:rPr>
        <w:t>MIL</w:t>
      </w:r>
      <w:r w:rsidR="007055D9" w:rsidRPr="00E03BB8">
        <w:rPr>
          <w:rFonts w:ascii="Arial" w:hAnsi="Arial" w:cs="Arial"/>
          <w:color w:val="auto"/>
          <w:lang w:val="en-AU"/>
        </w:rPr>
        <w:t xml:space="preserve">, </w:t>
      </w:r>
      <w:r w:rsidR="00E03BB8" w:rsidRPr="00E03BB8">
        <w:rPr>
          <w:rFonts w:ascii="Arial" w:hAnsi="Arial" w:cs="Arial"/>
          <w:color w:val="auto"/>
          <w:lang w:val="en-AU"/>
        </w:rPr>
        <w:t>has</w:t>
      </w:r>
      <w:r w:rsidR="000B0F05" w:rsidRPr="00E03BB8">
        <w:rPr>
          <w:rFonts w:ascii="Arial" w:hAnsi="Arial" w:cs="Arial"/>
          <w:color w:val="auto"/>
          <w:lang w:val="en-AU"/>
        </w:rPr>
        <w:t xml:space="preserve"> </w:t>
      </w:r>
      <w:r w:rsidR="004C7846" w:rsidRPr="00E03BB8">
        <w:rPr>
          <w:rFonts w:ascii="Arial" w:hAnsi="Arial" w:cs="Arial"/>
          <w:color w:val="auto"/>
          <w:lang w:val="en-AU"/>
        </w:rPr>
        <w:t>mobilised USD 500 million in investment</w:t>
      </w:r>
      <w:r w:rsidR="00E03BB8" w:rsidRPr="00E03BB8">
        <w:rPr>
          <w:rFonts w:ascii="Arial" w:hAnsi="Arial" w:cs="Arial"/>
          <w:color w:val="auto"/>
          <w:lang w:val="en-AU"/>
        </w:rPr>
        <w:t>s</w:t>
      </w:r>
      <w:r w:rsidR="004C7846" w:rsidRPr="00E03BB8">
        <w:rPr>
          <w:rFonts w:ascii="Arial" w:hAnsi="Arial" w:cs="Arial"/>
          <w:color w:val="auto"/>
          <w:lang w:val="en-AU"/>
        </w:rPr>
        <w:t>.</w:t>
      </w:r>
      <w:r w:rsidR="00E03BB8" w:rsidRPr="00E03BB8">
        <w:rPr>
          <w:rFonts w:ascii="Arial" w:hAnsi="Arial" w:cs="Arial"/>
          <w:color w:val="auto"/>
          <w:lang w:val="en-AU"/>
        </w:rPr>
        <w:t xml:space="preserve"> However, at the same time it is noted that the amount of approved foreign direct investment (FDI) has declined significantly in recent years.</w:t>
      </w:r>
      <w:r w:rsidR="007055D9" w:rsidRPr="00E03BB8">
        <w:rPr>
          <w:rStyle w:val="FootnoteReference"/>
          <w:rFonts w:ascii="Arial" w:hAnsi="Arial" w:cs="Arial"/>
          <w:color w:val="auto"/>
          <w:lang w:val="en-AU"/>
        </w:rPr>
        <w:footnoteReference w:id="58"/>
      </w:r>
      <w:r w:rsidR="002304AB" w:rsidRPr="00E03BB8">
        <w:rPr>
          <w:rFonts w:ascii="Arial" w:hAnsi="Arial" w:cs="Arial"/>
          <w:iCs/>
          <w:color w:val="auto"/>
          <w:lang w:val="en-AU"/>
        </w:rPr>
        <w:t xml:space="preserve"> </w:t>
      </w:r>
      <w:r w:rsidR="00F8737F" w:rsidRPr="00E03BB8">
        <w:rPr>
          <w:rFonts w:ascii="Arial" w:hAnsi="Arial" w:cs="Arial"/>
          <w:iCs/>
          <w:color w:val="auto"/>
          <w:lang w:val="en-AU"/>
        </w:rPr>
        <w:t>Hence</w:t>
      </w:r>
      <w:r w:rsidR="00E03BB8">
        <w:rPr>
          <w:rFonts w:ascii="Arial" w:hAnsi="Arial" w:cs="Arial"/>
          <w:iCs/>
          <w:color w:val="auto"/>
          <w:lang w:val="en-AU"/>
        </w:rPr>
        <w:t xml:space="preserve">, </w:t>
      </w:r>
      <w:r w:rsidR="00997669" w:rsidRPr="00E03BB8">
        <w:rPr>
          <w:rFonts w:ascii="Arial" w:hAnsi="Arial" w:cs="Arial"/>
          <w:iCs/>
          <w:color w:val="auto"/>
          <w:lang w:val="en-AU"/>
        </w:rPr>
        <w:t xml:space="preserve">based on the information </w:t>
      </w:r>
      <w:r w:rsidR="0046192F">
        <w:rPr>
          <w:rFonts w:ascii="Arial" w:hAnsi="Arial" w:cs="Arial"/>
          <w:iCs/>
          <w:color w:val="auto"/>
          <w:lang w:val="en-AU"/>
        </w:rPr>
        <w:t xml:space="preserve">currently </w:t>
      </w:r>
      <w:r w:rsidR="00997669" w:rsidRPr="00E03BB8">
        <w:rPr>
          <w:rFonts w:ascii="Arial" w:hAnsi="Arial" w:cs="Arial"/>
          <w:iCs/>
          <w:color w:val="auto"/>
          <w:lang w:val="en-AU"/>
        </w:rPr>
        <w:t xml:space="preserve">available, </w:t>
      </w:r>
      <w:r w:rsidR="0046192F">
        <w:rPr>
          <w:rFonts w:ascii="Arial" w:hAnsi="Arial" w:cs="Arial"/>
          <w:iCs/>
          <w:color w:val="auto"/>
          <w:lang w:val="en-AU"/>
        </w:rPr>
        <w:t xml:space="preserve">it is not clear </w:t>
      </w:r>
      <w:r w:rsidR="00997669" w:rsidRPr="00E03BB8">
        <w:rPr>
          <w:rFonts w:ascii="Arial" w:hAnsi="Arial" w:cs="Arial"/>
          <w:iCs/>
          <w:color w:val="auto"/>
          <w:lang w:val="en-AU"/>
        </w:rPr>
        <w:t xml:space="preserve">that the </w:t>
      </w:r>
      <w:r w:rsidR="0046192F">
        <w:rPr>
          <w:rFonts w:ascii="Arial" w:hAnsi="Arial" w:cs="Arial"/>
          <w:iCs/>
          <w:color w:val="auto"/>
          <w:lang w:val="en-AU"/>
        </w:rPr>
        <w:t xml:space="preserve">performance </w:t>
      </w:r>
      <w:r w:rsidR="00BA032B" w:rsidRPr="00E03BB8">
        <w:rPr>
          <w:rFonts w:ascii="Arial" w:hAnsi="Arial" w:cs="Arial"/>
          <w:iCs/>
          <w:color w:val="auto"/>
          <w:lang w:val="en-AU"/>
        </w:rPr>
        <w:t>target is on</w:t>
      </w:r>
      <w:r w:rsidR="00997669" w:rsidRPr="00E03BB8">
        <w:rPr>
          <w:rFonts w:ascii="Arial" w:hAnsi="Arial" w:cs="Arial"/>
          <w:iCs/>
          <w:color w:val="auto"/>
          <w:lang w:val="en-AU"/>
        </w:rPr>
        <w:t xml:space="preserve"> track to </w:t>
      </w:r>
      <w:r w:rsidR="00BA032B" w:rsidRPr="00E03BB8">
        <w:rPr>
          <w:rFonts w:ascii="Arial" w:hAnsi="Arial" w:cs="Arial"/>
          <w:iCs/>
          <w:color w:val="auto"/>
          <w:lang w:val="en-AU"/>
        </w:rPr>
        <w:t>be met</w:t>
      </w:r>
      <w:r w:rsidR="00997669" w:rsidRPr="00E03BB8">
        <w:rPr>
          <w:rFonts w:ascii="Arial" w:hAnsi="Arial" w:cs="Arial"/>
          <w:iCs/>
          <w:color w:val="auto"/>
          <w:lang w:val="en-AU"/>
        </w:rPr>
        <w:t>.</w:t>
      </w:r>
    </w:p>
    <w:p w:rsidR="004C7846" w:rsidRPr="00E03BB8" w:rsidRDefault="004C7846" w:rsidP="00A83E62">
      <w:pPr>
        <w:spacing w:before="0" w:after="0" w:line="240" w:lineRule="auto"/>
        <w:jc w:val="both"/>
        <w:rPr>
          <w:rFonts w:ascii="Arial" w:hAnsi="Arial" w:cs="Arial"/>
          <w:color w:val="auto"/>
          <w:lang w:val="en-AU"/>
        </w:rPr>
      </w:pPr>
    </w:p>
    <w:p w:rsidR="00B06618" w:rsidRPr="004858D2" w:rsidRDefault="004378E0" w:rsidP="00B0661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color w:val="auto"/>
          <w:lang w:val="en-AU"/>
        </w:rPr>
        <w:t>O</w:t>
      </w:r>
      <w:r w:rsidR="004F0B1A">
        <w:rPr>
          <w:rFonts w:ascii="Arial" w:hAnsi="Arial" w:cs="Arial"/>
          <w:color w:val="auto"/>
          <w:lang w:val="en-AU"/>
        </w:rPr>
        <w:t>f the</w:t>
      </w:r>
      <w:r w:rsidR="00B06618" w:rsidRPr="004858D2">
        <w:rPr>
          <w:rFonts w:ascii="Arial" w:hAnsi="Arial" w:cs="Arial"/>
          <w:color w:val="auto"/>
          <w:lang w:val="en-AU"/>
        </w:rPr>
        <w:t xml:space="preserve"> first three annual targets</w:t>
      </w:r>
      <w:r>
        <w:rPr>
          <w:rFonts w:ascii="Arial" w:hAnsi="Arial" w:cs="Arial"/>
          <w:color w:val="auto"/>
          <w:lang w:val="en-AU"/>
        </w:rPr>
        <w:t>, two</w:t>
      </w:r>
      <w:r w:rsidR="00B06618" w:rsidRPr="004858D2">
        <w:rPr>
          <w:rFonts w:ascii="Arial" w:hAnsi="Arial" w:cs="Arial"/>
          <w:color w:val="auto"/>
          <w:lang w:val="en-AU"/>
        </w:rPr>
        <w:t xml:space="preserve"> have been met</w:t>
      </w:r>
      <w:r w:rsidR="00184870" w:rsidRPr="004858D2">
        <w:rPr>
          <w:rFonts w:ascii="Arial" w:hAnsi="Arial" w:cs="Arial"/>
          <w:iCs/>
          <w:color w:val="auto"/>
          <w:lang w:val="en-AU"/>
        </w:rPr>
        <w:t xml:space="preserve"> and hence </w:t>
      </w:r>
      <w:r w:rsidR="004F0B1A">
        <w:rPr>
          <w:rFonts w:ascii="Arial" w:hAnsi="Arial" w:cs="Arial"/>
          <w:iCs/>
          <w:color w:val="auto"/>
          <w:lang w:val="en-AU"/>
        </w:rPr>
        <w:t>some</w:t>
      </w:r>
      <w:r w:rsidR="00184870" w:rsidRPr="004858D2">
        <w:rPr>
          <w:rFonts w:ascii="Arial" w:hAnsi="Arial" w:cs="Arial"/>
          <w:iCs/>
          <w:color w:val="auto"/>
          <w:lang w:val="en-AU"/>
        </w:rPr>
        <w:t xml:space="preserve"> progress has been made in establishing an effective and responsible investment environment.</w:t>
      </w:r>
      <w:r w:rsidR="004858D2" w:rsidRPr="004858D2">
        <w:rPr>
          <w:rFonts w:ascii="Arial" w:hAnsi="Arial" w:cs="Arial"/>
          <w:iCs/>
          <w:color w:val="auto"/>
          <w:lang w:val="en-AU"/>
        </w:rPr>
        <w:t xml:space="preserve"> </w:t>
      </w:r>
      <w:r w:rsidR="00B06618" w:rsidRPr="004858D2">
        <w:rPr>
          <w:rFonts w:ascii="Arial" w:hAnsi="Arial" w:cs="Arial"/>
          <w:color w:val="auto"/>
          <w:lang w:val="en-AU"/>
        </w:rPr>
        <w:t>Given</w:t>
      </w:r>
      <w:r>
        <w:rPr>
          <w:rFonts w:ascii="Arial" w:hAnsi="Arial" w:cs="Arial"/>
          <w:color w:val="auto"/>
          <w:lang w:val="en-AU"/>
        </w:rPr>
        <w:t xml:space="preserve"> the</w:t>
      </w:r>
      <w:r w:rsidR="00B06618" w:rsidRPr="004858D2">
        <w:rPr>
          <w:rFonts w:ascii="Arial" w:hAnsi="Arial" w:cs="Arial"/>
          <w:color w:val="auto"/>
          <w:lang w:val="en-AU"/>
        </w:rPr>
        <w:t xml:space="preserve"> lack of specific data, </w:t>
      </w:r>
      <w:r w:rsidR="004858D2">
        <w:rPr>
          <w:rFonts w:ascii="Arial" w:hAnsi="Arial" w:cs="Arial"/>
          <w:color w:val="auto"/>
          <w:lang w:val="en-AU"/>
        </w:rPr>
        <w:t xml:space="preserve">however, </w:t>
      </w:r>
      <w:r w:rsidR="00B06618" w:rsidRPr="004858D2">
        <w:rPr>
          <w:rFonts w:ascii="Arial" w:hAnsi="Arial" w:cs="Arial"/>
          <w:color w:val="auto"/>
          <w:lang w:val="en-AU"/>
        </w:rPr>
        <w:t xml:space="preserve">it is not </w:t>
      </w:r>
      <w:r w:rsidR="004858D2">
        <w:rPr>
          <w:rFonts w:ascii="Arial" w:hAnsi="Arial" w:cs="Arial"/>
          <w:color w:val="auto"/>
          <w:lang w:val="en-AU"/>
        </w:rPr>
        <w:t xml:space="preserve">yet </w:t>
      </w:r>
      <w:r w:rsidR="00B06618" w:rsidRPr="004858D2">
        <w:rPr>
          <w:rFonts w:ascii="Arial" w:hAnsi="Arial" w:cs="Arial"/>
          <w:color w:val="auto"/>
          <w:lang w:val="en-AU"/>
        </w:rPr>
        <w:t xml:space="preserve">possible to say to which extent the 2018/19 </w:t>
      </w:r>
      <w:r w:rsidRPr="004858D2">
        <w:rPr>
          <w:rFonts w:ascii="Arial" w:hAnsi="Arial" w:cs="Arial"/>
          <w:color w:val="auto"/>
          <w:lang w:val="en-AU"/>
        </w:rPr>
        <w:t xml:space="preserve">target </w:t>
      </w:r>
      <w:r w:rsidR="00B06618" w:rsidRPr="004858D2">
        <w:rPr>
          <w:rFonts w:ascii="Arial" w:hAnsi="Arial" w:cs="Arial"/>
          <w:color w:val="auto"/>
          <w:lang w:val="en-AU"/>
        </w:rPr>
        <w:t>is likely to be met.</w:t>
      </w:r>
    </w:p>
    <w:p w:rsidR="00884FE9" w:rsidRPr="00884FE9" w:rsidRDefault="00884FE9" w:rsidP="00884FE9">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0B785F" w:rsidRPr="00A769DE" w:rsidRDefault="00B5401C" w:rsidP="00B5401C">
      <w:pPr>
        <w:pStyle w:val="Heading2"/>
        <w:spacing w:before="0" w:after="60"/>
        <w:ind w:left="272" w:hanging="272"/>
        <w:jc w:val="both"/>
        <w:rPr>
          <w:rFonts w:ascii="Arial" w:hAnsi="Arial" w:cs="Arial"/>
          <w:b/>
          <w:bCs/>
          <w:color w:val="auto"/>
          <w:sz w:val="24"/>
          <w:szCs w:val="24"/>
          <w:lang w:val="en-AU"/>
        </w:rPr>
      </w:pPr>
      <w:bookmarkStart w:id="82" w:name="_Toc522800491"/>
      <w:bookmarkStart w:id="83" w:name="_Toc525930563"/>
      <w:bookmarkStart w:id="84" w:name="_Toc530307613"/>
      <w:r w:rsidRPr="00A769DE">
        <w:rPr>
          <w:rFonts w:ascii="Arial" w:hAnsi="Arial" w:cs="Arial"/>
          <w:b/>
          <w:bCs/>
          <w:color w:val="auto"/>
          <w:sz w:val="24"/>
          <w:szCs w:val="24"/>
          <w:lang w:val="en-AU"/>
        </w:rPr>
        <w:t>5</w:t>
      </w:r>
      <w:r w:rsidR="000B785F" w:rsidRPr="00A769DE">
        <w:rPr>
          <w:rFonts w:ascii="Arial" w:hAnsi="Arial" w:cs="Arial"/>
          <w:b/>
          <w:bCs/>
          <w:color w:val="auto"/>
          <w:sz w:val="24"/>
          <w:szCs w:val="24"/>
          <w:lang w:val="en-AU"/>
        </w:rPr>
        <w:t>.2 DFID</w:t>
      </w:r>
      <w:r w:rsidR="00927B24">
        <w:rPr>
          <w:rFonts w:ascii="Arial" w:hAnsi="Arial" w:cs="Arial"/>
          <w:b/>
          <w:bCs/>
          <w:color w:val="auto"/>
          <w:sz w:val="24"/>
          <w:szCs w:val="24"/>
          <w:lang w:val="en-AU"/>
        </w:rPr>
        <w:t>’s</w:t>
      </w:r>
      <w:r w:rsidR="000B785F" w:rsidRPr="00A769DE">
        <w:rPr>
          <w:rFonts w:ascii="Arial" w:hAnsi="Arial" w:cs="Arial"/>
          <w:b/>
          <w:bCs/>
          <w:color w:val="auto"/>
          <w:sz w:val="24"/>
          <w:szCs w:val="24"/>
          <w:lang w:val="en-AU"/>
        </w:rPr>
        <w:t xml:space="preserve"> PFM Evaluation</w:t>
      </w:r>
      <w:bookmarkEnd w:id="82"/>
      <w:bookmarkEnd w:id="83"/>
      <w:bookmarkEnd w:id="84"/>
    </w:p>
    <w:p w:rsidR="00A769DE" w:rsidRDefault="00B773F4" w:rsidP="00381DB5">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B773F4">
        <w:rPr>
          <w:rFonts w:ascii="Arial" w:hAnsi="Arial" w:cs="Arial"/>
          <w:color w:val="auto"/>
          <w:lang w:val="en-AU"/>
        </w:rPr>
        <w:t>The AIP 2015-2020 notes under objective 3 that “</w:t>
      </w:r>
      <w:r>
        <w:rPr>
          <w:rFonts w:ascii="Arial" w:hAnsi="Arial" w:cs="Arial"/>
          <w:i/>
          <w:iCs/>
          <w:color w:val="auto"/>
          <w:lang w:val="en-AU"/>
        </w:rPr>
        <w:t>T</w:t>
      </w:r>
      <w:r w:rsidR="00A769DE" w:rsidRPr="00B773F4">
        <w:rPr>
          <w:rFonts w:ascii="Arial" w:hAnsi="Arial" w:cs="Arial"/>
          <w:i/>
          <w:iCs/>
          <w:color w:val="auto"/>
          <w:lang w:val="en-AU"/>
        </w:rPr>
        <w:t>ransparent, effective and accountable governance will be needed to sustain inclusive economic growth in Myanmar</w:t>
      </w:r>
      <w:r>
        <w:rPr>
          <w:rFonts w:ascii="Arial" w:hAnsi="Arial" w:cs="Arial"/>
          <w:iCs/>
          <w:color w:val="auto"/>
          <w:lang w:val="en-AU"/>
        </w:rPr>
        <w:t>”, and states that</w:t>
      </w:r>
      <w:r w:rsidR="00A769DE" w:rsidRPr="00B773F4">
        <w:rPr>
          <w:rFonts w:ascii="Arial" w:hAnsi="Arial" w:cs="Arial"/>
          <w:iCs/>
          <w:color w:val="auto"/>
          <w:lang w:val="en-AU"/>
        </w:rPr>
        <w:t xml:space="preserve"> Australia will </w:t>
      </w:r>
      <w:r>
        <w:rPr>
          <w:rFonts w:ascii="Arial" w:hAnsi="Arial" w:cs="Arial"/>
          <w:iCs/>
          <w:color w:val="auto"/>
          <w:lang w:val="en-AU"/>
        </w:rPr>
        <w:t>support</w:t>
      </w:r>
      <w:r w:rsidR="00A769DE" w:rsidRPr="00B773F4">
        <w:rPr>
          <w:rFonts w:ascii="Arial" w:hAnsi="Arial" w:cs="Arial"/>
          <w:iCs/>
          <w:color w:val="auto"/>
          <w:lang w:val="en-AU"/>
        </w:rPr>
        <w:t xml:space="preserve"> Myanmar </w:t>
      </w:r>
      <w:r>
        <w:rPr>
          <w:rFonts w:ascii="Arial" w:hAnsi="Arial" w:cs="Arial"/>
          <w:iCs/>
          <w:color w:val="auto"/>
          <w:lang w:val="en-AU"/>
        </w:rPr>
        <w:t xml:space="preserve">in </w:t>
      </w:r>
      <w:r w:rsidR="00A769DE" w:rsidRPr="00B773F4">
        <w:rPr>
          <w:rFonts w:ascii="Arial" w:hAnsi="Arial" w:cs="Arial"/>
          <w:iCs/>
          <w:color w:val="auto"/>
          <w:lang w:val="en-AU"/>
        </w:rPr>
        <w:t>build</w:t>
      </w:r>
      <w:r>
        <w:rPr>
          <w:rFonts w:ascii="Arial" w:hAnsi="Arial" w:cs="Arial"/>
          <w:iCs/>
          <w:color w:val="auto"/>
          <w:lang w:val="en-AU"/>
        </w:rPr>
        <w:t>ing</w:t>
      </w:r>
      <w:r w:rsidR="00A769DE" w:rsidRPr="00B773F4">
        <w:rPr>
          <w:rFonts w:ascii="Arial" w:hAnsi="Arial" w:cs="Arial"/>
          <w:iCs/>
          <w:color w:val="auto"/>
          <w:lang w:val="en-AU"/>
        </w:rPr>
        <w:t xml:space="preserve"> effective systems, institutions, procedures and processes of government. </w:t>
      </w:r>
      <w:r>
        <w:rPr>
          <w:rFonts w:ascii="Arial" w:hAnsi="Arial" w:cs="Arial"/>
          <w:iCs/>
          <w:color w:val="auto"/>
          <w:lang w:val="en-AU"/>
        </w:rPr>
        <w:t>It is furthermore stated that i</w:t>
      </w:r>
      <w:r w:rsidR="00A769DE" w:rsidRPr="00B773F4">
        <w:rPr>
          <w:rFonts w:ascii="Arial" w:hAnsi="Arial" w:cs="Arial"/>
          <w:iCs/>
          <w:color w:val="auto"/>
          <w:lang w:val="en-AU"/>
        </w:rPr>
        <w:t xml:space="preserve">nvestments in </w:t>
      </w:r>
      <w:r>
        <w:rPr>
          <w:rFonts w:ascii="Arial" w:hAnsi="Arial" w:cs="Arial"/>
          <w:iCs/>
          <w:color w:val="auto"/>
          <w:lang w:val="en-AU"/>
        </w:rPr>
        <w:t>PFM reform</w:t>
      </w:r>
      <w:r w:rsidR="00A769DE" w:rsidRPr="00B773F4">
        <w:rPr>
          <w:rFonts w:ascii="Arial" w:hAnsi="Arial" w:cs="Arial"/>
          <w:iCs/>
          <w:color w:val="auto"/>
          <w:lang w:val="en-AU"/>
        </w:rPr>
        <w:t xml:space="preserve"> will increase Australia’s ability to partner directly with the Go</w:t>
      </w:r>
      <w:r>
        <w:rPr>
          <w:rFonts w:ascii="Arial" w:hAnsi="Arial" w:cs="Arial"/>
          <w:iCs/>
          <w:color w:val="auto"/>
          <w:lang w:val="en-AU"/>
        </w:rPr>
        <w:t xml:space="preserve">M </w:t>
      </w:r>
      <w:r w:rsidR="00A769DE" w:rsidRPr="00B773F4">
        <w:rPr>
          <w:rFonts w:ascii="Arial" w:hAnsi="Arial" w:cs="Arial"/>
          <w:iCs/>
          <w:color w:val="auto"/>
          <w:lang w:val="en-AU"/>
        </w:rPr>
        <w:t>on shared priorities using government systems.</w:t>
      </w:r>
    </w:p>
    <w:p w:rsidR="00B773F4" w:rsidRDefault="00B773F4" w:rsidP="00B773F4">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311819" w:rsidRDefault="002E7CCD" w:rsidP="007E1D64">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2E7CCD">
        <w:rPr>
          <w:rFonts w:ascii="Arial" w:hAnsi="Arial" w:cs="Arial"/>
          <w:iCs/>
          <w:color w:val="auto"/>
          <w:lang w:val="en-AU"/>
        </w:rPr>
        <w:t xml:space="preserve">The </w:t>
      </w:r>
      <w:r w:rsidR="00732779" w:rsidRPr="002E7CCD">
        <w:rPr>
          <w:rFonts w:ascii="Arial" w:hAnsi="Arial" w:cs="Arial"/>
          <w:iCs/>
          <w:color w:val="auto"/>
          <w:lang w:val="en-AU"/>
        </w:rPr>
        <w:t xml:space="preserve">PFM reform </w:t>
      </w:r>
      <w:r w:rsidRPr="002E7CCD">
        <w:rPr>
          <w:rFonts w:ascii="Arial" w:hAnsi="Arial" w:cs="Arial"/>
          <w:iCs/>
          <w:color w:val="auto"/>
          <w:lang w:val="en-AU"/>
        </w:rPr>
        <w:t xml:space="preserve">performance benchmark and annual targets </w:t>
      </w:r>
      <w:r w:rsidR="00732779">
        <w:rPr>
          <w:rFonts w:ascii="Arial" w:hAnsi="Arial" w:cs="Arial"/>
          <w:iCs/>
          <w:color w:val="auto"/>
          <w:lang w:val="en-AU"/>
        </w:rPr>
        <w:t xml:space="preserve">stated in the AIP </w:t>
      </w:r>
      <w:r w:rsidRPr="002E7CCD">
        <w:rPr>
          <w:rFonts w:ascii="Arial" w:hAnsi="Arial" w:cs="Arial"/>
          <w:iCs/>
          <w:color w:val="auto"/>
          <w:lang w:val="en-AU"/>
        </w:rPr>
        <w:t xml:space="preserve">are </w:t>
      </w:r>
      <w:r w:rsidR="009C7E0E">
        <w:rPr>
          <w:rFonts w:ascii="Arial" w:hAnsi="Arial" w:cs="Arial"/>
          <w:iCs/>
          <w:color w:val="auto"/>
          <w:lang w:val="en-AU"/>
        </w:rPr>
        <w:t>the following</w:t>
      </w:r>
      <w:r w:rsidRPr="002E7CCD">
        <w:rPr>
          <w:rFonts w:ascii="Arial" w:hAnsi="Arial" w:cs="Arial"/>
          <w:iCs/>
          <w:color w:val="auto"/>
          <w:lang w:val="en-AU"/>
        </w:rPr>
        <w:t>:</w:t>
      </w:r>
    </w:p>
    <w:p w:rsidR="00311819" w:rsidRDefault="00311819" w:rsidP="00311819">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311819" w:rsidRPr="00A769DE" w:rsidRDefault="00311819" w:rsidP="00311819">
      <w:pPr>
        <w:pStyle w:val="ListParagraph"/>
        <w:tabs>
          <w:tab w:val="left" w:pos="357"/>
        </w:tabs>
        <w:spacing w:before="0" w:after="20" w:line="240" w:lineRule="auto"/>
        <w:ind w:left="0"/>
        <w:contextualSpacing w:val="0"/>
        <w:jc w:val="both"/>
        <w:rPr>
          <w:rFonts w:ascii="Arial" w:hAnsi="Arial" w:cs="Arial"/>
          <w:b/>
          <w:bCs/>
          <w:i/>
          <w:color w:val="auto"/>
          <w:lang w:val="en-AU"/>
        </w:rPr>
      </w:pPr>
      <w:r w:rsidRPr="00A769DE">
        <w:rPr>
          <w:rFonts w:ascii="Arial" w:hAnsi="Arial" w:cs="Arial"/>
          <w:b/>
          <w:bCs/>
          <w:i/>
          <w:color w:val="auto"/>
          <w:lang w:val="en-AU"/>
        </w:rPr>
        <w:t xml:space="preserve">Table </w:t>
      </w:r>
      <w:r w:rsidR="00295AD8">
        <w:rPr>
          <w:rFonts w:ascii="Arial" w:hAnsi="Arial" w:cs="Arial"/>
          <w:b/>
          <w:bCs/>
          <w:i/>
          <w:color w:val="auto"/>
          <w:lang w:val="en-AU"/>
        </w:rPr>
        <w:t>3</w:t>
      </w:r>
      <w:r w:rsidRPr="00A769DE">
        <w:rPr>
          <w:rFonts w:ascii="Arial" w:hAnsi="Arial" w:cs="Arial"/>
          <w:b/>
          <w:bCs/>
          <w:i/>
          <w:color w:val="auto"/>
          <w:lang w:val="en-AU"/>
        </w:rPr>
        <w:t xml:space="preserve"> – PFM performance benchmark</w:t>
      </w:r>
      <w:r>
        <w:rPr>
          <w:rFonts w:ascii="Arial" w:hAnsi="Arial" w:cs="Arial"/>
          <w:b/>
          <w:bCs/>
          <w:i/>
          <w:color w:val="auto"/>
          <w:lang w:val="en-AU"/>
        </w:rPr>
        <w:t xml:space="preserve"> and annual target</w:t>
      </w:r>
      <w:r w:rsidRPr="00A769DE">
        <w:rPr>
          <w:rFonts w:ascii="Arial" w:hAnsi="Arial" w:cs="Arial"/>
          <w:b/>
          <w:bCs/>
          <w:i/>
          <w:color w:val="auto"/>
          <w:lang w:val="en-AU"/>
        </w:rPr>
        <w:t>s of the AIP</w:t>
      </w:r>
    </w:p>
    <w:tbl>
      <w:tblPr>
        <w:tblW w:w="0" w:type="auto"/>
        <w:tblInd w:w="10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70"/>
        <w:gridCol w:w="1919"/>
        <w:gridCol w:w="1919"/>
        <w:gridCol w:w="1919"/>
        <w:gridCol w:w="1919"/>
      </w:tblGrid>
      <w:tr w:rsidR="00311819" w:rsidRPr="00A769DE" w:rsidTr="00260B9D">
        <w:trPr>
          <w:trHeight w:val="360"/>
        </w:trPr>
        <w:tc>
          <w:tcPr>
            <w:tcW w:w="2070" w:type="dxa"/>
            <w:tcBorders>
              <w:top w:val="double" w:sz="4" w:space="0" w:color="auto"/>
              <w:bottom w:val="double" w:sz="4" w:space="0" w:color="auto"/>
            </w:tcBorders>
            <w:shd w:val="clear" w:color="auto" w:fill="D9D9D9"/>
            <w:tcMar>
              <w:top w:w="0" w:type="dxa"/>
              <w:left w:w="108" w:type="dxa"/>
              <w:bottom w:w="0" w:type="dxa"/>
              <w:right w:w="108" w:type="dxa"/>
            </w:tcMar>
            <w:vAlign w:val="center"/>
          </w:tcPr>
          <w:p w:rsidR="00311819" w:rsidRPr="00A769DE" w:rsidRDefault="00311819" w:rsidP="004C7846">
            <w:pPr>
              <w:pStyle w:val="Default"/>
              <w:spacing w:before="40" w:after="40"/>
              <w:jc w:val="center"/>
              <w:rPr>
                <w:color w:val="auto"/>
                <w:sz w:val="19"/>
                <w:szCs w:val="19"/>
                <w:lang w:val="en-AU"/>
              </w:rPr>
            </w:pP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311819" w:rsidRPr="00A769DE" w:rsidRDefault="00311819" w:rsidP="004C7846">
            <w:pPr>
              <w:pStyle w:val="Default"/>
              <w:spacing w:before="40" w:after="40"/>
              <w:jc w:val="center"/>
              <w:rPr>
                <w:b/>
                <w:bCs/>
                <w:color w:val="auto"/>
                <w:sz w:val="19"/>
                <w:szCs w:val="19"/>
                <w:lang w:val="en-AU"/>
              </w:rPr>
            </w:pPr>
            <w:r w:rsidRPr="00A769DE">
              <w:rPr>
                <w:b/>
                <w:bCs/>
                <w:color w:val="auto"/>
                <w:sz w:val="19"/>
                <w:szCs w:val="19"/>
                <w:lang w:val="en-AU"/>
              </w:rPr>
              <w:t>2015/16</w:t>
            </w: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311819" w:rsidRPr="00A769DE" w:rsidRDefault="00311819" w:rsidP="004C7846">
            <w:pPr>
              <w:pStyle w:val="Default"/>
              <w:spacing w:before="40" w:after="40"/>
              <w:jc w:val="center"/>
              <w:rPr>
                <w:b/>
                <w:bCs/>
                <w:color w:val="auto"/>
                <w:sz w:val="19"/>
                <w:szCs w:val="19"/>
                <w:lang w:val="en-AU"/>
              </w:rPr>
            </w:pPr>
            <w:r w:rsidRPr="00A769DE">
              <w:rPr>
                <w:b/>
                <w:bCs/>
                <w:color w:val="auto"/>
                <w:sz w:val="19"/>
                <w:szCs w:val="19"/>
                <w:lang w:val="en-AU"/>
              </w:rPr>
              <w:t>2016/17</w:t>
            </w: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311819" w:rsidRPr="00A769DE" w:rsidRDefault="00311819" w:rsidP="004C7846">
            <w:pPr>
              <w:pStyle w:val="Default"/>
              <w:spacing w:before="40" w:after="40"/>
              <w:jc w:val="center"/>
              <w:rPr>
                <w:b/>
                <w:bCs/>
                <w:color w:val="auto"/>
                <w:sz w:val="19"/>
                <w:szCs w:val="19"/>
                <w:lang w:val="en-AU"/>
              </w:rPr>
            </w:pPr>
            <w:r w:rsidRPr="00A769DE">
              <w:rPr>
                <w:b/>
                <w:bCs/>
                <w:color w:val="auto"/>
                <w:sz w:val="19"/>
                <w:szCs w:val="19"/>
                <w:lang w:val="en-AU"/>
              </w:rPr>
              <w:t>2017/18</w:t>
            </w:r>
          </w:p>
        </w:tc>
        <w:tc>
          <w:tcPr>
            <w:tcW w:w="1919" w:type="dxa"/>
            <w:tcBorders>
              <w:top w:val="double" w:sz="4" w:space="0" w:color="auto"/>
              <w:bottom w:val="double" w:sz="4" w:space="0" w:color="auto"/>
            </w:tcBorders>
            <w:shd w:val="clear" w:color="auto" w:fill="D9D9D9"/>
            <w:tcMar>
              <w:top w:w="0" w:type="dxa"/>
              <w:left w:w="108" w:type="dxa"/>
              <w:bottom w:w="0" w:type="dxa"/>
              <w:right w:w="108" w:type="dxa"/>
            </w:tcMar>
            <w:vAlign w:val="center"/>
            <w:hideMark/>
          </w:tcPr>
          <w:p w:rsidR="00311819" w:rsidRPr="00A769DE" w:rsidRDefault="00311819" w:rsidP="004C7846">
            <w:pPr>
              <w:pStyle w:val="Default"/>
              <w:spacing w:before="40" w:after="40"/>
              <w:jc w:val="center"/>
              <w:rPr>
                <w:b/>
                <w:bCs/>
                <w:color w:val="auto"/>
                <w:sz w:val="19"/>
                <w:szCs w:val="19"/>
                <w:lang w:val="en-AU"/>
              </w:rPr>
            </w:pPr>
            <w:r w:rsidRPr="00A769DE">
              <w:rPr>
                <w:b/>
                <w:bCs/>
                <w:color w:val="auto"/>
                <w:sz w:val="19"/>
                <w:szCs w:val="19"/>
                <w:lang w:val="en-AU"/>
              </w:rPr>
              <w:t>2018/19</w:t>
            </w:r>
          </w:p>
        </w:tc>
      </w:tr>
      <w:tr w:rsidR="00311819" w:rsidRPr="00A769DE" w:rsidTr="00260B9D">
        <w:trPr>
          <w:trHeight w:val="468"/>
        </w:trPr>
        <w:tc>
          <w:tcPr>
            <w:tcW w:w="2070" w:type="dxa"/>
            <w:tcBorders>
              <w:top w:val="double" w:sz="4" w:space="0" w:color="auto"/>
            </w:tcBorders>
            <w:tcMar>
              <w:top w:w="0" w:type="dxa"/>
              <w:left w:w="108" w:type="dxa"/>
              <w:bottom w:w="0" w:type="dxa"/>
              <w:right w:w="108" w:type="dxa"/>
            </w:tcMar>
            <w:vAlign w:val="center"/>
            <w:hideMark/>
          </w:tcPr>
          <w:p w:rsidR="00311819" w:rsidRPr="00A769DE" w:rsidRDefault="00311819" w:rsidP="004C7846">
            <w:pPr>
              <w:pStyle w:val="Default"/>
              <w:spacing w:before="40" w:after="40"/>
              <w:rPr>
                <w:color w:val="auto"/>
                <w:sz w:val="19"/>
                <w:szCs w:val="19"/>
                <w:lang w:val="en-AU"/>
              </w:rPr>
            </w:pPr>
            <w:r w:rsidRPr="00A769DE">
              <w:rPr>
                <w:color w:val="auto"/>
                <w:sz w:val="19"/>
                <w:szCs w:val="19"/>
                <w:u w:val="single"/>
                <w:lang w:val="en-AU"/>
              </w:rPr>
              <w:t>Performance benchmark</w:t>
            </w:r>
            <w:r>
              <w:rPr>
                <w:color w:val="auto"/>
                <w:sz w:val="19"/>
                <w:szCs w:val="19"/>
                <w:lang w:val="en-AU"/>
              </w:rPr>
              <w:t xml:space="preserve">: </w:t>
            </w:r>
            <w:r w:rsidRPr="00A769DE">
              <w:rPr>
                <w:color w:val="auto"/>
                <w:sz w:val="19"/>
                <w:szCs w:val="19"/>
                <w:lang w:val="en-AU"/>
              </w:rPr>
              <w:t>Strengthened public financial management systems and improved fiscal trans</w:t>
            </w:r>
            <w:r w:rsidR="00A16F35">
              <w:rPr>
                <w:color w:val="auto"/>
                <w:sz w:val="19"/>
                <w:szCs w:val="19"/>
                <w:lang w:val="en-AU"/>
              </w:rPr>
              <w:t>parency.</w:t>
            </w:r>
          </w:p>
        </w:tc>
        <w:tc>
          <w:tcPr>
            <w:tcW w:w="1919" w:type="dxa"/>
            <w:tcBorders>
              <w:top w:val="double" w:sz="4" w:space="0" w:color="auto"/>
            </w:tcBorders>
            <w:tcMar>
              <w:top w:w="0" w:type="dxa"/>
              <w:left w:w="108" w:type="dxa"/>
              <w:bottom w:w="0" w:type="dxa"/>
              <w:right w:w="108" w:type="dxa"/>
            </w:tcMar>
            <w:vAlign w:val="center"/>
            <w:hideMark/>
          </w:tcPr>
          <w:p w:rsidR="00311819" w:rsidRPr="00A769DE" w:rsidRDefault="00311819" w:rsidP="004C7846">
            <w:pPr>
              <w:pStyle w:val="Default"/>
              <w:spacing w:before="40" w:after="40"/>
              <w:rPr>
                <w:color w:val="auto"/>
                <w:sz w:val="19"/>
                <w:szCs w:val="19"/>
                <w:lang w:val="en-AU"/>
              </w:rPr>
            </w:pPr>
            <w:r w:rsidRPr="00A769DE">
              <w:rPr>
                <w:color w:val="auto"/>
                <w:sz w:val="19"/>
                <w:szCs w:val="19"/>
                <w:lang w:val="en-AU"/>
              </w:rPr>
              <w:t xml:space="preserve">Improved transparency of financial planning and budget processes </w:t>
            </w:r>
          </w:p>
        </w:tc>
        <w:tc>
          <w:tcPr>
            <w:tcW w:w="1919" w:type="dxa"/>
            <w:tcBorders>
              <w:top w:val="double" w:sz="4" w:space="0" w:color="auto"/>
            </w:tcBorders>
            <w:tcMar>
              <w:top w:w="0" w:type="dxa"/>
              <w:left w:w="108" w:type="dxa"/>
              <w:bottom w:w="0" w:type="dxa"/>
              <w:right w:w="108" w:type="dxa"/>
            </w:tcMar>
            <w:vAlign w:val="center"/>
            <w:hideMark/>
          </w:tcPr>
          <w:p w:rsidR="00311819" w:rsidRPr="00A769DE" w:rsidRDefault="00311819" w:rsidP="004C7846">
            <w:pPr>
              <w:pStyle w:val="Default"/>
              <w:spacing w:before="40" w:after="40"/>
              <w:rPr>
                <w:color w:val="auto"/>
                <w:sz w:val="19"/>
                <w:szCs w:val="19"/>
                <w:lang w:val="en-AU"/>
              </w:rPr>
            </w:pPr>
            <w:r w:rsidRPr="00A769DE">
              <w:rPr>
                <w:color w:val="auto"/>
                <w:sz w:val="19"/>
                <w:szCs w:val="19"/>
                <w:lang w:val="en-AU"/>
              </w:rPr>
              <w:t xml:space="preserve">Improved quality and transparency of financial planning and budget processes </w:t>
            </w:r>
          </w:p>
        </w:tc>
        <w:tc>
          <w:tcPr>
            <w:tcW w:w="1919" w:type="dxa"/>
            <w:tcBorders>
              <w:top w:val="double" w:sz="4" w:space="0" w:color="auto"/>
            </w:tcBorders>
            <w:tcMar>
              <w:top w:w="0" w:type="dxa"/>
              <w:left w:w="108" w:type="dxa"/>
              <w:bottom w:w="0" w:type="dxa"/>
              <w:right w:w="108" w:type="dxa"/>
            </w:tcMar>
            <w:vAlign w:val="center"/>
            <w:hideMark/>
          </w:tcPr>
          <w:p w:rsidR="00311819" w:rsidRPr="00A769DE" w:rsidRDefault="00311819" w:rsidP="00E45E9E">
            <w:pPr>
              <w:pStyle w:val="Default"/>
              <w:spacing w:before="40" w:after="40"/>
              <w:rPr>
                <w:color w:val="auto"/>
                <w:sz w:val="19"/>
                <w:szCs w:val="19"/>
                <w:lang w:val="en-AU"/>
              </w:rPr>
            </w:pPr>
            <w:r w:rsidRPr="00A769DE">
              <w:rPr>
                <w:color w:val="auto"/>
                <w:sz w:val="19"/>
                <w:szCs w:val="19"/>
                <w:lang w:val="en-AU"/>
              </w:rPr>
              <w:t>Increased tax</w:t>
            </w:r>
            <w:r w:rsidR="000509B7">
              <w:rPr>
                <w:color w:val="auto"/>
                <w:sz w:val="19"/>
                <w:szCs w:val="19"/>
                <w:lang w:val="en-AU"/>
              </w:rPr>
              <w:t>-to-</w:t>
            </w:r>
            <w:r w:rsidR="000E4F33">
              <w:rPr>
                <w:color w:val="auto"/>
                <w:sz w:val="19"/>
                <w:szCs w:val="19"/>
                <w:lang w:val="en-AU"/>
              </w:rPr>
              <w:t>GDP ratio from 6.2</w:t>
            </w:r>
            <w:r w:rsidR="00E45E9E">
              <w:rPr>
                <w:color w:val="auto"/>
                <w:sz w:val="19"/>
                <w:szCs w:val="19"/>
                <w:lang w:val="en-AU"/>
              </w:rPr>
              <w:t>% in</w:t>
            </w:r>
            <w:r w:rsidR="000E4F33">
              <w:rPr>
                <w:color w:val="auto"/>
                <w:sz w:val="19"/>
                <w:szCs w:val="19"/>
                <w:lang w:val="en-AU"/>
              </w:rPr>
              <w:t xml:space="preserve"> 2012/</w:t>
            </w:r>
            <w:r w:rsidRPr="00A769DE">
              <w:rPr>
                <w:color w:val="auto"/>
                <w:sz w:val="19"/>
                <w:szCs w:val="19"/>
                <w:lang w:val="en-AU"/>
              </w:rPr>
              <w:t xml:space="preserve">13 </w:t>
            </w:r>
          </w:p>
        </w:tc>
        <w:tc>
          <w:tcPr>
            <w:tcW w:w="1919" w:type="dxa"/>
            <w:tcBorders>
              <w:top w:val="double" w:sz="4" w:space="0" w:color="auto"/>
            </w:tcBorders>
            <w:tcMar>
              <w:top w:w="0" w:type="dxa"/>
              <w:left w:w="108" w:type="dxa"/>
              <w:bottom w:w="0" w:type="dxa"/>
              <w:right w:w="108" w:type="dxa"/>
            </w:tcMar>
            <w:vAlign w:val="center"/>
            <w:hideMark/>
          </w:tcPr>
          <w:p w:rsidR="000E4F33" w:rsidRDefault="000E4F33" w:rsidP="004C7846">
            <w:pPr>
              <w:pStyle w:val="Default"/>
              <w:spacing w:before="40" w:after="40"/>
              <w:rPr>
                <w:color w:val="auto"/>
                <w:sz w:val="19"/>
                <w:szCs w:val="19"/>
                <w:lang w:val="en-AU"/>
              </w:rPr>
            </w:pPr>
            <w:r>
              <w:rPr>
                <w:color w:val="auto"/>
                <w:sz w:val="19"/>
                <w:szCs w:val="19"/>
                <w:lang w:val="en-AU"/>
              </w:rPr>
              <w:t xml:space="preserve">a) </w:t>
            </w:r>
            <w:r w:rsidR="00311819" w:rsidRPr="00A769DE">
              <w:rPr>
                <w:color w:val="auto"/>
                <w:sz w:val="19"/>
                <w:szCs w:val="19"/>
                <w:lang w:val="en-AU"/>
              </w:rPr>
              <w:t>Increased tax-to-GDP ratio of over 10%</w:t>
            </w:r>
            <w:r>
              <w:rPr>
                <w:color w:val="auto"/>
                <w:sz w:val="19"/>
                <w:szCs w:val="19"/>
                <w:lang w:val="en-AU"/>
              </w:rPr>
              <w:t>;</w:t>
            </w:r>
            <w:r w:rsidR="00311819" w:rsidRPr="00A769DE">
              <w:rPr>
                <w:color w:val="auto"/>
                <w:sz w:val="19"/>
                <w:szCs w:val="19"/>
                <w:lang w:val="en-AU"/>
              </w:rPr>
              <w:t xml:space="preserve"> and</w:t>
            </w:r>
            <w:r>
              <w:rPr>
                <w:color w:val="auto"/>
                <w:sz w:val="19"/>
                <w:szCs w:val="19"/>
                <w:lang w:val="en-AU"/>
              </w:rPr>
              <w:t>,</w:t>
            </w:r>
          </w:p>
          <w:p w:rsidR="00311819" w:rsidRPr="00A769DE" w:rsidRDefault="000E4F33" w:rsidP="000E4F33">
            <w:pPr>
              <w:pStyle w:val="Default"/>
              <w:spacing w:before="40" w:after="40"/>
              <w:rPr>
                <w:color w:val="auto"/>
                <w:sz w:val="19"/>
                <w:szCs w:val="19"/>
                <w:lang w:val="en-AU"/>
              </w:rPr>
            </w:pPr>
            <w:r>
              <w:rPr>
                <w:color w:val="auto"/>
                <w:sz w:val="19"/>
                <w:szCs w:val="19"/>
                <w:lang w:val="en-AU"/>
              </w:rPr>
              <w:t>b)</w:t>
            </w:r>
            <w:r w:rsidR="00311819" w:rsidRPr="00A769DE">
              <w:rPr>
                <w:color w:val="auto"/>
                <w:sz w:val="19"/>
                <w:szCs w:val="19"/>
                <w:lang w:val="en-AU"/>
              </w:rPr>
              <w:t xml:space="preserve"> </w:t>
            </w:r>
            <w:r>
              <w:rPr>
                <w:color w:val="auto"/>
                <w:sz w:val="19"/>
                <w:szCs w:val="19"/>
                <w:lang w:val="en-AU"/>
              </w:rPr>
              <w:t xml:space="preserve">A </w:t>
            </w:r>
            <w:r w:rsidR="00311819" w:rsidRPr="00A769DE">
              <w:rPr>
                <w:color w:val="auto"/>
                <w:sz w:val="19"/>
                <w:szCs w:val="19"/>
                <w:lang w:val="en-AU"/>
              </w:rPr>
              <w:t>20% increase in collections from large tax payers from 2012/13 baseline.</w:t>
            </w:r>
            <w:r w:rsidR="00311819" w:rsidRPr="00A769DE">
              <w:rPr>
                <w:rStyle w:val="FootnoteReference"/>
                <w:color w:val="auto"/>
                <w:sz w:val="19"/>
                <w:szCs w:val="19"/>
                <w:lang w:val="en-AU"/>
              </w:rPr>
              <w:footnoteReference w:id="59"/>
            </w:r>
          </w:p>
        </w:tc>
      </w:tr>
    </w:tbl>
    <w:p w:rsidR="00311819" w:rsidRPr="00A769DE" w:rsidRDefault="00311819" w:rsidP="00311819">
      <w:pPr>
        <w:spacing w:before="0" w:after="0" w:line="240" w:lineRule="auto"/>
        <w:jc w:val="both"/>
        <w:rPr>
          <w:rFonts w:ascii="Arial" w:hAnsi="Arial" w:cs="Arial"/>
          <w:color w:val="auto"/>
          <w:lang w:val="en-AU"/>
        </w:rPr>
      </w:pPr>
    </w:p>
    <w:p w:rsidR="00381DB5" w:rsidRPr="00311819" w:rsidRDefault="002E7CCD" w:rsidP="007E1D64">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311819">
        <w:rPr>
          <w:rFonts w:ascii="Arial" w:hAnsi="Arial" w:cs="Arial"/>
          <w:color w:val="auto"/>
          <w:lang w:val="en-AU"/>
        </w:rPr>
        <w:t>Based on the analysis undertaken, the following status assessment is provided:</w:t>
      </w:r>
    </w:p>
    <w:p w:rsidR="00381DB5" w:rsidRPr="00A769DE" w:rsidRDefault="00381DB5" w:rsidP="007E1D64">
      <w:pPr>
        <w:spacing w:before="0" w:after="0" w:line="240" w:lineRule="auto"/>
        <w:jc w:val="both"/>
        <w:rPr>
          <w:rFonts w:ascii="Arial" w:hAnsi="Arial" w:cs="Arial"/>
          <w:color w:val="auto"/>
          <w:lang w:val="en-AU"/>
        </w:rPr>
      </w:pPr>
    </w:p>
    <w:p w:rsidR="00DC5D71" w:rsidRPr="00292CD1" w:rsidRDefault="00853336" w:rsidP="001849E3">
      <w:pPr>
        <w:pStyle w:val="ListParagraph"/>
        <w:numPr>
          <w:ilvl w:val="0"/>
          <w:numId w:val="43"/>
        </w:numPr>
        <w:tabs>
          <w:tab w:val="left" w:pos="357"/>
        </w:tabs>
        <w:spacing w:before="0" w:after="120" w:line="240" w:lineRule="auto"/>
        <w:ind w:left="360"/>
        <w:contextualSpacing w:val="0"/>
        <w:jc w:val="both"/>
        <w:rPr>
          <w:rFonts w:ascii="Arial" w:hAnsi="Arial" w:cs="Arial"/>
          <w:iCs/>
          <w:color w:val="auto"/>
          <w:lang w:val="en-AU"/>
        </w:rPr>
      </w:pPr>
      <w:r w:rsidRPr="00292CD1">
        <w:rPr>
          <w:rFonts w:ascii="Arial" w:hAnsi="Arial" w:cs="Arial"/>
          <w:b/>
          <w:bCs/>
          <w:iCs/>
          <w:color w:val="auto"/>
          <w:lang w:val="en-AU"/>
        </w:rPr>
        <w:t>2015/16</w:t>
      </w:r>
      <w:r w:rsidRPr="00292CD1">
        <w:rPr>
          <w:rFonts w:ascii="Arial" w:hAnsi="Arial" w:cs="Arial"/>
          <w:iCs/>
          <w:color w:val="auto"/>
          <w:lang w:val="en-AU"/>
        </w:rPr>
        <w:t xml:space="preserve"> – </w:t>
      </w:r>
      <w:r w:rsidR="00DC5D71" w:rsidRPr="00292CD1">
        <w:rPr>
          <w:rFonts w:ascii="Arial" w:hAnsi="Arial" w:cs="Arial"/>
          <w:iCs/>
          <w:color w:val="auto"/>
          <w:lang w:val="en-AU"/>
        </w:rPr>
        <w:t>The GoM’s commitment to increasing transparency in planning and budgeting is illustrated by more relevant documentation being prepared and published (including the pre-budget statement since 2015, Citizens’ Budget in August 2015 and first EITI report in January 2016).</w:t>
      </w:r>
      <w:r w:rsidR="0069746B" w:rsidRPr="00A769DE">
        <w:rPr>
          <w:rStyle w:val="FootnoteReference"/>
          <w:rFonts w:ascii="Arial" w:hAnsi="Arial" w:cs="Arial"/>
          <w:color w:val="auto"/>
          <w:lang w:val="en-AU"/>
        </w:rPr>
        <w:footnoteReference w:id="60"/>
      </w:r>
      <w:r w:rsidR="00292CD1" w:rsidRPr="00292CD1">
        <w:rPr>
          <w:rFonts w:ascii="Arial" w:hAnsi="Arial" w:cs="Arial"/>
          <w:iCs/>
          <w:color w:val="auto"/>
          <w:lang w:val="en-AU"/>
        </w:rPr>
        <w:t xml:space="preserve"> Also, in order to improve the </w:t>
      </w:r>
      <w:r w:rsidR="001849E3">
        <w:rPr>
          <w:rFonts w:ascii="Arial" w:hAnsi="Arial" w:cs="Arial"/>
          <w:iCs/>
          <w:color w:val="auto"/>
          <w:lang w:val="en-AU"/>
        </w:rPr>
        <w:t xml:space="preserve">linkage between plans and budgets, </w:t>
      </w:r>
      <w:r w:rsidR="00292CD1" w:rsidRPr="00292CD1">
        <w:rPr>
          <w:rFonts w:ascii="Arial" w:hAnsi="Arial" w:cs="Arial"/>
          <w:iCs/>
          <w:color w:val="auto"/>
          <w:lang w:val="en-AU"/>
        </w:rPr>
        <w:t>ministries/agencies during 2015/16 started submitting recurrent and capital budget forms electronically to the MoF.</w:t>
      </w:r>
      <w:r w:rsidR="00292CD1" w:rsidRPr="00A769DE">
        <w:rPr>
          <w:rStyle w:val="FootnoteReference"/>
          <w:rFonts w:ascii="Arial" w:hAnsi="Arial" w:cs="Arial"/>
          <w:color w:val="auto"/>
          <w:lang w:val="en-AU"/>
        </w:rPr>
        <w:footnoteReference w:id="61"/>
      </w:r>
      <w:r w:rsidR="0069746B" w:rsidRPr="00292CD1">
        <w:rPr>
          <w:rFonts w:ascii="Arial" w:hAnsi="Arial" w:cs="Arial"/>
          <w:iCs/>
          <w:color w:val="auto"/>
          <w:lang w:val="en-AU"/>
        </w:rPr>
        <w:t xml:space="preserve"> </w:t>
      </w:r>
      <w:r w:rsidR="0069746B" w:rsidRPr="00292CD1">
        <w:rPr>
          <w:rFonts w:ascii="Arial" w:hAnsi="Arial" w:cs="Arial"/>
          <w:iCs/>
          <w:color w:val="auto"/>
          <w:u w:val="single"/>
          <w:lang w:val="en-AU"/>
        </w:rPr>
        <w:t>The target is met</w:t>
      </w:r>
      <w:r w:rsidR="0069746B" w:rsidRPr="00292CD1">
        <w:rPr>
          <w:rFonts w:ascii="Arial" w:hAnsi="Arial" w:cs="Arial"/>
          <w:iCs/>
          <w:color w:val="auto"/>
          <w:lang w:val="en-AU"/>
        </w:rPr>
        <w:t>.</w:t>
      </w:r>
    </w:p>
    <w:p w:rsidR="00853336" w:rsidRPr="001849E3" w:rsidRDefault="00853336" w:rsidP="001849E3">
      <w:pPr>
        <w:pStyle w:val="ListParagraph"/>
        <w:numPr>
          <w:ilvl w:val="0"/>
          <w:numId w:val="43"/>
        </w:numPr>
        <w:tabs>
          <w:tab w:val="left" w:pos="357"/>
        </w:tabs>
        <w:spacing w:after="120" w:line="240" w:lineRule="auto"/>
        <w:ind w:left="360"/>
        <w:contextualSpacing w:val="0"/>
        <w:jc w:val="both"/>
        <w:rPr>
          <w:rFonts w:ascii="Arial" w:hAnsi="Arial" w:cs="Arial"/>
          <w:iCs/>
          <w:color w:val="auto"/>
          <w:lang w:val="en-AU"/>
        </w:rPr>
      </w:pPr>
      <w:r w:rsidRPr="001849E3">
        <w:rPr>
          <w:rFonts w:ascii="Arial" w:hAnsi="Arial" w:cs="Arial"/>
          <w:b/>
          <w:bCs/>
          <w:iCs/>
          <w:color w:val="auto"/>
          <w:lang w:val="en-AU"/>
        </w:rPr>
        <w:t>2016/17</w:t>
      </w:r>
      <w:r w:rsidRPr="001849E3">
        <w:rPr>
          <w:rFonts w:ascii="Arial" w:hAnsi="Arial" w:cs="Arial"/>
          <w:iCs/>
          <w:color w:val="auto"/>
          <w:lang w:val="en-AU"/>
        </w:rPr>
        <w:t xml:space="preserve"> – </w:t>
      </w:r>
      <w:r w:rsidR="001849E3" w:rsidRPr="001849E3">
        <w:rPr>
          <w:rFonts w:ascii="Arial" w:hAnsi="Arial" w:cs="Arial"/>
          <w:iCs/>
          <w:color w:val="auto"/>
          <w:lang w:val="en-AU"/>
        </w:rPr>
        <w:t>The MoF in April 2017 issued updated Financial Rules and Regulations</w:t>
      </w:r>
      <w:r w:rsidR="001849E3" w:rsidRPr="00A769DE">
        <w:rPr>
          <w:rStyle w:val="FootnoteReference"/>
          <w:rFonts w:ascii="Arial" w:hAnsi="Arial" w:cs="Arial"/>
          <w:color w:val="auto"/>
          <w:lang w:val="en-AU"/>
        </w:rPr>
        <w:footnoteReference w:id="62"/>
      </w:r>
      <w:r w:rsidR="001849E3" w:rsidRPr="001849E3">
        <w:rPr>
          <w:rFonts w:ascii="Arial" w:hAnsi="Arial" w:cs="Arial"/>
          <w:iCs/>
          <w:color w:val="auto"/>
          <w:lang w:val="en-AU"/>
        </w:rPr>
        <w:t xml:space="preserve"> to reflect new budget planning and management procedures, internal control processes, and financial reporting practices, which is a substantial improvement in PFM. Also, t</w:t>
      </w:r>
      <w:r w:rsidR="00E9532A" w:rsidRPr="001849E3">
        <w:rPr>
          <w:rFonts w:ascii="Arial" w:hAnsi="Arial" w:cs="Arial"/>
          <w:iCs/>
          <w:color w:val="auto"/>
          <w:lang w:val="en-AU"/>
        </w:rPr>
        <w:t>he MoF implemented the medium-term fiscal framework (MTFF) for the fiscal year 2016/17</w:t>
      </w:r>
      <w:r w:rsidR="001849E3" w:rsidRPr="00A769DE">
        <w:rPr>
          <w:rStyle w:val="FootnoteReference"/>
          <w:rFonts w:ascii="Arial" w:hAnsi="Arial" w:cs="Arial"/>
          <w:color w:val="auto"/>
          <w:lang w:val="en-AU"/>
        </w:rPr>
        <w:footnoteReference w:id="63"/>
      </w:r>
      <w:r w:rsidR="00E9532A" w:rsidRPr="001849E3">
        <w:rPr>
          <w:rFonts w:ascii="Arial" w:hAnsi="Arial" w:cs="Arial"/>
          <w:iCs/>
          <w:color w:val="auto"/>
          <w:lang w:val="en-AU"/>
        </w:rPr>
        <w:t xml:space="preserve"> and line ministries were for the planning and budgeting process issued with </w:t>
      </w:r>
      <w:r w:rsidR="00292CD1" w:rsidRPr="001849E3">
        <w:rPr>
          <w:rFonts w:ascii="Arial" w:hAnsi="Arial" w:cs="Arial"/>
          <w:iCs/>
          <w:color w:val="auto"/>
          <w:lang w:val="en-AU"/>
        </w:rPr>
        <w:t>re</w:t>
      </w:r>
      <w:r w:rsidR="00E9532A" w:rsidRPr="001849E3">
        <w:rPr>
          <w:rFonts w:ascii="Arial" w:hAnsi="Arial" w:cs="Arial"/>
          <w:iCs/>
          <w:color w:val="auto"/>
          <w:lang w:val="en-AU"/>
        </w:rPr>
        <w:t xml:space="preserve">current and capital expenditure ceilings within which to prepare detailed budget. </w:t>
      </w:r>
      <w:r w:rsidR="00E9532A" w:rsidRPr="001849E3">
        <w:rPr>
          <w:rFonts w:ascii="Arial" w:hAnsi="Arial" w:cs="Arial"/>
          <w:iCs/>
          <w:color w:val="auto"/>
          <w:u w:val="single"/>
          <w:lang w:val="en-AU"/>
        </w:rPr>
        <w:t>The target is met</w:t>
      </w:r>
      <w:r w:rsidR="00E9532A" w:rsidRPr="001849E3">
        <w:rPr>
          <w:rFonts w:ascii="Arial" w:hAnsi="Arial" w:cs="Arial"/>
          <w:iCs/>
          <w:color w:val="auto"/>
          <w:lang w:val="en-AU"/>
        </w:rPr>
        <w:t>.</w:t>
      </w:r>
    </w:p>
    <w:p w:rsidR="00853336" w:rsidRDefault="00853336" w:rsidP="001849E3">
      <w:pPr>
        <w:pStyle w:val="ListParagraph"/>
        <w:numPr>
          <w:ilvl w:val="0"/>
          <w:numId w:val="43"/>
        </w:numPr>
        <w:tabs>
          <w:tab w:val="left" w:pos="357"/>
        </w:tabs>
        <w:spacing w:after="120" w:line="240" w:lineRule="auto"/>
        <w:ind w:left="360"/>
        <w:contextualSpacing w:val="0"/>
        <w:jc w:val="both"/>
        <w:rPr>
          <w:rFonts w:ascii="Arial" w:hAnsi="Arial" w:cs="Arial"/>
          <w:iCs/>
          <w:color w:val="auto"/>
          <w:lang w:val="en-AU"/>
        </w:rPr>
      </w:pPr>
      <w:r w:rsidRPr="00853336">
        <w:rPr>
          <w:rFonts w:ascii="Arial" w:hAnsi="Arial" w:cs="Arial"/>
          <w:b/>
          <w:bCs/>
          <w:iCs/>
          <w:color w:val="auto"/>
          <w:lang w:val="en-AU"/>
        </w:rPr>
        <w:t>2017/18</w:t>
      </w:r>
      <w:r>
        <w:rPr>
          <w:rFonts w:ascii="Arial" w:hAnsi="Arial" w:cs="Arial"/>
          <w:iCs/>
          <w:color w:val="auto"/>
          <w:lang w:val="en-AU"/>
        </w:rPr>
        <w:t xml:space="preserve"> – </w:t>
      </w:r>
      <w:r w:rsidR="000509B7" w:rsidRPr="000509B7">
        <w:rPr>
          <w:rFonts w:ascii="Arial" w:hAnsi="Arial" w:cs="Arial"/>
          <w:iCs/>
          <w:color w:val="auto"/>
          <w:lang w:val="en-AU"/>
        </w:rPr>
        <w:t xml:space="preserve">The </w:t>
      </w:r>
      <w:r w:rsidR="000509B7">
        <w:rPr>
          <w:rFonts w:ascii="Arial" w:hAnsi="Arial" w:cs="Arial"/>
          <w:iCs/>
          <w:color w:val="auto"/>
          <w:lang w:val="en-AU"/>
        </w:rPr>
        <w:t xml:space="preserve">tax-to-GDP ratio for 2017/18 was </w:t>
      </w:r>
      <w:r w:rsidR="000509B7" w:rsidRPr="000509B7">
        <w:rPr>
          <w:rFonts w:ascii="Arial" w:hAnsi="Arial" w:cs="Arial"/>
          <w:iCs/>
          <w:color w:val="auto"/>
          <w:lang w:val="en-AU"/>
        </w:rPr>
        <w:t>7.1</w:t>
      </w:r>
      <w:r w:rsidR="00E45E9E">
        <w:rPr>
          <w:rFonts w:ascii="Arial" w:hAnsi="Arial" w:cs="Arial"/>
          <w:iCs/>
          <w:color w:val="auto"/>
          <w:lang w:val="en-AU"/>
        </w:rPr>
        <w:t xml:space="preserve"> per cent</w:t>
      </w:r>
      <w:r w:rsidR="00D75EA7">
        <w:rPr>
          <w:rFonts w:ascii="Arial" w:hAnsi="Arial" w:cs="Arial"/>
          <w:iCs/>
          <w:color w:val="auto"/>
          <w:lang w:val="en-AU"/>
        </w:rPr>
        <w:t>.</w:t>
      </w:r>
      <w:r w:rsidR="00D75EA7" w:rsidRPr="00A769DE">
        <w:rPr>
          <w:rStyle w:val="FootnoteReference"/>
          <w:rFonts w:ascii="Arial" w:hAnsi="Arial" w:cs="Arial"/>
          <w:color w:val="auto"/>
          <w:lang w:val="en-AU"/>
        </w:rPr>
        <w:footnoteReference w:id="64"/>
      </w:r>
      <w:r w:rsidR="00491B1A">
        <w:rPr>
          <w:rFonts w:ascii="Arial" w:hAnsi="Arial" w:cs="Arial"/>
          <w:iCs/>
          <w:color w:val="auto"/>
          <w:lang w:val="en-AU"/>
        </w:rPr>
        <w:t xml:space="preserve"> </w:t>
      </w:r>
      <w:r w:rsidR="00491B1A" w:rsidRPr="00BF5544">
        <w:rPr>
          <w:rFonts w:ascii="Arial" w:hAnsi="Arial" w:cs="Arial"/>
          <w:iCs/>
          <w:color w:val="auto"/>
          <w:u w:val="single"/>
          <w:lang w:val="en-AU"/>
        </w:rPr>
        <w:t>The target is met</w:t>
      </w:r>
      <w:r w:rsidR="00491B1A">
        <w:rPr>
          <w:rFonts w:ascii="Arial" w:hAnsi="Arial" w:cs="Arial"/>
          <w:iCs/>
          <w:color w:val="auto"/>
          <w:lang w:val="en-AU"/>
        </w:rPr>
        <w:t>.</w:t>
      </w:r>
    </w:p>
    <w:p w:rsidR="00381DB5" w:rsidRPr="008F69DD" w:rsidRDefault="00853336" w:rsidP="001849E3">
      <w:pPr>
        <w:pStyle w:val="ListParagraph"/>
        <w:numPr>
          <w:ilvl w:val="0"/>
          <w:numId w:val="43"/>
        </w:numPr>
        <w:tabs>
          <w:tab w:val="left" w:pos="357"/>
        </w:tabs>
        <w:spacing w:after="0" w:line="240" w:lineRule="auto"/>
        <w:ind w:left="360"/>
        <w:contextualSpacing w:val="0"/>
        <w:jc w:val="both"/>
        <w:rPr>
          <w:rFonts w:ascii="Arial" w:hAnsi="Arial" w:cs="Arial"/>
          <w:iCs/>
          <w:color w:val="auto"/>
          <w:lang w:val="en-AU"/>
        </w:rPr>
      </w:pPr>
      <w:r w:rsidRPr="008F69DD">
        <w:rPr>
          <w:rFonts w:ascii="Arial" w:hAnsi="Arial" w:cs="Arial"/>
          <w:b/>
          <w:bCs/>
          <w:iCs/>
          <w:color w:val="auto"/>
          <w:lang w:val="en-AU"/>
        </w:rPr>
        <w:t>2018/19</w:t>
      </w:r>
      <w:r w:rsidRPr="008F69DD">
        <w:rPr>
          <w:rFonts w:ascii="Arial" w:hAnsi="Arial" w:cs="Arial"/>
          <w:iCs/>
          <w:color w:val="auto"/>
          <w:lang w:val="en-AU"/>
        </w:rPr>
        <w:t xml:space="preserve"> – </w:t>
      </w:r>
      <w:r w:rsidR="000E4F33" w:rsidRPr="008F69DD">
        <w:rPr>
          <w:rFonts w:ascii="Arial" w:hAnsi="Arial" w:cs="Arial"/>
          <w:iCs/>
          <w:color w:val="auto"/>
          <w:lang w:val="en-AU"/>
        </w:rPr>
        <w:t xml:space="preserve">Data will only be available after June 2019. However, </w:t>
      </w:r>
      <w:r w:rsidR="000E4F33" w:rsidRPr="00BF5544">
        <w:rPr>
          <w:rFonts w:ascii="Arial" w:hAnsi="Arial" w:cs="Arial"/>
          <w:iCs/>
          <w:color w:val="auto"/>
          <w:u w:val="single"/>
          <w:lang w:val="en-AU"/>
        </w:rPr>
        <w:t xml:space="preserve">the first target </w:t>
      </w:r>
      <w:r w:rsidR="00BF5544">
        <w:rPr>
          <w:rFonts w:ascii="Arial" w:hAnsi="Arial" w:cs="Arial"/>
          <w:iCs/>
          <w:color w:val="auto"/>
          <w:u w:val="single"/>
          <w:lang w:val="en-AU"/>
        </w:rPr>
        <w:t>is highly</w:t>
      </w:r>
      <w:r w:rsidR="000E4F33" w:rsidRPr="00BF5544">
        <w:rPr>
          <w:rFonts w:ascii="Arial" w:hAnsi="Arial" w:cs="Arial"/>
          <w:iCs/>
          <w:color w:val="auto"/>
          <w:u w:val="single"/>
          <w:lang w:val="en-AU"/>
        </w:rPr>
        <w:t xml:space="preserve"> unlikely to be met</w:t>
      </w:r>
      <w:r w:rsidR="000E4F33" w:rsidRPr="008F69DD">
        <w:rPr>
          <w:rFonts w:ascii="Arial" w:hAnsi="Arial" w:cs="Arial"/>
          <w:iCs/>
          <w:color w:val="auto"/>
          <w:lang w:val="en-AU"/>
        </w:rPr>
        <w:t xml:space="preserve"> given that the tax-to-GDP ratio has only increased by 1.1</w:t>
      </w:r>
      <w:r w:rsidR="00E45E9E">
        <w:rPr>
          <w:rFonts w:ascii="Arial" w:hAnsi="Arial" w:cs="Arial"/>
          <w:iCs/>
          <w:color w:val="auto"/>
          <w:lang w:val="en-AU"/>
        </w:rPr>
        <w:t xml:space="preserve"> percentage</w:t>
      </w:r>
      <w:r w:rsidR="000E4F33" w:rsidRPr="008F69DD">
        <w:rPr>
          <w:rFonts w:ascii="Arial" w:hAnsi="Arial" w:cs="Arial"/>
          <w:iCs/>
          <w:color w:val="auto"/>
          <w:lang w:val="en-AU"/>
        </w:rPr>
        <w:t>-point over the six-year period 2012/13-2017/18 and</w:t>
      </w:r>
      <w:r w:rsidR="008F69DD" w:rsidRPr="008F69DD">
        <w:rPr>
          <w:rFonts w:ascii="Arial" w:hAnsi="Arial" w:cs="Arial"/>
          <w:iCs/>
          <w:color w:val="auto"/>
          <w:lang w:val="en-AU"/>
        </w:rPr>
        <w:t>, in fact, overall progress towards this target has stalled in recent years (</w:t>
      </w:r>
      <w:r w:rsidR="008F69DD">
        <w:rPr>
          <w:rFonts w:ascii="Arial" w:hAnsi="Arial" w:cs="Arial"/>
          <w:iCs/>
          <w:color w:val="auto"/>
          <w:lang w:val="en-AU"/>
        </w:rPr>
        <w:t xml:space="preserve">the ratio </w:t>
      </w:r>
      <w:r w:rsidR="000E4F33" w:rsidRPr="008F69DD">
        <w:rPr>
          <w:rFonts w:ascii="Arial" w:hAnsi="Arial" w:cs="Arial"/>
          <w:iCs/>
          <w:color w:val="auto"/>
          <w:lang w:val="en-AU"/>
        </w:rPr>
        <w:t>decreased from 8.03</w:t>
      </w:r>
      <w:r w:rsidR="00E45E9E">
        <w:rPr>
          <w:rFonts w:ascii="Arial" w:hAnsi="Arial" w:cs="Arial"/>
          <w:iCs/>
          <w:color w:val="auto"/>
          <w:lang w:val="en-AU"/>
        </w:rPr>
        <w:t xml:space="preserve"> per cent</w:t>
      </w:r>
      <w:r w:rsidR="000E4F33" w:rsidRPr="008F69DD">
        <w:rPr>
          <w:rFonts w:ascii="Arial" w:hAnsi="Arial" w:cs="Arial"/>
          <w:iCs/>
          <w:color w:val="auto"/>
          <w:lang w:val="en-AU"/>
        </w:rPr>
        <w:t xml:space="preserve"> in 2016/17 to 7.1</w:t>
      </w:r>
      <w:r w:rsidR="00E45E9E">
        <w:rPr>
          <w:rFonts w:ascii="Arial" w:hAnsi="Arial" w:cs="Arial"/>
          <w:iCs/>
          <w:color w:val="auto"/>
          <w:lang w:val="en-AU"/>
        </w:rPr>
        <w:t xml:space="preserve"> per cent</w:t>
      </w:r>
      <w:r w:rsidR="000E4F33" w:rsidRPr="008F69DD">
        <w:rPr>
          <w:rFonts w:ascii="Arial" w:hAnsi="Arial" w:cs="Arial"/>
          <w:iCs/>
          <w:color w:val="auto"/>
          <w:lang w:val="en-AU"/>
        </w:rPr>
        <w:t xml:space="preserve"> in 2017/18</w:t>
      </w:r>
      <w:r w:rsidR="008F69DD">
        <w:rPr>
          <w:rFonts w:ascii="Arial" w:hAnsi="Arial" w:cs="Arial"/>
          <w:iCs/>
          <w:color w:val="auto"/>
          <w:lang w:val="en-AU"/>
        </w:rPr>
        <w:t>)</w:t>
      </w:r>
      <w:r w:rsidR="000E4F33" w:rsidRPr="008F69DD">
        <w:rPr>
          <w:rFonts w:ascii="Arial" w:hAnsi="Arial" w:cs="Arial"/>
          <w:iCs/>
          <w:color w:val="auto"/>
          <w:lang w:val="en-AU"/>
        </w:rPr>
        <w:t>.</w:t>
      </w:r>
      <w:r w:rsidR="00441FED" w:rsidRPr="00A769DE">
        <w:rPr>
          <w:rStyle w:val="FootnoteReference"/>
          <w:rFonts w:ascii="Arial" w:hAnsi="Arial" w:cs="Arial"/>
          <w:color w:val="auto"/>
          <w:lang w:val="en-AU"/>
        </w:rPr>
        <w:footnoteReference w:id="65"/>
      </w:r>
      <w:r w:rsidR="000E4F33" w:rsidRPr="008F69DD">
        <w:rPr>
          <w:rFonts w:ascii="Arial" w:hAnsi="Arial" w:cs="Arial"/>
          <w:iCs/>
          <w:color w:val="auto"/>
          <w:lang w:val="en-AU"/>
        </w:rPr>
        <w:t xml:space="preserve"> </w:t>
      </w:r>
      <w:r w:rsidR="00D927BB" w:rsidRPr="007444CC">
        <w:rPr>
          <w:rFonts w:ascii="Arial" w:hAnsi="Arial" w:cs="Arial"/>
          <w:iCs/>
          <w:color w:val="auto"/>
          <w:u w:val="single"/>
          <w:lang w:val="en-AU"/>
        </w:rPr>
        <w:t>Progress towards meeting t</w:t>
      </w:r>
      <w:r w:rsidR="000E4F33" w:rsidRPr="007444CC">
        <w:rPr>
          <w:rFonts w:ascii="Arial" w:hAnsi="Arial" w:cs="Arial"/>
          <w:iCs/>
          <w:color w:val="auto"/>
          <w:u w:val="single"/>
          <w:lang w:val="en-AU"/>
        </w:rPr>
        <w:t>he second target cannot be assessed</w:t>
      </w:r>
      <w:r w:rsidR="000E4F33" w:rsidRPr="008F69DD">
        <w:rPr>
          <w:rFonts w:ascii="Arial" w:hAnsi="Arial" w:cs="Arial"/>
          <w:iCs/>
          <w:color w:val="auto"/>
          <w:lang w:val="en-AU"/>
        </w:rPr>
        <w:t xml:space="preserve"> as the World Bank has not collected the required data</w:t>
      </w:r>
      <w:r w:rsidR="00BF5544">
        <w:rPr>
          <w:rFonts w:ascii="Arial" w:hAnsi="Arial" w:cs="Arial"/>
          <w:iCs/>
          <w:color w:val="auto"/>
          <w:lang w:val="en-AU"/>
        </w:rPr>
        <w:t xml:space="preserve"> through the </w:t>
      </w:r>
      <w:r w:rsidR="00BF5544" w:rsidRPr="00BF5544">
        <w:rPr>
          <w:rFonts w:ascii="Arial" w:hAnsi="Arial" w:cs="Arial"/>
          <w:iCs/>
          <w:color w:val="auto"/>
          <w:lang w:val="en-AU"/>
        </w:rPr>
        <w:t>Internal Revenue Department</w:t>
      </w:r>
      <w:r w:rsidR="00BF5544">
        <w:rPr>
          <w:rFonts w:ascii="Arial" w:hAnsi="Arial" w:cs="Arial"/>
          <w:iCs/>
          <w:color w:val="auto"/>
          <w:lang w:val="en-AU"/>
        </w:rPr>
        <w:t xml:space="preserve"> (IRD)</w:t>
      </w:r>
      <w:r w:rsidR="000E4F33" w:rsidRPr="008F69DD">
        <w:rPr>
          <w:rFonts w:ascii="Arial" w:hAnsi="Arial" w:cs="Arial"/>
          <w:iCs/>
          <w:color w:val="auto"/>
          <w:lang w:val="en-AU"/>
        </w:rPr>
        <w:t>.</w:t>
      </w:r>
      <w:r w:rsidR="000E4F33" w:rsidRPr="00A769DE">
        <w:rPr>
          <w:rStyle w:val="FootnoteReference"/>
          <w:rFonts w:ascii="Arial" w:hAnsi="Arial" w:cs="Arial"/>
          <w:color w:val="auto"/>
          <w:lang w:val="en-AU"/>
        </w:rPr>
        <w:footnoteReference w:id="66"/>
      </w:r>
    </w:p>
    <w:p w:rsidR="002E7CCD" w:rsidRDefault="002E7CCD" w:rsidP="007E1D64">
      <w:pPr>
        <w:pStyle w:val="ListParagraph"/>
        <w:tabs>
          <w:tab w:val="left" w:pos="357"/>
        </w:tabs>
        <w:spacing w:before="0" w:after="0" w:line="240" w:lineRule="auto"/>
        <w:ind w:left="0"/>
        <w:contextualSpacing w:val="0"/>
        <w:jc w:val="both"/>
        <w:rPr>
          <w:rFonts w:ascii="Arial" w:hAnsi="Arial" w:cs="Arial"/>
          <w:iCs/>
          <w:color w:val="auto"/>
          <w:lang w:val="en-AU"/>
        </w:rPr>
      </w:pPr>
    </w:p>
    <w:p w:rsidR="00F25BF0" w:rsidRPr="007C5FEE" w:rsidRDefault="001F0A34" w:rsidP="00F25BF0">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7C5FEE">
        <w:rPr>
          <w:rFonts w:ascii="Arial" w:hAnsi="Arial" w:cs="Arial"/>
          <w:color w:val="auto"/>
          <w:lang w:val="en-AU"/>
        </w:rPr>
        <w:t xml:space="preserve">The first three annual targets have </w:t>
      </w:r>
      <w:r w:rsidR="00927B24">
        <w:rPr>
          <w:rFonts w:ascii="Arial" w:hAnsi="Arial" w:cs="Arial"/>
          <w:color w:val="auto"/>
          <w:lang w:val="en-AU"/>
        </w:rPr>
        <w:t>therefore</w:t>
      </w:r>
      <w:r w:rsidRPr="007C5FEE">
        <w:rPr>
          <w:rFonts w:ascii="Arial" w:hAnsi="Arial" w:cs="Arial"/>
          <w:color w:val="auto"/>
          <w:lang w:val="en-AU"/>
        </w:rPr>
        <w:t xml:space="preserve"> been met</w:t>
      </w:r>
      <w:r w:rsidR="00A16F35" w:rsidRPr="007C5FEE">
        <w:rPr>
          <w:rFonts w:ascii="Arial" w:hAnsi="Arial" w:cs="Arial"/>
          <w:color w:val="auto"/>
          <w:lang w:val="en-AU"/>
        </w:rPr>
        <w:t>, which has contributed to a s</w:t>
      </w:r>
      <w:r w:rsidR="00A16F35" w:rsidRPr="007C5FEE">
        <w:rPr>
          <w:rFonts w:ascii="Arial" w:hAnsi="Arial" w:cs="Arial"/>
          <w:iCs/>
          <w:color w:val="auto"/>
          <w:lang w:val="en-AU"/>
        </w:rPr>
        <w:t xml:space="preserve">trengthened PFM system through improved fiscal transparency as well as increased tax revenue mobilisation. However, the level of the latter is clearly suboptimal </w:t>
      </w:r>
      <w:r w:rsidR="007C5FEE" w:rsidRPr="007C5FEE">
        <w:rPr>
          <w:rFonts w:ascii="Arial" w:hAnsi="Arial" w:cs="Arial"/>
          <w:iCs/>
          <w:color w:val="auto"/>
          <w:lang w:val="en-AU"/>
        </w:rPr>
        <w:t xml:space="preserve">and hence also highly likely to result in the </w:t>
      </w:r>
      <w:r w:rsidR="007C5FEE">
        <w:rPr>
          <w:rFonts w:ascii="Arial" w:hAnsi="Arial" w:cs="Arial"/>
          <w:color w:val="auto"/>
          <w:lang w:val="en-AU"/>
        </w:rPr>
        <w:t>2018/19 target not</w:t>
      </w:r>
      <w:r w:rsidRPr="007C5FEE">
        <w:rPr>
          <w:rFonts w:ascii="Arial" w:hAnsi="Arial" w:cs="Arial"/>
          <w:color w:val="auto"/>
          <w:lang w:val="en-AU"/>
        </w:rPr>
        <w:t xml:space="preserve"> be</w:t>
      </w:r>
      <w:r w:rsidR="007C5FEE">
        <w:rPr>
          <w:rFonts w:ascii="Arial" w:hAnsi="Arial" w:cs="Arial"/>
          <w:color w:val="auto"/>
          <w:lang w:val="en-AU"/>
        </w:rPr>
        <w:t>ing</w:t>
      </w:r>
      <w:r w:rsidRPr="007C5FEE">
        <w:rPr>
          <w:rFonts w:ascii="Arial" w:hAnsi="Arial" w:cs="Arial"/>
          <w:color w:val="auto"/>
          <w:lang w:val="en-AU"/>
        </w:rPr>
        <w:t xml:space="preserve"> met.</w:t>
      </w:r>
    </w:p>
    <w:p w:rsidR="00884FE9" w:rsidRPr="00884FE9" w:rsidRDefault="00884FE9" w:rsidP="00884FE9">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B210A8" w:rsidRDefault="00AF1BDA" w:rsidP="00B210A8">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Pr>
          <w:rFonts w:ascii="Arial" w:hAnsi="Arial" w:cs="Arial"/>
          <w:iCs/>
          <w:color w:val="auto"/>
          <w:lang w:val="en-AU"/>
        </w:rPr>
        <w:t>The key findings of the DFID-</w:t>
      </w:r>
      <w:r w:rsidR="00B210A8" w:rsidRPr="00B210A8">
        <w:rPr>
          <w:rFonts w:ascii="Arial" w:hAnsi="Arial" w:cs="Arial"/>
          <w:iCs/>
          <w:color w:val="auto"/>
          <w:lang w:val="en-AU"/>
        </w:rPr>
        <w:t xml:space="preserve">commissioned PFM evaluation </w:t>
      </w:r>
      <w:r w:rsidR="00017607">
        <w:rPr>
          <w:rFonts w:ascii="Arial" w:hAnsi="Arial" w:cs="Arial"/>
          <w:iCs/>
          <w:color w:val="auto"/>
          <w:lang w:val="en-AU"/>
        </w:rPr>
        <w:t>are</w:t>
      </w:r>
      <w:r w:rsidR="00B210A8" w:rsidRPr="00B210A8">
        <w:rPr>
          <w:rFonts w:ascii="Arial" w:hAnsi="Arial" w:cs="Arial"/>
          <w:iCs/>
          <w:color w:val="auto"/>
          <w:lang w:val="en-AU"/>
        </w:rPr>
        <w:t xml:space="preserve"> </w:t>
      </w:r>
      <w:r w:rsidR="00B210A8" w:rsidRPr="00B210A8">
        <w:rPr>
          <w:rFonts w:ascii="Arial" w:hAnsi="Arial" w:cs="Arial"/>
          <w:color w:val="auto"/>
          <w:lang w:val="en-AU"/>
        </w:rPr>
        <w:t>that</w:t>
      </w:r>
      <w:r w:rsidR="00B210A8">
        <w:rPr>
          <w:rFonts w:ascii="Arial" w:hAnsi="Arial" w:cs="Arial"/>
          <w:color w:val="auto"/>
          <w:lang w:val="en-AU"/>
        </w:rPr>
        <w:t>:</w:t>
      </w:r>
      <w:r w:rsidR="00E03E08" w:rsidRPr="00A769DE">
        <w:rPr>
          <w:rStyle w:val="FootnoteReference"/>
          <w:rFonts w:ascii="Arial" w:hAnsi="Arial" w:cs="Arial"/>
          <w:color w:val="auto"/>
          <w:lang w:val="en-AU"/>
        </w:rPr>
        <w:footnoteReference w:id="67"/>
      </w:r>
      <w:r w:rsidR="00B210A8" w:rsidRPr="00B210A8">
        <w:rPr>
          <w:rFonts w:ascii="Arial" w:hAnsi="Arial" w:cs="Arial"/>
          <w:color w:val="auto"/>
          <w:lang w:val="en-AU"/>
        </w:rPr>
        <w:t xml:space="preserve"> </w:t>
      </w:r>
      <w:r w:rsidR="00B210A8">
        <w:rPr>
          <w:rFonts w:ascii="Arial" w:hAnsi="Arial" w:cs="Arial"/>
          <w:color w:val="auto"/>
          <w:lang w:val="en-AU"/>
        </w:rPr>
        <w:t>1) T</w:t>
      </w:r>
      <w:r w:rsidR="00B210A8" w:rsidRPr="00B210A8">
        <w:rPr>
          <w:rFonts w:ascii="Arial" w:hAnsi="Arial" w:cs="Arial"/>
          <w:color w:val="auto"/>
          <w:lang w:val="en-AU"/>
        </w:rPr>
        <w:t xml:space="preserve">he </w:t>
      </w:r>
      <w:r w:rsidR="00B210A8">
        <w:rPr>
          <w:rFonts w:ascii="Arial" w:hAnsi="Arial" w:cs="Arial"/>
          <w:color w:val="auto"/>
          <w:lang w:val="en-AU"/>
        </w:rPr>
        <w:t xml:space="preserve">World Bank-managed </w:t>
      </w:r>
      <w:r w:rsidR="00B210A8" w:rsidRPr="00B210A8">
        <w:rPr>
          <w:rFonts w:ascii="Arial" w:hAnsi="Arial" w:cs="Arial"/>
          <w:color w:val="auto"/>
          <w:lang w:val="en-AU"/>
        </w:rPr>
        <w:t xml:space="preserve">MPFMP remains relevant to the needs of the </w:t>
      </w:r>
      <w:r w:rsidR="00B210A8">
        <w:rPr>
          <w:rFonts w:ascii="Arial" w:hAnsi="Arial" w:cs="Arial"/>
          <w:color w:val="auto"/>
          <w:lang w:val="en-AU"/>
        </w:rPr>
        <w:t>involved GoM institutions a</w:t>
      </w:r>
      <w:r w:rsidR="00017607">
        <w:rPr>
          <w:rFonts w:ascii="Arial" w:hAnsi="Arial" w:cs="Arial"/>
          <w:color w:val="auto"/>
          <w:lang w:val="en-AU"/>
        </w:rPr>
        <w:t xml:space="preserve">nd to </w:t>
      </w:r>
      <w:r w:rsidR="00B210A8" w:rsidRPr="00B210A8">
        <w:rPr>
          <w:rFonts w:ascii="Arial" w:hAnsi="Arial" w:cs="Arial"/>
          <w:color w:val="auto"/>
          <w:lang w:val="en-AU"/>
        </w:rPr>
        <w:t>stated policy priorities</w:t>
      </w:r>
      <w:r w:rsidR="00B210A8">
        <w:rPr>
          <w:rFonts w:ascii="Arial" w:hAnsi="Arial" w:cs="Arial"/>
          <w:color w:val="auto"/>
          <w:lang w:val="en-AU"/>
        </w:rPr>
        <w:t xml:space="preserve">, but there have been </w:t>
      </w:r>
      <w:r w:rsidR="00017607">
        <w:rPr>
          <w:rFonts w:ascii="Arial" w:hAnsi="Arial" w:cs="Arial"/>
          <w:color w:val="auto"/>
          <w:lang w:val="en-AU"/>
        </w:rPr>
        <w:t xml:space="preserve">some critical </w:t>
      </w:r>
      <w:r w:rsidR="00B210A8">
        <w:rPr>
          <w:rFonts w:ascii="Arial" w:hAnsi="Arial" w:cs="Arial"/>
          <w:color w:val="auto"/>
          <w:lang w:val="en-AU"/>
        </w:rPr>
        <w:t xml:space="preserve">challenges related </w:t>
      </w:r>
      <w:r w:rsidR="00017607">
        <w:rPr>
          <w:rFonts w:ascii="Arial" w:hAnsi="Arial" w:cs="Arial"/>
          <w:color w:val="auto"/>
          <w:lang w:val="en-AU"/>
        </w:rPr>
        <w:t xml:space="preserve">to project design (no proper theory-of-change was developed), delivery modality (heavy reliance on recipient </w:t>
      </w:r>
      <w:r>
        <w:rPr>
          <w:rFonts w:ascii="Arial" w:hAnsi="Arial" w:cs="Arial"/>
          <w:color w:val="auto"/>
          <w:lang w:val="en-AU"/>
        </w:rPr>
        <w:t>execution</w:t>
      </w:r>
      <w:r w:rsidR="00017607">
        <w:rPr>
          <w:rFonts w:ascii="Arial" w:hAnsi="Arial" w:cs="Arial"/>
          <w:color w:val="auto"/>
          <w:lang w:val="en-AU"/>
        </w:rPr>
        <w:t>) and project management (poor reporting)</w:t>
      </w:r>
      <w:r w:rsidR="00B210A8">
        <w:rPr>
          <w:rFonts w:ascii="Arial" w:hAnsi="Arial" w:cs="Arial"/>
          <w:color w:val="auto"/>
          <w:lang w:val="en-AU"/>
        </w:rPr>
        <w:t xml:space="preserve">; 2) The TAF-implemented MSSP </w:t>
      </w:r>
      <w:r w:rsidR="00017607">
        <w:rPr>
          <w:rFonts w:ascii="Arial" w:hAnsi="Arial" w:cs="Arial"/>
          <w:color w:val="auto"/>
          <w:lang w:val="en-AU"/>
        </w:rPr>
        <w:t xml:space="preserve">remains very relevant, is well-managed and </w:t>
      </w:r>
      <w:r w:rsidR="00B210A8">
        <w:rPr>
          <w:rFonts w:ascii="Arial" w:hAnsi="Arial" w:cs="Arial"/>
          <w:color w:val="auto"/>
          <w:lang w:val="en-AU"/>
        </w:rPr>
        <w:t>pro</w:t>
      </w:r>
      <w:r w:rsidR="00B210A8" w:rsidRPr="00B210A8">
        <w:rPr>
          <w:rFonts w:ascii="Arial" w:hAnsi="Arial" w:cs="Arial"/>
          <w:color w:val="auto"/>
          <w:lang w:val="en-AU"/>
        </w:rPr>
        <w:t>vides an appropriate level of support to the identification of opportunities at the sub</w:t>
      </w:r>
      <w:r w:rsidR="00B210A8">
        <w:rPr>
          <w:rFonts w:ascii="Arial" w:hAnsi="Arial" w:cs="Arial"/>
          <w:color w:val="auto"/>
          <w:lang w:val="en-AU"/>
        </w:rPr>
        <w:t>-</w:t>
      </w:r>
      <w:r w:rsidR="00B210A8" w:rsidRPr="00B210A8">
        <w:rPr>
          <w:rFonts w:ascii="Arial" w:hAnsi="Arial" w:cs="Arial"/>
          <w:color w:val="auto"/>
          <w:lang w:val="en-AU"/>
        </w:rPr>
        <w:t>national level which could form the basis for future engagement and support to the decentralisation process</w:t>
      </w:r>
      <w:r w:rsidR="00B210A8">
        <w:rPr>
          <w:rFonts w:ascii="Arial" w:hAnsi="Arial" w:cs="Arial"/>
          <w:color w:val="auto"/>
          <w:lang w:val="en-AU"/>
        </w:rPr>
        <w:t xml:space="preserve"> (</w:t>
      </w:r>
      <w:r w:rsidR="00B210A8" w:rsidRPr="00B210A8">
        <w:rPr>
          <w:rFonts w:ascii="Arial" w:hAnsi="Arial" w:cs="Arial"/>
          <w:color w:val="auto"/>
          <w:lang w:val="en-AU"/>
        </w:rPr>
        <w:t>which will be a major underpinning of any effective peace process</w:t>
      </w:r>
      <w:r w:rsidR="00B210A8">
        <w:rPr>
          <w:rFonts w:ascii="Arial" w:hAnsi="Arial" w:cs="Arial"/>
          <w:color w:val="auto"/>
          <w:lang w:val="en-AU"/>
        </w:rPr>
        <w:t xml:space="preserve">); and, </w:t>
      </w:r>
      <w:r w:rsidR="00B210A8">
        <w:rPr>
          <w:rFonts w:ascii="Arial" w:hAnsi="Arial" w:cs="Arial"/>
          <w:color w:val="auto"/>
          <w:lang w:val="en-AU"/>
        </w:rPr>
        <w:lastRenderedPageBreak/>
        <w:t>3) The World Bank-implemented EITI project i</w:t>
      </w:r>
      <w:r w:rsidR="00B210A8" w:rsidRPr="00B210A8">
        <w:rPr>
          <w:rFonts w:ascii="Arial" w:hAnsi="Arial" w:cs="Arial"/>
          <w:color w:val="auto"/>
          <w:lang w:val="en-AU"/>
        </w:rPr>
        <w:t xml:space="preserve">s </w:t>
      </w:r>
      <w:r w:rsidR="00017607">
        <w:rPr>
          <w:rFonts w:ascii="Arial" w:hAnsi="Arial" w:cs="Arial"/>
          <w:color w:val="auto"/>
          <w:lang w:val="en-AU"/>
        </w:rPr>
        <w:t xml:space="preserve">based on an appropriate modality and is relevant to the context, and is </w:t>
      </w:r>
      <w:r w:rsidR="00B210A8" w:rsidRPr="00B210A8">
        <w:rPr>
          <w:rFonts w:ascii="Arial" w:hAnsi="Arial" w:cs="Arial"/>
          <w:color w:val="auto"/>
          <w:lang w:val="en-AU"/>
        </w:rPr>
        <w:t xml:space="preserve">an important first step in achieving improved governance of natural resources and enabling </w:t>
      </w:r>
      <w:r w:rsidR="00B210A8">
        <w:rPr>
          <w:rFonts w:ascii="Arial" w:hAnsi="Arial" w:cs="Arial"/>
          <w:color w:val="auto"/>
          <w:lang w:val="en-AU"/>
        </w:rPr>
        <w:t>a</w:t>
      </w:r>
      <w:r w:rsidR="00B210A8" w:rsidRPr="00B210A8">
        <w:rPr>
          <w:rFonts w:ascii="Arial" w:hAnsi="Arial" w:cs="Arial"/>
          <w:color w:val="auto"/>
          <w:lang w:val="en-AU"/>
        </w:rPr>
        <w:t xml:space="preserve"> more equitable distribution.</w:t>
      </w:r>
    </w:p>
    <w:p w:rsidR="00017607" w:rsidRDefault="00017607" w:rsidP="00017607">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BD36F1" w:rsidRDefault="00017607" w:rsidP="00037905">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037905">
        <w:rPr>
          <w:rFonts w:ascii="Arial" w:hAnsi="Arial" w:cs="Arial"/>
          <w:color w:val="auto"/>
          <w:lang w:val="en-AU"/>
        </w:rPr>
        <w:t xml:space="preserve">The recommendations </w:t>
      </w:r>
      <w:r w:rsidR="003E156A" w:rsidRPr="00037905">
        <w:rPr>
          <w:rFonts w:ascii="Arial" w:hAnsi="Arial" w:cs="Arial"/>
          <w:color w:val="auto"/>
          <w:lang w:val="en-AU"/>
        </w:rPr>
        <w:t xml:space="preserve">made in the </w:t>
      </w:r>
      <w:r w:rsidR="00F33D8F">
        <w:rPr>
          <w:rFonts w:ascii="Arial" w:hAnsi="Arial" w:cs="Arial"/>
          <w:iCs/>
          <w:color w:val="auto"/>
          <w:lang w:val="en-AU"/>
        </w:rPr>
        <w:t>DFID-</w:t>
      </w:r>
      <w:r w:rsidR="00F33D8F" w:rsidRPr="00B210A8">
        <w:rPr>
          <w:rFonts w:ascii="Arial" w:hAnsi="Arial" w:cs="Arial"/>
          <w:iCs/>
          <w:color w:val="auto"/>
          <w:lang w:val="en-AU"/>
        </w:rPr>
        <w:t xml:space="preserve">commissioned </w:t>
      </w:r>
      <w:r w:rsidR="003E156A" w:rsidRPr="00037905">
        <w:rPr>
          <w:rFonts w:ascii="Arial" w:hAnsi="Arial" w:cs="Arial"/>
          <w:color w:val="auto"/>
          <w:lang w:val="en-AU"/>
        </w:rPr>
        <w:t xml:space="preserve">evaluation report focus </w:t>
      </w:r>
      <w:r w:rsidR="00037905" w:rsidRPr="00037905">
        <w:rPr>
          <w:rFonts w:ascii="Arial" w:hAnsi="Arial" w:cs="Arial"/>
          <w:color w:val="auto"/>
          <w:lang w:val="en-AU"/>
        </w:rPr>
        <w:t xml:space="preserve">mainly </w:t>
      </w:r>
      <w:r w:rsidR="003E156A" w:rsidRPr="00037905">
        <w:rPr>
          <w:rFonts w:ascii="Arial" w:hAnsi="Arial" w:cs="Arial"/>
          <w:color w:val="auto"/>
          <w:lang w:val="en-AU"/>
        </w:rPr>
        <w:t xml:space="preserve">on the </w:t>
      </w:r>
      <w:r w:rsidR="00037905" w:rsidRPr="00037905">
        <w:rPr>
          <w:rFonts w:ascii="Arial" w:hAnsi="Arial" w:cs="Arial"/>
          <w:color w:val="auto"/>
          <w:lang w:val="en-AU"/>
        </w:rPr>
        <w:t xml:space="preserve">existing initiatives (i.e. MPFMP, MSSP and EITI) for the </w:t>
      </w:r>
      <w:r w:rsidR="003E156A" w:rsidRPr="00037905">
        <w:rPr>
          <w:rFonts w:ascii="Arial" w:hAnsi="Arial" w:cs="Arial"/>
          <w:color w:val="auto"/>
          <w:lang w:val="en-AU"/>
        </w:rPr>
        <w:t xml:space="preserve">remainder of the project implementation periods, and only to a limited extent on options for </w:t>
      </w:r>
      <w:r w:rsidRPr="00037905">
        <w:rPr>
          <w:rFonts w:ascii="Arial" w:hAnsi="Arial" w:cs="Arial"/>
          <w:color w:val="auto"/>
          <w:lang w:val="en-AU"/>
        </w:rPr>
        <w:t>future programming</w:t>
      </w:r>
      <w:r w:rsidR="003E156A" w:rsidRPr="00037905">
        <w:rPr>
          <w:rFonts w:ascii="Arial" w:hAnsi="Arial" w:cs="Arial"/>
          <w:color w:val="auto"/>
          <w:lang w:val="en-AU"/>
        </w:rPr>
        <w:t xml:space="preserve"> of PFM reform activities.</w:t>
      </w:r>
      <w:r w:rsidR="00037905" w:rsidRPr="00037905">
        <w:rPr>
          <w:rFonts w:ascii="Arial" w:hAnsi="Arial" w:cs="Arial"/>
          <w:color w:val="auto"/>
          <w:lang w:val="en-AU"/>
        </w:rPr>
        <w:t xml:space="preserve"> However, the </w:t>
      </w:r>
      <w:r w:rsidRPr="00037905">
        <w:rPr>
          <w:rFonts w:ascii="Arial" w:hAnsi="Arial" w:cs="Arial"/>
          <w:color w:val="auto"/>
          <w:lang w:val="en-AU"/>
        </w:rPr>
        <w:t xml:space="preserve">evaluation </w:t>
      </w:r>
      <w:r w:rsidR="00037905" w:rsidRPr="00037905">
        <w:rPr>
          <w:rFonts w:ascii="Arial" w:hAnsi="Arial" w:cs="Arial"/>
          <w:color w:val="auto"/>
          <w:lang w:val="en-AU"/>
        </w:rPr>
        <w:t xml:space="preserve">does clearly </w:t>
      </w:r>
      <w:r w:rsidRPr="00037905">
        <w:rPr>
          <w:rFonts w:ascii="Arial" w:hAnsi="Arial" w:cs="Arial"/>
          <w:color w:val="auto"/>
          <w:lang w:val="en-AU"/>
        </w:rPr>
        <w:t xml:space="preserve">recommend that it is crucial to continue support to the GoM. </w:t>
      </w:r>
      <w:r w:rsidR="00BD36F1">
        <w:rPr>
          <w:rFonts w:ascii="Arial" w:hAnsi="Arial" w:cs="Arial"/>
          <w:color w:val="auto"/>
          <w:lang w:val="en-AU"/>
        </w:rPr>
        <w:t>The project-specific recommendations can be summarised as follows:</w:t>
      </w:r>
    </w:p>
    <w:p w:rsidR="00BD36F1" w:rsidRDefault="00BD36F1" w:rsidP="00BD36F1">
      <w:pPr>
        <w:pStyle w:val="ListParagraph"/>
        <w:tabs>
          <w:tab w:val="left" w:pos="357"/>
        </w:tabs>
        <w:suppressAutoHyphens w:val="0"/>
        <w:spacing w:before="0" w:after="0" w:line="240" w:lineRule="auto"/>
        <w:ind w:left="0"/>
        <w:contextualSpacing w:val="0"/>
        <w:jc w:val="both"/>
        <w:rPr>
          <w:rFonts w:ascii="Arial" w:hAnsi="Arial" w:cs="Arial"/>
          <w:color w:val="auto"/>
          <w:lang w:val="en-AU"/>
        </w:rPr>
      </w:pPr>
    </w:p>
    <w:p w:rsidR="00BD36F1" w:rsidRDefault="00BD36F1" w:rsidP="004B1F57">
      <w:pPr>
        <w:pStyle w:val="ListParagraph"/>
        <w:numPr>
          <w:ilvl w:val="0"/>
          <w:numId w:val="44"/>
        </w:numPr>
        <w:tabs>
          <w:tab w:val="left" w:pos="357"/>
        </w:tabs>
        <w:suppressAutoHyphens w:val="0"/>
        <w:spacing w:before="0" w:after="120" w:line="240" w:lineRule="auto"/>
        <w:ind w:left="360"/>
        <w:contextualSpacing w:val="0"/>
        <w:jc w:val="both"/>
        <w:rPr>
          <w:rFonts w:ascii="Arial" w:hAnsi="Arial" w:cs="Arial"/>
          <w:color w:val="auto"/>
          <w:lang w:val="en-AU"/>
        </w:rPr>
      </w:pPr>
      <w:r w:rsidRPr="00066B69">
        <w:rPr>
          <w:rFonts w:ascii="Arial" w:hAnsi="Arial" w:cs="Arial"/>
          <w:b/>
          <w:bCs/>
          <w:color w:val="auto"/>
          <w:lang w:val="en-AU"/>
        </w:rPr>
        <w:t>Core PFM area</w:t>
      </w:r>
      <w:r w:rsidRPr="00BD36F1">
        <w:rPr>
          <w:rFonts w:ascii="Arial" w:hAnsi="Arial" w:cs="Arial"/>
          <w:color w:val="auto"/>
          <w:lang w:val="en-AU"/>
        </w:rPr>
        <w:t xml:space="preserve"> – T</w:t>
      </w:r>
      <w:r w:rsidR="00017607" w:rsidRPr="00BD36F1">
        <w:rPr>
          <w:rFonts w:ascii="Arial" w:hAnsi="Arial" w:cs="Arial"/>
          <w:color w:val="auto"/>
          <w:lang w:val="en-AU"/>
        </w:rPr>
        <w:t xml:space="preserve">echnical support to the </w:t>
      </w:r>
      <w:r w:rsidR="009B503F">
        <w:rPr>
          <w:rFonts w:ascii="Arial" w:hAnsi="Arial" w:cs="Arial"/>
          <w:color w:val="auto"/>
          <w:lang w:val="en-AU"/>
        </w:rPr>
        <w:t>key</w:t>
      </w:r>
      <w:r w:rsidR="00017607" w:rsidRPr="00BD36F1">
        <w:rPr>
          <w:rFonts w:ascii="Arial" w:hAnsi="Arial" w:cs="Arial"/>
          <w:color w:val="auto"/>
          <w:lang w:val="en-AU"/>
        </w:rPr>
        <w:t xml:space="preserve"> finance and accountability </w:t>
      </w:r>
      <w:r w:rsidR="009B503F" w:rsidRPr="00BD36F1">
        <w:rPr>
          <w:rFonts w:ascii="Arial" w:hAnsi="Arial" w:cs="Arial"/>
          <w:color w:val="auto"/>
          <w:lang w:val="en-AU"/>
        </w:rPr>
        <w:t xml:space="preserve">agencies </w:t>
      </w:r>
      <w:r w:rsidR="00037905" w:rsidRPr="00BD36F1">
        <w:rPr>
          <w:rFonts w:ascii="Arial" w:hAnsi="Arial" w:cs="Arial"/>
          <w:color w:val="auto"/>
          <w:lang w:val="en-AU"/>
        </w:rPr>
        <w:t>should be continued</w:t>
      </w:r>
      <w:r w:rsidR="00017607" w:rsidRPr="00BD36F1">
        <w:rPr>
          <w:rFonts w:ascii="Arial" w:hAnsi="Arial" w:cs="Arial"/>
          <w:color w:val="auto"/>
          <w:lang w:val="en-AU"/>
        </w:rPr>
        <w:t xml:space="preserve"> through </w:t>
      </w:r>
      <w:r w:rsidR="00037905" w:rsidRPr="00BD36F1">
        <w:rPr>
          <w:rFonts w:ascii="Arial" w:hAnsi="Arial" w:cs="Arial"/>
          <w:color w:val="auto"/>
          <w:lang w:val="en-AU"/>
        </w:rPr>
        <w:t xml:space="preserve">the </w:t>
      </w:r>
      <w:r w:rsidR="00017607" w:rsidRPr="00BD36F1">
        <w:rPr>
          <w:rFonts w:ascii="Arial" w:hAnsi="Arial" w:cs="Arial"/>
          <w:color w:val="auto"/>
          <w:lang w:val="en-AU"/>
        </w:rPr>
        <w:t>MPFMP</w:t>
      </w:r>
      <w:r w:rsidR="009B503F">
        <w:rPr>
          <w:rFonts w:ascii="Arial" w:hAnsi="Arial" w:cs="Arial"/>
          <w:color w:val="auto"/>
          <w:lang w:val="en-AU"/>
        </w:rPr>
        <w:t xml:space="preserve"> (or similar initiative)</w:t>
      </w:r>
      <w:r w:rsidR="00037905" w:rsidRPr="00BD36F1">
        <w:rPr>
          <w:rFonts w:ascii="Arial" w:hAnsi="Arial" w:cs="Arial"/>
          <w:color w:val="auto"/>
          <w:lang w:val="en-AU"/>
        </w:rPr>
        <w:t>, a</w:t>
      </w:r>
      <w:r w:rsidR="00017607" w:rsidRPr="00BD36F1">
        <w:rPr>
          <w:rFonts w:ascii="Arial" w:hAnsi="Arial" w:cs="Arial"/>
          <w:color w:val="auto"/>
          <w:lang w:val="en-AU"/>
        </w:rPr>
        <w:t>ssum</w:t>
      </w:r>
      <w:r w:rsidR="00037905" w:rsidRPr="00BD36F1">
        <w:rPr>
          <w:rFonts w:ascii="Arial" w:hAnsi="Arial" w:cs="Arial"/>
          <w:color w:val="auto"/>
          <w:lang w:val="en-AU"/>
        </w:rPr>
        <w:t>ing</w:t>
      </w:r>
      <w:r w:rsidR="00017607" w:rsidRPr="00BD36F1">
        <w:rPr>
          <w:rFonts w:ascii="Arial" w:hAnsi="Arial" w:cs="Arial"/>
          <w:color w:val="auto"/>
          <w:lang w:val="en-AU"/>
        </w:rPr>
        <w:t xml:space="preserve"> that </w:t>
      </w:r>
      <w:r w:rsidR="00037905" w:rsidRPr="00BD36F1">
        <w:rPr>
          <w:rFonts w:ascii="Arial" w:hAnsi="Arial" w:cs="Arial"/>
          <w:color w:val="auto"/>
          <w:lang w:val="en-AU"/>
        </w:rPr>
        <w:t>existing</w:t>
      </w:r>
      <w:r w:rsidR="00017607" w:rsidRPr="00BD36F1">
        <w:rPr>
          <w:rFonts w:ascii="Arial" w:hAnsi="Arial" w:cs="Arial"/>
          <w:color w:val="auto"/>
          <w:lang w:val="en-AU"/>
        </w:rPr>
        <w:t xml:space="preserve"> management and reporting issues can be effectively addressed. </w:t>
      </w:r>
      <w:r w:rsidRPr="00BD36F1">
        <w:rPr>
          <w:rFonts w:ascii="Arial" w:hAnsi="Arial" w:cs="Arial"/>
          <w:color w:val="auto"/>
          <w:lang w:val="en-AU"/>
        </w:rPr>
        <w:t xml:space="preserve">World Bank-implemented TA should be continued </w:t>
      </w:r>
      <w:r w:rsidR="009B503F">
        <w:rPr>
          <w:rFonts w:ascii="Arial" w:hAnsi="Arial" w:cs="Arial"/>
          <w:color w:val="auto"/>
          <w:lang w:val="en-AU"/>
        </w:rPr>
        <w:t>since</w:t>
      </w:r>
      <w:r w:rsidRPr="00BD36F1">
        <w:rPr>
          <w:rFonts w:ascii="Arial" w:hAnsi="Arial" w:cs="Arial"/>
          <w:color w:val="auto"/>
          <w:lang w:val="en-AU"/>
        </w:rPr>
        <w:t xml:space="preserve"> providing this separately would only increase </w:t>
      </w:r>
      <w:r w:rsidR="00017607" w:rsidRPr="00BD36F1">
        <w:rPr>
          <w:rFonts w:ascii="Arial" w:hAnsi="Arial" w:cs="Arial"/>
          <w:color w:val="auto"/>
          <w:lang w:val="en-AU"/>
        </w:rPr>
        <w:t xml:space="preserve">technical coordination issues </w:t>
      </w:r>
      <w:r w:rsidRPr="00BD36F1">
        <w:rPr>
          <w:rFonts w:ascii="Arial" w:hAnsi="Arial" w:cs="Arial"/>
          <w:color w:val="auto"/>
          <w:lang w:val="en-AU"/>
        </w:rPr>
        <w:t xml:space="preserve">as well as </w:t>
      </w:r>
      <w:r w:rsidR="00017607" w:rsidRPr="00BD36F1">
        <w:rPr>
          <w:rFonts w:ascii="Arial" w:hAnsi="Arial" w:cs="Arial"/>
          <w:color w:val="auto"/>
          <w:lang w:val="en-AU"/>
        </w:rPr>
        <w:t>management and reporting load</w:t>
      </w:r>
      <w:r w:rsidRPr="00BD36F1">
        <w:rPr>
          <w:rFonts w:ascii="Arial" w:hAnsi="Arial" w:cs="Arial"/>
          <w:color w:val="auto"/>
          <w:lang w:val="en-AU"/>
        </w:rPr>
        <w:t>s</w:t>
      </w:r>
      <w:r w:rsidR="00017607" w:rsidRPr="00BD36F1">
        <w:rPr>
          <w:rFonts w:ascii="Arial" w:hAnsi="Arial" w:cs="Arial"/>
          <w:color w:val="auto"/>
          <w:lang w:val="en-AU"/>
        </w:rPr>
        <w:t>.</w:t>
      </w:r>
    </w:p>
    <w:p w:rsidR="00BD36F1" w:rsidRDefault="00BD36F1" w:rsidP="004B1F57">
      <w:pPr>
        <w:pStyle w:val="ListParagraph"/>
        <w:numPr>
          <w:ilvl w:val="0"/>
          <w:numId w:val="44"/>
        </w:numPr>
        <w:tabs>
          <w:tab w:val="left" w:pos="357"/>
        </w:tabs>
        <w:suppressAutoHyphens w:val="0"/>
        <w:spacing w:after="120" w:line="240" w:lineRule="auto"/>
        <w:ind w:left="360"/>
        <w:contextualSpacing w:val="0"/>
        <w:jc w:val="both"/>
        <w:rPr>
          <w:rFonts w:ascii="Arial" w:hAnsi="Arial" w:cs="Arial"/>
          <w:color w:val="auto"/>
          <w:lang w:val="en-AU"/>
        </w:rPr>
      </w:pPr>
      <w:r w:rsidRPr="00066B69">
        <w:rPr>
          <w:rFonts w:ascii="Arial" w:hAnsi="Arial" w:cs="Arial"/>
          <w:b/>
          <w:bCs/>
          <w:color w:val="auto"/>
          <w:lang w:val="en-AU"/>
        </w:rPr>
        <w:t>Sub-national level</w:t>
      </w:r>
      <w:r w:rsidRPr="00BD36F1">
        <w:rPr>
          <w:rFonts w:ascii="Arial" w:hAnsi="Arial" w:cs="Arial"/>
          <w:color w:val="auto"/>
          <w:lang w:val="en-AU"/>
        </w:rPr>
        <w:t xml:space="preserve"> –</w:t>
      </w:r>
      <w:r>
        <w:rPr>
          <w:rFonts w:ascii="Arial" w:hAnsi="Arial" w:cs="Arial"/>
          <w:color w:val="auto"/>
          <w:lang w:val="en-AU"/>
        </w:rPr>
        <w:t xml:space="preserve"> S</w:t>
      </w:r>
      <w:r w:rsidR="00017607" w:rsidRPr="00BD36F1">
        <w:rPr>
          <w:rFonts w:ascii="Arial" w:hAnsi="Arial" w:cs="Arial"/>
          <w:color w:val="auto"/>
          <w:lang w:val="en-AU"/>
        </w:rPr>
        <w:t xml:space="preserve">upport </w:t>
      </w:r>
      <w:r>
        <w:rPr>
          <w:rFonts w:ascii="Arial" w:hAnsi="Arial" w:cs="Arial"/>
          <w:color w:val="auto"/>
          <w:lang w:val="en-AU"/>
        </w:rPr>
        <w:t xml:space="preserve">should continue to target </w:t>
      </w:r>
      <w:r w:rsidR="00017607" w:rsidRPr="00BD36F1">
        <w:rPr>
          <w:rFonts w:ascii="Arial" w:hAnsi="Arial" w:cs="Arial"/>
          <w:color w:val="auto"/>
          <w:lang w:val="en-AU"/>
        </w:rPr>
        <w:t xml:space="preserve">all tiers of </w:t>
      </w:r>
      <w:r>
        <w:rPr>
          <w:rFonts w:ascii="Arial" w:hAnsi="Arial" w:cs="Arial"/>
          <w:color w:val="auto"/>
          <w:lang w:val="en-AU"/>
        </w:rPr>
        <w:t>g</w:t>
      </w:r>
      <w:r w:rsidR="00017607" w:rsidRPr="00BD36F1">
        <w:rPr>
          <w:rFonts w:ascii="Arial" w:hAnsi="Arial" w:cs="Arial"/>
          <w:color w:val="auto"/>
          <w:lang w:val="en-AU"/>
        </w:rPr>
        <w:t>overnment</w:t>
      </w:r>
      <w:r>
        <w:rPr>
          <w:rFonts w:ascii="Arial" w:hAnsi="Arial" w:cs="Arial"/>
          <w:color w:val="auto"/>
          <w:lang w:val="en-AU"/>
        </w:rPr>
        <w:t xml:space="preserve"> but, </w:t>
      </w:r>
      <w:r w:rsidRPr="00BD36F1">
        <w:rPr>
          <w:rFonts w:ascii="Arial" w:hAnsi="Arial" w:cs="Arial"/>
          <w:color w:val="auto"/>
          <w:lang w:val="en-AU"/>
        </w:rPr>
        <w:t xml:space="preserve">given </w:t>
      </w:r>
      <w:r w:rsidR="00017607" w:rsidRPr="00BD36F1">
        <w:rPr>
          <w:rFonts w:ascii="Arial" w:hAnsi="Arial" w:cs="Arial"/>
          <w:color w:val="auto"/>
          <w:lang w:val="en-AU"/>
        </w:rPr>
        <w:t>the uncertain trajectory of fiscal decentralisation</w:t>
      </w:r>
      <w:r>
        <w:rPr>
          <w:rFonts w:ascii="Arial" w:hAnsi="Arial" w:cs="Arial"/>
          <w:color w:val="auto"/>
          <w:lang w:val="en-AU"/>
        </w:rPr>
        <w:t>,</w:t>
      </w:r>
      <w:r w:rsidR="00017607" w:rsidRPr="00BD36F1">
        <w:rPr>
          <w:rFonts w:ascii="Arial" w:hAnsi="Arial" w:cs="Arial"/>
          <w:color w:val="auto"/>
          <w:lang w:val="en-AU"/>
        </w:rPr>
        <w:t xml:space="preserve"> it would be prudent not to increase funding to states/regions substantially. It will be important to ensure that the nature of support remains flexible in order to respond to opportunities as and when they arise.</w:t>
      </w:r>
    </w:p>
    <w:p w:rsidR="00884FE9" w:rsidRDefault="00BD36F1" w:rsidP="004B1F57">
      <w:pPr>
        <w:pStyle w:val="ListParagraph"/>
        <w:numPr>
          <w:ilvl w:val="0"/>
          <w:numId w:val="44"/>
        </w:numPr>
        <w:tabs>
          <w:tab w:val="left" w:pos="357"/>
        </w:tabs>
        <w:suppressAutoHyphens w:val="0"/>
        <w:spacing w:after="0" w:line="240" w:lineRule="auto"/>
        <w:ind w:left="360"/>
        <w:contextualSpacing w:val="0"/>
        <w:jc w:val="both"/>
        <w:rPr>
          <w:rFonts w:ascii="Arial" w:hAnsi="Arial" w:cs="Arial"/>
          <w:color w:val="auto"/>
          <w:lang w:val="en-AU"/>
        </w:rPr>
      </w:pPr>
      <w:r w:rsidRPr="00066B69">
        <w:rPr>
          <w:rFonts w:ascii="Arial" w:hAnsi="Arial" w:cs="Arial"/>
          <w:b/>
          <w:bCs/>
          <w:color w:val="auto"/>
          <w:lang w:val="en-AU"/>
        </w:rPr>
        <w:t>Natural resource governance</w:t>
      </w:r>
      <w:r w:rsidRPr="00066B69">
        <w:rPr>
          <w:rFonts w:ascii="Arial" w:hAnsi="Arial" w:cs="Arial"/>
          <w:color w:val="auto"/>
          <w:lang w:val="en-AU"/>
        </w:rPr>
        <w:t xml:space="preserve"> – </w:t>
      </w:r>
      <w:r w:rsidR="00017607" w:rsidRPr="00066B69">
        <w:rPr>
          <w:rFonts w:ascii="Arial" w:hAnsi="Arial" w:cs="Arial"/>
          <w:color w:val="auto"/>
          <w:lang w:val="en-AU"/>
        </w:rPr>
        <w:t xml:space="preserve">It is crucial to continue </w:t>
      </w:r>
      <w:r w:rsidR="00066B69">
        <w:rPr>
          <w:rFonts w:ascii="Arial" w:hAnsi="Arial" w:cs="Arial"/>
          <w:color w:val="auto"/>
          <w:lang w:val="en-AU"/>
        </w:rPr>
        <w:t xml:space="preserve">developing the </w:t>
      </w:r>
      <w:r w:rsidR="00066B69" w:rsidRPr="00066B69">
        <w:rPr>
          <w:rFonts w:ascii="Arial" w:hAnsi="Arial" w:cs="Arial"/>
          <w:color w:val="auto"/>
          <w:lang w:val="en-AU"/>
        </w:rPr>
        <w:t xml:space="preserve">legitimacy </w:t>
      </w:r>
      <w:r w:rsidR="00066B69">
        <w:rPr>
          <w:rFonts w:ascii="Arial" w:hAnsi="Arial" w:cs="Arial"/>
          <w:color w:val="auto"/>
          <w:lang w:val="en-AU"/>
        </w:rPr>
        <w:t>of</w:t>
      </w:r>
      <w:r w:rsidR="00066B69" w:rsidRPr="00066B69">
        <w:rPr>
          <w:rFonts w:ascii="Arial" w:hAnsi="Arial" w:cs="Arial"/>
          <w:color w:val="auto"/>
          <w:lang w:val="en-AU"/>
        </w:rPr>
        <w:t xml:space="preserve"> the EITI process </w:t>
      </w:r>
      <w:r w:rsidR="00066B69">
        <w:rPr>
          <w:rFonts w:ascii="Arial" w:hAnsi="Arial" w:cs="Arial"/>
          <w:color w:val="auto"/>
          <w:lang w:val="en-AU"/>
        </w:rPr>
        <w:t xml:space="preserve">through </w:t>
      </w:r>
      <w:r w:rsidR="00017607" w:rsidRPr="00066B69">
        <w:rPr>
          <w:rFonts w:ascii="Arial" w:hAnsi="Arial" w:cs="Arial"/>
          <w:color w:val="auto"/>
          <w:lang w:val="en-AU"/>
        </w:rPr>
        <w:t xml:space="preserve">support to the </w:t>
      </w:r>
      <w:r w:rsidR="00066B69" w:rsidRPr="00066B69">
        <w:rPr>
          <w:rFonts w:ascii="Arial" w:hAnsi="Arial" w:cs="Arial"/>
          <w:color w:val="auto"/>
          <w:lang w:val="en-AU"/>
        </w:rPr>
        <w:t>Multi-Stakeholder Group (MSG) and the National Coordination Secretariat (</w:t>
      </w:r>
      <w:r w:rsidR="00017607" w:rsidRPr="00066B69">
        <w:rPr>
          <w:rFonts w:ascii="Arial" w:hAnsi="Arial" w:cs="Arial"/>
          <w:color w:val="auto"/>
          <w:lang w:val="en-AU"/>
        </w:rPr>
        <w:t>NCS</w:t>
      </w:r>
      <w:r w:rsidR="00066B69">
        <w:rPr>
          <w:rFonts w:ascii="Arial" w:hAnsi="Arial" w:cs="Arial"/>
          <w:color w:val="auto"/>
          <w:lang w:val="en-AU"/>
        </w:rPr>
        <w:t>)</w:t>
      </w:r>
      <w:r w:rsidR="00017607" w:rsidRPr="00066B69">
        <w:rPr>
          <w:rFonts w:ascii="Arial" w:hAnsi="Arial" w:cs="Arial"/>
          <w:color w:val="auto"/>
          <w:lang w:val="en-AU"/>
        </w:rPr>
        <w:t xml:space="preserve">. </w:t>
      </w:r>
      <w:r w:rsidR="00066B69">
        <w:rPr>
          <w:rFonts w:ascii="Arial" w:hAnsi="Arial" w:cs="Arial"/>
          <w:color w:val="auto"/>
          <w:lang w:val="en-AU"/>
        </w:rPr>
        <w:t xml:space="preserve">Also, the </w:t>
      </w:r>
      <w:r w:rsidR="00017607" w:rsidRPr="00066B69">
        <w:rPr>
          <w:rFonts w:ascii="Arial" w:hAnsi="Arial" w:cs="Arial"/>
          <w:color w:val="auto"/>
          <w:lang w:val="en-AU"/>
        </w:rPr>
        <w:t>process</w:t>
      </w:r>
      <w:r w:rsidR="00066B69">
        <w:rPr>
          <w:rFonts w:ascii="Arial" w:hAnsi="Arial" w:cs="Arial"/>
          <w:color w:val="auto"/>
          <w:lang w:val="en-AU"/>
        </w:rPr>
        <w:t xml:space="preserve"> needs to be </w:t>
      </w:r>
      <w:r w:rsidR="00017607" w:rsidRPr="00066B69">
        <w:rPr>
          <w:rFonts w:ascii="Arial" w:hAnsi="Arial" w:cs="Arial"/>
          <w:color w:val="auto"/>
          <w:lang w:val="en-AU"/>
        </w:rPr>
        <w:t xml:space="preserve">more tangible and </w:t>
      </w:r>
      <w:r w:rsidR="00066B69">
        <w:rPr>
          <w:rFonts w:ascii="Arial" w:hAnsi="Arial" w:cs="Arial"/>
          <w:color w:val="auto"/>
          <w:lang w:val="en-AU"/>
        </w:rPr>
        <w:t>with</w:t>
      </w:r>
      <w:r w:rsidR="00017607" w:rsidRPr="00066B69">
        <w:rPr>
          <w:rFonts w:ascii="Arial" w:hAnsi="Arial" w:cs="Arial"/>
          <w:color w:val="auto"/>
          <w:lang w:val="en-AU"/>
        </w:rPr>
        <w:t xml:space="preserve"> </w:t>
      </w:r>
      <w:r w:rsidR="00066B69">
        <w:rPr>
          <w:rFonts w:ascii="Arial" w:hAnsi="Arial" w:cs="Arial"/>
          <w:color w:val="auto"/>
          <w:lang w:val="en-AU"/>
        </w:rPr>
        <w:t>a better</w:t>
      </w:r>
      <w:r w:rsidR="00017607" w:rsidRPr="00066B69">
        <w:rPr>
          <w:rFonts w:ascii="Arial" w:hAnsi="Arial" w:cs="Arial"/>
          <w:color w:val="auto"/>
          <w:lang w:val="en-AU"/>
        </w:rPr>
        <w:t xml:space="preserve"> </w:t>
      </w:r>
      <w:r w:rsidR="009B503F">
        <w:rPr>
          <w:rFonts w:ascii="Arial" w:hAnsi="Arial" w:cs="Arial"/>
          <w:color w:val="auto"/>
          <w:lang w:val="en-AU"/>
        </w:rPr>
        <w:t xml:space="preserve">focus on </w:t>
      </w:r>
      <w:r w:rsidR="00017607" w:rsidRPr="00066B69">
        <w:rPr>
          <w:rFonts w:ascii="Arial" w:hAnsi="Arial" w:cs="Arial"/>
          <w:color w:val="auto"/>
          <w:lang w:val="en-AU"/>
        </w:rPr>
        <w:t xml:space="preserve">extractives governance </w:t>
      </w:r>
      <w:r w:rsidR="00066B69" w:rsidRPr="00066B69">
        <w:rPr>
          <w:rFonts w:ascii="Arial" w:hAnsi="Arial" w:cs="Arial"/>
          <w:color w:val="auto"/>
          <w:lang w:val="en-AU"/>
        </w:rPr>
        <w:t xml:space="preserve">by </w:t>
      </w:r>
      <w:r w:rsidR="00017607" w:rsidRPr="00066B69">
        <w:rPr>
          <w:rFonts w:ascii="Arial" w:hAnsi="Arial" w:cs="Arial"/>
          <w:color w:val="auto"/>
          <w:lang w:val="en-AU"/>
        </w:rPr>
        <w:t xml:space="preserve">enhancing </w:t>
      </w:r>
      <w:r w:rsidR="00066B69" w:rsidRPr="00066B69">
        <w:rPr>
          <w:rFonts w:ascii="Arial" w:hAnsi="Arial" w:cs="Arial"/>
          <w:color w:val="auto"/>
          <w:lang w:val="en-AU"/>
        </w:rPr>
        <w:t xml:space="preserve">the </w:t>
      </w:r>
      <w:r w:rsidR="00017607" w:rsidRPr="00066B69">
        <w:rPr>
          <w:rFonts w:ascii="Arial" w:hAnsi="Arial" w:cs="Arial"/>
          <w:color w:val="auto"/>
          <w:lang w:val="en-AU"/>
        </w:rPr>
        <w:t>capacities of non-government stakeholders to sustain communication and build a more demand-driven process.</w:t>
      </w:r>
      <w:r w:rsidR="00066B69" w:rsidRPr="00066B69">
        <w:rPr>
          <w:rFonts w:ascii="Arial" w:hAnsi="Arial" w:cs="Arial"/>
          <w:color w:val="auto"/>
          <w:lang w:val="en-AU"/>
        </w:rPr>
        <w:t xml:space="preserve"> </w:t>
      </w:r>
      <w:r w:rsidR="00066B69">
        <w:rPr>
          <w:rFonts w:ascii="Arial" w:hAnsi="Arial" w:cs="Arial"/>
          <w:color w:val="auto"/>
          <w:lang w:val="en-AU"/>
        </w:rPr>
        <w:t>B</w:t>
      </w:r>
      <w:r w:rsidR="00017607" w:rsidRPr="00066B69">
        <w:rPr>
          <w:rFonts w:ascii="Arial" w:hAnsi="Arial" w:cs="Arial"/>
          <w:color w:val="auto"/>
          <w:lang w:val="en-AU"/>
        </w:rPr>
        <w:t>roader efforts to strengthen extractives governance</w:t>
      </w:r>
      <w:r w:rsidR="00066B69">
        <w:rPr>
          <w:rFonts w:ascii="Arial" w:hAnsi="Arial" w:cs="Arial"/>
          <w:color w:val="auto"/>
          <w:lang w:val="en-AU"/>
        </w:rPr>
        <w:t xml:space="preserve">, including by </w:t>
      </w:r>
      <w:r w:rsidR="00017607" w:rsidRPr="00066B69">
        <w:rPr>
          <w:rFonts w:ascii="Arial" w:hAnsi="Arial" w:cs="Arial"/>
          <w:color w:val="auto"/>
          <w:lang w:val="en-AU"/>
        </w:rPr>
        <w:t xml:space="preserve">supporting policy and legislative reform </w:t>
      </w:r>
      <w:r w:rsidR="009B503F">
        <w:rPr>
          <w:rFonts w:ascii="Arial" w:hAnsi="Arial" w:cs="Arial"/>
          <w:color w:val="auto"/>
          <w:lang w:val="en-AU"/>
        </w:rPr>
        <w:t xml:space="preserve">(e.g. </w:t>
      </w:r>
      <w:r w:rsidR="00017607" w:rsidRPr="00066B69">
        <w:rPr>
          <w:rFonts w:ascii="Arial" w:hAnsi="Arial" w:cs="Arial"/>
          <w:color w:val="auto"/>
          <w:lang w:val="en-AU"/>
        </w:rPr>
        <w:t>around revenue mobilisation and sharing of revenue and expenditure assignments</w:t>
      </w:r>
      <w:r w:rsidR="009B503F">
        <w:rPr>
          <w:rFonts w:ascii="Arial" w:hAnsi="Arial" w:cs="Arial"/>
          <w:color w:val="auto"/>
          <w:lang w:val="en-AU"/>
        </w:rPr>
        <w:t>) is needed.</w:t>
      </w:r>
    </w:p>
    <w:p w:rsidR="00017607" w:rsidRDefault="00017607" w:rsidP="00017607">
      <w:pPr>
        <w:spacing w:before="0" w:after="0" w:line="240" w:lineRule="auto"/>
        <w:jc w:val="both"/>
        <w:rPr>
          <w:rFonts w:ascii="Arial" w:hAnsi="Arial" w:cs="Arial"/>
          <w:color w:val="auto"/>
          <w:lang w:val="en-AU"/>
        </w:rPr>
      </w:pPr>
    </w:p>
    <w:p w:rsidR="00750F7D" w:rsidRPr="00A769DE" w:rsidRDefault="00750F7D" w:rsidP="00750F7D">
      <w:pPr>
        <w:pStyle w:val="Heading2"/>
        <w:spacing w:before="0" w:after="60" w:line="240" w:lineRule="auto"/>
        <w:ind w:left="274" w:hanging="274"/>
        <w:jc w:val="both"/>
        <w:rPr>
          <w:rFonts w:ascii="Arial" w:hAnsi="Arial" w:cs="Arial"/>
          <w:b/>
          <w:bCs/>
          <w:color w:val="auto"/>
          <w:sz w:val="24"/>
          <w:szCs w:val="24"/>
          <w:lang w:val="en-AU"/>
        </w:rPr>
      </w:pPr>
      <w:bookmarkStart w:id="85" w:name="_Toc525930564"/>
      <w:bookmarkStart w:id="86" w:name="_Toc530307614"/>
      <w:r w:rsidRPr="00A769DE">
        <w:rPr>
          <w:rFonts w:ascii="Arial" w:hAnsi="Arial" w:cs="Arial"/>
          <w:b/>
          <w:bCs/>
          <w:color w:val="auto"/>
          <w:sz w:val="24"/>
          <w:szCs w:val="24"/>
          <w:lang w:val="en-AU"/>
        </w:rPr>
        <w:t xml:space="preserve">5.3 </w:t>
      </w:r>
      <w:r>
        <w:rPr>
          <w:rFonts w:ascii="Arial" w:hAnsi="Arial" w:cs="Arial"/>
          <w:b/>
          <w:bCs/>
          <w:color w:val="auto"/>
          <w:sz w:val="24"/>
          <w:szCs w:val="24"/>
          <w:lang w:val="en-AU"/>
        </w:rPr>
        <w:t>Overall Assessment</w:t>
      </w:r>
      <w:bookmarkEnd w:id="85"/>
      <w:bookmarkEnd w:id="86"/>
    </w:p>
    <w:p w:rsidR="005B5A76" w:rsidRPr="005B5A76" w:rsidRDefault="00F33D8F" w:rsidP="005B5A76">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F33D8F">
        <w:rPr>
          <w:rFonts w:ascii="Arial" w:hAnsi="Arial" w:cs="Arial"/>
          <w:iCs/>
          <w:color w:val="auto"/>
          <w:u w:val="single"/>
          <w:lang w:val="en-AU"/>
        </w:rPr>
        <w:t>PSD</w:t>
      </w:r>
      <w:r>
        <w:rPr>
          <w:rFonts w:ascii="Arial" w:hAnsi="Arial" w:cs="Arial"/>
          <w:iCs/>
          <w:color w:val="auto"/>
          <w:lang w:val="en-AU"/>
        </w:rPr>
        <w:t xml:space="preserve">: </w:t>
      </w:r>
      <w:r w:rsidR="00750F7D" w:rsidRPr="005B5A76">
        <w:rPr>
          <w:rFonts w:ascii="Arial" w:hAnsi="Arial" w:cs="Arial"/>
          <w:iCs/>
          <w:color w:val="auto"/>
          <w:lang w:val="en-AU"/>
        </w:rPr>
        <w:t xml:space="preserve">As noted in chapter 4 above, the ICCP </w:t>
      </w:r>
      <w:r w:rsidR="005B5A76" w:rsidRPr="005B5A76">
        <w:rPr>
          <w:rFonts w:ascii="Arial" w:hAnsi="Arial" w:cs="Arial"/>
          <w:iCs/>
          <w:color w:val="auto"/>
          <w:lang w:val="en-AU"/>
        </w:rPr>
        <w:t>appears to be</w:t>
      </w:r>
      <w:r w:rsidR="00750F7D" w:rsidRPr="005B5A76">
        <w:rPr>
          <w:rFonts w:ascii="Arial" w:hAnsi="Arial" w:cs="Arial"/>
          <w:iCs/>
          <w:color w:val="auto"/>
          <w:lang w:val="en-AU"/>
        </w:rPr>
        <w:t xml:space="preserve"> well-performing at the project-level and generating a number of important results for the PSD sector. </w:t>
      </w:r>
      <w:r w:rsidR="005B5A76" w:rsidRPr="005B5A76">
        <w:rPr>
          <w:rFonts w:ascii="Arial" w:hAnsi="Arial" w:cs="Arial"/>
          <w:iCs/>
          <w:color w:val="auto"/>
          <w:lang w:val="en-AU"/>
        </w:rPr>
        <w:t xml:space="preserve">Also, </w:t>
      </w:r>
      <w:r w:rsidR="00750F7D" w:rsidRPr="005B5A76">
        <w:rPr>
          <w:rFonts w:ascii="Arial" w:hAnsi="Arial" w:cs="Arial"/>
          <w:iCs/>
          <w:color w:val="auto"/>
          <w:lang w:val="en-AU"/>
        </w:rPr>
        <w:t>the 11 ICCP projects provide support to various relevant economic agents</w:t>
      </w:r>
      <w:r w:rsidR="005B5A76" w:rsidRPr="005B5A76">
        <w:rPr>
          <w:rFonts w:ascii="Arial" w:hAnsi="Arial" w:cs="Arial"/>
          <w:iCs/>
          <w:color w:val="auto"/>
          <w:lang w:val="en-AU"/>
        </w:rPr>
        <w:t xml:space="preserve"> within an economy that continues to see strong growth. Furthermore, </w:t>
      </w:r>
      <w:r w:rsidR="005B5A76">
        <w:rPr>
          <w:rFonts w:ascii="Arial" w:hAnsi="Arial" w:cs="Arial"/>
          <w:iCs/>
          <w:color w:val="auto"/>
          <w:lang w:val="en-AU"/>
        </w:rPr>
        <w:t>t</w:t>
      </w:r>
      <w:r w:rsidR="005B5A76" w:rsidRPr="005B5A76">
        <w:rPr>
          <w:rFonts w:ascii="Arial" w:hAnsi="Arial" w:cs="Arial"/>
          <w:color w:val="auto"/>
          <w:lang w:val="en-AU"/>
        </w:rPr>
        <w:t xml:space="preserve">wo of the first three annual </w:t>
      </w:r>
      <w:r w:rsidR="005B5A76">
        <w:rPr>
          <w:rFonts w:ascii="Arial" w:hAnsi="Arial" w:cs="Arial"/>
          <w:color w:val="auto"/>
          <w:lang w:val="en-AU"/>
        </w:rPr>
        <w:t xml:space="preserve">performance </w:t>
      </w:r>
      <w:r w:rsidR="005B5A76" w:rsidRPr="005B5A76">
        <w:rPr>
          <w:rFonts w:ascii="Arial" w:hAnsi="Arial" w:cs="Arial"/>
          <w:color w:val="auto"/>
          <w:lang w:val="en-AU"/>
        </w:rPr>
        <w:t>targets have been met,</w:t>
      </w:r>
      <w:r w:rsidR="005B5A76" w:rsidRPr="005B5A76">
        <w:rPr>
          <w:rFonts w:ascii="Arial" w:hAnsi="Arial" w:cs="Arial"/>
          <w:iCs/>
          <w:color w:val="auto"/>
          <w:lang w:val="en-AU"/>
        </w:rPr>
        <w:t xml:space="preserve"> and some progress has </w:t>
      </w:r>
      <w:r w:rsidR="005B5A76">
        <w:rPr>
          <w:rFonts w:ascii="Arial" w:hAnsi="Arial" w:cs="Arial"/>
          <w:iCs/>
          <w:color w:val="auto"/>
          <w:lang w:val="en-AU"/>
        </w:rPr>
        <w:t xml:space="preserve">thus </w:t>
      </w:r>
      <w:r w:rsidR="005B5A76" w:rsidRPr="005B5A76">
        <w:rPr>
          <w:rFonts w:ascii="Arial" w:hAnsi="Arial" w:cs="Arial"/>
          <w:iCs/>
          <w:color w:val="auto"/>
          <w:lang w:val="en-AU"/>
        </w:rPr>
        <w:t>been made in establishing an effective and resp</w:t>
      </w:r>
      <w:r>
        <w:rPr>
          <w:rFonts w:ascii="Arial" w:hAnsi="Arial" w:cs="Arial"/>
          <w:iCs/>
          <w:color w:val="auto"/>
          <w:lang w:val="en-AU"/>
        </w:rPr>
        <w:t>onsible investment environment.</w:t>
      </w:r>
    </w:p>
    <w:p w:rsidR="005B5A76" w:rsidRPr="00884FE9" w:rsidRDefault="005B5A76" w:rsidP="005B5A76">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5B5A76" w:rsidRPr="007C5FEE" w:rsidRDefault="00F33D8F" w:rsidP="005B5A76">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F33D8F">
        <w:rPr>
          <w:rFonts w:ascii="Arial" w:hAnsi="Arial" w:cs="Arial"/>
          <w:iCs/>
          <w:color w:val="auto"/>
          <w:u w:val="single"/>
          <w:lang w:val="en-AU"/>
        </w:rPr>
        <w:t>P</w:t>
      </w:r>
      <w:r>
        <w:rPr>
          <w:rFonts w:ascii="Arial" w:hAnsi="Arial" w:cs="Arial"/>
          <w:iCs/>
          <w:color w:val="auto"/>
          <w:u w:val="single"/>
          <w:lang w:val="en-AU"/>
        </w:rPr>
        <w:t>FM</w:t>
      </w:r>
      <w:r>
        <w:rPr>
          <w:rFonts w:ascii="Arial" w:hAnsi="Arial" w:cs="Arial"/>
          <w:iCs/>
          <w:color w:val="auto"/>
          <w:lang w:val="en-AU"/>
        </w:rPr>
        <w:t xml:space="preserve">: </w:t>
      </w:r>
      <w:r w:rsidR="005B5A76">
        <w:rPr>
          <w:rFonts w:ascii="Arial" w:hAnsi="Arial" w:cs="Arial"/>
          <w:color w:val="auto"/>
          <w:lang w:val="en-AU"/>
        </w:rPr>
        <w:t>As regards PFM, the</w:t>
      </w:r>
      <w:r w:rsidR="005B5A76" w:rsidRPr="007C5FEE">
        <w:rPr>
          <w:rFonts w:ascii="Arial" w:hAnsi="Arial" w:cs="Arial"/>
          <w:color w:val="auto"/>
          <w:lang w:val="en-AU"/>
        </w:rPr>
        <w:t xml:space="preserve"> first three annual</w:t>
      </w:r>
      <w:r w:rsidR="005B5A76">
        <w:rPr>
          <w:rFonts w:ascii="Arial" w:hAnsi="Arial" w:cs="Arial"/>
          <w:color w:val="auto"/>
          <w:lang w:val="en-AU"/>
        </w:rPr>
        <w:t xml:space="preserve"> performance</w:t>
      </w:r>
      <w:r w:rsidR="005B5A76" w:rsidRPr="007C5FEE">
        <w:rPr>
          <w:rFonts w:ascii="Arial" w:hAnsi="Arial" w:cs="Arial"/>
          <w:color w:val="auto"/>
          <w:lang w:val="en-AU"/>
        </w:rPr>
        <w:t xml:space="preserve"> targets have been met, which has contributed to a s</w:t>
      </w:r>
      <w:r w:rsidR="005B5A76" w:rsidRPr="007C5FEE">
        <w:rPr>
          <w:rFonts w:ascii="Arial" w:hAnsi="Arial" w:cs="Arial"/>
          <w:iCs/>
          <w:color w:val="auto"/>
          <w:lang w:val="en-AU"/>
        </w:rPr>
        <w:t>trengthened PFM system through improved fiscal transparency as well as increased tax revenue mobilisation.</w:t>
      </w:r>
      <w:r w:rsidRPr="00F33D8F">
        <w:rPr>
          <w:rFonts w:ascii="Arial" w:hAnsi="Arial" w:cs="Arial"/>
          <w:color w:val="auto"/>
          <w:lang w:val="en-AU"/>
        </w:rPr>
        <w:t xml:space="preserve"> </w:t>
      </w:r>
      <w:r>
        <w:rPr>
          <w:rFonts w:ascii="Arial" w:hAnsi="Arial" w:cs="Arial"/>
          <w:color w:val="auto"/>
          <w:lang w:val="en-AU"/>
        </w:rPr>
        <w:t xml:space="preserve">Also, </w:t>
      </w:r>
      <w:r w:rsidRPr="00037905">
        <w:rPr>
          <w:rFonts w:ascii="Arial" w:hAnsi="Arial" w:cs="Arial"/>
          <w:color w:val="auto"/>
          <w:lang w:val="en-AU"/>
        </w:rPr>
        <w:t xml:space="preserve">the </w:t>
      </w:r>
      <w:r>
        <w:rPr>
          <w:rFonts w:ascii="Arial" w:hAnsi="Arial" w:cs="Arial"/>
          <w:iCs/>
          <w:color w:val="auto"/>
          <w:lang w:val="en-AU"/>
        </w:rPr>
        <w:t>DFID-</w:t>
      </w:r>
      <w:r w:rsidRPr="00B210A8">
        <w:rPr>
          <w:rFonts w:ascii="Arial" w:hAnsi="Arial" w:cs="Arial"/>
          <w:iCs/>
          <w:color w:val="auto"/>
          <w:lang w:val="en-AU"/>
        </w:rPr>
        <w:t xml:space="preserve">commissioned </w:t>
      </w:r>
      <w:r w:rsidRPr="00037905">
        <w:rPr>
          <w:rFonts w:ascii="Arial" w:hAnsi="Arial" w:cs="Arial"/>
          <w:color w:val="auto"/>
          <w:lang w:val="en-AU"/>
        </w:rPr>
        <w:t>evaluation</w:t>
      </w:r>
      <w:r>
        <w:rPr>
          <w:rFonts w:ascii="Arial" w:hAnsi="Arial" w:cs="Arial"/>
          <w:color w:val="auto"/>
          <w:lang w:val="en-AU"/>
        </w:rPr>
        <w:t xml:space="preserve"> indicates that, despite some issues and challenges, there have been some achievements in PFM reform.</w:t>
      </w:r>
    </w:p>
    <w:p w:rsidR="005B5A76" w:rsidRDefault="005B5A76" w:rsidP="005B5A76">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750F7D" w:rsidRPr="005B5A76" w:rsidRDefault="005B5A76" w:rsidP="00750F7D">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Pr>
          <w:rFonts w:ascii="Arial" w:hAnsi="Arial" w:cs="Arial"/>
          <w:iCs/>
          <w:color w:val="auto"/>
          <w:lang w:val="en-AU"/>
        </w:rPr>
        <w:t>Overall</w:t>
      </w:r>
      <w:r w:rsidR="009C7E0E">
        <w:rPr>
          <w:rFonts w:ascii="Arial" w:hAnsi="Arial" w:cs="Arial"/>
          <w:iCs/>
          <w:color w:val="auto"/>
          <w:lang w:val="en-AU"/>
        </w:rPr>
        <w:t>,</w:t>
      </w:r>
      <w:r>
        <w:rPr>
          <w:rFonts w:ascii="Arial" w:hAnsi="Arial" w:cs="Arial"/>
          <w:iCs/>
          <w:color w:val="auto"/>
          <w:lang w:val="en-AU"/>
        </w:rPr>
        <w:t xml:space="preserve"> it </w:t>
      </w:r>
      <w:r w:rsidR="00FD5750">
        <w:rPr>
          <w:rFonts w:ascii="Arial" w:hAnsi="Arial" w:cs="Arial"/>
          <w:iCs/>
          <w:color w:val="auto"/>
          <w:lang w:val="en-AU"/>
        </w:rPr>
        <w:t xml:space="preserve">is thus </w:t>
      </w:r>
      <w:r w:rsidR="00750F7D" w:rsidRPr="005B5A76">
        <w:rPr>
          <w:rFonts w:ascii="Arial" w:hAnsi="Arial" w:cs="Arial"/>
          <w:iCs/>
          <w:color w:val="auto"/>
          <w:lang w:val="en-AU"/>
        </w:rPr>
        <w:t xml:space="preserve">reasonable to </w:t>
      </w:r>
      <w:r>
        <w:rPr>
          <w:rFonts w:ascii="Arial" w:hAnsi="Arial" w:cs="Arial"/>
          <w:iCs/>
          <w:color w:val="auto"/>
          <w:lang w:val="en-AU"/>
        </w:rPr>
        <w:t xml:space="preserve">conclude </w:t>
      </w:r>
      <w:r w:rsidR="00750F7D" w:rsidRPr="005B5A76">
        <w:rPr>
          <w:rFonts w:ascii="Arial" w:hAnsi="Arial" w:cs="Arial"/>
          <w:iCs/>
          <w:color w:val="auto"/>
          <w:lang w:val="en-AU"/>
        </w:rPr>
        <w:t>that Australia’s investment</w:t>
      </w:r>
      <w:r>
        <w:rPr>
          <w:rFonts w:ascii="Arial" w:hAnsi="Arial" w:cs="Arial"/>
          <w:iCs/>
          <w:color w:val="auto"/>
          <w:lang w:val="en-AU"/>
        </w:rPr>
        <w:t>s in PSD and PFM reform</w:t>
      </w:r>
      <w:r w:rsidR="009C7E0E">
        <w:rPr>
          <w:rFonts w:ascii="Arial" w:hAnsi="Arial" w:cs="Arial"/>
          <w:iCs/>
          <w:color w:val="auto"/>
          <w:lang w:val="en-AU"/>
        </w:rPr>
        <w:t>s</w:t>
      </w:r>
      <w:r>
        <w:rPr>
          <w:rFonts w:ascii="Arial" w:hAnsi="Arial" w:cs="Arial"/>
          <w:iCs/>
          <w:color w:val="auto"/>
          <w:lang w:val="en-AU"/>
        </w:rPr>
        <w:t xml:space="preserve"> are</w:t>
      </w:r>
      <w:r w:rsidR="00750F7D" w:rsidRPr="005B5A76">
        <w:rPr>
          <w:rFonts w:ascii="Arial" w:hAnsi="Arial" w:cs="Arial"/>
          <w:iCs/>
          <w:color w:val="auto"/>
          <w:lang w:val="en-AU"/>
        </w:rPr>
        <w:t xml:space="preserve"> achieving </w:t>
      </w:r>
      <w:r>
        <w:rPr>
          <w:rFonts w:ascii="Arial" w:hAnsi="Arial" w:cs="Arial"/>
          <w:iCs/>
          <w:color w:val="auto"/>
          <w:lang w:val="en-AU"/>
        </w:rPr>
        <w:t>the</w:t>
      </w:r>
      <w:r w:rsidR="00750F7D" w:rsidRPr="005B5A76">
        <w:rPr>
          <w:rFonts w:ascii="Arial" w:hAnsi="Arial" w:cs="Arial"/>
          <w:iCs/>
          <w:color w:val="auto"/>
          <w:lang w:val="en-AU"/>
        </w:rPr>
        <w:t xml:space="preserve"> aim</w:t>
      </w:r>
      <w:r w:rsidR="00A41A91">
        <w:rPr>
          <w:rFonts w:ascii="Arial" w:hAnsi="Arial" w:cs="Arial"/>
          <w:iCs/>
          <w:color w:val="auto"/>
          <w:lang w:val="en-AU"/>
        </w:rPr>
        <w:t>s</w:t>
      </w:r>
      <w:r w:rsidR="00750F7D" w:rsidRPr="005B5A76">
        <w:rPr>
          <w:rFonts w:ascii="Arial" w:hAnsi="Arial" w:cs="Arial"/>
          <w:iCs/>
          <w:color w:val="auto"/>
          <w:lang w:val="en-AU"/>
        </w:rPr>
        <w:t xml:space="preserve"> of promoting inclusive economic growth</w:t>
      </w:r>
      <w:r w:rsidRPr="005B5A76">
        <w:rPr>
          <w:rFonts w:ascii="Arial" w:hAnsi="Arial" w:cs="Arial"/>
          <w:iCs/>
          <w:color w:val="auto"/>
          <w:lang w:val="en-AU"/>
        </w:rPr>
        <w:t xml:space="preserve"> </w:t>
      </w:r>
      <w:r w:rsidRPr="00A769DE">
        <w:rPr>
          <w:rFonts w:ascii="Arial" w:hAnsi="Arial" w:cs="Arial"/>
          <w:iCs/>
          <w:color w:val="auto"/>
          <w:lang w:val="en-AU"/>
        </w:rPr>
        <w:t xml:space="preserve">and </w:t>
      </w:r>
      <w:r>
        <w:rPr>
          <w:rFonts w:ascii="Arial" w:hAnsi="Arial" w:cs="Arial"/>
          <w:iCs/>
          <w:color w:val="auto"/>
          <w:lang w:val="en-AU"/>
        </w:rPr>
        <w:t xml:space="preserve">improved </w:t>
      </w:r>
      <w:r w:rsidRPr="00A769DE">
        <w:rPr>
          <w:rFonts w:ascii="Arial" w:hAnsi="Arial" w:cs="Arial"/>
          <w:iCs/>
          <w:color w:val="auto"/>
          <w:lang w:val="en-AU"/>
        </w:rPr>
        <w:t>government management</w:t>
      </w:r>
      <w:r w:rsidR="00750F7D" w:rsidRPr="005B5A76">
        <w:rPr>
          <w:rFonts w:ascii="Arial" w:hAnsi="Arial" w:cs="Arial"/>
          <w:iCs/>
          <w:color w:val="auto"/>
          <w:lang w:val="en-AU"/>
        </w:rPr>
        <w:t>.</w:t>
      </w:r>
    </w:p>
    <w:p w:rsidR="00750F7D" w:rsidRDefault="00750F7D" w:rsidP="00017607">
      <w:pPr>
        <w:spacing w:before="0" w:after="0" w:line="240" w:lineRule="auto"/>
        <w:jc w:val="both"/>
        <w:rPr>
          <w:rFonts w:ascii="Arial" w:hAnsi="Arial" w:cs="Arial"/>
          <w:color w:val="auto"/>
          <w:lang w:val="en-AU"/>
        </w:rPr>
      </w:pPr>
    </w:p>
    <w:p w:rsidR="00FD5750" w:rsidRPr="001B4C49" w:rsidRDefault="00FD5750" w:rsidP="00FD5750">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color w:val="auto"/>
          <w:lang w:val="en-AU"/>
        </w:rPr>
      </w:pPr>
      <w:r w:rsidRPr="001B4C49">
        <w:rPr>
          <w:rFonts w:ascii="Arial" w:hAnsi="Arial" w:cs="Arial"/>
          <w:iCs/>
          <w:color w:val="auto"/>
          <w:lang w:val="en-AU"/>
        </w:rPr>
        <w:t xml:space="preserve">It should be noted that this conclusion </w:t>
      </w:r>
      <w:r w:rsidR="001B4C49" w:rsidRPr="001B4C49">
        <w:rPr>
          <w:rFonts w:ascii="Arial" w:hAnsi="Arial" w:cs="Arial"/>
          <w:iCs/>
          <w:color w:val="auto"/>
          <w:lang w:val="en-AU"/>
        </w:rPr>
        <w:t xml:space="preserve">(which relates to </w:t>
      </w:r>
      <w:r w:rsidR="001B4C49" w:rsidRPr="001B4C49">
        <w:rPr>
          <w:rFonts w:ascii="Arial" w:hAnsi="Arial" w:cs="Arial"/>
          <w:color w:val="auto"/>
          <w:lang w:val="en-AU"/>
        </w:rPr>
        <w:t>part two of the evaluation – as per the ToR for the evaluation</w:t>
      </w:r>
      <w:r w:rsidR="001B4C49" w:rsidRPr="001B4C49">
        <w:rPr>
          <w:rFonts w:ascii="Arial" w:hAnsi="Arial" w:cs="Arial"/>
          <w:iCs/>
          <w:color w:val="auto"/>
          <w:lang w:val="en-AU"/>
        </w:rPr>
        <w:t xml:space="preserve">) </w:t>
      </w:r>
      <w:r w:rsidRPr="001B4C49">
        <w:rPr>
          <w:rFonts w:ascii="Arial" w:hAnsi="Arial" w:cs="Arial"/>
          <w:iCs/>
          <w:color w:val="auto"/>
          <w:lang w:val="en-AU"/>
        </w:rPr>
        <w:t>does not conflict with the findings and conclusions of the</w:t>
      </w:r>
      <w:r w:rsidR="005A7235">
        <w:rPr>
          <w:rFonts w:ascii="Arial" w:hAnsi="Arial" w:cs="Arial"/>
          <w:iCs/>
          <w:color w:val="auto"/>
          <w:lang w:val="en-AU"/>
        </w:rPr>
        <w:t xml:space="preserve"> ICCP</w:t>
      </w:r>
      <w:r w:rsidRPr="001B4C49">
        <w:rPr>
          <w:rFonts w:ascii="Arial" w:hAnsi="Arial" w:cs="Arial"/>
          <w:iCs/>
          <w:color w:val="auto"/>
          <w:lang w:val="en-AU"/>
        </w:rPr>
        <w:t xml:space="preserve"> evaluation </w:t>
      </w:r>
      <w:r w:rsidR="005A7235">
        <w:rPr>
          <w:rFonts w:ascii="Arial" w:hAnsi="Arial" w:cs="Arial"/>
          <w:iCs/>
          <w:color w:val="auto"/>
          <w:lang w:val="en-AU"/>
        </w:rPr>
        <w:t>p</w:t>
      </w:r>
      <w:r w:rsidRPr="001B4C49">
        <w:rPr>
          <w:rFonts w:ascii="Arial" w:hAnsi="Arial" w:cs="Arial"/>
          <w:iCs/>
          <w:color w:val="auto"/>
          <w:lang w:val="en-AU"/>
        </w:rPr>
        <w:t xml:space="preserve">rovided in Chapter 3 </w:t>
      </w:r>
      <w:r w:rsidR="005A7235">
        <w:rPr>
          <w:rFonts w:ascii="Arial" w:hAnsi="Arial" w:cs="Arial"/>
          <w:iCs/>
          <w:color w:val="auto"/>
          <w:lang w:val="en-AU"/>
        </w:rPr>
        <w:t xml:space="preserve">and Chapter 4 </w:t>
      </w:r>
      <w:r w:rsidRPr="001B4C49">
        <w:rPr>
          <w:rFonts w:ascii="Arial" w:hAnsi="Arial" w:cs="Arial"/>
          <w:iCs/>
          <w:color w:val="auto"/>
          <w:lang w:val="en-AU"/>
        </w:rPr>
        <w:t>of this report (</w:t>
      </w:r>
      <w:r w:rsidR="005A7235">
        <w:rPr>
          <w:rFonts w:ascii="Arial" w:hAnsi="Arial" w:cs="Arial"/>
          <w:iCs/>
          <w:color w:val="auto"/>
          <w:lang w:val="en-AU"/>
        </w:rPr>
        <w:t xml:space="preserve">which relate to </w:t>
      </w:r>
      <w:r w:rsidRPr="001B4C49">
        <w:rPr>
          <w:rFonts w:ascii="Arial" w:hAnsi="Arial" w:cs="Arial"/>
          <w:color w:val="auto"/>
          <w:lang w:val="en-AU"/>
        </w:rPr>
        <w:t>part one of the evaluation</w:t>
      </w:r>
      <w:r w:rsidRPr="001B4C49">
        <w:rPr>
          <w:rFonts w:ascii="Arial" w:hAnsi="Arial" w:cs="Arial"/>
          <w:iCs/>
          <w:color w:val="auto"/>
          <w:lang w:val="en-AU"/>
        </w:rPr>
        <w:t>) since the two evaluation parts have different bases and differing focuses.</w:t>
      </w:r>
    </w:p>
    <w:p w:rsidR="00FD5750" w:rsidRPr="00A769DE" w:rsidRDefault="00FD5750" w:rsidP="00FD5750">
      <w:pPr>
        <w:spacing w:before="0" w:after="0" w:line="240" w:lineRule="auto"/>
        <w:rPr>
          <w:rFonts w:ascii="Arial" w:hAnsi="Arial" w:cs="Arial"/>
          <w:color w:val="auto"/>
          <w:lang w:val="en-AU"/>
        </w:rPr>
      </w:pPr>
    </w:p>
    <w:p w:rsidR="000B785F" w:rsidRPr="00A769DE" w:rsidRDefault="00B5401C" w:rsidP="00B5401C">
      <w:pPr>
        <w:pStyle w:val="Heading2"/>
        <w:spacing w:before="0" w:after="60" w:line="240" w:lineRule="auto"/>
        <w:ind w:left="274" w:hanging="274"/>
        <w:jc w:val="both"/>
        <w:rPr>
          <w:rFonts w:ascii="Arial" w:hAnsi="Arial" w:cs="Arial"/>
          <w:b/>
          <w:bCs/>
          <w:color w:val="auto"/>
          <w:sz w:val="24"/>
          <w:szCs w:val="24"/>
          <w:lang w:val="en-AU"/>
        </w:rPr>
      </w:pPr>
      <w:bookmarkStart w:id="87" w:name="_Toc522800492"/>
      <w:bookmarkStart w:id="88" w:name="_Toc525930565"/>
      <w:bookmarkStart w:id="89" w:name="_Toc530307615"/>
      <w:r w:rsidRPr="00A769DE">
        <w:rPr>
          <w:rFonts w:ascii="Arial" w:hAnsi="Arial" w:cs="Arial"/>
          <w:b/>
          <w:bCs/>
          <w:color w:val="auto"/>
          <w:sz w:val="24"/>
          <w:szCs w:val="24"/>
          <w:lang w:val="en-AU"/>
        </w:rPr>
        <w:lastRenderedPageBreak/>
        <w:t>5</w:t>
      </w:r>
      <w:r w:rsidR="00750F7D">
        <w:rPr>
          <w:rFonts w:ascii="Arial" w:hAnsi="Arial" w:cs="Arial"/>
          <w:b/>
          <w:bCs/>
          <w:color w:val="auto"/>
          <w:sz w:val="24"/>
          <w:szCs w:val="24"/>
          <w:lang w:val="en-AU"/>
        </w:rPr>
        <w:t>.4</w:t>
      </w:r>
      <w:r w:rsidR="000B785F" w:rsidRPr="00A769DE">
        <w:rPr>
          <w:rFonts w:ascii="Arial" w:hAnsi="Arial" w:cs="Arial"/>
          <w:b/>
          <w:bCs/>
          <w:color w:val="auto"/>
          <w:sz w:val="24"/>
          <w:szCs w:val="24"/>
          <w:lang w:val="en-AU"/>
        </w:rPr>
        <w:t xml:space="preserve"> Recommendations to DFAT on Future Aid</w:t>
      </w:r>
      <w:r w:rsidR="00F41FED" w:rsidRPr="00A769DE">
        <w:rPr>
          <w:rFonts w:ascii="Arial" w:hAnsi="Arial" w:cs="Arial"/>
          <w:b/>
          <w:bCs/>
          <w:color w:val="auto"/>
          <w:sz w:val="24"/>
          <w:szCs w:val="24"/>
          <w:lang w:val="en-AU"/>
        </w:rPr>
        <w:t xml:space="preserve"> Investments in Economic Growth</w:t>
      </w:r>
      <w:bookmarkEnd w:id="87"/>
      <w:r w:rsidR="00B55D80">
        <w:rPr>
          <w:rFonts w:ascii="Arial" w:hAnsi="Arial" w:cs="Arial"/>
          <w:b/>
          <w:bCs/>
          <w:color w:val="auto"/>
          <w:sz w:val="24"/>
          <w:szCs w:val="24"/>
          <w:lang w:val="en-AU"/>
        </w:rPr>
        <w:t xml:space="preserve"> and Government Managemen</w:t>
      </w:r>
      <w:r w:rsidR="009C7E0E">
        <w:rPr>
          <w:rFonts w:ascii="Arial" w:hAnsi="Arial" w:cs="Arial"/>
          <w:b/>
          <w:bCs/>
          <w:color w:val="auto"/>
          <w:sz w:val="24"/>
          <w:szCs w:val="24"/>
          <w:lang w:val="en-AU"/>
        </w:rPr>
        <w:t>t</w:t>
      </w:r>
      <w:bookmarkEnd w:id="88"/>
      <w:bookmarkEnd w:id="89"/>
    </w:p>
    <w:p w:rsidR="000B785F" w:rsidRPr="00A769DE" w:rsidRDefault="005F471B" w:rsidP="00A9264C">
      <w:pPr>
        <w:pStyle w:val="ListParagraph"/>
        <w:numPr>
          <w:ilvl w:val="0"/>
          <w:numId w:val="15"/>
        </w:numPr>
        <w:tabs>
          <w:tab w:val="left" w:pos="357"/>
        </w:tabs>
        <w:suppressAutoHyphens w:val="0"/>
        <w:spacing w:before="0" w:after="0" w:line="240" w:lineRule="auto"/>
        <w:ind w:left="0" w:firstLine="0"/>
        <w:jc w:val="both"/>
        <w:rPr>
          <w:rFonts w:ascii="Arial" w:hAnsi="Arial" w:cs="Arial"/>
          <w:iCs/>
          <w:color w:val="auto"/>
          <w:lang w:val="en-AU"/>
        </w:rPr>
      </w:pPr>
      <w:r w:rsidRPr="00A769DE">
        <w:rPr>
          <w:rFonts w:ascii="Arial" w:hAnsi="Arial" w:cs="Arial"/>
          <w:color w:val="auto"/>
          <w:lang w:val="en-AU"/>
        </w:rPr>
        <w:t xml:space="preserve">Based on the above analyses, the following </w:t>
      </w:r>
      <w:r w:rsidRPr="00A769DE">
        <w:rPr>
          <w:rFonts w:ascii="Arial" w:hAnsi="Arial" w:cs="Arial"/>
          <w:iCs/>
          <w:color w:val="auto"/>
          <w:lang w:val="en-AU"/>
        </w:rPr>
        <w:t>recommendations are made to DFAT for consideration regarding its future aid investments in economic growth</w:t>
      </w:r>
      <w:r w:rsidR="009C7E0E">
        <w:rPr>
          <w:rFonts w:ascii="Arial" w:hAnsi="Arial" w:cs="Arial"/>
          <w:iCs/>
          <w:color w:val="auto"/>
          <w:lang w:val="en-AU"/>
        </w:rPr>
        <w:t xml:space="preserve"> and economic management</w:t>
      </w:r>
      <w:r w:rsidRPr="00A769DE">
        <w:rPr>
          <w:rFonts w:ascii="Arial" w:hAnsi="Arial" w:cs="Arial"/>
          <w:iCs/>
          <w:color w:val="auto"/>
          <w:lang w:val="en-AU"/>
        </w:rPr>
        <w:t>:</w:t>
      </w:r>
    </w:p>
    <w:p w:rsidR="000B785F" w:rsidRPr="00A769DE" w:rsidRDefault="000B785F" w:rsidP="00B5401C">
      <w:pPr>
        <w:pStyle w:val="ListParagraph"/>
        <w:tabs>
          <w:tab w:val="left" w:pos="357"/>
        </w:tabs>
        <w:spacing w:after="0" w:line="240" w:lineRule="auto"/>
        <w:ind w:left="0"/>
        <w:jc w:val="both"/>
        <w:rPr>
          <w:rFonts w:ascii="Arial" w:hAnsi="Arial" w:cs="Arial"/>
          <w:iCs/>
          <w:color w:val="auto"/>
          <w:lang w:val="en-AU"/>
        </w:rPr>
      </w:pPr>
    </w:p>
    <w:p w:rsidR="005F471B" w:rsidRPr="004B0CA0" w:rsidRDefault="00B55D80" w:rsidP="004B1F57">
      <w:pPr>
        <w:pStyle w:val="ListParagraph"/>
        <w:numPr>
          <w:ilvl w:val="0"/>
          <w:numId w:val="42"/>
        </w:numPr>
        <w:suppressAutoHyphens w:val="0"/>
        <w:spacing w:before="0" w:after="120" w:line="240" w:lineRule="auto"/>
        <w:ind w:left="360"/>
        <w:contextualSpacing w:val="0"/>
        <w:jc w:val="both"/>
        <w:rPr>
          <w:rFonts w:ascii="Arial" w:hAnsi="Arial" w:cs="Arial"/>
          <w:color w:val="auto"/>
          <w:lang w:val="en-AU"/>
        </w:rPr>
      </w:pPr>
      <w:r w:rsidRPr="004B0CA0">
        <w:rPr>
          <w:rFonts w:ascii="Arial" w:hAnsi="Arial" w:cs="Arial"/>
          <w:color w:val="auto"/>
          <w:lang w:val="en-AU"/>
        </w:rPr>
        <w:t>DFAT should continu</w:t>
      </w:r>
      <w:r w:rsidR="00205A32">
        <w:rPr>
          <w:rFonts w:ascii="Arial" w:hAnsi="Arial" w:cs="Arial"/>
          <w:color w:val="auto"/>
          <w:lang w:val="en-AU"/>
        </w:rPr>
        <w:t>e</w:t>
      </w:r>
      <w:r w:rsidRPr="004B0CA0">
        <w:rPr>
          <w:rFonts w:ascii="Arial" w:hAnsi="Arial" w:cs="Arial"/>
          <w:color w:val="auto"/>
          <w:lang w:val="en-AU"/>
        </w:rPr>
        <w:t xml:space="preserve"> providing </w:t>
      </w:r>
      <w:r w:rsidR="00482E98" w:rsidRPr="004B0CA0">
        <w:rPr>
          <w:rFonts w:ascii="Arial" w:hAnsi="Arial" w:cs="Arial"/>
          <w:color w:val="auto"/>
          <w:lang w:val="en-AU"/>
        </w:rPr>
        <w:t xml:space="preserve">support for PSD and PFM reform activities in areas where Australia has specific expertise and interests, </w:t>
      </w:r>
      <w:r w:rsidR="004B0CA0" w:rsidRPr="004B0CA0">
        <w:rPr>
          <w:rFonts w:ascii="Arial" w:hAnsi="Arial" w:cs="Arial"/>
          <w:color w:val="auto"/>
          <w:lang w:val="en-AU"/>
        </w:rPr>
        <w:t xml:space="preserve">including investment climate and aid-for-trade, </w:t>
      </w:r>
      <w:r w:rsidR="00482E98" w:rsidRPr="004B0CA0">
        <w:rPr>
          <w:rFonts w:ascii="Arial" w:hAnsi="Arial" w:cs="Arial"/>
          <w:color w:val="auto"/>
          <w:lang w:val="en-AU"/>
        </w:rPr>
        <w:t xml:space="preserve">and </w:t>
      </w:r>
      <w:r w:rsidR="004B0CA0">
        <w:rPr>
          <w:rFonts w:ascii="Arial" w:hAnsi="Arial" w:cs="Arial"/>
          <w:color w:val="auto"/>
          <w:lang w:val="en-AU"/>
        </w:rPr>
        <w:t>so as to take forward e</w:t>
      </w:r>
      <w:r w:rsidR="004B0CA0" w:rsidRPr="004B0CA0">
        <w:rPr>
          <w:rFonts w:ascii="Arial" w:hAnsi="Arial" w:cs="Arial"/>
          <w:color w:val="auto"/>
          <w:lang w:val="en-AU"/>
        </w:rPr>
        <w:t>ffective economic diplomacy</w:t>
      </w:r>
      <w:r w:rsidR="004B0CA0">
        <w:rPr>
          <w:rFonts w:ascii="Arial" w:hAnsi="Arial" w:cs="Arial"/>
          <w:color w:val="auto"/>
          <w:lang w:val="en-AU"/>
        </w:rPr>
        <w:t xml:space="preserve"> initiatives.</w:t>
      </w:r>
    </w:p>
    <w:p w:rsidR="004B0CA0" w:rsidRDefault="004B0CA0" w:rsidP="004B1F57">
      <w:pPr>
        <w:pStyle w:val="ListParagraph"/>
        <w:numPr>
          <w:ilvl w:val="0"/>
          <w:numId w:val="42"/>
        </w:numPr>
        <w:suppressAutoHyphens w:val="0"/>
        <w:spacing w:after="120" w:line="240" w:lineRule="auto"/>
        <w:ind w:left="360"/>
        <w:contextualSpacing w:val="0"/>
        <w:jc w:val="both"/>
        <w:rPr>
          <w:rFonts w:ascii="Arial" w:hAnsi="Arial" w:cs="Arial"/>
          <w:color w:val="auto"/>
          <w:lang w:val="en-AU"/>
        </w:rPr>
      </w:pPr>
      <w:r>
        <w:rPr>
          <w:rFonts w:ascii="Arial" w:hAnsi="Arial" w:cs="Arial"/>
          <w:color w:val="auto"/>
          <w:lang w:val="en-AU"/>
        </w:rPr>
        <w:t xml:space="preserve">In </w:t>
      </w:r>
      <w:r w:rsidR="002D59DA">
        <w:rPr>
          <w:rFonts w:ascii="Arial" w:hAnsi="Arial" w:cs="Arial"/>
          <w:color w:val="auto"/>
          <w:lang w:val="en-AU"/>
        </w:rPr>
        <w:t>determining</w:t>
      </w:r>
      <w:r>
        <w:rPr>
          <w:rFonts w:ascii="Arial" w:hAnsi="Arial" w:cs="Arial"/>
          <w:color w:val="auto"/>
          <w:lang w:val="en-AU"/>
        </w:rPr>
        <w:t xml:space="preserve"> performance benchmarks and other measures to assess the </w:t>
      </w:r>
      <w:r w:rsidR="002D59DA">
        <w:rPr>
          <w:rFonts w:ascii="Arial" w:hAnsi="Arial" w:cs="Arial"/>
          <w:color w:val="auto"/>
          <w:lang w:val="en-AU"/>
        </w:rPr>
        <w:t>result</w:t>
      </w:r>
      <w:r>
        <w:rPr>
          <w:rFonts w:ascii="Arial" w:hAnsi="Arial" w:cs="Arial"/>
          <w:color w:val="auto"/>
          <w:lang w:val="en-AU"/>
        </w:rPr>
        <w:t xml:space="preserve"> of engagements, DFAT should ensure that targets selected are measurable and that</w:t>
      </w:r>
      <w:r w:rsidR="002D59DA">
        <w:rPr>
          <w:rFonts w:ascii="Arial" w:hAnsi="Arial" w:cs="Arial"/>
          <w:color w:val="auto"/>
          <w:lang w:val="en-AU"/>
        </w:rPr>
        <w:t xml:space="preserve"> implementing partners are able to provide regular updates on implementation progress.</w:t>
      </w:r>
    </w:p>
    <w:p w:rsidR="007038EC" w:rsidRPr="007038EC" w:rsidRDefault="007038EC" w:rsidP="007038EC">
      <w:pPr>
        <w:pStyle w:val="ListParagraph"/>
        <w:numPr>
          <w:ilvl w:val="0"/>
          <w:numId w:val="42"/>
        </w:numPr>
        <w:suppressAutoHyphens w:val="0"/>
        <w:spacing w:after="120" w:line="240" w:lineRule="auto"/>
        <w:ind w:left="360"/>
        <w:contextualSpacing w:val="0"/>
        <w:jc w:val="both"/>
        <w:rPr>
          <w:rFonts w:ascii="Arial" w:hAnsi="Arial" w:cs="Arial"/>
          <w:color w:val="auto"/>
          <w:lang w:val="en-AU"/>
        </w:rPr>
      </w:pPr>
      <w:r w:rsidRPr="007038EC">
        <w:rPr>
          <w:rFonts w:ascii="Arial" w:hAnsi="Arial" w:cs="Arial"/>
          <w:color w:val="auto"/>
          <w:lang w:val="en-AU"/>
        </w:rPr>
        <w:t>Given the significant differences in implementation achievement between the PSD and PFM engagements, DFAT should pay critical attention to the modalities recommended by the World Bank Group (bank-executed versus recipient-executed) in terms of which approach may be most beneficial in the specific context.</w:t>
      </w:r>
      <w:r w:rsidR="004A475A" w:rsidRPr="00A769DE">
        <w:rPr>
          <w:rStyle w:val="FootnoteReference"/>
          <w:rFonts w:ascii="Arial" w:hAnsi="Arial" w:cs="Arial"/>
          <w:color w:val="auto"/>
          <w:lang w:val="en-AU"/>
        </w:rPr>
        <w:footnoteReference w:id="68"/>
      </w:r>
    </w:p>
    <w:p w:rsidR="00205A32" w:rsidRPr="00205A32" w:rsidRDefault="00205A32" w:rsidP="00307AA3">
      <w:pPr>
        <w:pStyle w:val="ListParagraph"/>
        <w:numPr>
          <w:ilvl w:val="0"/>
          <w:numId w:val="42"/>
        </w:numPr>
        <w:suppressAutoHyphens w:val="0"/>
        <w:spacing w:after="0" w:line="240" w:lineRule="auto"/>
        <w:ind w:left="360"/>
        <w:contextualSpacing w:val="0"/>
        <w:jc w:val="both"/>
        <w:rPr>
          <w:rFonts w:ascii="Arial" w:hAnsi="Arial" w:cs="Arial"/>
          <w:color w:val="auto"/>
          <w:lang w:val="en-AU"/>
        </w:rPr>
      </w:pPr>
      <w:r w:rsidRPr="00205A32">
        <w:rPr>
          <w:rFonts w:ascii="Arial" w:hAnsi="Arial" w:cs="Arial"/>
          <w:color w:val="auto"/>
          <w:lang w:val="en-AU"/>
        </w:rPr>
        <w:t>DFAT should</w:t>
      </w:r>
      <w:r w:rsidR="00307AA3">
        <w:rPr>
          <w:rFonts w:ascii="Arial" w:hAnsi="Arial" w:cs="Arial"/>
          <w:color w:val="auto"/>
          <w:lang w:val="en-AU"/>
        </w:rPr>
        <w:t xml:space="preserve"> </w:t>
      </w:r>
      <w:r w:rsidR="00307AA3" w:rsidRPr="00205A32">
        <w:rPr>
          <w:rFonts w:ascii="Arial" w:hAnsi="Arial" w:cs="Arial"/>
          <w:color w:val="auto"/>
          <w:lang w:val="en-AU"/>
        </w:rPr>
        <w:t xml:space="preserve">consider </w:t>
      </w:r>
      <w:r w:rsidR="00307AA3">
        <w:rPr>
          <w:rFonts w:ascii="Arial" w:hAnsi="Arial" w:cs="Arial"/>
          <w:color w:val="auto"/>
          <w:lang w:val="en-AU"/>
        </w:rPr>
        <w:t xml:space="preserve">a </w:t>
      </w:r>
      <w:r w:rsidR="00307AA3" w:rsidRPr="00205A32">
        <w:rPr>
          <w:rFonts w:ascii="Arial" w:hAnsi="Arial" w:cs="Arial"/>
          <w:color w:val="auto"/>
          <w:lang w:val="en-AU"/>
        </w:rPr>
        <w:t xml:space="preserve">program delivery </w:t>
      </w:r>
      <w:r w:rsidR="00307AA3">
        <w:rPr>
          <w:rFonts w:ascii="Arial" w:hAnsi="Arial" w:cs="Arial"/>
          <w:color w:val="auto"/>
          <w:lang w:val="en-AU"/>
        </w:rPr>
        <w:t xml:space="preserve">set-up that includes different </w:t>
      </w:r>
      <w:r w:rsidR="00307AA3" w:rsidRPr="00205A32">
        <w:rPr>
          <w:rFonts w:ascii="Arial" w:hAnsi="Arial" w:cs="Arial"/>
          <w:color w:val="auto"/>
          <w:lang w:val="en-AU"/>
        </w:rPr>
        <w:t>modalities</w:t>
      </w:r>
      <w:r w:rsidRPr="00205A32">
        <w:rPr>
          <w:rFonts w:ascii="Arial" w:hAnsi="Arial" w:cs="Arial"/>
          <w:color w:val="auto"/>
          <w:lang w:val="en-AU"/>
        </w:rPr>
        <w:t>,</w:t>
      </w:r>
      <w:r w:rsidR="00307AA3">
        <w:rPr>
          <w:rFonts w:ascii="Arial" w:hAnsi="Arial" w:cs="Arial"/>
          <w:color w:val="auto"/>
          <w:lang w:val="en-AU"/>
        </w:rPr>
        <w:t xml:space="preserve"> including </w:t>
      </w:r>
      <w:r w:rsidRPr="00205A32">
        <w:rPr>
          <w:rFonts w:ascii="Arial" w:hAnsi="Arial" w:cs="Arial"/>
          <w:color w:val="auto"/>
          <w:lang w:val="en-AU"/>
        </w:rPr>
        <w:t>a multilateral partner</w:t>
      </w:r>
      <w:r w:rsidR="00307AA3">
        <w:rPr>
          <w:rFonts w:ascii="Arial" w:hAnsi="Arial" w:cs="Arial"/>
          <w:color w:val="auto"/>
          <w:lang w:val="en-AU"/>
        </w:rPr>
        <w:t xml:space="preserve"> as well as </w:t>
      </w:r>
      <w:r w:rsidRPr="00205A32">
        <w:rPr>
          <w:rFonts w:ascii="Arial" w:hAnsi="Arial" w:cs="Arial"/>
          <w:color w:val="auto"/>
          <w:lang w:val="en-AU"/>
        </w:rPr>
        <w:t>a managing contractor (</w:t>
      </w:r>
      <w:r w:rsidR="00307AA3">
        <w:rPr>
          <w:rFonts w:ascii="Arial" w:hAnsi="Arial" w:cs="Arial"/>
          <w:color w:val="auto"/>
          <w:lang w:val="en-AU"/>
        </w:rPr>
        <w:t>that can work</w:t>
      </w:r>
      <w:r w:rsidRPr="00205A32">
        <w:rPr>
          <w:rFonts w:ascii="Arial" w:hAnsi="Arial" w:cs="Arial"/>
          <w:color w:val="auto"/>
          <w:lang w:val="en-AU"/>
        </w:rPr>
        <w:t xml:space="preserve"> directly </w:t>
      </w:r>
      <w:r w:rsidR="00307AA3">
        <w:rPr>
          <w:rFonts w:ascii="Arial" w:hAnsi="Arial" w:cs="Arial"/>
          <w:color w:val="auto"/>
          <w:lang w:val="en-AU"/>
        </w:rPr>
        <w:t>w</w:t>
      </w:r>
      <w:r w:rsidRPr="00205A32">
        <w:rPr>
          <w:rFonts w:ascii="Arial" w:hAnsi="Arial" w:cs="Arial"/>
          <w:color w:val="auto"/>
          <w:lang w:val="en-AU"/>
        </w:rPr>
        <w:t>ith the GoM and other partners)</w:t>
      </w:r>
      <w:r w:rsidR="00307AA3">
        <w:rPr>
          <w:rFonts w:ascii="Arial" w:hAnsi="Arial" w:cs="Arial"/>
          <w:color w:val="auto"/>
          <w:lang w:val="en-AU"/>
        </w:rPr>
        <w:t>.</w:t>
      </w:r>
    </w:p>
    <w:p w:rsidR="00307AA3" w:rsidRDefault="00307AA3" w:rsidP="00307AA3">
      <w:pPr>
        <w:pStyle w:val="ListParagraph"/>
        <w:numPr>
          <w:ilvl w:val="0"/>
          <w:numId w:val="42"/>
        </w:numPr>
        <w:suppressAutoHyphens w:val="0"/>
        <w:spacing w:after="120" w:line="240" w:lineRule="auto"/>
        <w:ind w:left="360"/>
        <w:contextualSpacing w:val="0"/>
        <w:jc w:val="both"/>
        <w:rPr>
          <w:rFonts w:ascii="Arial" w:hAnsi="Arial" w:cs="Arial"/>
          <w:color w:val="auto"/>
          <w:lang w:val="en-AU"/>
        </w:rPr>
      </w:pPr>
      <w:r>
        <w:rPr>
          <w:rFonts w:ascii="Arial" w:hAnsi="Arial" w:cs="Arial"/>
          <w:color w:val="auto"/>
          <w:lang w:val="en-AU"/>
        </w:rPr>
        <w:t>DFAT should consider monitoring more directly and proactively the work and functioning of implementing partners, including the planning and implementation of program/project processes, through Post as well as using external resources.</w:t>
      </w:r>
    </w:p>
    <w:p w:rsidR="00307AA3" w:rsidRPr="00307AA3" w:rsidRDefault="00307AA3" w:rsidP="00307AA3">
      <w:pPr>
        <w:pStyle w:val="ListParagraph"/>
        <w:tabs>
          <w:tab w:val="left" w:pos="357"/>
        </w:tabs>
        <w:suppressAutoHyphens w:val="0"/>
        <w:spacing w:before="0" w:after="0" w:line="240" w:lineRule="auto"/>
        <w:ind w:left="0"/>
        <w:contextualSpacing w:val="0"/>
        <w:jc w:val="both"/>
        <w:rPr>
          <w:rFonts w:ascii="Arial" w:hAnsi="Arial" w:cs="Arial"/>
          <w:iCs/>
          <w:color w:val="auto"/>
          <w:lang w:val="en-AU"/>
        </w:rPr>
      </w:pPr>
    </w:p>
    <w:p w:rsidR="0048133C" w:rsidRPr="000E4221" w:rsidRDefault="0048133C" w:rsidP="0048133C">
      <w:pPr>
        <w:pStyle w:val="ListParagraph"/>
        <w:numPr>
          <w:ilvl w:val="0"/>
          <w:numId w:val="15"/>
        </w:numPr>
        <w:tabs>
          <w:tab w:val="left" w:pos="357"/>
        </w:tabs>
        <w:suppressAutoHyphens w:val="0"/>
        <w:spacing w:before="0" w:after="0" w:line="240" w:lineRule="auto"/>
        <w:ind w:left="0" w:firstLine="0"/>
        <w:contextualSpacing w:val="0"/>
        <w:jc w:val="both"/>
        <w:rPr>
          <w:rFonts w:ascii="Arial" w:hAnsi="Arial" w:cs="Arial"/>
          <w:iCs/>
          <w:color w:val="auto"/>
          <w:lang w:val="en-AU"/>
        </w:rPr>
      </w:pPr>
      <w:r w:rsidRPr="00A372C1">
        <w:rPr>
          <w:rFonts w:ascii="Arial" w:hAnsi="Arial" w:cs="Arial"/>
          <w:color w:val="auto"/>
          <w:lang w:val="en-AU"/>
        </w:rPr>
        <w:t xml:space="preserve">These </w:t>
      </w:r>
      <w:r>
        <w:rPr>
          <w:rFonts w:ascii="Arial" w:hAnsi="Arial" w:cs="Arial"/>
          <w:color w:val="auto"/>
          <w:lang w:val="en-AU"/>
        </w:rPr>
        <w:t xml:space="preserve">aspects and recommendations </w:t>
      </w:r>
      <w:r w:rsidRPr="00A372C1">
        <w:rPr>
          <w:rFonts w:ascii="Arial" w:hAnsi="Arial" w:cs="Arial"/>
          <w:color w:val="auto"/>
          <w:lang w:val="en-AU"/>
        </w:rPr>
        <w:t>should be taken into account going forward</w:t>
      </w:r>
      <w:r>
        <w:rPr>
          <w:rFonts w:ascii="Arial" w:hAnsi="Arial" w:cs="Arial"/>
          <w:color w:val="auto"/>
          <w:lang w:val="en-AU"/>
        </w:rPr>
        <w:t xml:space="preserve"> when</w:t>
      </w:r>
      <w:r w:rsidRPr="00A372C1">
        <w:rPr>
          <w:rFonts w:ascii="Arial" w:hAnsi="Arial" w:cs="Arial"/>
          <w:color w:val="auto"/>
          <w:lang w:val="en-AU"/>
        </w:rPr>
        <w:t xml:space="preserve"> planning and designing a new program post-2020.</w:t>
      </w:r>
    </w:p>
    <w:p w:rsidR="004B1F57" w:rsidRDefault="004B1F57" w:rsidP="005F471B">
      <w:pPr>
        <w:pStyle w:val="ListParagraph"/>
        <w:tabs>
          <w:tab w:val="left" w:pos="357"/>
        </w:tabs>
        <w:spacing w:after="0" w:line="240" w:lineRule="auto"/>
        <w:ind w:left="0"/>
        <w:jc w:val="both"/>
        <w:rPr>
          <w:rFonts w:ascii="Arial" w:hAnsi="Arial" w:cs="Arial"/>
          <w:iCs/>
          <w:color w:val="auto"/>
          <w:lang w:val="en-AU"/>
        </w:rPr>
      </w:pPr>
    </w:p>
    <w:p w:rsidR="0048133C" w:rsidRPr="00A769DE" w:rsidRDefault="0048133C" w:rsidP="005F471B">
      <w:pPr>
        <w:pStyle w:val="ListParagraph"/>
        <w:tabs>
          <w:tab w:val="left" w:pos="357"/>
        </w:tabs>
        <w:spacing w:after="0" w:line="240" w:lineRule="auto"/>
        <w:ind w:left="0"/>
        <w:jc w:val="both"/>
        <w:rPr>
          <w:rFonts w:ascii="Arial" w:hAnsi="Arial" w:cs="Arial"/>
          <w:iCs/>
          <w:color w:val="auto"/>
          <w:lang w:val="en-AU"/>
        </w:rPr>
      </w:pPr>
    </w:p>
    <w:bookmarkEnd w:id="7"/>
    <w:bookmarkEnd w:id="8"/>
    <w:bookmarkEnd w:id="9"/>
    <w:bookmarkEnd w:id="10"/>
    <w:bookmarkEnd w:id="11"/>
    <w:bookmarkEnd w:id="12"/>
    <w:p w:rsidR="000B785F" w:rsidRPr="00A769DE" w:rsidRDefault="000B785F" w:rsidP="000B785F">
      <w:pPr>
        <w:pStyle w:val="Heading1"/>
        <w:spacing w:before="0"/>
        <w:rPr>
          <w:rFonts w:ascii="Arial" w:hAnsi="Arial" w:cs="Arial"/>
          <w:b w:val="0"/>
          <w:color w:val="auto"/>
          <w:szCs w:val="32"/>
          <w:lang w:val="en-AU"/>
        </w:rPr>
      </w:pPr>
      <w:r w:rsidRPr="00A769DE">
        <w:rPr>
          <w:rFonts w:ascii="Arial" w:hAnsi="Arial" w:cs="Arial"/>
          <w:color w:val="auto"/>
          <w:sz w:val="28"/>
          <w:lang w:val="en-AU"/>
        </w:rPr>
        <w:br w:type="page"/>
      </w:r>
    </w:p>
    <w:p w:rsidR="000B785F" w:rsidRPr="00A769DE" w:rsidRDefault="000B785F" w:rsidP="00B5401C">
      <w:pPr>
        <w:pStyle w:val="Heading1"/>
        <w:spacing w:before="0" w:after="600"/>
        <w:contextualSpacing w:val="0"/>
        <w:rPr>
          <w:rFonts w:ascii="Arial" w:hAnsi="Arial" w:cs="Arial"/>
          <w:color w:val="auto"/>
          <w:szCs w:val="32"/>
          <w:lang w:val="en-AU"/>
        </w:rPr>
      </w:pPr>
      <w:bookmarkStart w:id="90" w:name="_Toc522800493"/>
      <w:bookmarkStart w:id="91" w:name="_Toc525930566"/>
      <w:bookmarkStart w:id="92" w:name="_Toc530307616"/>
      <w:r w:rsidRPr="00A769DE">
        <w:rPr>
          <w:rFonts w:ascii="Arial" w:hAnsi="Arial" w:cs="Arial"/>
          <w:color w:val="auto"/>
          <w:szCs w:val="32"/>
          <w:lang w:val="en-AU"/>
        </w:rPr>
        <w:lastRenderedPageBreak/>
        <w:t>ANNEXES</w:t>
      </w:r>
      <w:bookmarkEnd w:id="90"/>
      <w:bookmarkEnd w:id="91"/>
      <w:bookmarkEnd w:id="92"/>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A – Implementation Plan / Terms of Reference (ToR)</w:t>
      </w: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B – Evaluation Plan</w:t>
      </w: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C – Aide Memoire</w:t>
      </w: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D – Documents Reviewed</w:t>
      </w: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E – Persons Consulted</w:t>
      </w: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F – ICCP Projects</w:t>
      </w: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G – ICCP Stated Objectives Over Time</w:t>
      </w:r>
    </w:p>
    <w:p w:rsidR="000B785F" w:rsidRPr="00A769DE" w:rsidRDefault="000B785F" w:rsidP="005D7BC5">
      <w:pPr>
        <w:pStyle w:val="ListParagraph"/>
        <w:tabs>
          <w:tab w:val="left" w:pos="357"/>
        </w:tabs>
        <w:spacing w:after="0" w:line="240" w:lineRule="auto"/>
        <w:ind w:left="0"/>
        <w:contextualSpacing w:val="0"/>
        <w:jc w:val="both"/>
        <w:rPr>
          <w:rFonts w:ascii="Arial" w:hAnsi="Arial" w:cs="Arial"/>
          <w:iCs/>
          <w:color w:val="auto"/>
          <w:lang w:val="en-AU"/>
        </w:rPr>
      </w:pPr>
      <w:r w:rsidRPr="00A769DE">
        <w:rPr>
          <w:rFonts w:ascii="Arial" w:hAnsi="Arial" w:cs="Arial"/>
          <w:iCs/>
          <w:color w:val="auto"/>
          <w:lang w:val="en-AU"/>
        </w:rPr>
        <w:t>Annex H – Myanmar DB Rankings and DTF Scores Over Time</w:t>
      </w: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center"/>
        <w:rPr>
          <w:rFonts w:ascii="Arial" w:hAnsi="Arial" w:cs="Arial"/>
          <w:iCs/>
          <w:color w:val="auto"/>
          <w:lang w:val="en-AU"/>
        </w:rPr>
      </w:pPr>
      <w:r w:rsidRPr="00A769DE">
        <w:rPr>
          <w:rFonts w:ascii="Arial" w:hAnsi="Arial" w:cs="Arial"/>
          <w:iCs/>
          <w:color w:val="auto"/>
          <w:lang w:val="en-AU"/>
        </w:rPr>
        <w:t>* * * * *</w:t>
      </w:r>
    </w:p>
    <w:p w:rsidR="000B785F" w:rsidRDefault="000B785F" w:rsidP="000B785F">
      <w:pPr>
        <w:pStyle w:val="ListParagraph"/>
        <w:tabs>
          <w:tab w:val="left" w:pos="357"/>
        </w:tabs>
        <w:spacing w:after="0" w:line="240" w:lineRule="auto"/>
        <w:ind w:left="0"/>
        <w:jc w:val="both"/>
        <w:rPr>
          <w:rFonts w:ascii="Arial" w:hAnsi="Arial" w:cs="Arial"/>
          <w:iCs/>
          <w:color w:val="auto"/>
          <w:lang w:val="en-AU"/>
        </w:rPr>
      </w:pPr>
    </w:p>
    <w:p w:rsidR="00927B24" w:rsidRPr="00A769DE" w:rsidRDefault="00927B24"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Heading2"/>
        <w:spacing w:before="0" w:after="60"/>
        <w:ind w:left="272" w:hanging="272"/>
        <w:rPr>
          <w:rFonts w:ascii="Arial" w:hAnsi="Arial" w:cs="Arial"/>
          <w:b/>
          <w:bCs/>
          <w:i/>
          <w:color w:val="auto"/>
          <w:sz w:val="24"/>
          <w:szCs w:val="24"/>
          <w:lang w:val="en-AU"/>
        </w:rPr>
      </w:pPr>
      <w:bookmarkStart w:id="93" w:name="_Toc522800494"/>
      <w:bookmarkStart w:id="94" w:name="_Toc525930567"/>
      <w:bookmarkStart w:id="95" w:name="_Toc530307617"/>
      <w:r w:rsidRPr="00A769DE">
        <w:rPr>
          <w:rFonts w:ascii="Arial" w:hAnsi="Arial" w:cs="Arial"/>
          <w:b/>
          <w:bCs/>
          <w:color w:val="auto"/>
          <w:sz w:val="24"/>
          <w:szCs w:val="24"/>
          <w:lang w:val="en-AU"/>
        </w:rPr>
        <w:t>Annex A – Implementation Plan / Terms of Reference (ToR)</w:t>
      </w:r>
      <w:bookmarkEnd w:id="93"/>
      <w:bookmarkEnd w:id="94"/>
      <w:bookmarkEnd w:id="95"/>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r w:rsidRPr="00A769DE">
        <w:rPr>
          <w:rFonts w:ascii="Arial" w:hAnsi="Arial" w:cs="Arial"/>
          <w:color w:val="auto"/>
          <w:lang w:val="en-AU"/>
        </w:rPr>
        <w:t>Please refer to separate file.</w:t>
      </w: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Heading2"/>
        <w:spacing w:before="0" w:after="60"/>
        <w:ind w:left="272" w:hanging="272"/>
        <w:rPr>
          <w:rFonts w:ascii="Arial" w:hAnsi="Arial" w:cs="Arial"/>
          <w:b/>
          <w:bCs/>
          <w:color w:val="auto"/>
          <w:sz w:val="24"/>
          <w:szCs w:val="24"/>
          <w:lang w:val="en-AU"/>
        </w:rPr>
      </w:pPr>
      <w:bookmarkStart w:id="96" w:name="_Toc522800495"/>
      <w:bookmarkStart w:id="97" w:name="_Toc525930568"/>
      <w:bookmarkStart w:id="98" w:name="_Toc530307618"/>
      <w:r w:rsidRPr="00A769DE">
        <w:rPr>
          <w:rFonts w:ascii="Arial" w:hAnsi="Arial" w:cs="Arial"/>
          <w:b/>
          <w:bCs/>
          <w:color w:val="auto"/>
          <w:sz w:val="24"/>
          <w:szCs w:val="24"/>
          <w:lang w:val="en-AU"/>
        </w:rPr>
        <w:t>Annex B – Evaluation Plan</w:t>
      </w:r>
      <w:bookmarkEnd w:id="96"/>
      <w:bookmarkEnd w:id="97"/>
      <w:bookmarkEnd w:id="98"/>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r w:rsidRPr="00A769DE">
        <w:rPr>
          <w:rFonts w:ascii="Arial" w:hAnsi="Arial" w:cs="Arial"/>
          <w:color w:val="auto"/>
          <w:lang w:val="en-AU"/>
        </w:rPr>
        <w:t>Please refer to separate file.</w:t>
      </w: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pStyle w:val="Heading2"/>
        <w:spacing w:before="0" w:after="60"/>
        <w:ind w:left="272" w:hanging="272"/>
        <w:rPr>
          <w:rFonts w:ascii="Arial" w:hAnsi="Arial" w:cs="Arial"/>
          <w:b/>
          <w:bCs/>
          <w:color w:val="auto"/>
          <w:sz w:val="24"/>
          <w:szCs w:val="24"/>
          <w:lang w:val="en-AU"/>
        </w:rPr>
      </w:pPr>
      <w:bookmarkStart w:id="99" w:name="_Toc522800496"/>
      <w:bookmarkStart w:id="100" w:name="_Toc525930569"/>
      <w:bookmarkStart w:id="101" w:name="_Toc530307619"/>
      <w:r w:rsidRPr="00A769DE">
        <w:rPr>
          <w:rFonts w:ascii="Arial" w:hAnsi="Arial" w:cs="Arial"/>
          <w:b/>
          <w:bCs/>
          <w:color w:val="auto"/>
          <w:sz w:val="24"/>
          <w:szCs w:val="24"/>
          <w:lang w:val="en-AU"/>
        </w:rPr>
        <w:t>Annex C – Aide Memoire</w:t>
      </w:r>
      <w:bookmarkEnd w:id="99"/>
      <w:bookmarkEnd w:id="100"/>
      <w:bookmarkEnd w:id="101"/>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r w:rsidRPr="00A769DE">
        <w:rPr>
          <w:rFonts w:ascii="Arial" w:hAnsi="Arial" w:cs="Arial"/>
          <w:color w:val="auto"/>
          <w:lang w:val="en-AU"/>
        </w:rPr>
        <w:t>Please refer to separate file.</w:t>
      </w:r>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p>
    <w:p w:rsidR="000B785F" w:rsidRPr="00A769DE" w:rsidRDefault="000B785F" w:rsidP="000B785F">
      <w:pPr>
        <w:spacing w:before="0" w:after="0"/>
        <w:rPr>
          <w:rFonts w:ascii="Arial" w:hAnsi="Arial" w:cs="Arial"/>
          <w:color w:val="auto"/>
          <w:lang w:val="en-AU"/>
        </w:rPr>
      </w:pPr>
      <w:r w:rsidRPr="00A769DE">
        <w:rPr>
          <w:rFonts w:ascii="Arial" w:hAnsi="Arial" w:cs="Arial"/>
          <w:color w:val="auto"/>
          <w:lang w:val="en-AU"/>
        </w:rPr>
        <w:br w:type="page"/>
      </w:r>
    </w:p>
    <w:p w:rsidR="000B785F" w:rsidRPr="00A769DE" w:rsidRDefault="000B785F" w:rsidP="000B785F">
      <w:pPr>
        <w:pStyle w:val="Heading2"/>
        <w:spacing w:before="0" w:after="60"/>
        <w:ind w:left="272" w:hanging="272"/>
        <w:rPr>
          <w:rFonts w:ascii="Arial" w:hAnsi="Arial" w:cs="Arial"/>
          <w:b/>
          <w:bCs/>
          <w:color w:val="auto"/>
          <w:sz w:val="24"/>
          <w:szCs w:val="24"/>
          <w:lang w:val="en-AU"/>
        </w:rPr>
      </w:pPr>
      <w:bookmarkStart w:id="102" w:name="_Toc522800497"/>
      <w:bookmarkStart w:id="103" w:name="_Toc525930570"/>
      <w:bookmarkStart w:id="104" w:name="_Toc530307620"/>
      <w:bookmarkStart w:id="105" w:name="_Toc304542706"/>
      <w:r w:rsidRPr="00A769DE">
        <w:rPr>
          <w:rFonts w:ascii="Arial" w:hAnsi="Arial" w:cs="Arial"/>
          <w:b/>
          <w:bCs/>
          <w:color w:val="auto"/>
          <w:sz w:val="24"/>
          <w:szCs w:val="24"/>
          <w:lang w:val="en-AU"/>
        </w:rPr>
        <w:lastRenderedPageBreak/>
        <w:t>Annex D – Documents Reviewed</w:t>
      </w:r>
      <w:bookmarkEnd w:id="102"/>
      <w:bookmarkEnd w:id="103"/>
      <w:bookmarkEnd w:id="104"/>
    </w:p>
    <w:bookmarkEnd w:id="105"/>
    <w:p w:rsidR="00983ACE" w:rsidRPr="00A769DE" w:rsidRDefault="00983ACE" w:rsidP="00983ACE">
      <w:pPr>
        <w:pStyle w:val="nm"/>
        <w:spacing w:before="60" w:after="60"/>
        <w:ind w:left="0"/>
        <w:rPr>
          <w:rFonts w:ascii="Arial" w:hAnsi="Arial" w:cs="Arial"/>
          <w:lang w:val="en-AU"/>
        </w:rPr>
      </w:pPr>
    </w:p>
    <w:p w:rsidR="00983ACE" w:rsidRPr="00A769DE" w:rsidRDefault="00983ACE" w:rsidP="00983ACE">
      <w:pPr>
        <w:spacing w:before="60"/>
        <w:rPr>
          <w:rFonts w:ascii="Arial" w:hAnsi="Arial" w:cs="Arial"/>
          <w:color w:val="auto"/>
          <w:lang w:val="en-AU"/>
        </w:rPr>
      </w:pPr>
      <w:r w:rsidRPr="00A769DE">
        <w:rPr>
          <w:rFonts w:ascii="Arial" w:hAnsi="Arial" w:cs="Arial"/>
          <w:color w:val="auto"/>
          <w:u w:val="single"/>
          <w:lang w:val="en-AU"/>
        </w:rPr>
        <w:t>DFAT Documents</w:t>
      </w:r>
      <w:r w:rsidRPr="00A769DE">
        <w:rPr>
          <w:rFonts w:ascii="Arial" w:hAnsi="Arial" w:cs="Arial"/>
          <w:color w:val="auto"/>
          <w:lang w:val="en-AU"/>
        </w:rPr>
        <w:t>:</w:t>
      </w:r>
    </w:p>
    <w:p w:rsidR="00983ACE" w:rsidRPr="00A769DE" w:rsidRDefault="00983ACE"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A769DE">
        <w:rPr>
          <w:rFonts w:ascii="Arial" w:hAnsi="Arial" w:cs="Arial"/>
          <w:color w:val="auto"/>
          <w:lang w:val="en-AU"/>
        </w:rPr>
        <w:t>“Aid Investment Plan – Myanmar – 2015-2020”, 2015.</w:t>
      </w:r>
    </w:p>
    <w:p w:rsidR="00983ACE" w:rsidRPr="00A769DE" w:rsidRDefault="00983ACE"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A769DE">
        <w:rPr>
          <w:rFonts w:ascii="Arial" w:hAnsi="Arial" w:cs="Arial"/>
          <w:color w:val="auto"/>
          <w:lang w:val="en-AU"/>
        </w:rPr>
        <w:t>“Strategy for Australia’s Aid for Trade Investments – Supporting developing countries to trade and prosper”, July 2015.</w:t>
      </w:r>
    </w:p>
    <w:p w:rsidR="009A6733" w:rsidRDefault="009A6733"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Pr>
          <w:rFonts w:ascii="Arial" w:hAnsi="Arial" w:cs="Arial"/>
          <w:color w:val="auto"/>
          <w:lang w:val="en-AU"/>
        </w:rPr>
        <w:t>“</w:t>
      </w:r>
      <w:r w:rsidRPr="009A6733">
        <w:rPr>
          <w:rFonts w:ascii="Arial" w:hAnsi="Arial" w:cs="Arial"/>
          <w:color w:val="auto"/>
          <w:lang w:val="en-AU"/>
        </w:rPr>
        <w:t>Women and the economy in Myanmar</w:t>
      </w:r>
      <w:r>
        <w:rPr>
          <w:rFonts w:ascii="Arial" w:hAnsi="Arial" w:cs="Arial"/>
          <w:color w:val="auto"/>
          <w:lang w:val="en-AU"/>
        </w:rPr>
        <w:t>:</w:t>
      </w:r>
      <w:r w:rsidRPr="009A6733">
        <w:rPr>
          <w:rFonts w:ascii="Arial" w:hAnsi="Arial" w:cs="Arial"/>
          <w:color w:val="auto"/>
          <w:lang w:val="en-AU"/>
        </w:rPr>
        <w:t xml:space="preserve"> An assessment of DFAT’s private sector development programs</w:t>
      </w:r>
      <w:r>
        <w:rPr>
          <w:rFonts w:ascii="Arial" w:hAnsi="Arial" w:cs="Arial"/>
          <w:color w:val="auto"/>
          <w:lang w:val="en-AU"/>
        </w:rPr>
        <w:t>”, January 2016.</w:t>
      </w:r>
    </w:p>
    <w:p w:rsidR="00BA7CFE" w:rsidRDefault="00270FAD"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270FAD">
        <w:rPr>
          <w:rFonts w:ascii="Arial" w:hAnsi="Arial" w:cs="Arial"/>
          <w:color w:val="auto"/>
          <w:lang w:val="en-AU"/>
        </w:rPr>
        <w:t>“Yangon Post Management Response to the DFAT Gender Assessment</w:t>
      </w:r>
      <w:r>
        <w:rPr>
          <w:rFonts w:ascii="Arial" w:hAnsi="Arial" w:cs="Arial"/>
          <w:color w:val="auto"/>
          <w:lang w:val="en-AU"/>
        </w:rPr>
        <w:t>”, 2016.</w:t>
      </w:r>
    </w:p>
    <w:p w:rsidR="00983ACE" w:rsidRDefault="00983ACE"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BA7CFE">
        <w:rPr>
          <w:rFonts w:ascii="Arial" w:hAnsi="Arial" w:cs="Arial"/>
          <w:color w:val="auto"/>
          <w:lang w:val="en-AU"/>
        </w:rPr>
        <w:t>“Gender equality and Women’s Empowerment Strategy”, February 2016.</w:t>
      </w:r>
    </w:p>
    <w:p w:rsidR="006078E9" w:rsidRPr="00BA7CFE" w:rsidRDefault="006078E9"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Pr>
          <w:rFonts w:ascii="Arial" w:hAnsi="Arial" w:cs="Arial"/>
          <w:color w:val="auto"/>
          <w:lang w:val="en-AU"/>
        </w:rPr>
        <w:t xml:space="preserve">“Aid Evaluation Policy”, </w:t>
      </w:r>
      <w:r w:rsidRPr="006078E9">
        <w:rPr>
          <w:rFonts w:ascii="Arial" w:hAnsi="Arial" w:cs="Arial"/>
          <w:color w:val="auto"/>
          <w:lang w:val="en-AU"/>
        </w:rPr>
        <w:t>November 2016</w:t>
      </w:r>
      <w:r>
        <w:rPr>
          <w:rFonts w:ascii="Arial" w:hAnsi="Arial" w:cs="Arial"/>
          <w:color w:val="auto"/>
          <w:lang w:val="en-AU"/>
        </w:rPr>
        <w:t>.</w:t>
      </w:r>
    </w:p>
    <w:p w:rsidR="00983ACE" w:rsidRPr="00A769DE" w:rsidRDefault="00983ACE"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A769DE">
        <w:rPr>
          <w:rFonts w:ascii="Arial" w:hAnsi="Arial" w:cs="Arial"/>
          <w:color w:val="auto"/>
          <w:lang w:val="en-AU"/>
        </w:rPr>
        <w:t>“Monitoring and Evaluation Standards”, April 2017.</w:t>
      </w:r>
    </w:p>
    <w:p w:rsidR="00983ACE" w:rsidRPr="00A769DE" w:rsidRDefault="00983ACE"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A769DE">
        <w:rPr>
          <w:rFonts w:ascii="Arial" w:hAnsi="Arial" w:cs="Arial"/>
          <w:color w:val="auto"/>
          <w:lang w:val="en-AU"/>
        </w:rPr>
        <w:t>“Investment Design Summary Title Burma Investment Climate and Competitiveness Program”, 6 May 2015.</w:t>
      </w:r>
    </w:p>
    <w:p w:rsidR="00983ACE" w:rsidRPr="00A769DE" w:rsidRDefault="00983ACE"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A769DE">
        <w:rPr>
          <w:rFonts w:ascii="Arial" w:hAnsi="Arial" w:cs="Arial"/>
          <w:color w:val="auto"/>
          <w:lang w:val="en-AU"/>
        </w:rPr>
        <w:t>“Partner Performance Assessment (PPA)”, 4 April 2018.</w:t>
      </w:r>
    </w:p>
    <w:p w:rsidR="00983ACE" w:rsidRPr="00A769DE" w:rsidRDefault="00983ACE" w:rsidP="00BA7CFE">
      <w:pPr>
        <w:pStyle w:val="ListParagraph"/>
        <w:numPr>
          <w:ilvl w:val="0"/>
          <w:numId w:val="20"/>
        </w:numPr>
        <w:suppressAutoHyphens w:val="0"/>
        <w:spacing w:before="60" w:line="240" w:lineRule="auto"/>
        <w:ind w:left="360"/>
        <w:contextualSpacing w:val="0"/>
        <w:jc w:val="both"/>
        <w:rPr>
          <w:rFonts w:ascii="Arial" w:hAnsi="Arial" w:cs="Arial"/>
          <w:color w:val="auto"/>
          <w:lang w:val="en-AU"/>
        </w:rPr>
      </w:pPr>
      <w:r w:rsidRPr="00A769DE">
        <w:rPr>
          <w:rFonts w:ascii="Arial" w:hAnsi="Arial" w:cs="Arial"/>
          <w:color w:val="auto"/>
          <w:lang w:val="en-AU"/>
        </w:rPr>
        <w:t>“Aid Quality Check for INL739 Burma Investment Climate and Private Sector”, 19 April 2018.</w:t>
      </w:r>
    </w:p>
    <w:p w:rsidR="00983ACE" w:rsidRDefault="00983ACE" w:rsidP="00983ACE">
      <w:pPr>
        <w:spacing w:before="60"/>
        <w:rPr>
          <w:rFonts w:ascii="Arial" w:hAnsi="Arial" w:cs="Arial"/>
          <w:color w:val="auto"/>
          <w:lang w:val="en-AU"/>
        </w:rPr>
      </w:pPr>
    </w:p>
    <w:p w:rsidR="000B785F" w:rsidRPr="00A769DE" w:rsidRDefault="00905428" w:rsidP="000B785F">
      <w:pPr>
        <w:spacing w:before="60"/>
        <w:rPr>
          <w:rFonts w:ascii="Arial" w:hAnsi="Arial" w:cs="Arial"/>
          <w:color w:val="auto"/>
          <w:lang w:val="en-AU"/>
        </w:rPr>
      </w:pPr>
      <w:r>
        <w:rPr>
          <w:rFonts w:ascii="Arial" w:hAnsi="Arial" w:cs="Arial"/>
          <w:color w:val="auto"/>
          <w:u w:val="single"/>
          <w:lang w:val="en-AU"/>
        </w:rPr>
        <w:t>IFC/ICCP</w:t>
      </w:r>
      <w:r w:rsidR="000B785F" w:rsidRPr="00A769DE">
        <w:rPr>
          <w:rFonts w:ascii="Arial" w:hAnsi="Arial" w:cs="Arial"/>
          <w:color w:val="auto"/>
          <w:u w:val="single"/>
          <w:lang w:val="en-AU"/>
        </w:rPr>
        <w:t xml:space="preserve"> Documents</w:t>
      </w:r>
      <w:r w:rsidR="000B785F" w:rsidRPr="00A769DE">
        <w:rPr>
          <w:rFonts w:ascii="Arial" w:hAnsi="Arial" w:cs="Arial"/>
          <w:color w:val="auto"/>
          <w:lang w:val="en-AU"/>
        </w:rPr>
        <w:t>:</w:t>
      </w:r>
    </w:p>
    <w:p w:rsidR="000B785F" w:rsidRPr="00A769DE"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“Concept Note to MDTF on the World Bank Group Investment Climate and Competitiveness Program”, May 2015.</w:t>
      </w:r>
    </w:p>
    <w:p w:rsidR="000B785F" w:rsidRPr="00A769DE"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“Concept Note on Proposed Additional Programs under the Private Sector Window of the Myanmar Multi-donor Trust Fund”, May 2018.</w:t>
      </w:r>
    </w:p>
    <w:p w:rsidR="000B785F"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“How ICCP is Contributing to Private Sector Development in Myanmar” [ICCP Narrative for Discussion], May 2018.</w:t>
      </w:r>
    </w:p>
    <w:p w:rsidR="00905428" w:rsidRPr="00A769DE" w:rsidRDefault="00905428"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Pr>
          <w:rFonts w:ascii="Arial" w:hAnsi="Arial" w:cs="Arial"/>
          <w:color w:val="auto"/>
          <w:lang w:val="en-AU"/>
        </w:rPr>
        <w:t>“</w:t>
      </w:r>
      <w:r w:rsidRPr="00905428">
        <w:rPr>
          <w:rFonts w:ascii="Arial" w:hAnsi="Arial" w:cs="Arial"/>
          <w:color w:val="auto"/>
          <w:lang w:val="en-AU"/>
        </w:rPr>
        <w:t>Performance and Perception of FDI firms in Myanmar</w:t>
      </w:r>
      <w:r>
        <w:rPr>
          <w:rFonts w:ascii="Arial" w:hAnsi="Arial" w:cs="Arial"/>
          <w:color w:val="auto"/>
          <w:lang w:val="en-AU"/>
        </w:rPr>
        <w:t>”, Pr</w:t>
      </w:r>
      <w:r w:rsidR="00E62EA1">
        <w:rPr>
          <w:rFonts w:ascii="Arial" w:hAnsi="Arial" w:cs="Arial"/>
          <w:color w:val="auto"/>
          <w:lang w:val="en-AU"/>
        </w:rPr>
        <w:t>esentation, 2018.</w:t>
      </w:r>
    </w:p>
    <w:p w:rsidR="000B785F" w:rsidRPr="00A769DE"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 xml:space="preserve">Quarterly Reports for the ICCP dated </w:t>
      </w:r>
      <w:r w:rsidR="006C7AD6">
        <w:rPr>
          <w:rFonts w:ascii="Arial" w:hAnsi="Arial" w:cs="Arial"/>
          <w:color w:val="auto"/>
          <w:lang w:val="en-AU"/>
        </w:rPr>
        <w:t xml:space="preserve">19 December 2015, 17 March 2016, </w:t>
      </w:r>
      <w:r w:rsidRPr="00A769DE">
        <w:rPr>
          <w:rFonts w:ascii="Arial" w:hAnsi="Arial" w:cs="Arial"/>
          <w:color w:val="auto"/>
          <w:lang w:val="en-AU"/>
        </w:rPr>
        <w:t>25 April 2017, 24 August 2017, 30 January 2018 (including ‘Update o</w:t>
      </w:r>
      <w:r w:rsidR="006C7AD6">
        <w:rPr>
          <w:rFonts w:ascii="Arial" w:hAnsi="Arial" w:cs="Arial"/>
          <w:color w:val="auto"/>
          <w:lang w:val="en-AU"/>
        </w:rPr>
        <w:t xml:space="preserve">n New Activities’), 17 May 2018 and </w:t>
      </w:r>
      <w:r w:rsidRPr="00A769DE">
        <w:rPr>
          <w:rFonts w:ascii="Arial" w:hAnsi="Arial" w:cs="Arial"/>
          <w:color w:val="auto"/>
          <w:lang w:val="en-AU"/>
        </w:rPr>
        <w:t>2</w:t>
      </w:r>
      <w:r w:rsidR="006C7AD6">
        <w:rPr>
          <w:rFonts w:ascii="Arial" w:hAnsi="Arial" w:cs="Arial"/>
          <w:color w:val="auto"/>
          <w:lang w:val="en-AU"/>
        </w:rPr>
        <w:t>3</w:t>
      </w:r>
      <w:r w:rsidRPr="00A769DE">
        <w:rPr>
          <w:rFonts w:ascii="Arial" w:hAnsi="Arial" w:cs="Arial"/>
          <w:color w:val="auto"/>
          <w:lang w:val="en-AU"/>
        </w:rPr>
        <w:t xml:space="preserve"> August 2018.</w:t>
      </w:r>
    </w:p>
    <w:p w:rsidR="006C7AD6" w:rsidRPr="00A769DE" w:rsidRDefault="006C7AD6" w:rsidP="006C7AD6">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 xml:space="preserve">Minutes from Quarterly Governance meetings held on </w:t>
      </w:r>
      <w:r>
        <w:rPr>
          <w:rFonts w:ascii="Arial" w:hAnsi="Arial" w:cs="Arial"/>
          <w:color w:val="auto"/>
          <w:lang w:val="en-AU"/>
        </w:rPr>
        <w:t xml:space="preserve">17 March 2016, </w:t>
      </w:r>
      <w:r w:rsidRPr="00A769DE">
        <w:rPr>
          <w:rFonts w:ascii="Arial" w:hAnsi="Arial" w:cs="Arial"/>
          <w:color w:val="auto"/>
          <w:lang w:val="en-AU"/>
        </w:rPr>
        <w:t xml:space="preserve">24 August 2017, </w:t>
      </w:r>
      <w:r>
        <w:rPr>
          <w:rFonts w:ascii="Arial" w:hAnsi="Arial" w:cs="Arial"/>
          <w:color w:val="auto"/>
          <w:lang w:val="en-AU"/>
        </w:rPr>
        <w:t>30 January 2018 and 24 May 2018, and 22 August 2018.</w:t>
      </w:r>
    </w:p>
    <w:p w:rsidR="000B785F" w:rsidRPr="00A769DE" w:rsidRDefault="00983ACE"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Pr>
          <w:rFonts w:ascii="Arial" w:hAnsi="Arial" w:cs="Arial"/>
          <w:color w:val="auto"/>
          <w:lang w:val="en-AU"/>
        </w:rPr>
        <w:t>Implementation Plans or Concept Notes for the 11 specific</w:t>
      </w:r>
      <w:r w:rsidR="000B785F" w:rsidRPr="00A769DE">
        <w:rPr>
          <w:rFonts w:ascii="Arial" w:hAnsi="Arial" w:cs="Arial"/>
          <w:color w:val="auto"/>
          <w:lang w:val="en-AU"/>
        </w:rPr>
        <w:t xml:space="preserve"> </w:t>
      </w:r>
      <w:r>
        <w:rPr>
          <w:rFonts w:ascii="Arial" w:hAnsi="Arial" w:cs="Arial"/>
          <w:color w:val="auto"/>
          <w:lang w:val="en-AU"/>
        </w:rPr>
        <w:t xml:space="preserve">ICCP </w:t>
      </w:r>
      <w:r w:rsidR="000B785F" w:rsidRPr="00A769DE">
        <w:rPr>
          <w:rFonts w:ascii="Arial" w:hAnsi="Arial" w:cs="Arial"/>
          <w:color w:val="auto"/>
          <w:lang w:val="en-AU"/>
        </w:rPr>
        <w:t>project</w:t>
      </w:r>
      <w:r>
        <w:rPr>
          <w:rFonts w:ascii="Arial" w:hAnsi="Arial" w:cs="Arial"/>
          <w:color w:val="auto"/>
          <w:lang w:val="en-AU"/>
        </w:rPr>
        <w:t>s.</w:t>
      </w:r>
    </w:p>
    <w:p w:rsidR="000B785F" w:rsidRPr="00A769DE" w:rsidRDefault="000B785F" w:rsidP="000B785F">
      <w:pPr>
        <w:spacing w:before="60"/>
        <w:rPr>
          <w:rFonts w:ascii="Arial" w:hAnsi="Arial" w:cs="Arial"/>
          <w:color w:val="auto"/>
          <w:lang w:val="en-AU"/>
        </w:rPr>
      </w:pPr>
    </w:p>
    <w:p w:rsidR="000B785F" w:rsidRPr="00A769DE" w:rsidRDefault="00A10AD6" w:rsidP="000B785F">
      <w:pPr>
        <w:spacing w:before="60"/>
        <w:rPr>
          <w:rFonts w:ascii="Arial" w:hAnsi="Arial" w:cs="Arial"/>
          <w:color w:val="auto"/>
          <w:lang w:val="en-AU"/>
        </w:rPr>
      </w:pPr>
      <w:r w:rsidRPr="00A10AD6">
        <w:rPr>
          <w:rFonts w:ascii="Arial" w:hAnsi="Arial" w:cs="Arial"/>
          <w:iCs/>
          <w:color w:val="auto"/>
          <w:u w:val="single"/>
          <w:lang w:val="en-AU"/>
        </w:rPr>
        <w:t xml:space="preserve">Myanmar Partnership </w:t>
      </w:r>
      <w:r w:rsidR="000B785F" w:rsidRPr="00A10AD6">
        <w:rPr>
          <w:rFonts w:ascii="Arial" w:hAnsi="Arial" w:cs="Arial"/>
          <w:color w:val="auto"/>
          <w:u w:val="single"/>
          <w:lang w:val="en-AU"/>
        </w:rPr>
        <w:t>MDTF</w:t>
      </w:r>
      <w:r w:rsidR="000B785F" w:rsidRPr="00A769DE">
        <w:rPr>
          <w:rFonts w:ascii="Arial" w:hAnsi="Arial" w:cs="Arial"/>
          <w:color w:val="auto"/>
          <w:u w:val="single"/>
          <w:lang w:val="en-AU"/>
        </w:rPr>
        <w:t xml:space="preserve"> Documents</w:t>
      </w:r>
      <w:r w:rsidR="000B785F" w:rsidRPr="00A769DE">
        <w:rPr>
          <w:rFonts w:ascii="Arial" w:hAnsi="Arial" w:cs="Arial"/>
          <w:color w:val="auto"/>
          <w:lang w:val="en-AU"/>
        </w:rPr>
        <w:t>:</w:t>
      </w:r>
    </w:p>
    <w:p w:rsidR="000B785F" w:rsidRPr="00A769DE"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Annual Report July 2014-June 2015.</w:t>
      </w:r>
    </w:p>
    <w:p w:rsidR="000B785F" w:rsidRPr="00A769DE"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Semi-Annual Report October 2015-April 2016.</w:t>
      </w:r>
    </w:p>
    <w:p w:rsidR="000B785F" w:rsidRPr="00A769DE"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Semi-Annual Report May-October 2016.</w:t>
      </w:r>
    </w:p>
    <w:p w:rsidR="000B785F"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Semi-Annual Report April-September 2017 (</w:t>
      </w:r>
      <w:r w:rsidR="004E753C" w:rsidRPr="00A769DE">
        <w:rPr>
          <w:rFonts w:ascii="Arial" w:hAnsi="Arial" w:cs="Arial"/>
          <w:color w:val="auto"/>
          <w:lang w:val="en-AU"/>
        </w:rPr>
        <w:t>Executive Summary, Key Outcomes and Deliverables, Financial Report, Project Status Report</w:t>
      </w:r>
      <w:r w:rsidRPr="00A769DE">
        <w:rPr>
          <w:rFonts w:ascii="Arial" w:hAnsi="Arial" w:cs="Arial"/>
          <w:color w:val="auto"/>
          <w:lang w:val="en-AU"/>
        </w:rPr>
        <w:t>), 10 November 2017.</w:t>
      </w:r>
    </w:p>
    <w:p w:rsidR="00D4487C" w:rsidRPr="00A769DE" w:rsidRDefault="00D4487C"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Pr>
          <w:rFonts w:ascii="Arial" w:hAnsi="Arial" w:cs="Arial"/>
          <w:color w:val="auto"/>
          <w:lang w:val="en-AU"/>
        </w:rPr>
        <w:t>Semi-Annual R</w:t>
      </w:r>
      <w:r w:rsidRPr="00D4487C">
        <w:rPr>
          <w:rFonts w:ascii="Arial" w:hAnsi="Arial" w:cs="Arial"/>
          <w:color w:val="auto"/>
          <w:lang w:val="en-AU"/>
        </w:rPr>
        <w:t>eport</w:t>
      </w:r>
      <w:r w:rsidR="004E753C">
        <w:rPr>
          <w:rFonts w:ascii="Arial" w:hAnsi="Arial" w:cs="Arial"/>
          <w:color w:val="auto"/>
          <w:lang w:val="en-AU"/>
        </w:rPr>
        <w:t xml:space="preserve"> October 2017-March 2018</w:t>
      </w:r>
      <w:r>
        <w:rPr>
          <w:rFonts w:ascii="Arial" w:hAnsi="Arial" w:cs="Arial"/>
          <w:color w:val="auto"/>
          <w:lang w:val="en-AU"/>
        </w:rPr>
        <w:t xml:space="preserve"> </w:t>
      </w:r>
      <w:r w:rsidR="004E753C" w:rsidRPr="00A769DE">
        <w:rPr>
          <w:rFonts w:ascii="Arial" w:hAnsi="Arial" w:cs="Arial"/>
          <w:color w:val="auto"/>
          <w:lang w:val="en-AU"/>
        </w:rPr>
        <w:t xml:space="preserve">(Executive Summary, </w:t>
      </w:r>
      <w:r w:rsidR="004E753C">
        <w:rPr>
          <w:rFonts w:ascii="Arial" w:hAnsi="Arial" w:cs="Arial"/>
          <w:color w:val="auto"/>
          <w:lang w:val="en-AU"/>
        </w:rPr>
        <w:t xml:space="preserve">Social Development and Inclusion, Institutional Strengthening, Private Sector Development, Cross Cutting, Result Stories, </w:t>
      </w:r>
      <w:r w:rsidR="004E753C" w:rsidRPr="00A769DE">
        <w:rPr>
          <w:rFonts w:ascii="Arial" w:hAnsi="Arial" w:cs="Arial"/>
          <w:color w:val="auto"/>
          <w:lang w:val="en-AU"/>
        </w:rPr>
        <w:t>Financial Status)</w:t>
      </w:r>
      <w:r w:rsidR="004E753C">
        <w:rPr>
          <w:rFonts w:ascii="Arial" w:hAnsi="Arial" w:cs="Arial"/>
          <w:color w:val="auto"/>
          <w:lang w:val="en-AU"/>
        </w:rPr>
        <w:t xml:space="preserve">, </w:t>
      </w:r>
      <w:r>
        <w:rPr>
          <w:rFonts w:ascii="Arial" w:hAnsi="Arial" w:cs="Arial"/>
          <w:color w:val="auto"/>
          <w:lang w:val="en-AU"/>
        </w:rPr>
        <w:t>16 May 2018.</w:t>
      </w:r>
    </w:p>
    <w:p w:rsidR="000B785F" w:rsidRPr="00A769DE"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Original Results Matrix, 31 March 2018.</w:t>
      </w:r>
    </w:p>
    <w:p w:rsidR="000B785F" w:rsidRDefault="000B785F"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Minutes from Steering Committee meetings held on 29 September 2014, 12 May 2015, 20 October 2015, 26 May 2016, 23 November 2016, 29 May 2017 and 16 May 2018.</w:t>
      </w:r>
    </w:p>
    <w:p w:rsidR="003C39C7" w:rsidRDefault="003C39C7" w:rsidP="00A9264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Pr>
          <w:rFonts w:ascii="Arial" w:hAnsi="Arial" w:cs="Arial"/>
          <w:color w:val="auto"/>
          <w:lang w:val="en-AU"/>
        </w:rPr>
        <w:lastRenderedPageBreak/>
        <w:t xml:space="preserve">Financial reports: </w:t>
      </w:r>
      <w:r w:rsidR="00904454">
        <w:rPr>
          <w:rFonts w:ascii="Arial" w:hAnsi="Arial" w:cs="Arial"/>
          <w:color w:val="auto"/>
          <w:lang w:val="en-AU"/>
        </w:rPr>
        <w:t xml:space="preserve">September 2014, </w:t>
      </w:r>
      <w:r>
        <w:rPr>
          <w:rFonts w:ascii="Arial" w:hAnsi="Arial" w:cs="Arial"/>
          <w:color w:val="auto"/>
          <w:lang w:val="en-AU"/>
        </w:rPr>
        <w:t xml:space="preserve">April 2015, October 2015, April 2016, </w:t>
      </w:r>
      <w:r w:rsidR="00C121E5">
        <w:rPr>
          <w:rFonts w:ascii="Arial" w:hAnsi="Arial" w:cs="Arial"/>
          <w:color w:val="auto"/>
          <w:lang w:val="en-AU"/>
        </w:rPr>
        <w:t>November 2016, March 2017, June 2017, September 2017, December 2017 and March 2018.</w:t>
      </w:r>
    </w:p>
    <w:p w:rsidR="00D4487C" w:rsidRDefault="00D4487C" w:rsidP="00D4487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sidRPr="00D4487C">
        <w:rPr>
          <w:rFonts w:ascii="Arial" w:hAnsi="Arial" w:cs="Arial"/>
          <w:color w:val="auto"/>
          <w:lang w:val="en-AU"/>
        </w:rPr>
        <w:t>Operating Guidelines, Draft, 9 December 2018.</w:t>
      </w:r>
    </w:p>
    <w:p w:rsidR="00D4487C" w:rsidRPr="00D4487C" w:rsidRDefault="00D4487C" w:rsidP="00D4487C">
      <w:pPr>
        <w:pStyle w:val="ListParagraph"/>
        <w:numPr>
          <w:ilvl w:val="0"/>
          <w:numId w:val="23"/>
        </w:numPr>
        <w:suppressAutoHyphens w:val="0"/>
        <w:spacing w:before="60" w:line="240" w:lineRule="auto"/>
        <w:ind w:left="357" w:hanging="357"/>
        <w:contextualSpacing w:val="0"/>
        <w:jc w:val="both"/>
        <w:rPr>
          <w:rFonts w:ascii="Arial" w:hAnsi="Arial" w:cs="Arial"/>
          <w:color w:val="auto"/>
          <w:lang w:val="en-AU"/>
        </w:rPr>
      </w:pPr>
      <w:r>
        <w:rPr>
          <w:rFonts w:ascii="Arial" w:hAnsi="Arial" w:cs="Arial"/>
          <w:color w:val="auto"/>
          <w:lang w:val="en-AU"/>
        </w:rPr>
        <w:t xml:space="preserve">‘Template for Terms for References for Working Groups established under the Myanmar Multi-Donor Trust Fund’, </w:t>
      </w:r>
      <w:r w:rsidR="0067343C">
        <w:rPr>
          <w:rFonts w:ascii="Arial" w:hAnsi="Arial" w:cs="Arial"/>
          <w:color w:val="auto"/>
          <w:lang w:val="en-AU"/>
        </w:rPr>
        <w:t xml:space="preserve">Draft, </w:t>
      </w:r>
      <w:r>
        <w:rPr>
          <w:rFonts w:ascii="Arial" w:hAnsi="Arial" w:cs="Arial"/>
          <w:color w:val="auto"/>
          <w:lang w:val="en-AU"/>
        </w:rPr>
        <w:t>undated.</w:t>
      </w:r>
    </w:p>
    <w:p w:rsidR="003C39C7" w:rsidRDefault="003C39C7" w:rsidP="000B785F">
      <w:pPr>
        <w:spacing w:before="60"/>
        <w:rPr>
          <w:rFonts w:ascii="Arial" w:hAnsi="Arial" w:cs="Arial"/>
          <w:color w:val="auto"/>
          <w:lang w:val="en-AU"/>
        </w:rPr>
      </w:pPr>
    </w:p>
    <w:p w:rsidR="006C7AD6" w:rsidRPr="00A769DE" w:rsidRDefault="006C7AD6" w:rsidP="006C7AD6">
      <w:pPr>
        <w:spacing w:before="60"/>
        <w:rPr>
          <w:rFonts w:ascii="Arial" w:hAnsi="Arial" w:cs="Arial"/>
          <w:color w:val="auto"/>
          <w:lang w:val="en-AU"/>
        </w:rPr>
      </w:pPr>
      <w:r>
        <w:rPr>
          <w:rFonts w:ascii="Arial" w:hAnsi="Arial" w:cs="Arial"/>
          <w:color w:val="auto"/>
          <w:u w:val="single"/>
          <w:lang w:val="en-AU"/>
        </w:rPr>
        <w:t xml:space="preserve">Other PSD-related </w:t>
      </w:r>
      <w:r w:rsidRPr="00A769DE">
        <w:rPr>
          <w:rFonts w:ascii="Arial" w:hAnsi="Arial" w:cs="Arial"/>
          <w:color w:val="auto"/>
          <w:u w:val="single"/>
          <w:lang w:val="en-AU"/>
        </w:rPr>
        <w:t>Documents</w:t>
      </w:r>
      <w:r w:rsidRPr="00A769DE">
        <w:rPr>
          <w:rFonts w:ascii="Arial" w:hAnsi="Arial" w:cs="Arial"/>
          <w:color w:val="auto"/>
          <w:lang w:val="en-AU"/>
        </w:rPr>
        <w:t>:</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ADB (2016): “Myanmar, Indicative Private Sector Development Framework and Action Plan”, MIC-MoC-UMFCCI, March.</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Dan Hetherington (2017): “What Works in Business Environment Reform in Sub-Saharan Africa and South Asia”, Business Environment Reform Facility/DFID, February.</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DFID (2015): “Business Case – Business for Shared Prosperity in Burma”, Quest No.: 4835395.</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DFID (2016): “Annual Review – Business for Shared Prosperity in Burma”, June.</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DFID (2017): “Annual Review – Business for Shared Prosperity in Burma”, June.</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DFID (2018): “Business for Shared Prosperity in Burma (BSP) – Logframe”, February.</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DICA-MoPF (2017): “Cost of Doing Business in Myanmar – Survey Report 2017”.</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PwC (2017): “Myanmar Business Guide”, Fifth Edition, October.</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Roland Berger Strategy Consultants (2016): “Myanmar: A Wave of Optimism – Will It Last?”.</w:t>
      </w:r>
    </w:p>
    <w:p w:rsidR="006C7AD6" w:rsidRPr="00A769DE"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World Bank (2018): “Doing Business Reform Memorandum – Myanmar”, Discussion Draft, April.</w:t>
      </w:r>
    </w:p>
    <w:p w:rsidR="006C7AD6" w:rsidRDefault="006C7AD6" w:rsidP="006C7AD6">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World Bank (2018): “Economy Profile of Myanmar – Doing Business 2018 Indicators”.</w:t>
      </w:r>
    </w:p>
    <w:p w:rsidR="006C7AD6" w:rsidRPr="00A769DE" w:rsidRDefault="006C7AD6" w:rsidP="006C7AD6">
      <w:pPr>
        <w:spacing w:before="60"/>
        <w:rPr>
          <w:rFonts w:ascii="Arial" w:hAnsi="Arial" w:cs="Arial"/>
          <w:color w:val="auto"/>
          <w:lang w:val="en-AU"/>
        </w:rPr>
      </w:pPr>
    </w:p>
    <w:p w:rsidR="00983ACE" w:rsidRPr="00A769DE" w:rsidRDefault="00983ACE" w:rsidP="00983ACE">
      <w:pPr>
        <w:spacing w:before="60"/>
        <w:rPr>
          <w:rFonts w:ascii="Arial" w:hAnsi="Arial" w:cs="Arial"/>
          <w:color w:val="auto"/>
          <w:lang w:val="en-AU"/>
        </w:rPr>
      </w:pPr>
      <w:r>
        <w:rPr>
          <w:rFonts w:ascii="Arial" w:hAnsi="Arial" w:cs="Arial"/>
          <w:color w:val="auto"/>
          <w:u w:val="single"/>
          <w:lang w:val="en-AU"/>
        </w:rPr>
        <w:t xml:space="preserve">PFM-related </w:t>
      </w:r>
      <w:r w:rsidRPr="00A769DE">
        <w:rPr>
          <w:rFonts w:ascii="Arial" w:hAnsi="Arial" w:cs="Arial"/>
          <w:color w:val="auto"/>
          <w:u w:val="single"/>
          <w:lang w:val="en-AU"/>
        </w:rPr>
        <w:t>Documents</w:t>
      </w:r>
      <w:r w:rsidRPr="00A769DE">
        <w:rPr>
          <w:rFonts w:ascii="Arial" w:hAnsi="Arial" w:cs="Arial"/>
          <w:color w:val="auto"/>
          <w:lang w:val="en-AU"/>
        </w:rPr>
        <w:t>:</w:t>
      </w:r>
    </w:p>
    <w:p w:rsidR="00983ACE" w:rsidRPr="00A769D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Oxford Policy Management (2018): “Performance Evaluation of DFID’s ‘Improving the Management of Public Funds for the Benefit of People in Burma’ Programme”, Final Evaluation Report, 3 July.</w:t>
      </w:r>
    </w:p>
    <w:p w:rsidR="00983AC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D927BB">
        <w:rPr>
          <w:rFonts w:ascii="Arial" w:hAnsi="Arial" w:cs="Arial"/>
          <w:color w:val="auto"/>
          <w:lang w:val="en-AU"/>
        </w:rPr>
        <w:t>World Bank (2014)</w:t>
      </w:r>
      <w:r>
        <w:rPr>
          <w:rFonts w:ascii="Arial" w:hAnsi="Arial" w:cs="Arial"/>
          <w:color w:val="auto"/>
          <w:lang w:val="en-AU"/>
        </w:rPr>
        <w:t xml:space="preserve">: “Project Appraisal Document </w:t>
      </w:r>
      <w:r w:rsidRPr="00D927BB">
        <w:rPr>
          <w:rFonts w:ascii="Arial" w:hAnsi="Arial" w:cs="Arial"/>
          <w:color w:val="auto"/>
          <w:lang w:val="en-AU"/>
        </w:rPr>
        <w:t>on a Proposed Credit ... for a Modernization of Public Financial Management</w:t>
      </w:r>
      <w:r>
        <w:rPr>
          <w:rFonts w:ascii="Arial" w:hAnsi="Arial" w:cs="Arial"/>
          <w:color w:val="auto"/>
          <w:lang w:val="en-AU"/>
        </w:rPr>
        <w:t xml:space="preserve">”, </w:t>
      </w:r>
      <w:r w:rsidRPr="00D927BB">
        <w:rPr>
          <w:rFonts w:ascii="Arial" w:hAnsi="Arial" w:cs="Arial"/>
          <w:color w:val="auto"/>
          <w:lang w:val="en-AU"/>
        </w:rPr>
        <w:t>Report No: PAD925</w:t>
      </w:r>
      <w:r>
        <w:rPr>
          <w:rFonts w:ascii="Arial" w:hAnsi="Arial" w:cs="Arial"/>
          <w:color w:val="auto"/>
          <w:lang w:val="en-AU"/>
        </w:rPr>
        <w:t>, 25 February.</w:t>
      </w:r>
    </w:p>
    <w:p w:rsidR="00983AC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D927BB">
        <w:rPr>
          <w:rFonts w:ascii="Arial" w:hAnsi="Arial" w:cs="Arial"/>
          <w:color w:val="auto"/>
          <w:lang w:val="en-AU"/>
        </w:rPr>
        <w:t>World Bank (201</w:t>
      </w:r>
      <w:r>
        <w:rPr>
          <w:rFonts w:ascii="Arial" w:hAnsi="Arial" w:cs="Arial"/>
          <w:color w:val="auto"/>
          <w:lang w:val="en-AU"/>
        </w:rPr>
        <w:t>7</w:t>
      </w:r>
      <w:r w:rsidRPr="00D927BB">
        <w:rPr>
          <w:rFonts w:ascii="Arial" w:hAnsi="Arial" w:cs="Arial"/>
          <w:color w:val="auto"/>
          <w:lang w:val="en-AU"/>
        </w:rPr>
        <w:t xml:space="preserve">): “Myanmar, Modernization of PFM Project – Implementation Status &amp; Results Report”, </w:t>
      </w:r>
      <w:r>
        <w:rPr>
          <w:rFonts w:ascii="Arial" w:hAnsi="Arial" w:cs="Arial"/>
          <w:color w:val="auto"/>
          <w:lang w:val="en-AU"/>
        </w:rPr>
        <w:t>Seq. No. 5, 3 January.</w:t>
      </w:r>
    </w:p>
    <w:p w:rsidR="00983AC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D927BB">
        <w:rPr>
          <w:rFonts w:ascii="Arial" w:hAnsi="Arial" w:cs="Arial"/>
          <w:color w:val="auto"/>
          <w:lang w:val="en-AU"/>
        </w:rPr>
        <w:t xml:space="preserve">World Bank (2018): “Myanmar, Modernization of PFM Project – Implementation Status &amp; Results Report”, </w:t>
      </w:r>
      <w:r>
        <w:rPr>
          <w:rFonts w:ascii="Arial" w:hAnsi="Arial" w:cs="Arial"/>
          <w:color w:val="auto"/>
          <w:lang w:val="en-AU"/>
        </w:rPr>
        <w:t>Seq. No. 7, 6 March.</w:t>
      </w:r>
    </w:p>
    <w:p w:rsidR="00983ACE" w:rsidRDefault="00983ACE" w:rsidP="000B785F">
      <w:pPr>
        <w:spacing w:before="60"/>
        <w:rPr>
          <w:rFonts w:ascii="Arial" w:hAnsi="Arial" w:cs="Arial"/>
          <w:color w:val="auto"/>
          <w:lang w:val="en-AU"/>
        </w:rPr>
      </w:pPr>
    </w:p>
    <w:p w:rsidR="00983ACE" w:rsidRPr="00A769DE" w:rsidRDefault="00983ACE" w:rsidP="00983ACE">
      <w:pPr>
        <w:spacing w:before="60"/>
        <w:rPr>
          <w:rFonts w:ascii="Arial" w:hAnsi="Arial" w:cs="Arial"/>
          <w:color w:val="auto"/>
          <w:lang w:val="en-AU"/>
        </w:rPr>
      </w:pPr>
      <w:r>
        <w:rPr>
          <w:rFonts w:ascii="Arial" w:hAnsi="Arial" w:cs="Arial"/>
          <w:color w:val="auto"/>
          <w:u w:val="single"/>
          <w:lang w:val="en-AU"/>
        </w:rPr>
        <w:t xml:space="preserve">Other </w:t>
      </w:r>
      <w:r w:rsidRPr="00A769DE">
        <w:rPr>
          <w:rFonts w:ascii="Arial" w:hAnsi="Arial" w:cs="Arial"/>
          <w:color w:val="auto"/>
          <w:u w:val="single"/>
          <w:lang w:val="en-AU"/>
        </w:rPr>
        <w:t>Documents</w:t>
      </w:r>
      <w:r w:rsidRPr="00A769DE">
        <w:rPr>
          <w:rFonts w:ascii="Arial" w:hAnsi="Arial" w:cs="Arial"/>
          <w:color w:val="auto"/>
          <w:lang w:val="en-AU"/>
        </w:rPr>
        <w:t>:</w:t>
      </w:r>
    </w:p>
    <w:p w:rsidR="00983ACE" w:rsidRPr="00A769D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GoM</w:t>
      </w:r>
      <w:r w:rsidR="00A904A4">
        <w:rPr>
          <w:rFonts w:ascii="Arial" w:hAnsi="Arial" w:cs="Arial"/>
          <w:color w:val="auto"/>
          <w:lang w:val="en-AU"/>
        </w:rPr>
        <w:t>-MoPF</w:t>
      </w:r>
      <w:r w:rsidRPr="00A769DE">
        <w:rPr>
          <w:rFonts w:ascii="Arial" w:hAnsi="Arial" w:cs="Arial"/>
          <w:color w:val="auto"/>
          <w:lang w:val="en-AU"/>
        </w:rPr>
        <w:t xml:space="preserve"> (2018): “Myanmar Sustainable Development Plan</w:t>
      </w:r>
      <w:r w:rsidR="00A904A4" w:rsidRPr="00A904A4">
        <w:rPr>
          <w:rFonts w:ascii="Arial" w:hAnsi="Arial" w:cs="Arial"/>
          <w:color w:val="auto"/>
          <w:lang w:val="en-AU"/>
        </w:rPr>
        <w:t xml:space="preserve"> (2018-2030)</w:t>
      </w:r>
      <w:r w:rsidR="00A904A4">
        <w:rPr>
          <w:rFonts w:ascii="Arial" w:hAnsi="Arial" w:cs="Arial"/>
          <w:color w:val="auto"/>
          <w:lang w:val="en-AU"/>
        </w:rPr>
        <w:t xml:space="preserve">”, </w:t>
      </w:r>
      <w:r w:rsidR="00A904A4" w:rsidRPr="00A904A4">
        <w:rPr>
          <w:rFonts w:ascii="Arial" w:hAnsi="Arial" w:cs="Arial"/>
          <w:color w:val="auto"/>
          <w:lang w:val="en-AU"/>
        </w:rPr>
        <w:t>August</w:t>
      </w:r>
      <w:r w:rsidRPr="00A769DE">
        <w:rPr>
          <w:rFonts w:ascii="Arial" w:hAnsi="Arial" w:cs="Arial"/>
          <w:color w:val="auto"/>
          <w:lang w:val="en-AU"/>
        </w:rPr>
        <w:t>.</w:t>
      </w:r>
    </w:p>
    <w:p w:rsidR="00983ACE" w:rsidRPr="00A769D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International Crisis Group (2018): “Myanmar’s Stalled Transition”, Briefing No. 151, 28 August.</w:t>
      </w:r>
    </w:p>
    <w:p w:rsidR="00983ACE" w:rsidRPr="00A769D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A769DE">
        <w:rPr>
          <w:rFonts w:ascii="Arial" w:hAnsi="Arial" w:cs="Arial"/>
          <w:color w:val="auto"/>
          <w:lang w:val="en-AU"/>
        </w:rPr>
        <w:t>The Economist (2018): “Burmese Daze – Myanmar’s Government Unveils a 238-Point Economic Reform Plan”, 1 March.</w:t>
      </w:r>
    </w:p>
    <w:p w:rsidR="00983ACE" w:rsidRDefault="00983ACE" w:rsidP="00983ACE">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D927BB">
        <w:rPr>
          <w:rFonts w:ascii="Arial" w:hAnsi="Arial" w:cs="Arial"/>
          <w:color w:val="auto"/>
          <w:lang w:val="en-AU"/>
        </w:rPr>
        <w:t>World Bank (2018): “</w:t>
      </w:r>
      <w:r>
        <w:rPr>
          <w:rFonts w:ascii="Arial" w:hAnsi="Arial" w:cs="Arial"/>
          <w:color w:val="auto"/>
          <w:lang w:val="en-AU"/>
        </w:rPr>
        <w:t>Myanmar Economic Update”, July.</w:t>
      </w:r>
    </w:p>
    <w:p w:rsidR="00D4487C" w:rsidRPr="00D927BB" w:rsidRDefault="00D4487C" w:rsidP="00D4487C">
      <w:pPr>
        <w:pStyle w:val="ListParagraph"/>
        <w:numPr>
          <w:ilvl w:val="0"/>
          <w:numId w:val="22"/>
        </w:numPr>
        <w:suppressAutoHyphens w:val="0"/>
        <w:spacing w:before="60" w:line="240" w:lineRule="auto"/>
        <w:ind w:left="357" w:hanging="357"/>
        <w:contextualSpacing w:val="0"/>
        <w:jc w:val="both"/>
        <w:rPr>
          <w:rFonts w:ascii="Arial" w:hAnsi="Arial" w:cs="Arial"/>
          <w:color w:val="auto"/>
          <w:lang w:val="en-AU"/>
        </w:rPr>
      </w:pPr>
      <w:r w:rsidRPr="00D927BB">
        <w:rPr>
          <w:rFonts w:ascii="Arial" w:hAnsi="Arial" w:cs="Arial"/>
          <w:color w:val="auto"/>
          <w:lang w:val="en-AU"/>
        </w:rPr>
        <w:t>World Bank (2018): “</w:t>
      </w:r>
      <w:r>
        <w:rPr>
          <w:rFonts w:ascii="Arial" w:hAnsi="Arial" w:cs="Arial"/>
          <w:color w:val="auto"/>
          <w:lang w:val="en-AU"/>
        </w:rPr>
        <w:t>Myanmar Economic Update”, December.</w:t>
      </w:r>
    </w:p>
    <w:p w:rsidR="000B785F" w:rsidRPr="00A769DE" w:rsidRDefault="000B785F" w:rsidP="000B785F">
      <w:pPr>
        <w:pStyle w:val="ListParagraph"/>
        <w:tabs>
          <w:tab w:val="left" w:pos="357"/>
        </w:tabs>
        <w:spacing w:after="0" w:line="240" w:lineRule="auto"/>
        <w:ind w:left="0"/>
        <w:jc w:val="both"/>
        <w:rPr>
          <w:rFonts w:ascii="Arial" w:hAnsi="Arial" w:cs="Arial"/>
          <w:iCs/>
          <w:color w:val="auto"/>
          <w:lang w:val="en-AU"/>
        </w:rPr>
      </w:pPr>
      <w:r w:rsidRPr="00A769DE">
        <w:rPr>
          <w:rFonts w:ascii="Arial" w:hAnsi="Arial" w:cs="Arial"/>
          <w:color w:val="auto"/>
          <w:sz w:val="28"/>
          <w:szCs w:val="28"/>
          <w:lang w:val="en-AU"/>
        </w:rPr>
        <w:br w:type="page"/>
      </w:r>
    </w:p>
    <w:p w:rsidR="000B785F" w:rsidRPr="00A769DE" w:rsidRDefault="000B785F" w:rsidP="000B785F">
      <w:pPr>
        <w:pStyle w:val="Heading2"/>
        <w:spacing w:before="0" w:after="60"/>
        <w:ind w:left="272" w:hanging="272"/>
        <w:rPr>
          <w:rFonts w:ascii="Arial" w:hAnsi="Arial" w:cs="Arial"/>
          <w:b/>
          <w:bCs/>
          <w:color w:val="auto"/>
          <w:sz w:val="24"/>
          <w:szCs w:val="24"/>
          <w:lang w:val="en-AU"/>
        </w:rPr>
      </w:pPr>
      <w:bookmarkStart w:id="106" w:name="_Toc522800498"/>
      <w:bookmarkStart w:id="107" w:name="_Toc525930571"/>
      <w:bookmarkStart w:id="108" w:name="_Toc530307621"/>
      <w:r w:rsidRPr="00A769DE">
        <w:rPr>
          <w:rFonts w:ascii="Arial" w:hAnsi="Arial" w:cs="Arial"/>
          <w:b/>
          <w:bCs/>
          <w:color w:val="auto"/>
          <w:sz w:val="24"/>
          <w:szCs w:val="24"/>
          <w:lang w:val="en-AU"/>
        </w:rPr>
        <w:lastRenderedPageBreak/>
        <w:t>Annex E – Persons Consulted</w:t>
      </w:r>
      <w:bookmarkEnd w:id="106"/>
      <w:bookmarkEnd w:id="107"/>
      <w:bookmarkEnd w:id="108"/>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18"/>
        <w:gridCol w:w="8010"/>
      </w:tblGrid>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t>DFAT</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Nicholas Coppel</w:t>
            </w:r>
            <w:r w:rsidRPr="00A769DE">
              <w:rPr>
                <w:rFonts w:ascii="Arial" w:hAnsi="Arial" w:cs="Arial"/>
                <w:sz w:val="21"/>
                <w:szCs w:val="21"/>
                <w:lang w:val="en-AU"/>
              </w:rPr>
              <w:t xml:space="preserve"> – Ambassador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 xml:space="preserve">Mr Tim </w:t>
            </w:r>
            <w:r w:rsidR="00F879DD" w:rsidRPr="00A769DE">
              <w:rPr>
                <w:rFonts w:ascii="Arial" w:hAnsi="Arial" w:cs="Arial"/>
                <w:b/>
                <w:bCs/>
                <w:sz w:val="21"/>
                <w:szCs w:val="21"/>
                <w:lang w:val="en-AU"/>
              </w:rPr>
              <w:t>Vistarini</w:t>
            </w:r>
            <w:r w:rsidRPr="00A769DE">
              <w:rPr>
                <w:rFonts w:ascii="Arial" w:hAnsi="Arial" w:cs="Arial"/>
                <w:sz w:val="21"/>
                <w:szCs w:val="21"/>
                <w:lang w:val="en-AU"/>
              </w:rPr>
              <w:t xml:space="preserve"> – Counsellor (Development)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Ms Vanessa Hegarty</w:t>
            </w:r>
            <w:r w:rsidRPr="00A769DE">
              <w:rPr>
                <w:rFonts w:ascii="Arial" w:hAnsi="Arial" w:cs="Arial"/>
                <w:sz w:val="21"/>
                <w:szCs w:val="21"/>
                <w:lang w:val="en-AU"/>
              </w:rPr>
              <w:t xml:space="preserve"> – First Secretary</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Ms Esther</w:t>
            </w:r>
            <w:r w:rsidRPr="00A769DE">
              <w:rPr>
                <w:rFonts w:ascii="Arial" w:hAnsi="Arial" w:cs="Arial"/>
                <w:b/>
                <w:bCs/>
                <w:lang w:val="en-AU"/>
              </w:rPr>
              <w:t xml:space="preserve"> </w:t>
            </w:r>
            <w:r w:rsidRPr="00A769DE">
              <w:rPr>
                <w:rFonts w:ascii="Arial" w:hAnsi="Arial" w:cs="Arial"/>
                <w:b/>
                <w:bCs/>
                <w:sz w:val="21"/>
                <w:szCs w:val="21"/>
                <w:lang w:val="en-AU"/>
              </w:rPr>
              <w:t>Sainsbury</w:t>
            </w:r>
            <w:r w:rsidRPr="00A769DE">
              <w:rPr>
                <w:rFonts w:ascii="Arial" w:hAnsi="Arial" w:cs="Arial"/>
                <w:sz w:val="21"/>
                <w:szCs w:val="21"/>
                <w:lang w:val="en-AU"/>
              </w:rPr>
              <w:t xml:space="preserve"> – First Secretary</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 xml:space="preserve">Ms Anouska Charles </w:t>
            </w:r>
            <w:r w:rsidRPr="00A769DE">
              <w:rPr>
                <w:rFonts w:ascii="Arial" w:hAnsi="Arial" w:cs="Arial"/>
                <w:sz w:val="21"/>
                <w:szCs w:val="21"/>
                <w:lang w:val="en-AU"/>
              </w:rPr>
              <w:t>– Second Secretary</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Ms Kirsty Madden</w:t>
            </w:r>
            <w:r w:rsidRPr="00A769DE">
              <w:rPr>
                <w:rFonts w:ascii="Arial" w:hAnsi="Arial" w:cs="Arial"/>
                <w:sz w:val="21"/>
                <w:szCs w:val="21"/>
                <w:lang w:val="en-AU"/>
              </w:rPr>
              <w:t xml:space="preserve"> – Program Manager</w:t>
            </w:r>
          </w:p>
          <w:p w:rsidR="000B785F" w:rsidRPr="00A769DE" w:rsidRDefault="000B785F" w:rsidP="00FA017E">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Ms Suu Hlaing Aye</w:t>
            </w:r>
            <w:r w:rsidRPr="00A769DE">
              <w:rPr>
                <w:rFonts w:ascii="Arial" w:hAnsi="Arial" w:cs="Arial"/>
                <w:sz w:val="21"/>
                <w:szCs w:val="21"/>
                <w:lang w:val="en-AU"/>
              </w:rPr>
              <w:t xml:space="preserve"> – Senior Program Officer</w:t>
            </w:r>
          </w:p>
        </w:tc>
      </w:tr>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t>IFC</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Ms Ashani Chanuka Alles</w:t>
            </w:r>
            <w:r w:rsidRPr="00A769DE">
              <w:rPr>
                <w:rFonts w:ascii="Arial" w:hAnsi="Arial" w:cs="Arial"/>
                <w:sz w:val="21"/>
                <w:szCs w:val="21"/>
                <w:lang w:val="en-AU"/>
              </w:rPr>
              <w:t xml:space="preserve"> – Senior Private Sector Development Specialist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David James Lee</w:t>
            </w:r>
            <w:r w:rsidRPr="00A769DE">
              <w:rPr>
                <w:rFonts w:ascii="Arial" w:hAnsi="Arial" w:cs="Arial"/>
                <w:sz w:val="21"/>
                <w:szCs w:val="21"/>
                <w:lang w:val="en-AU"/>
              </w:rPr>
              <w:t xml:space="preserve"> – Consultant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 xml:space="preserve">Mr José Ricardo Silva </w:t>
            </w:r>
            <w:r w:rsidRPr="00A769DE">
              <w:rPr>
                <w:rFonts w:ascii="Arial" w:hAnsi="Arial" w:cs="Arial"/>
                <w:sz w:val="21"/>
                <w:szCs w:val="21"/>
                <w:lang w:val="en-AU"/>
              </w:rPr>
              <w:t>– Senior Private Sector Specialist, Project Lead for ‘Myanmar Investment Climate Reforms’ and ‘Reforming Agri Input Regulation and Standards in Myanmar’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Tony Dickinson</w:t>
            </w:r>
            <w:r w:rsidRPr="00A769DE">
              <w:rPr>
                <w:rFonts w:ascii="Arial" w:hAnsi="Arial" w:cs="Arial"/>
                <w:bCs/>
                <w:sz w:val="21"/>
                <w:szCs w:val="21"/>
                <w:lang w:val="en-AU"/>
              </w:rPr>
              <w:t xml:space="preserve"> – Consultant, ‘</w:t>
            </w:r>
            <w:r w:rsidRPr="00A769DE">
              <w:rPr>
                <w:rFonts w:ascii="Arial" w:hAnsi="Arial" w:cs="Arial"/>
                <w:sz w:val="21"/>
                <w:szCs w:val="21"/>
                <w:lang w:val="en-AU"/>
              </w:rPr>
              <w:t>Myanmar Investment Climate Reforms’ Project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Ms Min Min Than</w:t>
            </w:r>
            <w:r w:rsidRPr="00A769DE">
              <w:rPr>
                <w:rFonts w:ascii="Arial" w:hAnsi="Arial" w:cs="Arial"/>
                <w:bCs/>
                <w:sz w:val="21"/>
                <w:szCs w:val="21"/>
                <w:lang w:val="en-AU"/>
              </w:rPr>
              <w:t xml:space="preserve"> – Consultant, ‘</w:t>
            </w:r>
            <w:r w:rsidRPr="00A769DE">
              <w:rPr>
                <w:rFonts w:ascii="Arial" w:hAnsi="Arial" w:cs="Arial"/>
                <w:sz w:val="21"/>
                <w:szCs w:val="21"/>
                <w:lang w:val="en-AU"/>
              </w:rPr>
              <w:t>Myanmar Investment Climate Reforms’ Project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Thitsar Thitsar</w:t>
            </w:r>
            <w:r w:rsidRPr="00A769DE">
              <w:rPr>
                <w:rFonts w:ascii="Arial" w:hAnsi="Arial" w:cs="Arial"/>
                <w:sz w:val="21"/>
                <w:szCs w:val="21"/>
                <w:lang w:val="en-AU"/>
              </w:rPr>
              <w:t xml:space="preserve"> – Private Sector Specialist, Project Lead for ‘Myanmar Investment Policy’ and ‘Supporting Sustainable Tourism Development in Myanmar’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Ms Nang Khan Htaie</w:t>
            </w:r>
            <w:r w:rsidRPr="00A769DE">
              <w:rPr>
                <w:rFonts w:ascii="Arial" w:hAnsi="Arial" w:cs="Arial"/>
                <w:sz w:val="21"/>
                <w:szCs w:val="21"/>
                <w:lang w:val="en-AU"/>
              </w:rPr>
              <w:t xml:space="preserve"> – </w:t>
            </w:r>
            <w:r w:rsidRPr="00A769DE">
              <w:rPr>
                <w:rFonts w:ascii="Arial" w:hAnsi="Arial" w:cs="Arial"/>
                <w:bCs/>
                <w:sz w:val="21"/>
                <w:szCs w:val="21"/>
                <w:lang w:val="en-AU"/>
              </w:rPr>
              <w:t xml:space="preserve">Consultant, </w:t>
            </w:r>
            <w:r w:rsidRPr="00A769DE">
              <w:rPr>
                <w:rFonts w:ascii="Arial" w:hAnsi="Arial" w:cs="Arial"/>
                <w:sz w:val="21"/>
                <w:szCs w:val="21"/>
                <w:lang w:val="en-AU"/>
              </w:rPr>
              <w:t>‘Supporting Sustainable Tourism Development in Myanmar’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Colin Taylor</w:t>
            </w:r>
            <w:r w:rsidRPr="00A769DE">
              <w:rPr>
                <w:rFonts w:ascii="Arial" w:hAnsi="Arial" w:cs="Arial"/>
                <w:sz w:val="21"/>
                <w:szCs w:val="21"/>
                <w:lang w:val="en-AU"/>
              </w:rPr>
              <w:t xml:space="preserve"> – Senior Operations Officer, Project Lead for ‘Myanmar Agribusiness’</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Aung Aung Tin</w:t>
            </w:r>
            <w:r w:rsidRPr="00A769DE">
              <w:rPr>
                <w:rFonts w:ascii="Arial" w:hAnsi="Arial" w:cs="Arial"/>
                <w:sz w:val="21"/>
                <w:szCs w:val="21"/>
                <w:lang w:val="en-AU"/>
              </w:rPr>
              <w:t xml:space="preserve"> – Consultant, ‘Myanmar Agribusiness’ Project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Deep Karti</w:t>
            </w:r>
            <w:r w:rsidRPr="00A769DE">
              <w:rPr>
                <w:rFonts w:ascii="Arial" w:hAnsi="Arial" w:cs="Arial"/>
                <w:sz w:val="21"/>
                <w:szCs w:val="21"/>
                <w:lang w:val="en-AU"/>
              </w:rPr>
              <w:t xml:space="preserve"> – Operations Officer, ‘Myanmar Agribusiness’ Project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Bill Gallery</w:t>
            </w:r>
            <w:r w:rsidRPr="00A769DE">
              <w:rPr>
                <w:rFonts w:ascii="Arial" w:hAnsi="Arial" w:cs="Arial"/>
                <w:sz w:val="21"/>
                <w:szCs w:val="21"/>
                <w:lang w:val="en-AU"/>
              </w:rPr>
              <w:t xml:space="preserve"> – Senior Operations Officer, Project Lead for ‘Energy Access Myanmar’ [Lighting Myanmar]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Hemant Mandal</w:t>
            </w:r>
            <w:r w:rsidRPr="00A769DE">
              <w:rPr>
                <w:rFonts w:ascii="Arial" w:hAnsi="Arial" w:cs="Arial"/>
                <w:sz w:val="21"/>
                <w:szCs w:val="21"/>
                <w:lang w:val="en-AU"/>
              </w:rPr>
              <w:t xml:space="preserve"> – Senior Energy Specialist, Project Lead for ‘Myanmar Power Advisory’</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Martin Hamann</w:t>
            </w:r>
            <w:r w:rsidRPr="00A769DE">
              <w:rPr>
                <w:rFonts w:ascii="Arial" w:hAnsi="Arial" w:cs="Arial"/>
                <w:sz w:val="21"/>
                <w:szCs w:val="21"/>
                <w:lang w:val="en-AU"/>
              </w:rPr>
              <w:t xml:space="preserve"> – Market Consultant, ‘Lighting Myanmar’ Project and ‘Myanmar Power Advisory’ Project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Anar Aliyev</w:t>
            </w:r>
            <w:r w:rsidRPr="00A769DE">
              <w:rPr>
                <w:rFonts w:ascii="Arial" w:hAnsi="Arial" w:cs="Arial"/>
                <w:sz w:val="21"/>
                <w:szCs w:val="21"/>
                <w:lang w:val="en-AU"/>
              </w:rPr>
              <w:t xml:space="preserve"> – Corporate Governance Officer, Project Lead for ‘Corporate Governance’</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Ms Kate Lazerus</w:t>
            </w:r>
            <w:r w:rsidRPr="00A769DE">
              <w:rPr>
                <w:rFonts w:ascii="Arial" w:hAnsi="Arial" w:cs="Arial"/>
                <w:sz w:val="21"/>
                <w:szCs w:val="21"/>
                <w:lang w:val="en-AU"/>
              </w:rPr>
              <w:t xml:space="preserve"> – Senior Operations Officer, Project Lead for ‘Environmental and Social Advisory Program in Myanmar’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John Leber</w:t>
            </w:r>
            <w:r w:rsidRPr="00A769DE">
              <w:rPr>
                <w:rFonts w:ascii="Arial" w:hAnsi="Arial" w:cs="Arial"/>
                <w:sz w:val="21"/>
                <w:szCs w:val="21"/>
                <w:lang w:val="en-AU"/>
              </w:rPr>
              <w:t xml:space="preserve"> – Investment Officer, ‘PPP’ Project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Ms Ellen Claire Maynes</w:t>
            </w:r>
            <w:r w:rsidRPr="00A769DE">
              <w:rPr>
                <w:rFonts w:ascii="Arial" w:hAnsi="Arial" w:cs="Arial"/>
                <w:sz w:val="21"/>
                <w:szCs w:val="21"/>
                <w:lang w:val="en-AU"/>
              </w:rPr>
              <w:t xml:space="preserve"> – Gender Operations Officer</w:t>
            </w:r>
          </w:p>
          <w:p w:rsidR="000B785F" w:rsidRPr="00A769DE" w:rsidRDefault="000B785F" w:rsidP="00A9264C">
            <w:pPr>
              <w:pStyle w:val="nm"/>
              <w:numPr>
                <w:ilvl w:val="0"/>
                <w:numId w:val="16"/>
              </w:numPr>
              <w:spacing w:before="80" w:after="80"/>
              <w:rPr>
                <w:rFonts w:ascii="Arial" w:hAnsi="Arial" w:cs="Arial"/>
                <w:sz w:val="21"/>
                <w:szCs w:val="21"/>
                <w:lang w:val="en-AU"/>
              </w:rPr>
            </w:pPr>
            <w:r w:rsidRPr="00A769DE">
              <w:rPr>
                <w:rFonts w:ascii="Arial" w:hAnsi="Arial" w:cs="Arial"/>
                <w:b/>
                <w:bCs/>
                <w:sz w:val="21"/>
                <w:szCs w:val="21"/>
                <w:lang w:val="en-AU"/>
              </w:rPr>
              <w:t>Ms Hnin Nwe Nwe Aung</w:t>
            </w:r>
            <w:r w:rsidRPr="00A769DE">
              <w:rPr>
                <w:rFonts w:ascii="Arial" w:hAnsi="Arial" w:cs="Arial"/>
                <w:sz w:val="21"/>
                <w:szCs w:val="21"/>
                <w:lang w:val="en-AU"/>
              </w:rPr>
              <w:t xml:space="preserve"> – Consultant</w:t>
            </w:r>
          </w:p>
        </w:tc>
      </w:tr>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t>World Bank</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 xml:space="preserve">Mr Sjamsu Rahardja </w:t>
            </w:r>
            <w:r w:rsidRPr="00A769DE">
              <w:rPr>
                <w:rFonts w:ascii="Arial" w:hAnsi="Arial" w:cs="Arial"/>
                <w:sz w:val="21"/>
                <w:szCs w:val="21"/>
                <w:lang w:val="en-AU"/>
              </w:rPr>
              <w:t>– Senior Economist, Project Lead for ‘Trade Integration Project’</w:t>
            </w:r>
          </w:p>
          <w:p w:rsidR="000B785F" w:rsidRPr="00A769DE" w:rsidRDefault="00A10AD6" w:rsidP="00A10AD6">
            <w:pPr>
              <w:pStyle w:val="nm"/>
              <w:numPr>
                <w:ilvl w:val="0"/>
                <w:numId w:val="16"/>
              </w:numPr>
              <w:spacing w:before="80" w:after="80"/>
              <w:jc w:val="left"/>
              <w:rPr>
                <w:rFonts w:ascii="Arial" w:hAnsi="Arial" w:cs="Arial"/>
                <w:sz w:val="21"/>
                <w:szCs w:val="21"/>
                <w:lang w:val="en-AU"/>
              </w:rPr>
            </w:pPr>
            <w:r w:rsidRPr="00A10AD6">
              <w:rPr>
                <w:rFonts w:ascii="Arial" w:hAnsi="Arial" w:cs="Arial"/>
                <w:bCs/>
                <w:sz w:val="21"/>
                <w:szCs w:val="21"/>
                <w:lang w:val="en-AU"/>
              </w:rPr>
              <w:t>Myanmar Partnership MDTF Program Manager</w:t>
            </w:r>
          </w:p>
        </w:tc>
      </w:tr>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lastRenderedPageBreak/>
              <w:t>GoM Project Stakeholders</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Aung Htoo</w:t>
            </w:r>
            <w:r w:rsidRPr="00A769DE">
              <w:rPr>
                <w:rFonts w:ascii="Arial" w:hAnsi="Arial" w:cs="Arial"/>
                <w:sz w:val="21"/>
                <w:szCs w:val="21"/>
                <w:lang w:val="en-AU"/>
              </w:rPr>
              <w:t xml:space="preserve"> – Deputy Minister, Ministry of Commerce (MoC)</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Toe Aung Myint</w:t>
            </w:r>
            <w:r w:rsidRPr="00A769DE">
              <w:rPr>
                <w:rFonts w:ascii="Arial" w:hAnsi="Arial" w:cs="Arial"/>
                <w:sz w:val="21"/>
                <w:szCs w:val="21"/>
                <w:lang w:val="en-AU"/>
              </w:rPr>
              <w:t xml:space="preserve"> – Permanent Secretary, Ministry of Commerce (MoC)</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Aung Soe</w:t>
            </w:r>
            <w:r w:rsidRPr="00A769DE">
              <w:rPr>
                <w:rFonts w:ascii="Arial" w:hAnsi="Arial" w:cs="Arial"/>
                <w:sz w:val="21"/>
                <w:szCs w:val="21"/>
                <w:lang w:val="en-AU"/>
              </w:rPr>
              <w:t xml:space="preserve"> – Director General, Myanmar Trade Promotion Organisation, Ministry of Commerce (MoC)</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Myint Lwin</w:t>
            </w:r>
            <w:r w:rsidRPr="00A769DE">
              <w:rPr>
                <w:rFonts w:ascii="Arial" w:hAnsi="Arial" w:cs="Arial"/>
                <w:sz w:val="21"/>
                <w:szCs w:val="21"/>
                <w:lang w:val="en-AU"/>
              </w:rPr>
              <w:t xml:space="preserve"> – Director General, Department of Consumer Affairs, Ministry of Commerce (MoC)</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Aung Naing Oo</w:t>
            </w:r>
            <w:r w:rsidRPr="00A769DE">
              <w:rPr>
                <w:rFonts w:ascii="Arial" w:hAnsi="Arial" w:cs="Arial"/>
                <w:sz w:val="21"/>
                <w:szCs w:val="21"/>
                <w:lang w:val="en-AU"/>
              </w:rPr>
              <w:t xml:space="preserve"> – Director General, Directorate of Investment and Company Administration (DICA)</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Min Zaw Oo</w:t>
            </w:r>
            <w:r w:rsidRPr="00A769DE">
              <w:rPr>
                <w:rFonts w:ascii="Arial" w:hAnsi="Arial" w:cs="Arial"/>
                <w:sz w:val="21"/>
                <w:szCs w:val="21"/>
                <w:lang w:val="en-AU"/>
              </w:rPr>
              <w:t xml:space="preserve"> – Director/Head of Policy and Legal Division, Directorate of Investment and Company Administration (DICA)</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Ye Tint Tun</w:t>
            </w:r>
            <w:r w:rsidRPr="00A769DE">
              <w:rPr>
                <w:rFonts w:ascii="Arial" w:hAnsi="Arial" w:cs="Arial"/>
                <w:sz w:val="21"/>
                <w:szCs w:val="21"/>
                <w:lang w:val="en-AU"/>
              </w:rPr>
              <w:t xml:space="preserve"> – Director General; Department of Agriculture</w:t>
            </w:r>
            <w:r w:rsidR="006D7B99" w:rsidRPr="00A769DE">
              <w:rPr>
                <w:rFonts w:ascii="Arial" w:hAnsi="Arial" w:cs="Arial"/>
                <w:sz w:val="21"/>
                <w:szCs w:val="21"/>
                <w:lang w:val="en-AU"/>
              </w:rPr>
              <w:t xml:space="preserve"> (DoA)</w:t>
            </w:r>
            <w:r w:rsidRPr="00A769DE">
              <w:rPr>
                <w:rFonts w:ascii="Arial" w:hAnsi="Arial" w:cs="Arial"/>
                <w:sz w:val="21"/>
                <w:szCs w:val="21"/>
                <w:lang w:val="en-AU"/>
              </w:rPr>
              <w:t>; Ministry of Agriculture, Livestock and Irrigation (MoALI)</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Thet Zin Maung</w:t>
            </w:r>
            <w:r w:rsidRPr="00A769DE">
              <w:rPr>
                <w:rFonts w:ascii="Arial" w:hAnsi="Arial" w:cs="Arial"/>
                <w:sz w:val="21"/>
                <w:szCs w:val="21"/>
                <w:lang w:val="en-AU"/>
              </w:rPr>
              <w:t xml:space="preserve"> – Director (Seed Division); Department of Agriculture</w:t>
            </w:r>
            <w:r w:rsidR="006D7B99" w:rsidRPr="00A769DE">
              <w:rPr>
                <w:rFonts w:ascii="Arial" w:hAnsi="Arial" w:cs="Arial"/>
                <w:sz w:val="21"/>
                <w:szCs w:val="21"/>
                <w:lang w:val="en-AU"/>
              </w:rPr>
              <w:t xml:space="preserve"> (DoA)</w:t>
            </w:r>
            <w:r w:rsidRPr="00A769DE">
              <w:rPr>
                <w:rFonts w:ascii="Arial" w:hAnsi="Arial" w:cs="Arial"/>
                <w:sz w:val="21"/>
                <w:szCs w:val="21"/>
                <w:lang w:val="en-AU"/>
              </w:rPr>
              <w:t>; Ministry of Agriculture, Livestock and Irrigation (MoALI)</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Ms Thu Zar Myint</w:t>
            </w:r>
            <w:r w:rsidRPr="00A769DE">
              <w:rPr>
                <w:rFonts w:ascii="Arial" w:hAnsi="Arial" w:cs="Arial"/>
                <w:bCs/>
                <w:sz w:val="21"/>
                <w:szCs w:val="21"/>
                <w:lang w:val="en-AU"/>
              </w:rPr>
              <w:t xml:space="preserve"> – Director of the Land Use Division</w:t>
            </w:r>
            <w:r w:rsidRPr="00A769DE">
              <w:rPr>
                <w:rFonts w:ascii="Arial" w:hAnsi="Arial" w:cs="Arial"/>
                <w:sz w:val="21"/>
                <w:szCs w:val="21"/>
                <w:lang w:val="en-AU"/>
              </w:rPr>
              <w:t>; Department of Agriculture</w:t>
            </w:r>
            <w:r w:rsidR="006D7B99" w:rsidRPr="00A769DE">
              <w:rPr>
                <w:rFonts w:ascii="Arial" w:hAnsi="Arial" w:cs="Arial"/>
                <w:sz w:val="21"/>
                <w:szCs w:val="21"/>
                <w:lang w:val="en-AU"/>
              </w:rPr>
              <w:t xml:space="preserve"> (DoA)</w:t>
            </w:r>
            <w:r w:rsidRPr="00A769DE">
              <w:rPr>
                <w:rFonts w:ascii="Arial" w:hAnsi="Arial" w:cs="Arial"/>
                <w:sz w:val="21"/>
                <w:szCs w:val="21"/>
                <w:lang w:val="en-AU"/>
              </w:rPr>
              <w:t>; Ministry of Agriculture, Livestock and Irrigation (MoALI)</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Tun Win</w:t>
            </w:r>
            <w:r w:rsidRPr="00A769DE">
              <w:rPr>
                <w:rFonts w:ascii="Arial" w:hAnsi="Arial" w:cs="Arial"/>
                <w:bCs/>
                <w:sz w:val="21"/>
                <w:szCs w:val="21"/>
                <w:lang w:val="en-AU"/>
              </w:rPr>
              <w:t xml:space="preserve"> – Director of Planning Division; </w:t>
            </w:r>
            <w:r w:rsidRPr="00A769DE">
              <w:rPr>
                <w:rFonts w:ascii="Arial" w:hAnsi="Arial" w:cs="Arial"/>
                <w:sz w:val="21"/>
                <w:szCs w:val="21"/>
                <w:lang w:val="en-AU"/>
              </w:rPr>
              <w:t>Department of Agriculture</w:t>
            </w:r>
            <w:r w:rsidR="006D7B99" w:rsidRPr="00A769DE">
              <w:rPr>
                <w:rFonts w:ascii="Arial" w:hAnsi="Arial" w:cs="Arial"/>
                <w:sz w:val="21"/>
                <w:szCs w:val="21"/>
                <w:lang w:val="en-AU"/>
              </w:rPr>
              <w:t xml:space="preserve"> (DoA)</w:t>
            </w:r>
            <w:r w:rsidRPr="00A769DE">
              <w:rPr>
                <w:rFonts w:ascii="Arial" w:hAnsi="Arial" w:cs="Arial"/>
                <w:sz w:val="21"/>
                <w:szCs w:val="21"/>
                <w:lang w:val="en-AU"/>
              </w:rPr>
              <w:t>; Ministry of Agriculture, Livestock and Irrigation (MoALI)</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bCs/>
                <w:sz w:val="21"/>
                <w:szCs w:val="21"/>
                <w:lang w:val="en-AU"/>
              </w:rPr>
              <w:t>Mr Htin Aung Naing</w:t>
            </w:r>
            <w:r w:rsidRPr="00A769DE">
              <w:rPr>
                <w:rFonts w:ascii="Arial" w:hAnsi="Arial" w:cs="Arial"/>
                <w:sz w:val="21"/>
                <w:szCs w:val="21"/>
                <w:lang w:val="en-AU"/>
              </w:rPr>
              <w:t xml:space="preserve"> – Director, MoHT / Taunggyi, Shan State</w:t>
            </w:r>
            <w:r w:rsidRPr="00A769DE">
              <w:rPr>
                <w:rFonts w:ascii="Arial" w:hAnsi="Arial" w:cs="Arial"/>
                <w:b/>
                <w:sz w:val="21"/>
                <w:szCs w:val="21"/>
                <w:lang w:val="en-AU"/>
              </w:rPr>
              <w:t xml:space="preserve"> </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Kyaw Htin</w:t>
            </w:r>
            <w:r w:rsidRPr="00A769DE">
              <w:rPr>
                <w:rFonts w:ascii="Arial" w:hAnsi="Arial" w:cs="Arial"/>
                <w:sz w:val="21"/>
                <w:szCs w:val="21"/>
                <w:lang w:val="en-AU"/>
              </w:rPr>
              <w:t xml:space="preserve"> – Director General, Myanmar Customs Department</w:t>
            </w:r>
            <w:r w:rsidR="00C83CC7" w:rsidRPr="00A769DE">
              <w:rPr>
                <w:rFonts w:ascii="Arial" w:hAnsi="Arial" w:cs="Arial"/>
                <w:sz w:val="21"/>
                <w:szCs w:val="21"/>
                <w:lang w:val="en-AU"/>
              </w:rPr>
              <w:t xml:space="preserve"> (MCD)</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sz w:val="21"/>
                <w:szCs w:val="21"/>
                <w:lang w:val="en-AU"/>
              </w:rPr>
              <w:t>Officials of Myanmar Customs Department (MCD)</w:t>
            </w:r>
          </w:p>
        </w:tc>
      </w:tr>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t>Other Project Stakeholders and Beneficiaries</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Ms Hlaing Maw Oo</w:t>
            </w:r>
            <w:r w:rsidRPr="00A769DE">
              <w:rPr>
                <w:rFonts w:ascii="Arial" w:hAnsi="Arial" w:cs="Arial"/>
                <w:sz w:val="21"/>
                <w:szCs w:val="21"/>
                <w:lang w:val="en-AU"/>
              </w:rPr>
              <w:t xml:space="preserve"> – Secretary, Yangon City Development Committee (YCDC)</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Tin Maung Kyi</w:t>
            </w:r>
            <w:r w:rsidRPr="00A769DE">
              <w:rPr>
                <w:rFonts w:ascii="Arial" w:hAnsi="Arial" w:cs="Arial"/>
                <w:sz w:val="21"/>
                <w:szCs w:val="21"/>
                <w:lang w:val="en-AU"/>
              </w:rPr>
              <w:t xml:space="preserve"> – Head of Engineering Department, Yangon City Development Committee (YCDC)</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Ye Min Aung</w:t>
            </w:r>
            <w:r w:rsidRPr="00A769DE">
              <w:rPr>
                <w:rFonts w:ascii="Arial" w:hAnsi="Arial" w:cs="Arial"/>
                <w:sz w:val="21"/>
                <w:szCs w:val="21"/>
                <w:lang w:val="en-AU"/>
              </w:rPr>
              <w:t xml:space="preserve"> – Vice Chairman, Myanmar Rice Federation (MRF)</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Ted Martynov</w:t>
            </w:r>
            <w:r w:rsidRPr="00A769DE">
              <w:rPr>
                <w:rFonts w:ascii="Arial" w:hAnsi="Arial" w:cs="Arial"/>
                <w:sz w:val="21"/>
                <w:szCs w:val="21"/>
                <w:lang w:val="en-AU"/>
              </w:rPr>
              <w:t xml:space="preserve"> – Chief Executive Officer, SolarHome</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Cs/>
                <w:sz w:val="21"/>
                <w:szCs w:val="21"/>
                <w:lang w:val="en-AU"/>
              </w:rPr>
              <w:t xml:space="preserve">Members of the </w:t>
            </w:r>
            <w:r w:rsidRPr="00A769DE">
              <w:rPr>
                <w:rFonts w:ascii="Arial" w:hAnsi="Arial" w:cs="Arial"/>
                <w:sz w:val="21"/>
                <w:szCs w:val="21"/>
                <w:lang w:val="en-AU"/>
              </w:rPr>
              <w:t>Inle Lake Professional Women Network (IPNET)</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sz w:val="21"/>
                <w:szCs w:val="21"/>
                <w:lang w:val="en-AU"/>
              </w:rPr>
              <w:t>Good Agricultural Practices (GAP) Farmers, Inle Lake</w:t>
            </w:r>
          </w:p>
        </w:tc>
      </w:tr>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t>DFID</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Robbie Barkell</w:t>
            </w:r>
            <w:r w:rsidRPr="00A769DE">
              <w:rPr>
                <w:rFonts w:ascii="Arial" w:hAnsi="Arial" w:cs="Arial"/>
                <w:sz w:val="21"/>
                <w:szCs w:val="21"/>
                <w:lang w:val="en-AU"/>
              </w:rPr>
              <w:t xml:space="preserve"> – Private Sector Development Advisor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Ms Liz Patterson</w:t>
            </w:r>
            <w:r w:rsidRPr="00A769DE">
              <w:rPr>
                <w:rFonts w:ascii="Arial" w:hAnsi="Arial" w:cs="Arial"/>
                <w:sz w:val="21"/>
                <w:szCs w:val="21"/>
                <w:lang w:val="en-AU"/>
              </w:rPr>
              <w:t xml:space="preserve"> – Private Sector Development Advisor</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 xml:space="preserve">Mr Nick Wintle </w:t>
            </w:r>
            <w:r w:rsidRPr="00A769DE">
              <w:rPr>
                <w:rFonts w:ascii="Arial" w:hAnsi="Arial" w:cs="Arial"/>
                <w:sz w:val="21"/>
                <w:szCs w:val="21"/>
                <w:lang w:val="en-AU"/>
              </w:rPr>
              <w:t>– Economist</w:t>
            </w:r>
            <w:r w:rsidRPr="00A769DE">
              <w:rPr>
                <w:rFonts w:ascii="Arial" w:hAnsi="Arial" w:cs="Arial"/>
                <w:b/>
                <w:sz w:val="21"/>
                <w:szCs w:val="21"/>
                <w:lang w:val="en-AU"/>
              </w:rPr>
              <w:t xml:space="preserve"> </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Peter Brimble</w:t>
            </w:r>
            <w:r w:rsidRPr="00A769DE">
              <w:rPr>
                <w:rFonts w:ascii="Arial" w:hAnsi="Arial" w:cs="Arial"/>
                <w:bCs/>
                <w:sz w:val="21"/>
                <w:szCs w:val="21"/>
                <w:lang w:val="en-AU"/>
              </w:rPr>
              <w:t xml:space="preserve"> </w:t>
            </w:r>
            <w:r w:rsidRPr="00A769DE">
              <w:rPr>
                <w:rFonts w:ascii="Arial" w:hAnsi="Arial" w:cs="Arial"/>
                <w:sz w:val="21"/>
                <w:szCs w:val="21"/>
                <w:lang w:val="en-AU"/>
              </w:rPr>
              <w:t>– Senior Technical Advisor, DaNa Facility / ‘Business for Shared Prosperity’ Secretariat</w:t>
            </w:r>
          </w:p>
        </w:tc>
      </w:tr>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t>Private Sector Organisations</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Maung Maung Lay</w:t>
            </w:r>
            <w:r w:rsidRPr="00A769DE">
              <w:rPr>
                <w:rFonts w:ascii="Arial" w:hAnsi="Arial" w:cs="Arial"/>
                <w:sz w:val="21"/>
                <w:szCs w:val="21"/>
                <w:lang w:val="en-AU"/>
              </w:rPr>
              <w:t xml:space="preserve"> – Vice President, Union of Myanmar Federation of Chambers of Commerce and Industry (UMFCCI)</w:t>
            </w:r>
          </w:p>
          <w:p w:rsidR="000B785F" w:rsidRPr="00A769DE" w:rsidRDefault="000B785F" w:rsidP="00A9264C">
            <w:pPr>
              <w:pStyle w:val="nm"/>
              <w:numPr>
                <w:ilvl w:val="0"/>
                <w:numId w:val="16"/>
              </w:numPr>
              <w:spacing w:before="80" w:after="80"/>
              <w:jc w:val="left"/>
              <w:rPr>
                <w:rFonts w:ascii="Arial" w:hAnsi="Arial" w:cs="Arial"/>
                <w:sz w:val="21"/>
                <w:szCs w:val="21"/>
                <w:lang w:val="en-AU"/>
              </w:rPr>
            </w:pPr>
            <w:r w:rsidRPr="00A769DE">
              <w:rPr>
                <w:rFonts w:ascii="Arial" w:hAnsi="Arial" w:cs="Arial"/>
                <w:b/>
                <w:sz w:val="21"/>
                <w:szCs w:val="21"/>
                <w:lang w:val="en-AU"/>
              </w:rPr>
              <w:t>Mr Win Si Thu</w:t>
            </w:r>
            <w:r w:rsidRPr="00A769DE">
              <w:rPr>
                <w:rFonts w:ascii="Arial" w:hAnsi="Arial" w:cs="Arial"/>
                <w:sz w:val="21"/>
                <w:szCs w:val="21"/>
                <w:lang w:val="en-AU"/>
              </w:rPr>
              <w:t xml:space="preserve"> – Executive Committee Member, Union of Myanmar Federation of Chambers of Commerce and Industry (UMFCCI)</w:t>
            </w:r>
          </w:p>
        </w:tc>
      </w:tr>
      <w:tr w:rsidR="000B785F" w:rsidRPr="00A769DE" w:rsidTr="00195C4D">
        <w:tc>
          <w:tcPr>
            <w:tcW w:w="1818" w:type="dxa"/>
            <w:shd w:val="clear" w:color="auto" w:fill="D9D9D9" w:themeFill="background1" w:themeFillShade="D9"/>
            <w:vAlign w:val="center"/>
          </w:tcPr>
          <w:p w:rsidR="000B785F" w:rsidRPr="00A769DE" w:rsidRDefault="000B785F" w:rsidP="00195C4D">
            <w:pPr>
              <w:spacing w:before="80" w:after="80"/>
              <w:jc w:val="center"/>
              <w:rPr>
                <w:rFonts w:ascii="Arial" w:hAnsi="Arial" w:cs="Arial"/>
                <w:b/>
                <w:color w:val="auto"/>
                <w:sz w:val="21"/>
                <w:szCs w:val="21"/>
                <w:lang w:val="en-AU"/>
              </w:rPr>
            </w:pPr>
            <w:r w:rsidRPr="00A769DE">
              <w:rPr>
                <w:rFonts w:ascii="Arial" w:hAnsi="Arial" w:cs="Arial"/>
                <w:b/>
                <w:color w:val="auto"/>
                <w:sz w:val="21"/>
                <w:szCs w:val="21"/>
                <w:lang w:val="en-AU"/>
              </w:rPr>
              <w:t>Others</w:t>
            </w:r>
          </w:p>
        </w:tc>
        <w:tc>
          <w:tcPr>
            <w:tcW w:w="8010" w:type="dxa"/>
            <w:vAlign w:val="center"/>
          </w:tcPr>
          <w:p w:rsidR="000B785F" w:rsidRPr="00A769DE" w:rsidRDefault="000B785F" w:rsidP="00A9264C">
            <w:pPr>
              <w:pStyle w:val="nm"/>
              <w:numPr>
                <w:ilvl w:val="0"/>
                <w:numId w:val="16"/>
              </w:numPr>
              <w:spacing w:before="80" w:after="80"/>
              <w:jc w:val="left"/>
              <w:rPr>
                <w:rFonts w:ascii="Arial" w:hAnsi="Arial" w:cs="Arial"/>
                <w:bCs/>
                <w:sz w:val="21"/>
                <w:szCs w:val="21"/>
                <w:lang w:val="en-AU"/>
              </w:rPr>
            </w:pPr>
            <w:r w:rsidRPr="00A769DE">
              <w:rPr>
                <w:rFonts w:ascii="Arial" w:hAnsi="Arial" w:cs="Arial"/>
                <w:b/>
                <w:sz w:val="21"/>
                <w:szCs w:val="21"/>
                <w:lang w:val="en-AU"/>
              </w:rPr>
              <w:t>Ms Jessica Ei Ei San</w:t>
            </w:r>
            <w:r w:rsidRPr="00A769DE">
              <w:rPr>
                <w:rFonts w:ascii="Arial" w:hAnsi="Arial" w:cs="Arial"/>
                <w:bCs/>
                <w:sz w:val="21"/>
                <w:szCs w:val="21"/>
                <w:lang w:val="en-AU"/>
              </w:rPr>
              <w:t xml:space="preserve"> – Director (Tax), PricewaterhouseCoopers Myanmar Co. Ltd. (PwC)</w:t>
            </w:r>
          </w:p>
        </w:tc>
      </w:tr>
    </w:tbl>
    <w:p w:rsidR="000B785F" w:rsidRPr="00A769DE" w:rsidRDefault="000B785F" w:rsidP="000B785F">
      <w:pPr>
        <w:spacing w:before="0" w:after="0"/>
        <w:rPr>
          <w:rFonts w:ascii="Arial" w:hAnsi="Arial" w:cs="Arial"/>
          <w:b/>
          <w:color w:val="auto"/>
          <w:sz w:val="28"/>
          <w:szCs w:val="28"/>
          <w:lang w:val="en-AU"/>
        </w:rPr>
      </w:pPr>
      <w:r w:rsidRPr="00A769DE">
        <w:rPr>
          <w:rFonts w:ascii="Arial" w:hAnsi="Arial" w:cs="Arial"/>
          <w:color w:val="auto"/>
          <w:sz w:val="28"/>
          <w:szCs w:val="28"/>
          <w:lang w:val="en-AU"/>
        </w:rPr>
        <w:br w:type="page"/>
      </w:r>
    </w:p>
    <w:p w:rsidR="000B785F" w:rsidRPr="00A769DE" w:rsidRDefault="000B785F" w:rsidP="000B785F">
      <w:pPr>
        <w:pStyle w:val="Heading2"/>
        <w:spacing w:before="0" w:after="60"/>
        <w:ind w:left="272" w:hanging="272"/>
        <w:rPr>
          <w:rFonts w:ascii="Arial" w:hAnsi="Arial" w:cs="Arial"/>
          <w:b/>
          <w:bCs/>
          <w:i/>
          <w:color w:val="auto"/>
          <w:sz w:val="24"/>
          <w:szCs w:val="24"/>
          <w:lang w:val="en-AU"/>
        </w:rPr>
      </w:pPr>
      <w:bookmarkStart w:id="109" w:name="_Toc522800499"/>
      <w:bookmarkStart w:id="110" w:name="_Toc525930572"/>
      <w:bookmarkStart w:id="111" w:name="_Toc530307622"/>
      <w:r w:rsidRPr="00A769DE">
        <w:rPr>
          <w:rFonts w:ascii="Arial" w:hAnsi="Arial" w:cs="Arial"/>
          <w:b/>
          <w:bCs/>
          <w:color w:val="auto"/>
          <w:sz w:val="24"/>
          <w:szCs w:val="24"/>
          <w:lang w:val="en-AU"/>
        </w:rPr>
        <w:lastRenderedPageBreak/>
        <w:t>Annex F – ICCP Project</w:t>
      </w:r>
      <w:r w:rsidR="00530B1F" w:rsidRPr="00A769DE">
        <w:rPr>
          <w:rFonts w:ascii="Arial" w:hAnsi="Arial" w:cs="Arial"/>
          <w:b/>
          <w:bCs/>
          <w:color w:val="auto"/>
          <w:sz w:val="24"/>
          <w:szCs w:val="24"/>
          <w:lang w:val="en-AU"/>
        </w:rPr>
        <w:t xml:space="preserve"> </w:t>
      </w:r>
      <w:bookmarkEnd w:id="109"/>
      <w:r w:rsidR="00B209AF" w:rsidRPr="00A769DE">
        <w:rPr>
          <w:rFonts w:ascii="Arial" w:hAnsi="Arial" w:cs="Arial"/>
          <w:b/>
          <w:bCs/>
          <w:color w:val="auto"/>
          <w:sz w:val="24"/>
          <w:szCs w:val="24"/>
          <w:lang w:val="en-AU"/>
        </w:rPr>
        <w:t>Overview</w:t>
      </w:r>
      <w:bookmarkEnd w:id="110"/>
      <w:bookmarkEnd w:id="111"/>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78"/>
        <w:gridCol w:w="1350"/>
        <w:gridCol w:w="5760"/>
        <w:gridCol w:w="2340"/>
      </w:tblGrid>
      <w:tr w:rsidR="000B785F" w:rsidRPr="00A769DE" w:rsidTr="00530B1F">
        <w:trPr>
          <w:trHeight w:val="1008"/>
          <w:tblHeader/>
        </w:trPr>
        <w:tc>
          <w:tcPr>
            <w:tcW w:w="378" w:type="dxa"/>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18"/>
                <w:szCs w:val="18"/>
                <w:lang w:val="en-AU"/>
              </w:rPr>
            </w:pPr>
            <w:r w:rsidRPr="00A769DE">
              <w:rPr>
                <w:rFonts w:ascii="Arial" w:hAnsi="Arial" w:cs="Arial"/>
                <w:b/>
                <w:bCs/>
                <w:color w:val="auto"/>
                <w:sz w:val="18"/>
                <w:szCs w:val="18"/>
                <w:lang w:val="en-AU"/>
              </w:rPr>
              <w:t>#</w:t>
            </w:r>
          </w:p>
        </w:tc>
        <w:tc>
          <w:tcPr>
            <w:tcW w:w="1350" w:type="dxa"/>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18"/>
                <w:szCs w:val="18"/>
                <w:lang w:val="en-AU"/>
              </w:rPr>
            </w:pPr>
            <w:r w:rsidRPr="00A769DE">
              <w:rPr>
                <w:rFonts w:ascii="Arial" w:hAnsi="Arial" w:cs="Arial"/>
                <w:b/>
                <w:bCs/>
                <w:color w:val="auto"/>
                <w:sz w:val="18"/>
                <w:szCs w:val="18"/>
                <w:lang w:val="en-AU"/>
              </w:rPr>
              <w:t>Component</w:t>
            </w:r>
            <w:r w:rsidR="00530B1F" w:rsidRPr="00A769DE">
              <w:rPr>
                <w:rFonts w:ascii="Arial" w:hAnsi="Arial" w:cs="Arial"/>
                <w:b/>
                <w:bCs/>
                <w:color w:val="auto"/>
                <w:sz w:val="18"/>
                <w:szCs w:val="18"/>
                <w:lang w:val="en-AU"/>
              </w:rPr>
              <w:t>s</w:t>
            </w:r>
          </w:p>
        </w:tc>
        <w:tc>
          <w:tcPr>
            <w:tcW w:w="5760" w:type="dxa"/>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18"/>
                <w:szCs w:val="18"/>
                <w:lang w:val="en-AU"/>
              </w:rPr>
            </w:pPr>
            <w:r w:rsidRPr="00A769DE">
              <w:rPr>
                <w:rFonts w:ascii="Arial" w:hAnsi="Arial" w:cs="Arial"/>
                <w:b/>
                <w:bCs/>
                <w:color w:val="auto"/>
                <w:sz w:val="18"/>
                <w:szCs w:val="18"/>
                <w:lang w:val="en-AU"/>
              </w:rPr>
              <w:t>Project</w:t>
            </w:r>
            <w:r w:rsidR="00530B1F" w:rsidRPr="00A769DE">
              <w:rPr>
                <w:rFonts w:ascii="Arial" w:hAnsi="Arial" w:cs="Arial"/>
                <w:b/>
                <w:bCs/>
                <w:color w:val="auto"/>
                <w:sz w:val="18"/>
                <w:szCs w:val="18"/>
                <w:lang w:val="en-AU"/>
              </w:rPr>
              <w:t>s</w:t>
            </w:r>
          </w:p>
        </w:tc>
        <w:tc>
          <w:tcPr>
            <w:tcW w:w="2340" w:type="dxa"/>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18"/>
                <w:szCs w:val="18"/>
                <w:lang w:val="en-AU"/>
              </w:rPr>
            </w:pPr>
            <w:r w:rsidRPr="00A769DE">
              <w:rPr>
                <w:rFonts w:ascii="Arial" w:hAnsi="Arial" w:cs="Arial"/>
                <w:b/>
                <w:bCs/>
                <w:color w:val="auto"/>
                <w:sz w:val="18"/>
                <w:szCs w:val="18"/>
                <w:lang w:val="en-AU"/>
              </w:rPr>
              <w:t>Main Counterparts and Beneficiaries</w:t>
            </w:r>
          </w:p>
        </w:tc>
      </w:tr>
      <w:tr w:rsidR="000B785F" w:rsidRPr="00A769DE" w:rsidTr="00530B1F">
        <w:trPr>
          <w:trHeight w:val="20"/>
        </w:trPr>
        <w:tc>
          <w:tcPr>
            <w:tcW w:w="378" w:type="dxa"/>
            <w:tcBorders>
              <w:top w:val="double" w:sz="4" w:space="0" w:color="auto"/>
              <w:bottom w:val="sing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1</w:t>
            </w:r>
          </w:p>
        </w:tc>
        <w:tc>
          <w:tcPr>
            <w:tcW w:w="1350" w:type="dxa"/>
            <w:vMerge w:val="restart"/>
            <w:tcBorders>
              <w:top w:val="double" w:sz="4" w:space="0" w:color="auto"/>
            </w:tcBorders>
            <w:textDirection w:val="btLr"/>
            <w:vAlign w:val="center"/>
          </w:tcPr>
          <w:p w:rsidR="000B785F" w:rsidRPr="00A769DE" w:rsidRDefault="000B785F" w:rsidP="00A379CD">
            <w:pPr>
              <w:spacing w:before="60"/>
              <w:ind w:left="113" w:right="113"/>
              <w:jc w:val="center"/>
              <w:rPr>
                <w:rFonts w:ascii="Arial" w:hAnsi="Arial" w:cs="Arial"/>
                <w:b/>
                <w:color w:val="auto"/>
                <w:sz w:val="18"/>
                <w:szCs w:val="18"/>
                <w:lang w:val="en-AU"/>
              </w:rPr>
            </w:pPr>
            <w:r w:rsidRPr="00A769DE">
              <w:rPr>
                <w:rFonts w:ascii="Arial" w:hAnsi="Arial" w:cs="Arial"/>
                <w:b/>
                <w:color w:val="auto"/>
                <w:sz w:val="18"/>
                <w:szCs w:val="18"/>
                <w:lang w:val="en-AU"/>
              </w:rPr>
              <w:t>I. Improving the business environment</w:t>
            </w:r>
          </w:p>
        </w:tc>
        <w:tc>
          <w:tcPr>
            <w:tcW w:w="5760" w:type="dxa"/>
            <w:tcBorders>
              <w:top w:val="double" w:sz="4" w:space="0" w:color="auto"/>
              <w:bottom w:val="sing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Myanmar IC Reforms</w:t>
            </w:r>
            <w:r w:rsidRPr="00A769DE">
              <w:rPr>
                <w:rFonts w:ascii="Arial" w:hAnsi="Arial" w:cs="Arial"/>
                <w:bCs/>
                <w:color w:val="auto"/>
                <w:sz w:val="18"/>
                <w:szCs w:val="18"/>
                <w:lang w:val="en-AU"/>
              </w:rPr>
              <w:t xml:space="preserve"> (</w:t>
            </w:r>
            <w:r w:rsidRPr="00A769DE">
              <w:rPr>
                <w:rFonts w:ascii="Arial" w:hAnsi="Arial" w:cs="Arial"/>
                <w:color w:val="auto"/>
                <w:sz w:val="18"/>
                <w:szCs w:val="18"/>
                <w:lang w:val="en-AU"/>
              </w:rPr>
              <w:t>Investment Climate) 600430</w:t>
            </w:r>
          </w:p>
        </w:tc>
        <w:tc>
          <w:tcPr>
            <w:tcW w:w="2340" w:type="dxa"/>
            <w:tcBorders>
              <w:top w:val="double" w:sz="4" w:space="0" w:color="auto"/>
              <w:bottom w:val="sing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MoC</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YCDC</w:t>
            </w:r>
          </w:p>
        </w:tc>
      </w:tr>
      <w:tr w:rsidR="000B785F" w:rsidRPr="00A769DE" w:rsidTr="00530B1F">
        <w:trPr>
          <w:trHeight w:val="20"/>
        </w:trPr>
        <w:tc>
          <w:tcPr>
            <w:tcW w:w="378" w:type="dxa"/>
            <w:tcBorders>
              <w:top w:val="single" w:sz="4" w:space="0" w:color="auto"/>
              <w:bottom w:val="sing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2</w:t>
            </w:r>
          </w:p>
        </w:tc>
        <w:tc>
          <w:tcPr>
            <w:tcW w:w="1350" w:type="dxa"/>
            <w:vMerge/>
            <w:textDirection w:val="btLr"/>
            <w:vAlign w:val="center"/>
          </w:tcPr>
          <w:p w:rsidR="000B785F" w:rsidRPr="00A769DE" w:rsidRDefault="000B785F" w:rsidP="00A379CD">
            <w:pPr>
              <w:spacing w:before="60"/>
              <w:ind w:left="113" w:right="113"/>
              <w:jc w:val="center"/>
              <w:rPr>
                <w:rFonts w:ascii="Arial" w:hAnsi="Arial" w:cs="Arial"/>
                <w:b/>
                <w:color w:val="auto"/>
                <w:sz w:val="18"/>
                <w:szCs w:val="18"/>
                <w:lang w:val="en-AU"/>
              </w:rPr>
            </w:pPr>
          </w:p>
        </w:tc>
        <w:tc>
          <w:tcPr>
            <w:tcW w:w="5760" w:type="dxa"/>
            <w:tcBorders>
              <w:top w:val="single" w:sz="4" w:space="0" w:color="auto"/>
              <w:bottom w:val="sing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Myanmar Investment Policy</w:t>
            </w:r>
            <w:r w:rsidRPr="00A769DE">
              <w:rPr>
                <w:rFonts w:ascii="Arial" w:hAnsi="Arial" w:cs="Arial"/>
                <w:bCs/>
                <w:color w:val="auto"/>
                <w:sz w:val="18"/>
                <w:szCs w:val="18"/>
                <w:lang w:val="en-AU"/>
              </w:rPr>
              <w:t xml:space="preserve"> (IPP) </w:t>
            </w:r>
            <w:r w:rsidRPr="00A769DE">
              <w:rPr>
                <w:rFonts w:ascii="Arial" w:hAnsi="Arial" w:cs="Arial"/>
                <w:color w:val="auto"/>
                <w:sz w:val="18"/>
                <w:szCs w:val="18"/>
                <w:lang w:val="en-AU"/>
              </w:rPr>
              <w:t>600309</w:t>
            </w:r>
          </w:p>
        </w:tc>
        <w:tc>
          <w:tcPr>
            <w:tcW w:w="2340" w:type="dxa"/>
            <w:tcBorders>
              <w:top w:val="single" w:sz="4" w:space="0" w:color="auto"/>
              <w:bottom w:val="sing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DICA</w:t>
            </w:r>
          </w:p>
        </w:tc>
      </w:tr>
      <w:tr w:rsidR="000B785F" w:rsidRPr="00A769DE" w:rsidTr="00530B1F">
        <w:trPr>
          <w:trHeight w:val="20"/>
        </w:trPr>
        <w:tc>
          <w:tcPr>
            <w:tcW w:w="378" w:type="dxa"/>
            <w:tcBorders>
              <w:top w:val="single" w:sz="4" w:space="0" w:color="auto"/>
              <w:bottom w:val="doub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3</w:t>
            </w:r>
          </w:p>
        </w:tc>
        <w:tc>
          <w:tcPr>
            <w:tcW w:w="1350" w:type="dxa"/>
            <w:vMerge/>
            <w:tcBorders>
              <w:bottom w:val="double" w:sz="4" w:space="0" w:color="auto"/>
            </w:tcBorders>
            <w:textDirection w:val="btLr"/>
            <w:vAlign w:val="center"/>
          </w:tcPr>
          <w:p w:rsidR="000B785F" w:rsidRPr="00A769DE" w:rsidRDefault="000B785F" w:rsidP="00A379CD">
            <w:pPr>
              <w:spacing w:before="60"/>
              <w:ind w:left="113" w:right="113"/>
              <w:jc w:val="center"/>
              <w:rPr>
                <w:rFonts w:ascii="Arial" w:hAnsi="Arial" w:cs="Arial"/>
                <w:b/>
                <w:color w:val="auto"/>
                <w:sz w:val="18"/>
                <w:szCs w:val="18"/>
                <w:lang w:val="en-AU"/>
              </w:rPr>
            </w:pPr>
          </w:p>
        </w:tc>
        <w:tc>
          <w:tcPr>
            <w:tcW w:w="5760" w:type="dxa"/>
            <w:tcBorders>
              <w:top w:val="single" w:sz="4" w:space="0" w:color="auto"/>
              <w:bottom w:val="doub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Myanmar Program for Trade Competitiveness and Enterprise Development</w:t>
            </w:r>
            <w:r w:rsidRPr="00A769DE">
              <w:rPr>
                <w:rFonts w:ascii="Arial" w:hAnsi="Arial" w:cs="Arial"/>
                <w:bCs/>
                <w:color w:val="auto"/>
                <w:sz w:val="18"/>
                <w:szCs w:val="18"/>
                <w:lang w:val="en-AU"/>
              </w:rPr>
              <w:t xml:space="preserve"> (</w:t>
            </w:r>
            <w:r w:rsidRPr="00A769DE">
              <w:rPr>
                <w:rFonts w:ascii="Arial" w:hAnsi="Arial" w:cs="Arial"/>
                <w:color w:val="auto"/>
                <w:sz w:val="18"/>
                <w:szCs w:val="18"/>
                <w:lang w:val="en-AU"/>
              </w:rPr>
              <w:t>Strengthening Economic Integration and Trade Policy, Trade Integration) P164258</w:t>
            </w:r>
          </w:p>
        </w:tc>
        <w:tc>
          <w:tcPr>
            <w:tcW w:w="2340" w:type="dxa"/>
            <w:tcBorders>
              <w:top w:val="single" w:sz="4" w:space="0" w:color="auto"/>
              <w:bottom w:val="doub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MoPF/MCD</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MoC</w:t>
            </w:r>
          </w:p>
        </w:tc>
      </w:tr>
      <w:tr w:rsidR="000B785F" w:rsidRPr="00A769DE" w:rsidTr="00530B1F">
        <w:trPr>
          <w:trHeight w:val="20"/>
        </w:trPr>
        <w:tc>
          <w:tcPr>
            <w:tcW w:w="378" w:type="dxa"/>
            <w:tcBorders>
              <w:top w:val="double" w:sz="4" w:space="0" w:color="auto"/>
              <w:bottom w:val="sing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4</w:t>
            </w:r>
          </w:p>
        </w:tc>
        <w:tc>
          <w:tcPr>
            <w:tcW w:w="1350" w:type="dxa"/>
            <w:vMerge w:val="restart"/>
            <w:tcBorders>
              <w:top w:val="double" w:sz="4" w:space="0" w:color="auto"/>
            </w:tcBorders>
            <w:textDirection w:val="btLr"/>
            <w:vAlign w:val="center"/>
          </w:tcPr>
          <w:p w:rsidR="000B785F" w:rsidRPr="00A769DE" w:rsidRDefault="000B785F" w:rsidP="00A379CD">
            <w:pPr>
              <w:spacing w:before="60"/>
              <w:ind w:left="113" w:right="113"/>
              <w:jc w:val="center"/>
              <w:rPr>
                <w:rFonts w:ascii="Arial" w:hAnsi="Arial" w:cs="Arial"/>
                <w:b/>
                <w:color w:val="auto"/>
                <w:sz w:val="18"/>
                <w:szCs w:val="18"/>
                <w:lang w:val="en-AU"/>
              </w:rPr>
            </w:pPr>
            <w:r w:rsidRPr="00A769DE">
              <w:rPr>
                <w:rFonts w:ascii="Arial" w:hAnsi="Arial" w:cs="Arial"/>
                <w:b/>
                <w:color w:val="auto"/>
                <w:sz w:val="18"/>
                <w:szCs w:val="18"/>
                <w:lang w:val="en-AU"/>
              </w:rPr>
              <w:t>II. Enabling sector specific growth</w:t>
            </w:r>
          </w:p>
        </w:tc>
        <w:tc>
          <w:tcPr>
            <w:tcW w:w="5760" w:type="dxa"/>
            <w:tcBorders>
              <w:top w:val="double" w:sz="4" w:space="0" w:color="auto"/>
              <w:bottom w:val="sing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Supporting Sustainable Tourism Development in Myanmar</w:t>
            </w:r>
            <w:r w:rsidRPr="00A769DE">
              <w:rPr>
                <w:rFonts w:ascii="Arial" w:hAnsi="Arial" w:cs="Arial"/>
                <w:bCs/>
                <w:color w:val="auto"/>
                <w:sz w:val="18"/>
                <w:szCs w:val="18"/>
                <w:lang w:val="en-AU"/>
              </w:rPr>
              <w:t xml:space="preserve"> (</w:t>
            </w:r>
            <w:r w:rsidRPr="00A769DE">
              <w:rPr>
                <w:rFonts w:ascii="Arial" w:hAnsi="Arial" w:cs="Arial"/>
                <w:color w:val="auto"/>
                <w:sz w:val="18"/>
                <w:szCs w:val="18"/>
                <w:lang w:val="en-AU"/>
              </w:rPr>
              <w:t>Support Linkages in Key Value Chains – Tourism) 600997</w:t>
            </w:r>
          </w:p>
        </w:tc>
        <w:tc>
          <w:tcPr>
            <w:tcW w:w="2340" w:type="dxa"/>
            <w:tcBorders>
              <w:top w:val="double" w:sz="4" w:space="0" w:color="auto"/>
              <w:bottom w:val="sing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MoHT</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IPNET</w:t>
            </w:r>
          </w:p>
        </w:tc>
      </w:tr>
      <w:tr w:rsidR="000B785F" w:rsidRPr="00A769DE" w:rsidTr="00530B1F">
        <w:trPr>
          <w:trHeight w:val="20"/>
        </w:trPr>
        <w:tc>
          <w:tcPr>
            <w:tcW w:w="378" w:type="dxa"/>
            <w:tcBorders>
              <w:top w:val="single" w:sz="4" w:space="0" w:color="auto"/>
              <w:bottom w:val="sing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5</w:t>
            </w:r>
          </w:p>
        </w:tc>
        <w:tc>
          <w:tcPr>
            <w:tcW w:w="1350" w:type="dxa"/>
            <w:vMerge/>
            <w:textDirection w:val="btLr"/>
            <w:vAlign w:val="center"/>
          </w:tcPr>
          <w:p w:rsidR="000B785F" w:rsidRPr="00A769DE" w:rsidRDefault="000B785F" w:rsidP="00A379CD">
            <w:pPr>
              <w:spacing w:before="60"/>
              <w:ind w:left="113" w:right="113"/>
              <w:jc w:val="center"/>
              <w:rPr>
                <w:rFonts w:ascii="Arial" w:hAnsi="Arial" w:cs="Arial"/>
                <w:b/>
                <w:color w:val="auto"/>
                <w:sz w:val="18"/>
                <w:szCs w:val="18"/>
                <w:lang w:val="en-AU"/>
              </w:rPr>
            </w:pPr>
          </w:p>
        </w:tc>
        <w:tc>
          <w:tcPr>
            <w:tcW w:w="5760" w:type="dxa"/>
            <w:tcBorders>
              <w:top w:val="single" w:sz="4" w:space="0" w:color="auto"/>
              <w:bottom w:val="single" w:sz="4" w:space="0" w:color="auto"/>
            </w:tcBorders>
            <w:vAlign w:val="center"/>
          </w:tcPr>
          <w:p w:rsidR="000B785F" w:rsidRPr="00A769DE" w:rsidRDefault="000B785F" w:rsidP="00C121E5">
            <w:pPr>
              <w:spacing w:before="60"/>
              <w:rPr>
                <w:rFonts w:ascii="Arial" w:hAnsi="Arial" w:cs="Arial"/>
                <w:color w:val="auto"/>
                <w:sz w:val="18"/>
                <w:szCs w:val="18"/>
                <w:lang w:val="en-AU"/>
              </w:rPr>
            </w:pPr>
            <w:r w:rsidRPr="00A769DE">
              <w:rPr>
                <w:rFonts w:ascii="Arial" w:hAnsi="Arial" w:cs="Arial"/>
                <w:b/>
                <w:color w:val="auto"/>
                <w:sz w:val="18"/>
                <w:szCs w:val="18"/>
                <w:lang w:val="en-AU"/>
              </w:rPr>
              <w:t>Reforming Agri Input Regulation and Standards in Myanmar</w:t>
            </w:r>
            <w:r w:rsidRPr="00A769DE">
              <w:rPr>
                <w:rFonts w:ascii="Arial" w:hAnsi="Arial" w:cs="Arial"/>
                <w:bCs/>
                <w:color w:val="auto"/>
                <w:sz w:val="18"/>
                <w:szCs w:val="18"/>
                <w:lang w:val="en-AU"/>
              </w:rPr>
              <w:t xml:space="preserve"> (</w:t>
            </w:r>
            <w:r w:rsidRPr="00A769DE">
              <w:rPr>
                <w:rFonts w:ascii="Arial" w:hAnsi="Arial" w:cs="Arial"/>
                <w:color w:val="auto"/>
                <w:sz w:val="18"/>
                <w:szCs w:val="18"/>
                <w:lang w:val="en-AU"/>
              </w:rPr>
              <w:t>Myanmar Agri Inputs Reforms) 600996</w:t>
            </w:r>
          </w:p>
        </w:tc>
        <w:tc>
          <w:tcPr>
            <w:tcW w:w="2340" w:type="dxa"/>
            <w:tcBorders>
              <w:top w:val="single" w:sz="4" w:space="0" w:color="auto"/>
              <w:bottom w:val="sing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MoALI/DoA</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MRF</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GAP Farmers</w:t>
            </w:r>
          </w:p>
        </w:tc>
      </w:tr>
      <w:tr w:rsidR="000B785F" w:rsidRPr="00A769DE" w:rsidTr="00530B1F">
        <w:trPr>
          <w:trHeight w:val="20"/>
        </w:trPr>
        <w:tc>
          <w:tcPr>
            <w:tcW w:w="378" w:type="dxa"/>
            <w:tcBorders>
              <w:top w:val="single" w:sz="4" w:space="0" w:color="auto"/>
              <w:bottom w:val="doub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6</w:t>
            </w:r>
          </w:p>
        </w:tc>
        <w:tc>
          <w:tcPr>
            <w:tcW w:w="1350" w:type="dxa"/>
            <w:vMerge/>
            <w:tcBorders>
              <w:bottom w:val="double" w:sz="4" w:space="0" w:color="auto"/>
            </w:tcBorders>
            <w:textDirection w:val="btLr"/>
            <w:vAlign w:val="center"/>
          </w:tcPr>
          <w:p w:rsidR="000B785F" w:rsidRPr="00A769DE" w:rsidRDefault="000B785F" w:rsidP="00A379CD">
            <w:pPr>
              <w:spacing w:before="60"/>
              <w:ind w:left="113" w:right="113"/>
              <w:jc w:val="center"/>
              <w:rPr>
                <w:rFonts w:ascii="Arial" w:hAnsi="Arial" w:cs="Arial"/>
                <w:b/>
                <w:color w:val="auto"/>
                <w:sz w:val="18"/>
                <w:szCs w:val="18"/>
                <w:lang w:val="en-AU"/>
              </w:rPr>
            </w:pPr>
          </w:p>
        </w:tc>
        <w:tc>
          <w:tcPr>
            <w:tcW w:w="5760" w:type="dxa"/>
            <w:tcBorders>
              <w:top w:val="single" w:sz="4" w:space="0" w:color="auto"/>
              <w:bottom w:val="doub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Myanmar Agribusiness</w:t>
            </w:r>
            <w:r w:rsidRPr="00A769DE">
              <w:rPr>
                <w:rFonts w:ascii="Arial" w:hAnsi="Arial" w:cs="Arial"/>
                <w:bCs/>
                <w:color w:val="auto"/>
                <w:sz w:val="18"/>
                <w:szCs w:val="18"/>
                <w:lang w:val="en-AU"/>
              </w:rPr>
              <w:t xml:space="preserve"> </w:t>
            </w:r>
            <w:r w:rsidRPr="00A769DE">
              <w:rPr>
                <w:rFonts w:ascii="Arial" w:hAnsi="Arial" w:cs="Arial"/>
                <w:color w:val="auto"/>
                <w:sz w:val="18"/>
                <w:szCs w:val="18"/>
                <w:lang w:val="en-AU"/>
              </w:rPr>
              <w:t>(Agri advisory, Support Linkages in Key Value Chains – Agribusiness) 600310</w:t>
            </w:r>
          </w:p>
          <w:p w:rsidR="000B785F" w:rsidRPr="00A769DE" w:rsidRDefault="000B785F" w:rsidP="00A379CD">
            <w:pPr>
              <w:spacing w:before="60"/>
              <w:rPr>
                <w:rFonts w:ascii="Arial" w:hAnsi="Arial" w:cs="Arial"/>
                <w:color w:val="auto"/>
                <w:sz w:val="18"/>
                <w:szCs w:val="18"/>
                <w:lang w:val="en-AU"/>
              </w:rPr>
            </w:pPr>
            <w:r w:rsidRPr="00A769DE">
              <w:rPr>
                <w:rFonts w:ascii="Arial" w:hAnsi="Arial" w:cs="Arial"/>
                <w:b/>
                <w:bCs/>
                <w:color w:val="auto"/>
                <w:sz w:val="18"/>
                <w:szCs w:val="18"/>
                <w:lang w:val="en-AU"/>
              </w:rPr>
              <w:t>Myanmar Food Safety</w:t>
            </w:r>
            <w:r w:rsidRPr="00A769DE">
              <w:rPr>
                <w:rFonts w:ascii="Arial" w:hAnsi="Arial" w:cs="Arial"/>
                <w:color w:val="auto"/>
                <w:sz w:val="18"/>
                <w:szCs w:val="18"/>
                <w:lang w:val="en-AU"/>
              </w:rPr>
              <w:t xml:space="preserve"> (Myanmar FS) 603241</w:t>
            </w:r>
          </w:p>
        </w:tc>
        <w:tc>
          <w:tcPr>
            <w:tcW w:w="2340" w:type="dxa"/>
            <w:tcBorders>
              <w:top w:val="single" w:sz="4" w:space="0" w:color="auto"/>
              <w:bottom w:val="doub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MoALI</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MRF</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UMFCCI</w:t>
            </w:r>
          </w:p>
        </w:tc>
      </w:tr>
      <w:tr w:rsidR="000B785F" w:rsidRPr="00A769DE" w:rsidTr="00530B1F">
        <w:trPr>
          <w:trHeight w:val="20"/>
        </w:trPr>
        <w:tc>
          <w:tcPr>
            <w:tcW w:w="378" w:type="dxa"/>
            <w:tcBorders>
              <w:top w:val="doub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7</w:t>
            </w:r>
          </w:p>
        </w:tc>
        <w:tc>
          <w:tcPr>
            <w:tcW w:w="1350" w:type="dxa"/>
            <w:vMerge w:val="restart"/>
            <w:tcBorders>
              <w:top w:val="double" w:sz="4" w:space="0" w:color="auto"/>
            </w:tcBorders>
            <w:textDirection w:val="btLr"/>
            <w:vAlign w:val="center"/>
          </w:tcPr>
          <w:p w:rsidR="000B785F" w:rsidRPr="00A769DE" w:rsidRDefault="000B785F" w:rsidP="00A379CD">
            <w:pPr>
              <w:spacing w:before="60"/>
              <w:ind w:left="113" w:right="113"/>
              <w:jc w:val="center"/>
              <w:rPr>
                <w:rFonts w:ascii="Arial" w:hAnsi="Arial" w:cs="Arial"/>
                <w:b/>
                <w:color w:val="auto"/>
                <w:sz w:val="18"/>
                <w:szCs w:val="18"/>
                <w:lang w:val="en-AU"/>
              </w:rPr>
            </w:pPr>
            <w:r w:rsidRPr="00A769DE">
              <w:rPr>
                <w:rFonts w:ascii="Arial" w:hAnsi="Arial" w:cs="Arial"/>
                <w:b/>
                <w:color w:val="auto"/>
                <w:sz w:val="18"/>
                <w:szCs w:val="18"/>
                <w:lang w:val="en-AU"/>
              </w:rPr>
              <w:t>III. Including Private sector participation in development</w:t>
            </w:r>
          </w:p>
        </w:tc>
        <w:tc>
          <w:tcPr>
            <w:tcW w:w="5760" w:type="dxa"/>
            <w:tcBorders>
              <w:top w:val="doub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Energy Access Myanmar</w:t>
            </w:r>
            <w:r w:rsidRPr="00A769DE">
              <w:rPr>
                <w:rFonts w:ascii="Arial" w:hAnsi="Arial" w:cs="Arial"/>
                <w:color w:val="auto"/>
                <w:sz w:val="18"/>
                <w:szCs w:val="18"/>
                <w:lang w:val="en-AU"/>
              </w:rPr>
              <w:t xml:space="preserve"> (Support Linkages in Key Value Chains – Lighting Myanmar) 600863</w:t>
            </w:r>
          </w:p>
        </w:tc>
        <w:tc>
          <w:tcPr>
            <w:tcW w:w="2340" w:type="dxa"/>
            <w:tcBorders>
              <w:top w:val="doub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Private firms</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DRD</w:t>
            </w:r>
          </w:p>
        </w:tc>
      </w:tr>
      <w:tr w:rsidR="000B785F" w:rsidRPr="00A769DE" w:rsidTr="00530B1F">
        <w:trPr>
          <w:trHeight w:val="20"/>
        </w:trPr>
        <w:tc>
          <w:tcPr>
            <w:tcW w:w="378" w:type="dxa"/>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8</w:t>
            </w:r>
          </w:p>
        </w:tc>
        <w:tc>
          <w:tcPr>
            <w:tcW w:w="1350" w:type="dxa"/>
            <w:vMerge/>
          </w:tcPr>
          <w:p w:rsidR="000B785F" w:rsidRPr="00A769DE" w:rsidRDefault="000B785F" w:rsidP="00A379CD">
            <w:pPr>
              <w:spacing w:before="60"/>
              <w:rPr>
                <w:rFonts w:ascii="Arial" w:hAnsi="Arial" w:cs="Arial"/>
                <w:b/>
                <w:bCs/>
                <w:color w:val="auto"/>
                <w:sz w:val="18"/>
                <w:szCs w:val="18"/>
                <w:lang w:val="en-AU"/>
              </w:rPr>
            </w:pPr>
          </w:p>
        </w:tc>
        <w:tc>
          <w:tcPr>
            <w:tcW w:w="5760" w:type="dxa"/>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bCs/>
                <w:color w:val="auto"/>
                <w:sz w:val="18"/>
                <w:szCs w:val="18"/>
                <w:lang w:val="en-AU"/>
              </w:rPr>
              <w:t>Myanmar Power Advisory</w:t>
            </w:r>
            <w:r w:rsidRPr="00A769DE">
              <w:rPr>
                <w:rFonts w:ascii="Arial" w:hAnsi="Arial" w:cs="Arial"/>
                <w:color w:val="auto"/>
                <w:sz w:val="18"/>
                <w:szCs w:val="18"/>
                <w:lang w:val="en-AU"/>
              </w:rPr>
              <w:t xml:space="preserve"> (Support Linkages in Key Value Chains – Myanmar Power Advisory) 602475</w:t>
            </w:r>
          </w:p>
        </w:tc>
        <w:tc>
          <w:tcPr>
            <w:tcW w:w="2340" w:type="dxa"/>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MoEE</w:t>
            </w:r>
          </w:p>
        </w:tc>
      </w:tr>
      <w:tr w:rsidR="000B785F" w:rsidRPr="00A769DE" w:rsidTr="00530B1F">
        <w:trPr>
          <w:trHeight w:val="20"/>
        </w:trPr>
        <w:tc>
          <w:tcPr>
            <w:tcW w:w="378" w:type="dxa"/>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9</w:t>
            </w:r>
          </w:p>
        </w:tc>
        <w:tc>
          <w:tcPr>
            <w:tcW w:w="1350" w:type="dxa"/>
            <w:vMerge/>
          </w:tcPr>
          <w:p w:rsidR="000B785F" w:rsidRPr="00A769DE" w:rsidRDefault="000B785F" w:rsidP="00A379CD">
            <w:pPr>
              <w:spacing w:before="60"/>
              <w:rPr>
                <w:rFonts w:ascii="Arial" w:hAnsi="Arial" w:cs="Arial"/>
                <w:b/>
                <w:bCs/>
                <w:color w:val="auto"/>
                <w:sz w:val="18"/>
                <w:szCs w:val="18"/>
                <w:lang w:val="en-AU"/>
              </w:rPr>
            </w:pPr>
          </w:p>
        </w:tc>
        <w:tc>
          <w:tcPr>
            <w:tcW w:w="5760" w:type="dxa"/>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bCs/>
                <w:color w:val="auto"/>
                <w:sz w:val="18"/>
                <w:szCs w:val="18"/>
                <w:lang w:val="en-AU"/>
              </w:rPr>
              <w:t>EAP CG Program Implementation</w:t>
            </w:r>
            <w:r w:rsidRPr="00A769DE">
              <w:rPr>
                <w:rFonts w:ascii="Arial" w:hAnsi="Arial" w:cs="Arial"/>
                <w:color w:val="auto"/>
                <w:sz w:val="18"/>
                <w:szCs w:val="18"/>
                <w:lang w:val="en-AU"/>
              </w:rPr>
              <w:t xml:space="preserve"> (Improving Corporate Governance, Corporate Governance) 593267</w:t>
            </w:r>
          </w:p>
        </w:tc>
        <w:tc>
          <w:tcPr>
            <w:tcW w:w="2340" w:type="dxa"/>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SECM</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MLoD</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Private firms</w:t>
            </w:r>
          </w:p>
        </w:tc>
      </w:tr>
      <w:tr w:rsidR="000B785F" w:rsidRPr="00A769DE" w:rsidTr="00530B1F">
        <w:trPr>
          <w:trHeight w:val="20"/>
        </w:trPr>
        <w:tc>
          <w:tcPr>
            <w:tcW w:w="378" w:type="dxa"/>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10</w:t>
            </w:r>
          </w:p>
        </w:tc>
        <w:tc>
          <w:tcPr>
            <w:tcW w:w="1350" w:type="dxa"/>
            <w:vMerge/>
          </w:tcPr>
          <w:p w:rsidR="000B785F" w:rsidRPr="00A769DE" w:rsidRDefault="000B785F" w:rsidP="00A379CD">
            <w:pPr>
              <w:spacing w:before="60"/>
              <w:rPr>
                <w:rFonts w:ascii="Arial" w:hAnsi="Arial" w:cs="Arial"/>
                <w:b/>
                <w:color w:val="auto"/>
                <w:sz w:val="18"/>
                <w:szCs w:val="18"/>
                <w:lang w:val="en-AU"/>
              </w:rPr>
            </w:pPr>
          </w:p>
        </w:tc>
        <w:tc>
          <w:tcPr>
            <w:tcW w:w="5760" w:type="dxa"/>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Environmental and Social Advisory Program in Myanmar</w:t>
            </w:r>
            <w:r w:rsidRPr="00A769DE">
              <w:rPr>
                <w:rFonts w:ascii="Arial" w:hAnsi="Arial" w:cs="Arial"/>
                <w:bCs/>
                <w:color w:val="auto"/>
                <w:sz w:val="18"/>
                <w:szCs w:val="18"/>
                <w:lang w:val="en-AU"/>
              </w:rPr>
              <w:t xml:space="preserve"> (</w:t>
            </w:r>
            <w:r w:rsidRPr="00A769DE">
              <w:rPr>
                <w:rFonts w:ascii="Arial" w:hAnsi="Arial" w:cs="Arial"/>
                <w:color w:val="auto"/>
                <w:sz w:val="18"/>
                <w:szCs w:val="18"/>
                <w:lang w:val="en-AU"/>
              </w:rPr>
              <w:t>Environment and Social Sustainability) 602601</w:t>
            </w:r>
          </w:p>
        </w:tc>
        <w:tc>
          <w:tcPr>
            <w:tcW w:w="2340" w:type="dxa"/>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MoNREC</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Private firms</w:t>
            </w:r>
          </w:p>
        </w:tc>
      </w:tr>
      <w:tr w:rsidR="000B785F" w:rsidRPr="00A769DE" w:rsidTr="00530B1F">
        <w:trPr>
          <w:trHeight w:val="20"/>
        </w:trPr>
        <w:tc>
          <w:tcPr>
            <w:tcW w:w="378" w:type="dxa"/>
            <w:tcBorders>
              <w:bottom w:val="doub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11</w:t>
            </w:r>
          </w:p>
        </w:tc>
        <w:tc>
          <w:tcPr>
            <w:tcW w:w="1350" w:type="dxa"/>
            <w:vMerge/>
            <w:tcBorders>
              <w:bottom w:val="double" w:sz="4" w:space="0" w:color="auto"/>
            </w:tcBorders>
          </w:tcPr>
          <w:p w:rsidR="000B785F" w:rsidRPr="00A769DE" w:rsidRDefault="000B785F" w:rsidP="00A379CD">
            <w:pPr>
              <w:spacing w:before="60"/>
              <w:rPr>
                <w:rFonts w:ascii="Arial" w:hAnsi="Arial" w:cs="Arial"/>
                <w:b/>
                <w:color w:val="auto"/>
                <w:sz w:val="18"/>
                <w:szCs w:val="18"/>
                <w:lang w:val="en-AU"/>
              </w:rPr>
            </w:pPr>
          </w:p>
        </w:tc>
        <w:tc>
          <w:tcPr>
            <w:tcW w:w="5760" w:type="dxa"/>
            <w:tcBorders>
              <w:bottom w:val="doub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b/>
                <w:color w:val="auto"/>
                <w:sz w:val="18"/>
                <w:szCs w:val="18"/>
                <w:lang w:val="en-AU"/>
              </w:rPr>
              <w:t>Myanmar PPP Program</w:t>
            </w:r>
            <w:r w:rsidRPr="00A769DE">
              <w:rPr>
                <w:rFonts w:ascii="Arial" w:hAnsi="Arial" w:cs="Arial"/>
                <w:bCs/>
                <w:color w:val="auto"/>
                <w:sz w:val="18"/>
                <w:szCs w:val="18"/>
                <w:lang w:val="en-AU"/>
              </w:rPr>
              <w:t xml:space="preserve"> (</w:t>
            </w:r>
            <w:r w:rsidRPr="00A769DE">
              <w:rPr>
                <w:rFonts w:ascii="Arial" w:hAnsi="Arial" w:cs="Arial"/>
                <w:color w:val="auto"/>
                <w:sz w:val="18"/>
                <w:szCs w:val="18"/>
                <w:lang w:val="en-AU"/>
              </w:rPr>
              <w:t>PPP, Public Private Partnerships) 602707</w:t>
            </w:r>
          </w:p>
        </w:tc>
        <w:tc>
          <w:tcPr>
            <w:tcW w:w="2340" w:type="dxa"/>
            <w:tcBorders>
              <w:bottom w:val="double" w:sz="4" w:space="0" w:color="auto"/>
            </w:tcBorders>
            <w:shd w:val="clear" w:color="auto" w:fill="auto"/>
            <w:vAlign w:val="center"/>
          </w:tcPr>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MoC</w:t>
            </w:r>
          </w:p>
          <w:p w:rsidR="000B785F" w:rsidRPr="00A769DE" w:rsidRDefault="000B785F" w:rsidP="00A379CD">
            <w:pPr>
              <w:spacing w:before="60"/>
              <w:ind w:left="-72" w:right="-72"/>
              <w:jc w:val="center"/>
              <w:rPr>
                <w:rFonts w:ascii="Arial" w:hAnsi="Arial" w:cs="Arial"/>
                <w:bCs/>
                <w:color w:val="auto"/>
                <w:sz w:val="18"/>
                <w:szCs w:val="18"/>
                <w:lang w:val="en-AU"/>
              </w:rPr>
            </w:pPr>
            <w:r w:rsidRPr="00A769DE">
              <w:rPr>
                <w:rFonts w:ascii="Arial" w:hAnsi="Arial" w:cs="Arial"/>
                <w:bCs/>
                <w:color w:val="auto"/>
                <w:sz w:val="18"/>
                <w:szCs w:val="18"/>
                <w:lang w:val="en-AU"/>
              </w:rPr>
              <w:t>MoEE</w:t>
            </w:r>
          </w:p>
        </w:tc>
      </w:tr>
      <w:tr w:rsidR="000B785F" w:rsidRPr="00A769DE" w:rsidTr="00530B1F">
        <w:trPr>
          <w:trHeight w:val="20"/>
        </w:trPr>
        <w:tc>
          <w:tcPr>
            <w:tcW w:w="378" w:type="dxa"/>
            <w:tcBorders>
              <w:top w:val="double" w:sz="4" w:space="0" w:color="auto"/>
              <w:bottom w:val="double" w:sz="4" w:space="0" w:color="auto"/>
            </w:tcBorders>
            <w:shd w:val="clear" w:color="auto" w:fill="B4F7FF" w:themeFill="accent6" w:themeFillTint="33"/>
            <w:vAlign w:val="center"/>
          </w:tcPr>
          <w:p w:rsidR="000B785F" w:rsidRPr="00A769DE" w:rsidRDefault="000B785F" w:rsidP="00A379CD">
            <w:pPr>
              <w:spacing w:before="60"/>
              <w:ind w:left="-144" w:right="-144"/>
              <w:jc w:val="center"/>
              <w:rPr>
                <w:rFonts w:ascii="Arial" w:hAnsi="Arial" w:cs="Arial"/>
                <w:color w:val="auto"/>
                <w:sz w:val="18"/>
                <w:szCs w:val="18"/>
                <w:lang w:val="en-AU"/>
              </w:rPr>
            </w:pPr>
            <w:r w:rsidRPr="00A769DE">
              <w:rPr>
                <w:rFonts w:ascii="Arial" w:hAnsi="Arial" w:cs="Arial"/>
                <w:color w:val="auto"/>
                <w:sz w:val="18"/>
                <w:szCs w:val="18"/>
                <w:lang w:val="en-AU"/>
              </w:rPr>
              <w:t>-</w:t>
            </w:r>
          </w:p>
        </w:tc>
        <w:tc>
          <w:tcPr>
            <w:tcW w:w="1350" w:type="dxa"/>
            <w:tcBorders>
              <w:top w:val="double" w:sz="4" w:space="0" w:color="auto"/>
              <w:bottom w:val="double" w:sz="4" w:space="0" w:color="auto"/>
            </w:tcBorders>
            <w:vAlign w:val="center"/>
          </w:tcPr>
          <w:p w:rsidR="000B785F" w:rsidRPr="00A769DE" w:rsidRDefault="000B785F" w:rsidP="00A379CD">
            <w:pPr>
              <w:spacing w:before="60"/>
              <w:jc w:val="center"/>
              <w:rPr>
                <w:rFonts w:ascii="Arial" w:hAnsi="Arial" w:cs="Arial"/>
                <w:color w:val="auto"/>
                <w:sz w:val="18"/>
                <w:szCs w:val="18"/>
                <w:lang w:val="en-AU"/>
              </w:rPr>
            </w:pPr>
          </w:p>
        </w:tc>
        <w:tc>
          <w:tcPr>
            <w:tcW w:w="5760" w:type="dxa"/>
            <w:tcBorders>
              <w:top w:val="double" w:sz="4" w:space="0" w:color="auto"/>
              <w:bottom w:val="double" w:sz="4" w:space="0" w:color="auto"/>
            </w:tcBorders>
            <w:vAlign w:val="center"/>
          </w:tcPr>
          <w:p w:rsidR="000B785F" w:rsidRPr="00A769DE" w:rsidRDefault="000B785F" w:rsidP="00A379CD">
            <w:pPr>
              <w:spacing w:before="60"/>
              <w:rPr>
                <w:rFonts w:ascii="Arial" w:hAnsi="Arial" w:cs="Arial"/>
                <w:color w:val="auto"/>
                <w:sz w:val="18"/>
                <w:szCs w:val="18"/>
                <w:lang w:val="en-AU"/>
              </w:rPr>
            </w:pPr>
            <w:r w:rsidRPr="00A769DE">
              <w:rPr>
                <w:rFonts w:ascii="Arial" w:hAnsi="Arial" w:cs="Arial"/>
                <w:color w:val="auto"/>
                <w:sz w:val="18"/>
                <w:szCs w:val="18"/>
                <w:lang w:val="en-AU"/>
              </w:rPr>
              <w:t>Program management</w:t>
            </w:r>
          </w:p>
          <w:p w:rsidR="000B785F" w:rsidRPr="00A769DE" w:rsidRDefault="000B785F" w:rsidP="00A379CD">
            <w:pPr>
              <w:spacing w:before="60"/>
              <w:rPr>
                <w:rFonts w:ascii="Arial" w:hAnsi="Arial" w:cs="Arial"/>
                <w:color w:val="auto"/>
                <w:sz w:val="18"/>
                <w:szCs w:val="18"/>
                <w:lang w:val="en-AU"/>
              </w:rPr>
            </w:pPr>
            <w:r w:rsidRPr="00A769DE">
              <w:rPr>
                <w:rFonts w:ascii="Arial" w:hAnsi="Arial" w:cs="Arial"/>
                <w:color w:val="auto"/>
                <w:sz w:val="18"/>
                <w:szCs w:val="18"/>
                <w:lang w:val="en-AU"/>
              </w:rPr>
              <w:t>M</w:t>
            </w:r>
            <w:r w:rsidR="00530B1F" w:rsidRPr="00A769DE">
              <w:rPr>
                <w:rFonts w:ascii="Arial" w:hAnsi="Arial" w:cs="Arial"/>
                <w:color w:val="auto"/>
                <w:sz w:val="18"/>
                <w:szCs w:val="18"/>
                <w:lang w:val="en-AU"/>
              </w:rPr>
              <w:t>onitoring and evaluation</w:t>
            </w:r>
          </w:p>
          <w:p w:rsidR="000B785F" w:rsidRPr="00A769DE" w:rsidRDefault="000B785F" w:rsidP="00A379CD">
            <w:pPr>
              <w:spacing w:before="60"/>
              <w:rPr>
                <w:rFonts w:ascii="Arial" w:hAnsi="Arial" w:cs="Arial"/>
                <w:color w:val="auto"/>
                <w:sz w:val="18"/>
                <w:szCs w:val="18"/>
                <w:lang w:val="en-AU"/>
              </w:rPr>
            </w:pPr>
            <w:r w:rsidRPr="00A769DE">
              <w:rPr>
                <w:rFonts w:ascii="Arial" w:hAnsi="Arial" w:cs="Arial"/>
                <w:color w:val="auto"/>
                <w:sz w:val="18"/>
                <w:szCs w:val="18"/>
                <w:lang w:val="en-AU"/>
              </w:rPr>
              <w:t>Gender</w:t>
            </w:r>
            <w:r w:rsidR="00530B1F" w:rsidRPr="00A769DE">
              <w:rPr>
                <w:rFonts w:ascii="Arial" w:hAnsi="Arial" w:cs="Arial"/>
                <w:color w:val="auto"/>
                <w:sz w:val="18"/>
                <w:szCs w:val="18"/>
                <w:lang w:val="en-AU"/>
              </w:rPr>
              <w:t xml:space="preserve"> mainstreaming</w:t>
            </w:r>
          </w:p>
        </w:tc>
        <w:tc>
          <w:tcPr>
            <w:tcW w:w="2340" w:type="dxa"/>
            <w:tcBorders>
              <w:top w:val="double" w:sz="4" w:space="0" w:color="auto"/>
              <w:bottom w:val="double" w:sz="4" w:space="0" w:color="auto"/>
            </w:tcBorders>
            <w:shd w:val="clear" w:color="auto" w:fill="auto"/>
            <w:vAlign w:val="center"/>
          </w:tcPr>
          <w:p w:rsidR="000B785F" w:rsidRPr="00A769DE" w:rsidRDefault="000B785F" w:rsidP="00A379CD">
            <w:pPr>
              <w:spacing w:before="60"/>
              <w:jc w:val="center"/>
              <w:rPr>
                <w:rFonts w:ascii="Arial" w:hAnsi="Arial" w:cs="Arial"/>
                <w:color w:val="auto"/>
                <w:sz w:val="18"/>
                <w:szCs w:val="18"/>
                <w:lang w:val="en-AU"/>
              </w:rPr>
            </w:pPr>
            <w:r w:rsidRPr="00A769DE">
              <w:rPr>
                <w:rFonts w:ascii="Arial" w:hAnsi="Arial" w:cs="Arial"/>
                <w:color w:val="auto"/>
                <w:sz w:val="18"/>
                <w:szCs w:val="18"/>
                <w:lang w:val="en-AU"/>
              </w:rPr>
              <w:t>-</w:t>
            </w:r>
          </w:p>
        </w:tc>
      </w:tr>
    </w:tbl>
    <w:p w:rsidR="00195C4D" w:rsidRPr="00A769DE" w:rsidRDefault="00195C4D" w:rsidP="000B785F">
      <w:pPr>
        <w:pStyle w:val="ListParagraph"/>
        <w:tabs>
          <w:tab w:val="left" w:pos="357"/>
        </w:tabs>
        <w:spacing w:after="0" w:line="240" w:lineRule="auto"/>
        <w:ind w:left="0"/>
        <w:jc w:val="both"/>
        <w:rPr>
          <w:rFonts w:ascii="Arial" w:hAnsi="Arial" w:cs="Arial"/>
          <w:iCs/>
          <w:color w:val="auto"/>
          <w:lang w:val="en-AU"/>
        </w:rPr>
      </w:pPr>
    </w:p>
    <w:p w:rsidR="000B785F" w:rsidRPr="00A769DE" w:rsidRDefault="000B785F" w:rsidP="000B785F">
      <w:pPr>
        <w:spacing w:before="0" w:after="0"/>
        <w:rPr>
          <w:rFonts w:ascii="Arial" w:hAnsi="Arial" w:cs="Arial"/>
          <w:b/>
          <w:color w:val="auto"/>
          <w:sz w:val="32"/>
          <w:szCs w:val="32"/>
          <w:lang w:val="en-AU"/>
        </w:rPr>
      </w:pPr>
      <w:r w:rsidRPr="00A769DE">
        <w:rPr>
          <w:rFonts w:ascii="Arial" w:hAnsi="Arial" w:cs="Arial"/>
          <w:color w:val="auto"/>
          <w:szCs w:val="32"/>
          <w:lang w:val="en-AU"/>
        </w:rPr>
        <w:br w:type="page"/>
      </w:r>
    </w:p>
    <w:p w:rsidR="000B785F" w:rsidRPr="00A769DE" w:rsidRDefault="000B785F" w:rsidP="000B785F">
      <w:pPr>
        <w:pStyle w:val="Heading2"/>
        <w:spacing w:before="0" w:after="60"/>
        <w:ind w:left="272" w:hanging="272"/>
        <w:rPr>
          <w:rFonts w:ascii="Arial" w:hAnsi="Arial" w:cs="Arial"/>
          <w:b/>
          <w:bCs/>
          <w:i/>
          <w:color w:val="auto"/>
          <w:sz w:val="24"/>
          <w:szCs w:val="24"/>
          <w:lang w:val="en-AU"/>
        </w:rPr>
      </w:pPr>
      <w:bookmarkStart w:id="112" w:name="_Toc522800500"/>
      <w:bookmarkStart w:id="113" w:name="_Toc525930573"/>
      <w:bookmarkStart w:id="114" w:name="_Toc530307623"/>
      <w:r w:rsidRPr="00A769DE">
        <w:rPr>
          <w:rFonts w:ascii="Arial" w:hAnsi="Arial" w:cs="Arial"/>
          <w:b/>
          <w:bCs/>
          <w:color w:val="auto"/>
          <w:sz w:val="24"/>
          <w:szCs w:val="24"/>
          <w:lang w:val="en-AU"/>
        </w:rPr>
        <w:lastRenderedPageBreak/>
        <w:t xml:space="preserve">Annex G – ICCP Objectives </w:t>
      </w:r>
      <w:r w:rsidR="00BF0838">
        <w:rPr>
          <w:rFonts w:ascii="Arial" w:hAnsi="Arial" w:cs="Arial"/>
          <w:b/>
          <w:bCs/>
          <w:color w:val="auto"/>
          <w:sz w:val="24"/>
          <w:szCs w:val="24"/>
          <w:lang w:val="en-AU"/>
        </w:rPr>
        <w:t>as</w:t>
      </w:r>
      <w:r w:rsidR="00530B1F" w:rsidRPr="00A769DE">
        <w:rPr>
          <w:rFonts w:ascii="Arial" w:hAnsi="Arial" w:cs="Arial"/>
          <w:b/>
          <w:bCs/>
          <w:color w:val="auto"/>
          <w:sz w:val="24"/>
          <w:szCs w:val="24"/>
          <w:lang w:val="en-AU"/>
        </w:rPr>
        <w:t xml:space="preserve"> Stated </w:t>
      </w:r>
      <w:r w:rsidRPr="00A769DE">
        <w:rPr>
          <w:rFonts w:ascii="Arial" w:hAnsi="Arial" w:cs="Arial"/>
          <w:b/>
          <w:bCs/>
          <w:color w:val="auto"/>
          <w:sz w:val="24"/>
          <w:szCs w:val="24"/>
          <w:lang w:val="en-AU"/>
        </w:rPr>
        <w:t>Over Time</w:t>
      </w:r>
      <w:bookmarkEnd w:id="112"/>
      <w:bookmarkEnd w:id="113"/>
      <w:bookmarkEnd w:id="114"/>
    </w:p>
    <w:p w:rsidR="000B785F" w:rsidRPr="00A769DE" w:rsidRDefault="000B785F" w:rsidP="000B785F">
      <w:pPr>
        <w:spacing w:before="360"/>
        <w:rPr>
          <w:rFonts w:ascii="Arial" w:hAnsi="Arial" w:cs="Arial"/>
          <w:color w:val="auto"/>
          <w:lang w:val="en-AU"/>
        </w:rPr>
      </w:pPr>
      <w:r w:rsidRPr="00A769DE">
        <w:rPr>
          <w:rFonts w:ascii="Arial" w:hAnsi="Arial" w:cs="Arial"/>
          <w:color w:val="auto"/>
          <w:u w:val="single"/>
          <w:lang w:val="en-AU"/>
        </w:rPr>
        <w:t>Concept Note (May 2015)</w:t>
      </w:r>
    </w:p>
    <w:p w:rsidR="000B785F" w:rsidRPr="00A769DE" w:rsidRDefault="000B785F" w:rsidP="00A9264C">
      <w:pPr>
        <w:pStyle w:val="ListParagraph"/>
        <w:numPr>
          <w:ilvl w:val="0"/>
          <w:numId w:val="32"/>
        </w:numPr>
        <w:suppressAutoHyphens w:val="0"/>
        <w:spacing w:before="40"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Overall goal</w:t>
      </w:r>
      <w:r w:rsidRPr="00A769DE">
        <w:rPr>
          <w:rFonts w:ascii="Arial" w:hAnsi="Arial" w:cs="Arial"/>
          <w:color w:val="auto"/>
          <w:lang w:val="en-AU"/>
        </w:rPr>
        <w:t xml:space="preserve"> – An increase in investment and trade resulting in more jobs and higher incomes, for firms and citizens throughout Myanmar (page 1).</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Objective</w:t>
      </w:r>
      <w:r w:rsidRPr="00A769DE">
        <w:rPr>
          <w:rFonts w:ascii="Arial" w:hAnsi="Arial" w:cs="Arial"/>
          <w:color w:val="auto"/>
          <w:lang w:val="en-AU"/>
        </w:rPr>
        <w:t xml:space="preserve"> – To improve the competitiveness and dynamism of the private sector to increase trade and investment and create jobs in Myanmar (page 6).</w:t>
      </w:r>
      <w:r w:rsidRPr="00A769DE">
        <w:rPr>
          <w:rStyle w:val="FootnoteReference"/>
          <w:rFonts w:ascii="Arial" w:hAnsi="Arial" w:cs="Arial"/>
          <w:color w:val="auto"/>
          <w:lang w:val="en-AU"/>
        </w:rPr>
        <w:footnoteReference w:id="69"/>
      </w:r>
      <w:r w:rsidRPr="00A769DE">
        <w:rPr>
          <w:rFonts w:ascii="Arial" w:hAnsi="Arial" w:cs="Arial"/>
          <w:color w:val="auto"/>
          <w:lang w:val="en-AU"/>
        </w:rPr>
        <w:t xml:space="preserve"> </w:t>
      </w:r>
      <w:r w:rsidRPr="00A769DE">
        <w:rPr>
          <w:rStyle w:val="FootnoteReference"/>
          <w:rFonts w:ascii="Arial" w:hAnsi="Arial" w:cs="Arial"/>
          <w:color w:val="auto"/>
          <w:lang w:val="en-AU"/>
        </w:rPr>
        <w:footnoteReference w:id="70"/>
      </w:r>
    </w:p>
    <w:p w:rsidR="000B785F" w:rsidRPr="00A769DE" w:rsidRDefault="000B785F" w:rsidP="000B785F">
      <w:pPr>
        <w:pStyle w:val="ListParagraph"/>
        <w:spacing w:after="120" w:line="240" w:lineRule="auto"/>
        <w:ind w:left="360"/>
        <w:contextualSpacing w:val="0"/>
        <w:jc w:val="both"/>
        <w:rPr>
          <w:rFonts w:ascii="Arial" w:hAnsi="Arial" w:cs="Arial"/>
          <w:color w:val="auto"/>
          <w:lang w:val="en-AU"/>
        </w:rPr>
      </w:pPr>
      <w:r w:rsidRPr="00A769DE">
        <w:rPr>
          <w:rFonts w:ascii="Arial" w:hAnsi="Arial" w:cs="Arial"/>
          <w:color w:val="auto"/>
          <w:lang w:val="en-AU"/>
        </w:rPr>
        <w:t>The foundation of the program is to develop and implement clear, consistent policy, legal, and regulatory frameworks for investment, trade and entrepreneurship. (…) The program will build on this foundation to improve the drivers of competitiveness: skills, entrepreneurship, sector policy, trade and an enabling business environment. The long term programmatic nature of the intervention will leverage incoming investment in productive sectors, as well as public and private investment in infrastructure, to increase the benefits of private sector jobs to be more inclusive.</w:t>
      </w:r>
    </w:p>
    <w:p w:rsidR="000B785F" w:rsidRPr="00A769DE" w:rsidRDefault="000B785F" w:rsidP="000B785F">
      <w:pPr>
        <w:spacing w:before="240"/>
        <w:rPr>
          <w:rFonts w:ascii="Arial" w:hAnsi="Arial" w:cs="Arial"/>
          <w:color w:val="auto"/>
          <w:lang w:val="en-AU"/>
        </w:rPr>
      </w:pPr>
      <w:r w:rsidRPr="00A769DE">
        <w:rPr>
          <w:rFonts w:ascii="Arial" w:hAnsi="Arial" w:cs="Arial"/>
          <w:color w:val="auto"/>
          <w:u w:val="single"/>
          <w:lang w:val="en-AU"/>
        </w:rPr>
        <w:t>Quarterly Governance Meeting Report (April 2017)</w:t>
      </w:r>
    </w:p>
    <w:p w:rsidR="000B785F" w:rsidRPr="00A769DE" w:rsidRDefault="000B785F" w:rsidP="00A9264C">
      <w:pPr>
        <w:pStyle w:val="ListParagraph"/>
        <w:numPr>
          <w:ilvl w:val="0"/>
          <w:numId w:val="32"/>
        </w:numPr>
        <w:suppressAutoHyphens w:val="0"/>
        <w:spacing w:before="40"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Objectives</w:t>
      </w:r>
      <w:r w:rsidRPr="00A769DE">
        <w:rPr>
          <w:rFonts w:ascii="Arial" w:hAnsi="Arial" w:cs="Arial"/>
          <w:color w:val="auto"/>
          <w:lang w:val="en-AU"/>
        </w:rPr>
        <w:t xml:space="preserve"> – To improve the enabling environment for private sector growth in Myanmar by supporting legal and regulatory reforms in areas of WBG comparative advantage and by strengthening the advocacy role of the private sector (page 2).</w:t>
      </w:r>
    </w:p>
    <w:p w:rsidR="000B785F" w:rsidRPr="00A769DE" w:rsidRDefault="000B785F" w:rsidP="000B785F">
      <w:pPr>
        <w:pStyle w:val="ListParagraph"/>
        <w:spacing w:after="120" w:line="240" w:lineRule="auto"/>
        <w:ind w:left="360"/>
        <w:contextualSpacing w:val="0"/>
        <w:jc w:val="both"/>
        <w:rPr>
          <w:rFonts w:ascii="Arial" w:hAnsi="Arial" w:cs="Arial"/>
          <w:color w:val="auto"/>
          <w:lang w:val="en-AU"/>
        </w:rPr>
      </w:pPr>
      <w:r w:rsidRPr="00A769DE">
        <w:rPr>
          <w:rFonts w:ascii="Arial" w:hAnsi="Arial" w:cs="Arial"/>
          <w:color w:val="auto"/>
          <w:lang w:val="en-AU"/>
        </w:rPr>
        <w:t>The emphasis of the program is to develop and implement clear, consistent policy frameworks to promote the private sector and to improve the dialogue between business and government. The project will serve as the platform for a partnership with the Government of Myanmar on its Private Sector Development priorities and assist with the assessment and prioritization of reform needs.</w:t>
      </w:r>
    </w:p>
    <w:p w:rsidR="000B785F" w:rsidRPr="00A769DE" w:rsidRDefault="000B785F" w:rsidP="000B785F">
      <w:pPr>
        <w:spacing w:before="240"/>
        <w:rPr>
          <w:rFonts w:ascii="Arial" w:hAnsi="Arial" w:cs="Arial"/>
          <w:color w:val="auto"/>
          <w:u w:val="single"/>
          <w:lang w:val="en-AU"/>
        </w:rPr>
      </w:pPr>
      <w:r w:rsidRPr="00A769DE">
        <w:rPr>
          <w:rFonts w:ascii="Arial" w:hAnsi="Arial" w:cs="Arial"/>
          <w:color w:val="auto"/>
          <w:u w:val="single"/>
          <w:lang w:val="en-AU"/>
        </w:rPr>
        <w:t>DFID’s ‘Business for Shared Prosperity in Burma’ Logframe (October 2016 / February 2018)</w:t>
      </w:r>
    </w:p>
    <w:p w:rsidR="000B785F" w:rsidRPr="00A769DE" w:rsidRDefault="000B785F" w:rsidP="00A9264C">
      <w:pPr>
        <w:pStyle w:val="ListParagraph"/>
        <w:numPr>
          <w:ilvl w:val="0"/>
          <w:numId w:val="32"/>
        </w:numPr>
        <w:suppressAutoHyphens w:val="0"/>
        <w:spacing w:before="40"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Impact</w:t>
      </w:r>
      <w:r w:rsidRPr="00A769DE">
        <w:rPr>
          <w:rFonts w:ascii="Arial" w:hAnsi="Arial" w:cs="Arial"/>
          <w:color w:val="auto"/>
          <w:lang w:val="en-AU"/>
        </w:rPr>
        <w:t xml:space="preserve"> – Inclusive economic growth and poverty reduction through increased incomes and opportunities for the poor.</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Outcome</w:t>
      </w:r>
      <w:r w:rsidRPr="00A769DE">
        <w:rPr>
          <w:rFonts w:ascii="Arial" w:hAnsi="Arial" w:cs="Arial"/>
          <w:color w:val="auto"/>
          <w:lang w:val="en-AU"/>
        </w:rPr>
        <w:t xml:space="preserve"> – Facilitating the creation of productive jobs and opportunities for the poor, through an enabling environment that encourages businesses to create those opportunities.</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Output 1</w:t>
      </w:r>
      <w:r w:rsidRPr="00A769DE">
        <w:rPr>
          <w:rFonts w:ascii="Arial" w:hAnsi="Arial" w:cs="Arial"/>
          <w:color w:val="auto"/>
          <w:lang w:val="en-AU"/>
        </w:rPr>
        <w:t xml:space="preserve"> – Improved policy and regulatory framework for business, streamlined investment entry procedures and improved corporate governance.</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Output 2</w:t>
      </w:r>
      <w:r w:rsidRPr="00A769DE">
        <w:rPr>
          <w:rFonts w:ascii="Arial" w:hAnsi="Arial" w:cs="Arial"/>
          <w:color w:val="auto"/>
          <w:lang w:val="en-AU"/>
        </w:rPr>
        <w:t xml:space="preserve"> – Improved trade environment and competitiveness in non-extractive and job creating sectors.</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Output 3</w:t>
      </w:r>
      <w:r w:rsidRPr="00A769DE">
        <w:rPr>
          <w:rFonts w:ascii="Arial" w:hAnsi="Arial" w:cs="Arial"/>
          <w:color w:val="auto"/>
          <w:lang w:val="en-AU"/>
        </w:rPr>
        <w:t xml:space="preserve"> – Interventions identified and supported in priority market systems and value chains with potential for inclusive economic growth.</w:t>
      </w:r>
    </w:p>
    <w:p w:rsidR="000B785F" w:rsidRPr="00A769DE" w:rsidRDefault="000B785F" w:rsidP="000B785F">
      <w:pPr>
        <w:spacing w:before="0" w:after="0"/>
        <w:rPr>
          <w:rFonts w:ascii="Arial" w:hAnsi="Arial" w:cs="Arial"/>
          <w:color w:val="auto"/>
          <w:u w:val="single"/>
          <w:lang w:val="en-AU"/>
        </w:rPr>
      </w:pPr>
      <w:r w:rsidRPr="00A769DE">
        <w:rPr>
          <w:rFonts w:ascii="Arial" w:hAnsi="Arial" w:cs="Arial"/>
          <w:color w:val="auto"/>
          <w:u w:val="single"/>
          <w:lang w:val="en-AU"/>
        </w:rPr>
        <w:br w:type="page"/>
      </w:r>
    </w:p>
    <w:p w:rsidR="000B785F" w:rsidRPr="00A769DE" w:rsidRDefault="000B785F" w:rsidP="000B785F">
      <w:pPr>
        <w:spacing w:before="240"/>
        <w:rPr>
          <w:rFonts w:ascii="Arial" w:hAnsi="Arial" w:cs="Arial"/>
          <w:color w:val="auto"/>
          <w:lang w:val="en-AU"/>
        </w:rPr>
      </w:pPr>
      <w:r w:rsidRPr="00A769DE">
        <w:rPr>
          <w:rFonts w:ascii="Arial" w:hAnsi="Arial" w:cs="Arial"/>
          <w:color w:val="auto"/>
          <w:u w:val="single"/>
          <w:lang w:val="en-AU"/>
        </w:rPr>
        <w:lastRenderedPageBreak/>
        <w:t>‘Narrative for Discussion’ (May 2018)</w:t>
      </w:r>
    </w:p>
    <w:p w:rsidR="000B785F" w:rsidRPr="00A769DE" w:rsidRDefault="000B785F" w:rsidP="00A9264C">
      <w:pPr>
        <w:pStyle w:val="ListParagraph"/>
        <w:numPr>
          <w:ilvl w:val="0"/>
          <w:numId w:val="32"/>
        </w:numPr>
        <w:suppressAutoHyphens w:val="0"/>
        <w:spacing w:before="40"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Key objectives</w:t>
      </w:r>
      <w:r w:rsidRPr="00A769DE">
        <w:rPr>
          <w:rFonts w:ascii="Arial" w:hAnsi="Arial" w:cs="Arial"/>
          <w:color w:val="auto"/>
          <w:lang w:val="en-AU"/>
        </w:rPr>
        <w:t xml:space="preserve"> – To generate sustainable investment, trade and employment that will contribute to poverty reduction and shared prosperity through increased economic opportunity and incomes for the people of Myanmar (page 1).</w:t>
      </w:r>
    </w:p>
    <w:p w:rsidR="000B785F" w:rsidRPr="00A769DE" w:rsidRDefault="000B785F" w:rsidP="000B785F">
      <w:pPr>
        <w:pStyle w:val="ListParagraph"/>
        <w:spacing w:line="240" w:lineRule="auto"/>
        <w:ind w:left="360"/>
        <w:contextualSpacing w:val="0"/>
        <w:jc w:val="both"/>
        <w:rPr>
          <w:rFonts w:ascii="Arial" w:hAnsi="Arial" w:cs="Arial"/>
          <w:color w:val="auto"/>
          <w:lang w:val="en-AU"/>
        </w:rPr>
      </w:pPr>
      <w:r w:rsidRPr="00A769DE">
        <w:rPr>
          <w:rFonts w:ascii="Arial" w:hAnsi="Arial" w:cs="Arial"/>
          <w:color w:val="auto"/>
          <w:lang w:val="en-AU"/>
        </w:rPr>
        <w:t>The ICCP was designed in 2015 … to address immediate issues around investment policy, business regulatory reforms, trade, the development of key sectors and the strengthening of corporate governance. At the same time the program is designed to enable the WBG to scale up the program to accommodate emerging demand over time from the Government of Myanmar and the private sector.</w:t>
      </w:r>
    </w:p>
    <w:p w:rsidR="000B785F" w:rsidRPr="00A769DE" w:rsidRDefault="000B785F" w:rsidP="000B785F">
      <w:pPr>
        <w:rPr>
          <w:rFonts w:ascii="Arial" w:hAnsi="Arial" w:cs="Arial"/>
          <w:color w:val="auto"/>
          <w:lang w:val="en-AU"/>
        </w:rPr>
      </w:pPr>
    </w:p>
    <w:p w:rsidR="000B785F" w:rsidRPr="00A769DE" w:rsidRDefault="000B785F" w:rsidP="000B785F">
      <w:pPr>
        <w:jc w:val="center"/>
        <w:rPr>
          <w:rFonts w:ascii="Arial" w:hAnsi="Arial" w:cs="Arial"/>
          <w:color w:val="auto"/>
          <w:lang w:val="en-AU"/>
        </w:rPr>
      </w:pPr>
      <w:r w:rsidRPr="00A769DE">
        <w:rPr>
          <w:rFonts w:ascii="Arial" w:hAnsi="Arial" w:cs="Arial"/>
          <w:color w:val="auto"/>
          <w:lang w:val="en-AU"/>
        </w:rPr>
        <w:t>* * * * *</w:t>
      </w:r>
    </w:p>
    <w:p w:rsidR="000B785F" w:rsidRPr="00A769DE" w:rsidRDefault="000B785F" w:rsidP="000B785F">
      <w:pPr>
        <w:rPr>
          <w:rFonts w:ascii="Arial" w:hAnsi="Arial" w:cs="Arial"/>
          <w:color w:val="auto"/>
          <w:lang w:val="en-AU"/>
        </w:rPr>
      </w:pPr>
    </w:p>
    <w:p w:rsidR="000B785F" w:rsidRPr="00A769DE" w:rsidRDefault="000B785F" w:rsidP="000B785F">
      <w:pPr>
        <w:spacing w:before="240"/>
        <w:rPr>
          <w:rFonts w:ascii="Arial" w:hAnsi="Arial" w:cs="Arial"/>
          <w:color w:val="auto"/>
          <w:lang w:val="en-AU"/>
        </w:rPr>
      </w:pPr>
      <w:r w:rsidRPr="00A769DE">
        <w:rPr>
          <w:rFonts w:ascii="Arial" w:hAnsi="Arial" w:cs="Arial"/>
          <w:color w:val="auto"/>
          <w:u w:val="single"/>
          <w:lang w:val="en-AU"/>
        </w:rPr>
        <w:t>MDTF Results Matrix – Window 4: Private Sector Development (Annual Report 2014/15)</w:t>
      </w:r>
    </w:p>
    <w:p w:rsidR="000B785F" w:rsidRPr="00A769DE" w:rsidRDefault="000B785F" w:rsidP="00A9264C">
      <w:pPr>
        <w:pStyle w:val="ListParagraph"/>
        <w:numPr>
          <w:ilvl w:val="0"/>
          <w:numId w:val="32"/>
        </w:numPr>
        <w:suppressAutoHyphens w:val="0"/>
        <w:spacing w:before="40"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High-level goal</w:t>
      </w:r>
      <w:r w:rsidRPr="00A769DE">
        <w:rPr>
          <w:rFonts w:ascii="Arial" w:hAnsi="Arial" w:cs="Arial"/>
          <w:color w:val="auto"/>
          <w:lang w:val="en-AU"/>
        </w:rPr>
        <w:t xml:space="preserve"> – Increased private sector development, including job creation and investment climate reforms.</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Outcome 1</w:t>
      </w:r>
      <w:r w:rsidRPr="00A769DE">
        <w:rPr>
          <w:rFonts w:ascii="Arial" w:hAnsi="Arial" w:cs="Arial"/>
          <w:color w:val="auto"/>
          <w:lang w:val="en-AU"/>
        </w:rPr>
        <w:t xml:space="preserve"> – Improve the business environment by supporting legal and regulatory reforms.</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Outcome 2</w:t>
      </w:r>
      <w:r w:rsidRPr="00A769DE">
        <w:rPr>
          <w:rFonts w:ascii="Arial" w:hAnsi="Arial" w:cs="Arial"/>
          <w:color w:val="auto"/>
          <w:lang w:val="en-AU"/>
        </w:rPr>
        <w:t xml:space="preserve"> – Strengthening the advocacy role of the private sector.</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Outcome 3</w:t>
      </w:r>
      <w:r w:rsidRPr="00A769DE">
        <w:rPr>
          <w:rFonts w:ascii="Arial" w:hAnsi="Arial" w:cs="Arial"/>
          <w:color w:val="auto"/>
          <w:lang w:val="en-AU"/>
        </w:rPr>
        <w:t xml:space="preserve"> – Streamlining trade regulations (non-tariff measures) and trade licensing.</w:t>
      </w:r>
    </w:p>
    <w:p w:rsidR="000B785F" w:rsidRPr="00A769DE" w:rsidRDefault="000B785F" w:rsidP="000B785F">
      <w:pPr>
        <w:spacing w:before="240"/>
        <w:rPr>
          <w:rFonts w:ascii="Arial" w:hAnsi="Arial" w:cs="Arial"/>
          <w:color w:val="auto"/>
          <w:lang w:val="en-AU"/>
        </w:rPr>
      </w:pPr>
      <w:r w:rsidRPr="00A769DE">
        <w:rPr>
          <w:rFonts w:ascii="Arial" w:hAnsi="Arial" w:cs="Arial"/>
          <w:color w:val="auto"/>
          <w:u w:val="single"/>
          <w:lang w:val="en-AU"/>
        </w:rPr>
        <w:t>MDTF Results Matrix – Window 4: Private Sector Development (March 2018)</w:t>
      </w:r>
    </w:p>
    <w:p w:rsidR="000B785F" w:rsidRPr="00A769DE" w:rsidRDefault="000B785F" w:rsidP="00A9264C">
      <w:pPr>
        <w:pStyle w:val="ListParagraph"/>
        <w:numPr>
          <w:ilvl w:val="0"/>
          <w:numId w:val="32"/>
        </w:numPr>
        <w:suppressAutoHyphens w:val="0"/>
        <w:spacing w:before="40"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High-level goal</w:t>
      </w:r>
      <w:r w:rsidRPr="00A769DE">
        <w:rPr>
          <w:rFonts w:ascii="Arial" w:hAnsi="Arial" w:cs="Arial"/>
          <w:color w:val="auto"/>
          <w:lang w:val="en-AU"/>
        </w:rPr>
        <w:t xml:space="preserve"> – Increased private sector development, including creation of economic opportunities for men and women and investment climate reforms.</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Outcome 1</w:t>
      </w:r>
      <w:r w:rsidRPr="00A769DE">
        <w:rPr>
          <w:rFonts w:ascii="Arial" w:hAnsi="Arial" w:cs="Arial"/>
          <w:color w:val="auto"/>
          <w:lang w:val="en-AU"/>
        </w:rPr>
        <w:t xml:space="preserve"> – Improve the business environment by supporting legal and regulatory reforms.</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Outcome 2</w:t>
      </w:r>
      <w:r w:rsidRPr="00A769DE">
        <w:rPr>
          <w:rFonts w:ascii="Arial" w:hAnsi="Arial" w:cs="Arial"/>
          <w:color w:val="auto"/>
          <w:lang w:val="en-AU"/>
        </w:rPr>
        <w:t xml:space="preserve"> – Strengthening the advocacy role of the private sector.</w:t>
      </w:r>
    </w:p>
    <w:p w:rsidR="000B785F" w:rsidRPr="00A769DE" w:rsidRDefault="000B785F" w:rsidP="00A9264C">
      <w:pPr>
        <w:pStyle w:val="ListParagraph"/>
        <w:numPr>
          <w:ilvl w:val="0"/>
          <w:numId w:val="32"/>
        </w:numPr>
        <w:suppressAutoHyphens w:val="0"/>
        <w:spacing w:after="120" w:line="240" w:lineRule="auto"/>
        <w:ind w:left="360"/>
        <w:contextualSpacing w:val="0"/>
        <w:jc w:val="both"/>
        <w:rPr>
          <w:rFonts w:ascii="Arial" w:hAnsi="Arial" w:cs="Arial"/>
          <w:color w:val="auto"/>
          <w:lang w:val="en-AU"/>
        </w:rPr>
      </w:pPr>
      <w:r w:rsidRPr="00A769DE">
        <w:rPr>
          <w:rFonts w:ascii="Arial" w:hAnsi="Arial" w:cs="Arial"/>
          <w:b/>
          <w:bCs/>
          <w:color w:val="auto"/>
          <w:lang w:val="en-AU"/>
        </w:rPr>
        <w:t>Outcome 3</w:t>
      </w:r>
      <w:r w:rsidRPr="00A769DE">
        <w:rPr>
          <w:rFonts w:ascii="Arial" w:hAnsi="Arial" w:cs="Arial"/>
          <w:color w:val="auto"/>
          <w:lang w:val="en-AU"/>
        </w:rPr>
        <w:t xml:space="preserve"> – Streamlining trade regulations (non-tariff measures) and trade licensing.</w:t>
      </w:r>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p>
    <w:p w:rsidR="000B785F" w:rsidRPr="00A769DE" w:rsidRDefault="000B785F" w:rsidP="000B785F">
      <w:pPr>
        <w:pStyle w:val="ListParagraph"/>
        <w:tabs>
          <w:tab w:val="left" w:pos="357"/>
        </w:tabs>
        <w:spacing w:after="0" w:line="240" w:lineRule="auto"/>
        <w:ind w:left="0"/>
        <w:jc w:val="both"/>
        <w:rPr>
          <w:rFonts w:ascii="Arial" w:hAnsi="Arial" w:cs="Arial"/>
          <w:color w:val="auto"/>
          <w:lang w:val="en-AU"/>
        </w:rPr>
      </w:pPr>
    </w:p>
    <w:p w:rsidR="000B785F" w:rsidRPr="00A769DE" w:rsidRDefault="000B785F" w:rsidP="000B785F">
      <w:pPr>
        <w:spacing w:before="0" w:after="0"/>
        <w:rPr>
          <w:rFonts w:ascii="Arial" w:hAnsi="Arial" w:cs="Arial"/>
          <w:b/>
          <w:color w:val="auto"/>
          <w:sz w:val="28"/>
          <w:szCs w:val="28"/>
          <w:lang w:val="en-AU"/>
        </w:rPr>
      </w:pPr>
      <w:r w:rsidRPr="00A769DE">
        <w:rPr>
          <w:rFonts w:ascii="Arial" w:hAnsi="Arial" w:cs="Arial"/>
          <w:color w:val="auto"/>
          <w:sz w:val="28"/>
          <w:szCs w:val="28"/>
          <w:lang w:val="en-AU"/>
        </w:rPr>
        <w:br w:type="page"/>
      </w:r>
    </w:p>
    <w:p w:rsidR="000B785F" w:rsidRPr="00A769DE" w:rsidRDefault="000B785F" w:rsidP="000B785F">
      <w:pPr>
        <w:pStyle w:val="Heading2"/>
        <w:spacing w:before="0" w:after="60"/>
        <w:ind w:left="272" w:hanging="272"/>
        <w:rPr>
          <w:rFonts w:ascii="Arial" w:hAnsi="Arial" w:cs="Arial"/>
          <w:b/>
          <w:bCs/>
          <w:i/>
          <w:color w:val="auto"/>
          <w:sz w:val="24"/>
          <w:szCs w:val="24"/>
          <w:lang w:val="en-AU"/>
        </w:rPr>
      </w:pPr>
      <w:bookmarkStart w:id="115" w:name="_Toc522800501"/>
      <w:bookmarkStart w:id="116" w:name="_Toc525930574"/>
      <w:bookmarkStart w:id="117" w:name="_Toc530307624"/>
      <w:r w:rsidRPr="00A769DE">
        <w:rPr>
          <w:rFonts w:ascii="Arial" w:hAnsi="Arial" w:cs="Arial"/>
          <w:b/>
          <w:bCs/>
          <w:color w:val="auto"/>
          <w:sz w:val="24"/>
          <w:szCs w:val="24"/>
          <w:lang w:val="en-AU"/>
        </w:rPr>
        <w:lastRenderedPageBreak/>
        <w:t>Annex H – Myanmar’s DB Rankings and DTF Scores Over Time</w:t>
      </w:r>
      <w:bookmarkEnd w:id="115"/>
      <w:bookmarkEnd w:id="116"/>
      <w:bookmarkEnd w:id="117"/>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58"/>
        <w:gridCol w:w="1062"/>
        <w:gridCol w:w="1062"/>
        <w:gridCol w:w="1062"/>
        <w:gridCol w:w="1062"/>
        <w:gridCol w:w="1062"/>
        <w:gridCol w:w="1260"/>
      </w:tblGrid>
      <w:tr w:rsidR="000B785F" w:rsidRPr="00A769DE" w:rsidTr="00195C4D">
        <w:trPr>
          <w:trHeight w:val="432"/>
          <w:tblHeader/>
        </w:trPr>
        <w:tc>
          <w:tcPr>
            <w:tcW w:w="3258" w:type="dxa"/>
            <w:tcBorders>
              <w:top w:val="double" w:sz="4" w:space="0" w:color="auto"/>
              <w:bottom w:val="double" w:sz="4" w:space="0" w:color="auto"/>
              <w:right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i/>
                <w:iCs/>
                <w:color w:val="auto"/>
                <w:sz w:val="20"/>
                <w:szCs w:val="20"/>
                <w:lang w:val="en-AU"/>
              </w:rPr>
            </w:pPr>
            <w:r w:rsidRPr="00A769DE">
              <w:rPr>
                <w:rFonts w:ascii="Arial" w:hAnsi="Arial" w:cs="Arial"/>
                <w:b/>
                <w:bCs/>
                <w:i/>
                <w:iCs/>
                <w:color w:val="auto"/>
                <w:sz w:val="20"/>
                <w:szCs w:val="20"/>
                <w:lang w:val="en-AU"/>
              </w:rPr>
              <w:t>Doing Business Rakings</w:t>
            </w:r>
          </w:p>
        </w:tc>
        <w:tc>
          <w:tcPr>
            <w:tcW w:w="106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2014</w:t>
            </w:r>
          </w:p>
        </w:tc>
        <w:tc>
          <w:tcPr>
            <w:tcW w:w="1062" w:type="dxa"/>
            <w:tcBorders>
              <w:top w:val="double" w:sz="4" w:space="0" w:color="auto"/>
              <w:left w:val="double" w:sz="4" w:space="0" w:color="auto"/>
              <w:bottom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2015</w:t>
            </w:r>
          </w:p>
        </w:tc>
        <w:tc>
          <w:tcPr>
            <w:tcW w:w="1062" w:type="dxa"/>
            <w:tcBorders>
              <w:top w:val="double" w:sz="4" w:space="0" w:color="auto"/>
              <w:bottom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2016</w:t>
            </w:r>
          </w:p>
        </w:tc>
        <w:tc>
          <w:tcPr>
            <w:tcW w:w="1062" w:type="dxa"/>
            <w:tcBorders>
              <w:top w:val="double" w:sz="4" w:space="0" w:color="auto"/>
              <w:bottom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2017</w:t>
            </w:r>
          </w:p>
        </w:tc>
        <w:tc>
          <w:tcPr>
            <w:tcW w:w="1062" w:type="dxa"/>
            <w:tcBorders>
              <w:top w:val="double" w:sz="4" w:space="0" w:color="auto"/>
              <w:bottom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2018</w:t>
            </w:r>
          </w:p>
        </w:tc>
        <w:tc>
          <w:tcPr>
            <w:tcW w:w="1260" w:type="dxa"/>
            <w:tcBorders>
              <w:top w:val="double" w:sz="4" w:space="0" w:color="auto"/>
              <w:bottom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Trajectory 2015-2018</w:t>
            </w:r>
          </w:p>
        </w:tc>
      </w:tr>
      <w:tr w:rsidR="000B785F" w:rsidRPr="00A769DE" w:rsidTr="00195C4D">
        <w:tc>
          <w:tcPr>
            <w:tcW w:w="3258" w:type="dxa"/>
            <w:tcBorders>
              <w:top w:val="double" w:sz="4" w:space="0" w:color="auto"/>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Starting a Business</w:t>
            </w:r>
          </w:p>
        </w:tc>
        <w:tc>
          <w:tcPr>
            <w:tcW w:w="1062" w:type="dxa"/>
            <w:tcBorders>
              <w:top w:val="double" w:sz="4" w:space="0" w:color="auto"/>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189</w:t>
            </w:r>
          </w:p>
        </w:tc>
        <w:tc>
          <w:tcPr>
            <w:tcW w:w="1062" w:type="dxa"/>
            <w:tcBorders>
              <w:top w:val="double" w:sz="4" w:space="0" w:color="auto"/>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189</w:t>
            </w:r>
          </w:p>
        </w:tc>
        <w:tc>
          <w:tcPr>
            <w:tcW w:w="1062" w:type="dxa"/>
            <w:tcBorders>
              <w:top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160</w:t>
            </w:r>
          </w:p>
        </w:tc>
        <w:tc>
          <w:tcPr>
            <w:tcW w:w="1062" w:type="dxa"/>
            <w:tcBorders>
              <w:top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146</w:t>
            </w:r>
          </w:p>
        </w:tc>
        <w:tc>
          <w:tcPr>
            <w:tcW w:w="1062" w:type="dxa"/>
            <w:tcBorders>
              <w:top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155</w:t>
            </w:r>
          </w:p>
        </w:tc>
        <w:tc>
          <w:tcPr>
            <w:tcW w:w="1260" w:type="dxa"/>
            <w:tcBorders>
              <w:top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D"/>
            </w:r>
            <w:r w:rsidRPr="00A769DE">
              <w:rPr>
                <w:rFonts w:ascii="Arial" w:hAnsi="Arial" w:cs="Arial"/>
                <w:b/>
                <w:bCs/>
                <w:color w:val="auto"/>
                <w:sz w:val="20"/>
                <w:szCs w:val="20"/>
                <w:lang w:val="en-AU"/>
              </w:rPr>
              <w:sym w:font="Symbol" w:char="F0AD"/>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Dealing with Construction Permits</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150</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130</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74</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66</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73</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D"/>
            </w:r>
            <w:r w:rsidRPr="00A769DE">
              <w:rPr>
                <w:rFonts w:ascii="Arial" w:hAnsi="Arial" w:cs="Arial"/>
                <w:b/>
                <w:bCs/>
                <w:color w:val="auto"/>
                <w:sz w:val="20"/>
                <w:szCs w:val="20"/>
                <w:lang w:val="en-AU"/>
              </w:rPr>
              <w:sym w:font="Symbol" w:char="F0AD"/>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Getting Electricity</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126</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121</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148</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149</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151</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sym w:font="Symbol" w:char="F0AF"/>
            </w:r>
            <w:r w:rsidRPr="00A769DE">
              <w:rPr>
                <w:rFonts w:ascii="Arial" w:hAnsi="Arial" w:cs="Arial"/>
                <w:b/>
                <w:color w:val="auto"/>
                <w:sz w:val="20"/>
                <w:szCs w:val="20"/>
                <w:lang w:val="en-AU"/>
              </w:rPr>
              <w:sym w:font="Symbol" w:char="F0AF"/>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Registering Property</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154</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151</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145</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143</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134</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D"/>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Getting Credit</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170</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171</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174</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175</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177</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t>(</w:t>
            </w:r>
            <w:r w:rsidRPr="00A769DE">
              <w:rPr>
                <w:rFonts w:ascii="Arial" w:hAnsi="Arial" w:cs="Arial"/>
                <w:b/>
                <w:color w:val="auto"/>
                <w:sz w:val="20"/>
                <w:szCs w:val="20"/>
                <w:lang w:val="en-AU"/>
              </w:rPr>
              <w:sym w:font="Symbol" w:char="F0AF"/>
            </w:r>
            <w:r w:rsidRPr="00A769DE">
              <w:rPr>
                <w:rFonts w:ascii="Arial" w:hAnsi="Arial" w:cs="Arial"/>
                <w:b/>
                <w:color w:val="auto"/>
                <w:sz w:val="20"/>
                <w:szCs w:val="20"/>
                <w:lang w:val="en-AU"/>
              </w:rPr>
              <w:t>)</w:t>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Protecting Minority Investors</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182</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178</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184</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179</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183</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t>(</w:t>
            </w:r>
            <w:r w:rsidRPr="00A769DE">
              <w:rPr>
                <w:rFonts w:ascii="Arial" w:hAnsi="Arial" w:cs="Arial"/>
                <w:b/>
                <w:color w:val="auto"/>
                <w:sz w:val="20"/>
                <w:szCs w:val="20"/>
                <w:lang w:val="en-AU"/>
              </w:rPr>
              <w:sym w:font="Symbol" w:char="F0AF"/>
            </w:r>
            <w:r w:rsidRPr="00A769DE">
              <w:rPr>
                <w:rFonts w:ascii="Arial" w:hAnsi="Arial" w:cs="Arial"/>
                <w:b/>
                <w:color w:val="auto"/>
                <w:sz w:val="20"/>
                <w:szCs w:val="20"/>
                <w:lang w:val="en-AU"/>
              </w:rPr>
              <w:t>)</w:t>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Paying Taxes</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107</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116</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84</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119</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125</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sym w:font="Symbol" w:char="F0AF"/>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Trading across Borders</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113</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103</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140</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159</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163</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sym w:font="Symbol" w:char="F0AF"/>
            </w:r>
            <w:r w:rsidRPr="00A769DE">
              <w:rPr>
                <w:rFonts w:ascii="Arial" w:hAnsi="Arial" w:cs="Arial"/>
                <w:b/>
                <w:color w:val="auto"/>
                <w:sz w:val="20"/>
                <w:szCs w:val="20"/>
                <w:lang w:val="en-AU"/>
              </w:rPr>
              <w:sym w:font="Symbol" w:char="F0AF"/>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Enforcing Contracts</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188</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185</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187</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188</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188</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B"/>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Resolving Insolvency</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155</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160</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162</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164</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164</w:t>
            </w:r>
          </w:p>
        </w:tc>
        <w:tc>
          <w:tcPr>
            <w:tcW w:w="1260"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B"/>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b/>
                <w:bCs/>
                <w:color w:val="auto"/>
                <w:sz w:val="20"/>
                <w:szCs w:val="20"/>
                <w:lang w:val="en-AU"/>
              </w:rPr>
            </w:pPr>
            <w:r w:rsidRPr="00A769DE">
              <w:rPr>
                <w:rFonts w:ascii="Arial" w:hAnsi="Arial" w:cs="Arial"/>
                <w:b/>
                <w:bCs/>
                <w:color w:val="auto"/>
                <w:sz w:val="20"/>
                <w:szCs w:val="20"/>
                <w:lang w:val="en-AU"/>
              </w:rPr>
              <w:t>Overall</w:t>
            </w:r>
          </w:p>
        </w:tc>
        <w:tc>
          <w:tcPr>
            <w:tcW w:w="1062" w:type="dxa"/>
            <w:tcBorders>
              <w:left w:val="double" w:sz="4" w:space="0" w:color="auto"/>
              <w:right w:val="doub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182</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177</w:t>
            </w:r>
          </w:p>
        </w:tc>
        <w:tc>
          <w:tcPr>
            <w:tcW w:w="1062" w:type="dxa"/>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167</w:t>
            </w:r>
          </w:p>
        </w:tc>
        <w:tc>
          <w:tcPr>
            <w:tcW w:w="1062" w:type="dxa"/>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170</w:t>
            </w:r>
          </w:p>
        </w:tc>
        <w:tc>
          <w:tcPr>
            <w:tcW w:w="1062" w:type="dxa"/>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171</w:t>
            </w:r>
          </w:p>
        </w:tc>
        <w:tc>
          <w:tcPr>
            <w:tcW w:w="1260" w:type="dxa"/>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sym w:font="Symbol" w:char="F0AD"/>
            </w:r>
          </w:p>
        </w:tc>
      </w:tr>
      <w:tr w:rsidR="000B785F" w:rsidRPr="00A769DE" w:rsidTr="00195C4D">
        <w:tc>
          <w:tcPr>
            <w:tcW w:w="3258" w:type="dxa"/>
            <w:tcBorders>
              <w:right w:val="double" w:sz="4" w:space="0" w:color="auto"/>
            </w:tcBorders>
            <w:vAlign w:val="center"/>
          </w:tcPr>
          <w:p w:rsidR="000B785F" w:rsidRPr="00A769DE" w:rsidRDefault="000B785F" w:rsidP="00A379CD">
            <w:pPr>
              <w:spacing w:before="60"/>
              <w:rPr>
                <w:rFonts w:ascii="Arial" w:hAnsi="Arial" w:cs="Arial"/>
                <w:i/>
                <w:iCs/>
                <w:color w:val="auto"/>
                <w:sz w:val="18"/>
                <w:szCs w:val="18"/>
                <w:lang w:val="en-AU"/>
              </w:rPr>
            </w:pPr>
            <w:r w:rsidRPr="00A769DE">
              <w:rPr>
                <w:rFonts w:ascii="Arial" w:hAnsi="Arial" w:cs="Arial"/>
                <w:i/>
                <w:iCs/>
                <w:color w:val="auto"/>
                <w:sz w:val="18"/>
                <w:szCs w:val="18"/>
                <w:lang w:val="en-AU"/>
              </w:rPr>
              <w:t>No. of countries</w:t>
            </w:r>
          </w:p>
        </w:tc>
        <w:tc>
          <w:tcPr>
            <w:tcW w:w="1062" w:type="dxa"/>
            <w:tcBorders>
              <w:left w:val="double" w:sz="4" w:space="0" w:color="auto"/>
              <w:bottom w:val="double" w:sz="4" w:space="0" w:color="auto"/>
              <w:right w:val="double" w:sz="4" w:space="0" w:color="auto"/>
            </w:tcBorders>
            <w:vAlign w:val="center"/>
          </w:tcPr>
          <w:p w:rsidR="000B785F" w:rsidRPr="00A769DE" w:rsidRDefault="000B785F" w:rsidP="00A379CD">
            <w:pPr>
              <w:spacing w:before="60"/>
              <w:jc w:val="center"/>
              <w:rPr>
                <w:rFonts w:ascii="Arial" w:hAnsi="Arial" w:cs="Arial"/>
                <w:i/>
                <w:iCs/>
                <w:color w:val="auto"/>
                <w:sz w:val="18"/>
                <w:szCs w:val="18"/>
                <w:lang w:val="en-AU"/>
              </w:rPr>
            </w:pPr>
            <w:r w:rsidRPr="00A769DE">
              <w:rPr>
                <w:rFonts w:ascii="Arial" w:hAnsi="Arial" w:cs="Arial"/>
                <w:i/>
                <w:iCs/>
                <w:color w:val="auto"/>
                <w:sz w:val="18"/>
                <w:szCs w:val="18"/>
                <w:lang w:val="en-AU"/>
              </w:rPr>
              <w:t>189</w:t>
            </w:r>
          </w:p>
        </w:tc>
        <w:tc>
          <w:tcPr>
            <w:tcW w:w="1062" w:type="dxa"/>
            <w:tcBorders>
              <w:left w:val="double" w:sz="4" w:space="0" w:color="auto"/>
            </w:tcBorders>
            <w:vAlign w:val="center"/>
          </w:tcPr>
          <w:p w:rsidR="000B785F" w:rsidRPr="00A769DE" w:rsidRDefault="000B785F" w:rsidP="00A379CD">
            <w:pPr>
              <w:spacing w:before="60"/>
              <w:jc w:val="center"/>
              <w:rPr>
                <w:rFonts w:ascii="Arial" w:hAnsi="Arial" w:cs="Arial"/>
                <w:i/>
                <w:iCs/>
                <w:color w:val="auto"/>
                <w:sz w:val="18"/>
                <w:szCs w:val="18"/>
                <w:lang w:val="en-AU"/>
              </w:rPr>
            </w:pPr>
            <w:r w:rsidRPr="00A769DE">
              <w:rPr>
                <w:rFonts w:ascii="Arial" w:hAnsi="Arial" w:cs="Arial"/>
                <w:i/>
                <w:iCs/>
                <w:color w:val="auto"/>
                <w:sz w:val="18"/>
                <w:szCs w:val="18"/>
                <w:lang w:val="en-AU"/>
              </w:rPr>
              <w:t>189</w:t>
            </w:r>
          </w:p>
        </w:tc>
        <w:tc>
          <w:tcPr>
            <w:tcW w:w="1062" w:type="dxa"/>
            <w:vAlign w:val="center"/>
          </w:tcPr>
          <w:p w:rsidR="000B785F" w:rsidRPr="00A769DE" w:rsidRDefault="000B785F" w:rsidP="00A379CD">
            <w:pPr>
              <w:spacing w:before="60"/>
              <w:jc w:val="center"/>
              <w:rPr>
                <w:rFonts w:ascii="Arial" w:hAnsi="Arial" w:cs="Arial"/>
                <w:i/>
                <w:iCs/>
                <w:color w:val="auto"/>
                <w:sz w:val="18"/>
                <w:szCs w:val="18"/>
                <w:lang w:val="en-AU"/>
              </w:rPr>
            </w:pPr>
            <w:r w:rsidRPr="00A769DE">
              <w:rPr>
                <w:rFonts w:ascii="Arial" w:hAnsi="Arial" w:cs="Arial"/>
                <w:i/>
                <w:iCs/>
                <w:color w:val="auto"/>
                <w:sz w:val="18"/>
                <w:szCs w:val="18"/>
                <w:lang w:val="en-AU"/>
              </w:rPr>
              <w:t>189</w:t>
            </w:r>
          </w:p>
        </w:tc>
        <w:tc>
          <w:tcPr>
            <w:tcW w:w="1062" w:type="dxa"/>
            <w:vAlign w:val="center"/>
          </w:tcPr>
          <w:p w:rsidR="000B785F" w:rsidRPr="00A769DE" w:rsidRDefault="000B785F" w:rsidP="00A379CD">
            <w:pPr>
              <w:spacing w:before="60"/>
              <w:jc w:val="center"/>
              <w:rPr>
                <w:rFonts w:ascii="Arial" w:hAnsi="Arial" w:cs="Arial"/>
                <w:i/>
                <w:iCs/>
                <w:color w:val="auto"/>
                <w:sz w:val="18"/>
                <w:szCs w:val="18"/>
                <w:lang w:val="en-AU"/>
              </w:rPr>
            </w:pPr>
            <w:r w:rsidRPr="00A769DE">
              <w:rPr>
                <w:rFonts w:ascii="Arial" w:hAnsi="Arial" w:cs="Arial"/>
                <w:i/>
                <w:iCs/>
                <w:color w:val="auto"/>
                <w:sz w:val="18"/>
                <w:szCs w:val="18"/>
                <w:lang w:val="en-AU"/>
              </w:rPr>
              <w:t>190</w:t>
            </w:r>
          </w:p>
        </w:tc>
        <w:tc>
          <w:tcPr>
            <w:tcW w:w="1062" w:type="dxa"/>
            <w:vAlign w:val="center"/>
          </w:tcPr>
          <w:p w:rsidR="000B785F" w:rsidRPr="00A769DE" w:rsidRDefault="000B785F" w:rsidP="00A379CD">
            <w:pPr>
              <w:spacing w:before="60"/>
              <w:jc w:val="center"/>
              <w:rPr>
                <w:rFonts w:ascii="Arial" w:hAnsi="Arial" w:cs="Arial"/>
                <w:i/>
                <w:iCs/>
                <w:color w:val="auto"/>
                <w:sz w:val="18"/>
                <w:szCs w:val="18"/>
                <w:lang w:val="en-AU"/>
              </w:rPr>
            </w:pPr>
            <w:r w:rsidRPr="00A769DE">
              <w:rPr>
                <w:rFonts w:ascii="Arial" w:hAnsi="Arial" w:cs="Arial"/>
                <w:i/>
                <w:iCs/>
                <w:color w:val="auto"/>
                <w:sz w:val="18"/>
                <w:szCs w:val="18"/>
                <w:lang w:val="en-AU"/>
              </w:rPr>
              <w:t>190</w:t>
            </w:r>
          </w:p>
        </w:tc>
        <w:tc>
          <w:tcPr>
            <w:tcW w:w="1260" w:type="dxa"/>
            <w:vAlign w:val="center"/>
          </w:tcPr>
          <w:p w:rsidR="000B785F" w:rsidRPr="00A769DE" w:rsidRDefault="000B785F" w:rsidP="00A379CD">
            <w:pPr>
              <w:spacing w:before="60"/>
              <w:jc w:val="center"/>
              <w:rPr>
                <w:rFonts w:ascii="Arial" w:hAnsi="Arial" w:cs="Arial"/>
                <w:i/>
                <w:iCs/>
                <w:color w:val="auto"/>
                <w:sz w:val="18"/>
                <w:szCs w:val="18"/>
                <w:lang w:val="en-AU"/>
              </w:rPr>
            </w:pPr>
            <w:r w:rsidRPr="00A769DE">
              <w:rPr>
                <w:rFonts w:ascii="Arial" w:hAnsi="Arial" w:cs="Arial"/>
                <w:i/>
                <w:iCs/>
                <w:color w:val="auto"/>
                <w:sz w:val="18"/>
                <w:szCs w:val="18"/>
                <w:lang w:val="en-AU"/>
              </w:rPr>
              <w:t>-</w:t>
            </w:r>
          </w:p>
        </w:tc>
      </w:tr>
    </w:tbl>
    <w:p w:rsidR="000B785F" w:rsidRPr="00A769DE" w:rsidRDefault="000B785F" w:rsidP="000B785F">
      <w:pPr>
        <w:spacing w:before="0" w:after="0"/>
        <w:rPr>
          <w:rFonts w:ascii="Arial" w:hAnsi="Arial" w:cs="Arial"/>
          <w:color w:val="auto"/>
          <w:lang w:val="en-AU"/>
        </w:rPr>
      </w:pPr>
    </w:p>
    <w:tbl>
      <w:tblPr>
        <w:tblStyle w:val="TableGrid"/>
        <w:tblW w:w="9828" w:type="dxa"/>
        <w:tblLayout w:type="fixed"/>
        <w:tblLook w:val="04A0" w:firstRow="1" w:lastRow="0" w:firstColumn="1" w:lastColumn="0" w:noHBand="0" w:noVBand="1"/>
      </w:tblPr>
      <w:tblGrid>
        <w:gridCol w:w="3258"/>
        <w:gridCol w:w="1062"/>
        <w:gridCol w:w="1062"/>
        <w:gridCol w:w="1062"/>
        <w:gridCol w:w="1062"/>
        <w:gridCol w:w="1062"/>
        <w:gridCol w:w="1260"/>
      </w:tblGrid>
      <w:tr w:rsidR="000B785F" w:rsidRPr="00A769DE" w:rsidTr="00195C4D">
        <w:trPr>
          <w:trHeight w:val="432"/>
          <w:tblHeader/>
        </w:trPr>
        <w:tc>
          <w:tcPr>
            <w:tcW w:w="325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i/>
                <w:iCs/>
                <w:color w:val="auto"/>
                <w:sz w:val="20"/>
                <w:szCs w:val="20"/>
                <w:lang w:val="en-AU"/>
              </w:rPr>
            </w:pPr>
            <w:r w:rsidRPr="00A769DE">
              <w:rPr>
                <w:rFonts w:ascii="Arial" w:hAnsi="Arial" w:cs="Arial"/>
                <w:b/>
                <w:bCs/>
                <w:i/>
                <w:iCs/>
                <w:color w:val="auto"/>
                <w:sz w:val="20"/>
                <w:szCs w:val="20"/>
                <w:lang w:val="en-AU"/>
              </w:rPr>
              <w:t>Distance to Frontier (DTF)</w:t>
            </w:r>
          </w:p>
        </w:tc>
        <w:tc>
          <w:tcPr>
            <w:tcW w:w="1062"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2015</w:t>
            </w:r>
          </w:p>
        </w:tc>
        <w:tc>
          <w:tcPr>
            <w:tcW w:w="1062"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2016</w:t>
            </w:r>
          </w:p>
        </w:tc>
        <w:tc>
          <w:tcPr>
            <w:tcW w:w="1062"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2017</w:t>
            </w:r>
          </w:p>
        </w:tc>
        <w:tc>
          <w:tcPr>
            <w:tcW w:w="1062" w:type="dxa"/>
            <w:tcBorders>
              <w:top w:val="double" w:sz="4" w:space="0" w:color="auto"/>
              <w:left w:val="single" w:sz="4" w:space="0" w:color="auto"/>
              <w:bottom w:val="double" w:sz="4" w:space="0" w:color="auto"/>
            </w:tcBorders>
            <w:shd w:val="clear" w:color="auto" w:fill="D9D9D9" w:themeFill="background1" w:themeFillShade="D9"/>
            <w:vAlign w:val="center"/>
          </w:tcPr>
          <w:p w:rsidR="000B785F" w:rsidRPr="00A769DE" w:rsidRDefault="000B785F" w:rsidP="006D7B99">
            <w:pPr>
              <w:spacing w:before="60"/>
              <w:jc w:val="center"/>
              <w:rPr>
                <w:rFonts w:ascii="Arial" w:hAnsi="Arial" w:cs="Arial"/>
                <w:b/>
                <w:bCs/>
                <w:color w:val="auto"/>
                <w:sz w:val="16"/>
                <w:szCs w:val="16"/>
                <w:lang w:val="en-AU"/>
              </w:rPr>
            </w:pPr>
            <w:r w:rsidRPr="00A769DE">
              <w:rPr>
                <w:rFonts w:ascii="Arial" w:hAnsi="Arial" w:cs="Arial"/>
                <w:b/>
                <w:bCs/>
                <w:color w:val="auto"/>
                <w:sz w:val="20"/>
                <w:szCs w:val="20"/>
                <w:lang w:val="en-AU"/>
              </w:rPr>
              <w:t>2017</w:t>
            </w:r>
            <w:r w:rsidR="006D7B99" w:rsidRPr="00A769DE">
              <w:rPr>
                <w:rFonts w:ascii="Arial" w:hAnsi="Arial" w:cs="Arial"/>
                <w:b/>
                <w:bCs/>
                <w:color w:val="auto"/>
                <w:sz w:val="20"/>
                <w:szCs w:val="20"/>
                <w:lang w:val="en-AU"/>
              </w:rPr>
              <w:t xml:space="preserve"> </w:t>
            </w:r>
            <w:r w:rsidRPr="00A769DE">
              <w:rPr>
                <w:rFonts w:ascii="Arial" w:hAnsi="Arial" w:cs="Arial"/>
                <w:b/>
                <w:bCs/>
                <w:color w:val="auto"/>
                <w:sz w:val="16"/>
                <w:szCs w:val="16"/>
                <w:lang w:val="en-AU"/>
              </w:rPr>
              <w:t>Adjusted</w:t>
            </w:r>
          </w:p>
        </w:tc>
        <w:tc>
          <w:tcPr>
            <w:tcW w:w="1062" w:type="dxa"/>
            <w:tcBorders>
              <w:top w:val="double" w:sz="4" w:space="0" w:color="auto"/>
              <w:bottom w:val="double" w:sz="4" w:space="0" w:color="auto"/>
            </w:tcBorders>
            <w:shd w:val="clear" w:color="auto" w:fill="D9D9D9" w:themeFill="background1" w:themeFillShade="D9"/>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2018</w:t>
            </w:r>
          </w:p>
        </w:tc>
        <w:tc>
          <w:tcPr>
            <w:tcW w:w="1260" w:type="dxa"/>
            <w:tcBorders>
              <w:top w:val="double" w:sz="4" w:space="0" w:color="auto"/>
              <w:bottom w:val="double" w:sz="4" w:space="0" w:color="auto"/>
              <w:right w:val="double" w:sz="4" w:space="0" w:color="auto"/>
            </w:tcBorders>
            <w:shd w:val="clear" w:color="auto" w:fill="D9D9D9" w:themeFill="background1" w:themeFillShade="D9"/>
            <w:vAlign w:val="center"/>
          </w:tcPr>
          <w:p w:rsidR="000B785F" w:rsidRPr="00A769DE" w:rsidRDefault="000B785F" w:rsidP="00A379CD">
            <w:pPr>
              <w:spacing w:before="60"/>
              <w:ind w:left="-144" w:right="-144"/>
              <w:jc w:val="center"/>
              <w:rPr>
                <w:rFonts w:ascii="Arial" w:hAnsi="Arial" w:cs="Arial"/>
                <w:b/>
                <w:bCs/>
                <w:color w:val="auto"/>
                <w:sz w:val="20"/>
                <w:szCs w:val="20"/>
                <w:lang w:val="en-AU"/>
              </w:rPr>
            </w:pPr>
            <w:r w:rsidRPr="00A769DE">
              <w:rPr>
                <w:rFonts w:ascii="Arial" w:hAnsi="Arial" w:cs="Arial"/>
                <w:b/>
                <w:bCs/>
                <w:color w:val="auto"/>
                <w:sz w:val="20"/>
                <w:szCs w:val="20"/>
                <w:lang w:val="en-AU"/>
              </w:rPr>
              <w:t>Trajectory 2015-2018</w:t>
            </w:r>
          </w:p>
        </w:tc>
      </w:tr>
      <w:tr w:rsidR="000B785F" w:rsidRPr="00A769DE" w:rsidTr="00195C4D">
        <w:tc>
          <w:tcPr>
            <w:tcW w:w="3258" w:type="dxa"/>
            <w:tcBorders>
              <w:top w:val="double" w:sz="4" w:space="0" w:color="auto"/>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Starting a Business</w:t>
            </w:r>
          </w:p>
        </w:tc>
        <w:tc>
          <w:tcPr>
            <w:tcW w:w="1062" w:type="dxa"/>
            <w:tcBorders>
              <w:top w:val="double" w:sz="4" w:space="0" w:color="auto"/>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22.85</w:t>
            </w:r>
          </w:p>
        </w:tc>
        <w:tc>
          <w:tcPr>
            <w:tcW w:w="1062" w:type="dxa"/>
            <w:tcBorders>
              <w:top w:val="double" w:sz="4" w:space="0" w:color="auto"/>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70.02</w:t>
            </w:r>
          </w:p>
        </w:tc>
        <w:tc>
          <w:tcPr>
            <w:tcW w:w="1062" w:type="dxa"/>
            <w:tcBorders>
              <w:top w:val="double" w:sz="4" w:space="0" w:color="auto"/>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77.10</w:t>
            </w:r>
          </w:p>
        </w:tc>
        <w:tc>
          <w:tcPr>
            <w:tcW w:w="1062" w:type="dxa"/>
            <w:tcBorders>
              <w:top w:val="double" w:sz="4" w:space="0" w:color="auto"/>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75.29</w:t>
            </w:r>
          </w:p>
        </w:tc>
        <w:tc>
          <w:tcPr>
            <w:tcW w:w="1062" w:type="dxa"/>
            <w:tcBorders>
              <w:top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75.42</w:t>
            </w:r>
          </w:p>
        </w:tc>
        <w:tc>
          <w:tcPr>
            <w:tcW w:w="1260" w:type="dxa"/>
            <w:tcBorders>
              <w:top w:val="double" w:sz="4" w:space="0" w:color="auto"/>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D"/>
            </w:r>
            <w:r w:rsidRPr="00A769DE">
              <w:rPr>
                <w:rFonts w:ascii="Arial" w:hAnsi="Arial" w:cs="Arial"/>
                <w:b/>
                <w:bCs/>
                <w:color w:val="auto"/>
                <w:sz w:val="20"/>
                <w:szCs w:val="20"/>
                <w:lang w:val="en-AU"/>
              </w:rPr>
              <w:sym w:font="Symbol" w:char="F0AD"/>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Dealing with Construction Permits</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64.93</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71.03</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72.23</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69.98</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70.33</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D"/>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Getting Electricity</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66.78</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50.92</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52.17</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52.17</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52.52</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sym w:font="Symbol" w:char="F0AF"/>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Registering Property</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52.26</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49.32</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49.37</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50.62</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52.30</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B"/>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Getting Credit</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10.00</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10.00</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10.00</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10.00</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10.00</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bCs/>
                <w:color w:val="auto"/>
                <w:sz w:val="20"/>
                <w:szCs w:val="20"/>
                <w:lang w:val="en-AU"/>
              </w:rPr>
              <w:sym w:font="Symbol" w:char="F0AB"/>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Protecting Minority Investors</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29.17</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26.67</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28.33</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25.00</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25.00</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sym w:font="Symbol" w:char="F0AF"/>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Paying Taxes</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68.64</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74.80</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64.05</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63.68</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63.94</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sym w:font="Symbol" w:char="F0AF"/>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Trading across Borders</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70.02</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55.05</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47.40</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47.40</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47.67</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sym w:font="Symbol" w:char="F0AF"/>
            </w:r>
            <w:r w:rsidRPr="00A769DE">
              <w:rPr>
                <w:rFonts w:ascii="Arial" w:hAnsi="Arial" w:cs="Arial"/>
                <w:b/>
                <w:color w:val="auto"/>
                <w:sz w:val="20"/>
                <w:szCs w:val="20"/>
                <w:lang w:val="en-AU"/>
              </w:rPr>
              <w:sym w:font="Symbol" w:char="F0AF"/>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Enforcing Contracts</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27.31</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24.53</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24.53</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24.53</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24.53</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b/>
                <w:color w:val="auto"/>
                <w:sz w:val="20"/>
                <w:szCs w:val="20"/>
                <w:lang w:val="en-AU"/>
              </w:rPr>
              <w:t>(</w:t>
            </w:r>
            <w:r w:rsidRPr="00A769DE">
              <w:rPr>
                <w:rFonts w:ascii="Arial" w:hAnsi="Arial" w:cs="Arial"/>
                <w:b/>
                <w:color w:val="auto"/>
                <w:sz w:val="20"/>
                <w:szCs w:val="20"/>
                <w:lang w:val="en-AU"/>
              </w:rPr>
              <w:sym w:font="Symbol" w:char="F0AF"/>
            </w:r>
            <w:r w:rsidRPr="00A769DE">
              <w:rPr>
                <w:rFonts w:ascii="Arial" w:hAnsi="Arial" w:cs="Arial"/>
                <w:b/>
                <w:color w:val="auto"/>
                <w:sz w:val="20"/>
                <w:szCs w:val="20"/>
                <w:lang w:val="en-AU"/>
              </w:rPr>
              <w:t>)</w:t>
            </w:r>
          </w:p>
        </w:tc>
      </w:tr>
      <w:tr w:rsidR="000B785F" w:rsidRPr="00A769DE" w:rsidTr="00195C4D">
        <w:tc>
          <w:tcPr>
            <w:tcW w:w="3258" w:type="dxa"/>
            <w:tcBorders>
              <w:left w:val="double" w:sz="4" w:space="0" w:color="auto"/>
              <w:right w:val="double" w:sz="4" w:space="0" w:color="auto"/>
            </w:tcBorders>
          </w:tcPr>
          <w:p w:rsidR="000B785F" w:rsidRPr="00A769DE" w:rsidRDefault="000B785F" w:rsidP="00A379CD">
            <w:pPr>
              <w:spacing w:before="60"/>
              <w:rPr>
                <w:rFonts w:ascii="Arial" w:hAnsi="Arial" w:cs="Arial"/>
                <w:color w:val="auto"/>
                <w:sz w:val="20"/>
                <w:szCs w:val="20"/>
                <w:lang w:val="en-AU"/>
              </w:rPr>
            </w:pPr>
            <w:r w:rsidRPr="00A769DE">
              <w:rPr>
                <w:rFonts w:ascii="Arial" w:hAnsi="Arial" w:cs="Arial"/>
                <w:color w:val="auto"/>
                <w:sz w:val="20"/>
                <w:szCs w:val="20"/>
                <w:lang w:val="en-AU"/>
              </w:rPr>
              <w:t>Resolving Insolvency</w:t>
            </w:r>
          </w:p>
        </w:tc>
        <w:tc>
          <w:tcPr>
            <w:tcW w:w="1062" w:type="dxa"/>
            <w:tcBorders>
              <w:left w:val="doub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23.51</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20.39</w:t>
            </w:r>
          </w:p>
        </w:tc>
        <w:tc>
          <w:tcPr>
            <w:tcW w:w="1062" w:type="dxa"/>
            <w:tcBorders>
              <w:left w:val="single" w:sz="4" w:space="0" w:color="auto"/>
              <w:righ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20.39</w:t>
            </w:r>
          </w:p>
        </w:tc>
        <w:tc>
          <w:tcPr>
            <w:tcW w:w="1062" w:type="dxa"/>
            <w:tcBorders>
              <w:left w:val="sing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20.39</w:t>
            </w:r>
          </w:p>
        </w:tc>
        <w:tc>
          <w:tcPr>
            <w:tcW w:w="1062" w:type="dxa"/>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20.39</w:t>
            </w:r>
          </w:p>
        </w:tc>
        <w:tc>
          <w:tcPr>
            <w:tcW w:w="1260" w:type="dxa"/>
            <w:tcBorders>
              <w:right w:val="double" w:sz="4" w:space="0" w:color="auto"/>
            </w:tcBorders>
            <w:vAlign w:val="center"/>
          </w:tcPr>
          <w:p w:rsidR="000B785F" w:rsidRPr="00A769DE" w:rsidRDefault="000B785F" w:rsidP="00A379CD">
            <w:pPr>
              <w:spacing w:before="60"/>
              <w:jc w:val="center"/>
              <w:rPr>
                <w:rFonts w:ascii="Arial" w:hAnsi="Arial" w:cs="Arial"/>
                <w:color w:val="auto"/>
                <w:sz w:val="20"/>
                <w:szCs w:val="20"/>
                <w:lang w:val="en-AU"/>
              </w:rPr>
            </w:pPr>
            <w:r w:rsidRPr="00A769DE">
              <w:rPr>
                <w:rFonts w:ascii="Arial" w:hAnsi="Arial" w:cs="Arial"/>
                <w:color w:val="auto"/>
                <w:sz w:val="20"/>
                <w:szCs w:val="20"/>
                <w:lang w:val="en-AU"/>
              </w:rPr>
              <w:t>(</w:t>
            </w:r>
            <w:r w:rsidRPr="00A769DE">
              <w:rPr>
                <w:rFonts w:ascii="Arial" w:hAnsi="Arial" w:cs="Arial"/>
                <w:b/>
                <w:color w:val="auto"/>
                <w:sz w:val="20"/>
                <w:szCs w:val="20"/>
                <w:lang w:val="en-AU"/>
              </w:rPr>
              <w:sym w:font="Symbol" w:char="F0AF"/>
            </w:r>
            <w:r w:rsidRPr="00A769DE">
              <w:rPr>
                <w:rFonts w:ascii="Arial" w:hAnsi="Arial" w:cs="Arial"/>
                <w:b/>
                <w:color w:val="auto"/>
                <w:sz w:val="20"/>
                <w:szCs w:val="20"/>
                <w:lang w:val="en-AU"/>
              </w:rPr>
              <w:t>)</w:t>
            </w:r>
          </w:p>
        </w:tc>
      </w:tr>
      <w:tr w:rsidR="000B785F" w:rsidRPr="00A769DE" w:rsidTr="00195C4D">
        <w:tc>
          <w:tcPr>
            <w:tcW w:w="3258" w:type="dxa"/>
            <w:tcBorders>
              <w:left w:val="double" w:sz="4" w:space="0" w:color="auto"/>
              <w:bottom w:val="double" w:sz="4" w:space="0" w:color="auto"/>
              <w:right w:val="double" w:sz="4" w:space="0" w:color="auto"/>
            </w:tcBorders>
          </w:tcPr>
          <w:p w:rsidR="000B785F" w:rsidRPr="00A769DE" w:rsidRDefault="000B785F" w:rsidP="00A379CD">
            <w:pPr>
              <w:spacing w:before="60"/>
              <w:rPr>
                <w:rFonts w:ascii="Arial" w:hAnsi="Arial" w:cs="Arial"/>
                <w:b/>
                <w:bCs/>
                <w:color w:val="auto"/>
                <w:sz w:val="20"/>
                <w:szCs w:val="20"/>
                <w:lang w:val="en-AU"/>
              </w:rPr>
            </w:pPr>
            <w:r w:rsidRPr="00A769DE">
              <w:rPr>
                <w:rFonts w:ascii="Arial" w:hAnsi="Arial" w:cs="Arial"/>
                <w:b/>
                <w:bCs/>
                <w:color w:val="auto"/>
                <w:sz w:val="20"/>
                <w:szCs w:val="20"/>
                <w:lang w:val="en-AU"/>
              </w:rPr>
              <w:t>Overall</w:t>
            </w:r>
          </w:p>
        </w:tc>
        <w:tc>
          <w:tcPr>
            <w:tcW w:w="1062" w:type="dxa"/>
            <w:tcBorders>
              <w:left w:val="double" w:sz="4" w:space="0" w:color="auto"/>
              <w:bottom w:val="double" w:sz="4" w:space="0" w:color="auto"/>
              <w:right w:val="sing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43.55</w:t>
            </w:r>
          </w:p>
        </w:tc>
        <w:tc>
          <w:tcPr>
            <w:tcW w:w="1062" w:type="dxa"/>
            <w:tcBorders>
              <w:left w:val="single" w:sz="4" w:space="0" w:color="auto"/>
              <w:bottom w:val="double" w:sz="4" w:space="0" w:color="auto"/>
              <w:right w:val="sing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45.27</w:t>
            </w:r>
          </w:p>
        </w:tc>
        <w:tc>
          <w:tcPr>
            <w:tcW w:w="1062" w:type="dxa"/>
            <w:tcBorders>
              <w:left w:val="single" w:sz="4" w:space="0" w:color="auto"/>
              <w:bottom w:val="double" w:sz="4" w:space="0" w:color="auto"/>
              <w:right w:val="sing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44.56</w:t>
            </w:r>
          </w:p>
        </w:tc>
        <w:tc>
          <w:tcPr>
            <w:tcW w:w="1062" w:type="dxa"/>
            <w:tcBorders>
              <w:left w:val="single" w:sz="4" w:space="0" w:color="auto"/>
              <w:bottom w:val="doub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43.91</w:t>
            </w:r>
          </w:p>
        </w:tc>
        <w:tc>
          <w:tcPr>
            <w:tcW w:w="1062" w:type="dxa"/>
            <w:tcBorders>
              <w:bottom w:val="doub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t>44.21</w:t>
            </w:r>
          </w:p>
        </w:tc>
        <w:tc>
          <w:tcPr>
            <w:tcW w:w="1260" w:type="dxa"/>
            <w:tcBorders>
              <w:bottom w:val="double" w:sz="4" w:space="0" w:color="auto"/>
              <w:right w:val="double" w:sz="4" w:space="0" w:color="auto"/>
            </w:tcBorders>
            <w:vAlign w:val="center"/>
          </w:tcPr>
          <w:p w:rsidR="000B785F" w:rsidRPr="00A769DE" w:rsidRDefault="000B785F" w:rsidP="00A379CD">
            <w:pPr>
              <w:spacing w:before="60"/>
              <w:jc w:val="center"/>
              <w:rPr>
                <w:rFonts w:ascii="Arial" w:hAnsi="Arial" w:cs="Arial"/>
                <w:b/>
                <w:bCs/>
                <w:color w:val="auto"/>
                <w:sz w:val="20"/>
                <w:szCs w:val="20"/>
                <w:lang w:val="en-AU"/>
              </w:rPr>
            </w:pPr>
            <w:r w:rsidRPr="00A769DE">
              <w:rPr>
                <w:rFonts w:ascii="Arial" w:hAnsi="Arial" w:cs="Arial"/>
                <w:b/>
                <w:bCs/>
                <w:color w:val="auto"/>
                <w:sz w:val="20"/>
                <w:szCs w:val="20"/>
                <w:lang w:val="en-AU"/>
              </w:rPr>
              <w:sym w:font="Symbol" w:char="F0AB"/>
            </w:r>
          </w:p>
        </w:tc>
      </w:tr>
    </w:tbl>
    <w:p w:rsidR="000B785F" w:rsidRPr="00A769DE" w:rsidRDefault="000B785F" w:rsidP="00195C4D">
      <w:pPr>
        <w:spacing w:before="0" w:after="0"/>
        <w:jc w:val="both"/>
        <w:rPr>
          <w:rFonts w:ascii="Arial" w:hAnsi="Arial" w:cs="Arial"/>
          <w:color w:val="auto"/>
          <w:lang w:val="en-AU"/>
        </w:rPr>
      </w:pPr>
    </w:p>
    <w:p w:rsidR="000B785F" w:rsidRPr="00A769DE" w:rsidRDefault="000B785F" w:rsidP="00195C4D">
      <w:pPr>
        <w:spacing w:before="0" w:after="0"/>
        <w:jc w:val="both"/>
        <w:rPr>
          <w:rFonts w:ascii="Arial" w:hAnsi="Arial" w:cs="Arial"/>
          <w:color w:val="auto"/>
          <w:lang w:val="en-AU"/>
        </w:rPr>
      </w:pPr>
      <w:r w:rsidRPr="00A769DE">
        <w:rPr>
          <w:rFonts w:ascii="Arial" w:hAnsi="Arial" w:cs="Arial"/>
          <w:color w:val="auto"/>
          <w:sz w:val="18"/>
          <w:szCs w:val="18"/>
          <w:u w:val="single"/>
          <w:lang w:val="en-AU"/>
        </w:rPr>
        <w:t>Distance to Frontier</w:t>
      </w:r>
      <w:r w:rsidRPr="00A769DE">
        <w:rPr>
          <w:rFonts w:ascii="Arial" w:hAnsi="Arial" w:cs="Arial"/>
          <w:color w:val="auto"/>
          <w:sz w:val="18"/>
          <w:szCs w:val="18"/>
          <w:lang w:val="en-AU"/>
        </w:rPr>
        <w:t>: The distance to frontier score helps assess the absolute level of regulatory performance over time. It measures the distance of each economy to the “frontier,” which represents the best performance observed on each of the indicators across all economies in the Doing Business sample since 2005. One can both see the gap between a particular economy’s performance and the best performance at any point in time and assess the absolute change in the economy’s regulatory environment over time as measured by Doing Business. An economy’s distance to frontier is reflected on a scale from 0 to 100, where 0 represents the lowest performance and 100 is the frontier.</w:t>
      </w:r>
    </w:p>
    <w:sectPr w:rsidR="000B785F" w:rsidRPr="00A769DE" w:rsidSect="00271503">
      <w:headerReference w:type="default" r:id="rId24"/>
      <w:footerReference w:type="default" r:id="rId25"/>
      <w:headerReference w:type="first" r:id="rId26"/>
      <w:footerReference w:type="first" r:id="rId27"/>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C1" w:rsidRDefault="00A655C1" w:rsidP="003A5358">
      <w:r>
        <w:separator/>
      </w:r>
    </w:p>
  </w:endnote>
  <w:endnote w:type="continuationSeparator" w:id="0">
    <w:p w:rsidR="00A655C1" w:rsidRDefault="00A655C1"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CLLBK+TimesNew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0B" w:rsidRDefault="00395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0B" w:rsidRDefault="00395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0B" w:rsidRDefault="00395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057479">
    <w:pPr>
      <w:pStyle w:val="Classification"/>
    </w:pPr>
  </w:p>
  <w:p w:rsidR="00E15A9B" w:rsidRDefault="00E15A9B" w:rsidP="003A5358">
    <w:pPr>
      <w:pStyle w:val="Footer"/>
    </w:pPr>
    <w:r>
      <w:tab/>
    </w:r>
    <w:r w:rsidR="005540DD">
      <w:fldChar w:fldCharType="begin"/>
    </w:r>
    <w:r w:rsidR="005540DD">
      <w:instrText xml:space="preserve"> STYLEREF  Title  \* MERGEFORMAT </w:instrText>
    </w:r>
    <w:r w:rsidR="005540DD">
      <w:fldChar w:fldCharType="separate"/>
    </w:r>
    <w:r w:rsidR="005540DD" w:rsidRPr="005540DD">
      <w:rPr>
        <w:noProof/>
        <w:color w:val="FFFFFF" w:themeColor="background1"/>
      </w:rPr>
      <w:t>Performance Evaluation of Australia’s Key Economic Growth Programs in Myanmar</w:t>
    </w:r>
    <w:r w:rsidR="005540DD">
      <w:rPr>
        <w:noProof/>
        <w:color w:val="FFFFFF" w:themeColor="background1"/>
      </w:rPr>
      <w:fldChar w:fldCharType="end"/>
    </w:r>
    <w:r>
      <w:tab/>
    </w:r>
    <w:r w:rsidR="00A16FE0" w:rsidRPr="00B92E1E">
      <w:rPr>
        <w:rStyle w:val="PageNumber"/>
      </w:rPr>
      <w:fldChar w:fldCharType="begin"/>
    </w:r>
    <w:r w:rsidRPr="00F5404C">
      <w:rPr>
        <w:rStyle w:val="PageNumber"/>
      </w:rPr>
      <w:instrText xml:space="preserve"> PAGE   \* MERGEFORMAT </w:instrText>
    </w:r>
    <w:r w:rsidR="00A16FE0" w:rsidRPr="00B92E1E">
      <w:rPr>
        <w:rStyle w:val="PageNumber"/>
      </w:rPr>
      <w:fldChar w:fldCharType="separate"/>
    </w:r>
    <w:r w:rsidR="005540DD">
      <w:rPr>
        <w:rStyle w:val="PageNumber"/>
        <w:noProof/>
      </w:rPr>
      <w:t>i</w:t>
    </w:r>
    <w:r w:rsidR="00A16FE0"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3A5358">
    <w:pPr>
      <w:pStyle w:val="Footer"/>
    </w:pPr>
    <w:r>
      <w:tab/>
    </w:r>
    <w:r w:rsidR="005540DD">
      <w:fldChar w:fldCharType="begin"/>
    </w:r>
    <w:r w:rsidR="005540DD">
      <w:instrText xml:space="preserve"> STYLEREF  Title  \* MERGEFORMAT </w:instrText>
    </w:r>
    <w:r w:rsidR="005540DD">
      <w:fldChar w:fldCharType="separate"/>
    </w:r>
    <w:r>
      <w:rPr>
        <w:noProof/>
      </w:rPr>
      <w:t>ICCP Performance Evaluation – Draft Report</w:t>
    </w:r>
    <w:r w:rsidR="005540DD">
      <w:rPr>
        <w:noProof/>
      </w:rPr>
      <w:fldChar w:fldCharType="end"/>
    </w:r>
    <w:r>
      <w:tab/>
    </w:r>
    <w:r w:rsidR="00A16FE0" w:rsidRPr="00F5404C">
      <w:rPr>
        <w:rStyle w:val="PageNumber"/>
      </w:rPr>
      <w:fldChar w:fldCharType="begin"/>
    </w:r>
    <w:r w:rsidRPr="00F5404C">
      <w:rPr>
        <w:rStyle w:val="PageNumber"/>
      </w:rPr>
      <w:instrText xml:space="preserve"> PAGE   \* MERGEFORMAT </w:instrText>
    </w:r>
    <w:r w:rsidR="00A16FE0" w:rsidRPr="00F5404C">
      <w:rPr>
        <w:rStyle w:val="PageNumber"/>
      </w:rPr>
      <w:fldChar w:fldCharType="separate"/>
    </w:r>
    <w:r w:rsidRPr="00D21F57">
      <w:rPr>
        <w:rStyle w:val="PageNumber"/>
      </w:rPr>
      <w:t>i</w:t>
    </w:r>
    <w:r w:rsidR="00A16FE0" w:rsidRPr="00F5404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D203EB">
    <w:pPr>
      <w:pStyle w:val="Classification"/>
    </w:pPr>
  </w:p>
  <w:p w:rsidR="00E15A9B" w:rsidRDefault="00E15A9B" w:rsidP="003A5358">
    <w:pPr>
      <w:pStyle w:val="Footer"/>
    </w:pPr>
    <w:r>
      <w:tab/>
    </w:r>
    <w:r w:rsidR="0039520B" w:rsidRPr="0039520B">
      <w:rPr>
        <w:color w:val="FFFFFF" w:themeColor="background1"/>
      </w:rPr>
      <w:fldChar w:fldCharType="begin"/>
    </w:r>
    <w:r w:rsidR="0039520B" w:rsidRPr="0039520B">
      <w:rPr>
        <w:color w:val="FFFFFF" w:themeColor="background1"/>
      </w:rPr>
      <w:instrText xml:space="preserve"> STYLEREF  Title  \* MERGEFORMAT </w:instrText>
    </w:r>
    <w:r w:rsidR="0039520B" w:rsidRPr="0039520B">
      <w:rPr>
        <w:color w:val="FFFFFF" w:themeColor="background1"/>
      </w:rPr>
      <w:fldChar w:fldCharType="separate"/>
    </w:r>
    <w:r w:rsidR="005540DD">
      <w:rPr>
        <w:noProof/>
        <w:color w:val="FFFFFF" w:themeColor="background1"/>
      </w:rPr>
      <w:t>Performance Evaluation of Australia’s Key Economic Growth Programs in Myanmar</w:t>
    </w:r>
    <w:r w:rsidR="0039520B" w:rsidRPr="0039520B">
      <w:rPr>
        <w:noProof/>
        <w:color w:val="FFFFFF" w:themeColor="background1"/>
      </w:rPr>
      <w:fldChar w:fldCharType="end"/>
    </w:r>
    <w:r>
      <w:tab/>
    </w:r>
    <w:r w:rsidR="00A16FE0" w:rsidRPr="00B92E1E">
      <w:rPr>
        <w:rStyle w:val="PageNumber"/>
      </w:rPr>
      <w:fldChar w:fldCharType="begin"/>
    </w:r>
    <w:r w:rsidRPr="00F5404C">
      <w:rPr>
        <w:rStyle w:val="PageNumber"/>
      </w:rPr>
      <w:instrText xml:space="preserve"> PAGE   \* MERGEFORMAT </w:instrText>
    </w:r>
    <w:r w:rsidR="00A16FE0" w:rsidRPr="00B92E1E">
      <w:rPr>
        <w:rStyle w:val="PageNumber"/>
      </w:rPr>
      <w:fldChar w:fldCharType="separate"/>
    </w:r>
    <w:r w:rsidR="005540DD">
      <w:rPr>
        <w:rStyle w:val="PageNumber"/>
        <w:noProof/>
      </w:rPr>
      <w:t>2</w:t>
    </w:r>
    <w:r w:rsidR="00A16FE0" w:rsidRPr="00B92E1E">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D203EB">
    <w:pPr>
      <w:pStyle w:val="Classification"/>
    </w:pPr>
  </w:p>
  <w:p w:rsidR="00E15A9B" w:rsidRDefault="00E15A9B" w:rsidP="003A5358">
    <w:pPr>
      <w:pStyle w:val="Footer"/>
    </w:pPr>
    <w:r>
      <w:tab/>
    </w:r>
    <w:r w:rsidR="0039520B" w:rsidRPr="0039520B">
      <w:rPr>
        <w:color w:val="FFFFFF" w:themeColor="background1"/>
      </w:rPr>
      <w:fldChar w:fldCharType="begin"/>
    </w:r>
    <w:r w:rsidR="0039520B" w:rsidRPr="0039520B">
      <w:rPr>
        <w:color w:val="FFFFFF" w:themeColor="background1"/>
      </w:rPr>
      <w:instrText xml:space="preserve"> STYLEREF  Title  \* MERGEFORMAT </w:instrText>
    </w:r>
    <w:r w:rsidR="0039520B" w:rsidRPr="0039520B">
      <w:rPr>
        <w:color w:val="FFFFFF" w:themeColor="background1"/>
      </w:rPr>
      <w:fldChar w:fldCharType="separate"/>
    </w:r>
    <w:r w:rsidR="005540DD">
      <w:rPr>
        <w:noProof/>
        <w:color w:val="FFFFFF" w:themeColor="background1"/>
      </w:rPr>
      <w:t>Performance Evaluation of Australia’s Key Economic Growth Programs in Myanmar</w:t>
    </w:r>
    <w:r w:rsidR="0039520B" w:rsidRPr="0039520B">
      <w:rPr>
        <w:noProof/>
        <w:color w:val="FFFFFF" w:themeColor="background1"/>
      </w:rPr>
      <w:fldChar w:fldCharType="end"/>
    </w:r>
    <w:r>
      <w:tab/>
    </w:r>
    <w:r w:rsidR="00A16FE0" w:rsidRPr="005B583F">
      <w:rPr>
        <w:rStyle w:val="PageNumber"/>
      </w:rPr>
      <w:fldChar w:fldCharType="begin"/>
    </w:r>
    <w:r w:rsidRPr="00F5404C">
      <w:rPr>
        <w:rStyle w:val="PageNumber"/>
      </w:rPr>
      <w:instrText xml:space="preserve"> PAGE   \* MERGEFORMAT </w:instrText>
    </w:r>
    <w:r w:rsidR="00A16FE0" w:rsidRPr="005B583F">
      <w:rPr>
        <w:rStyle w:val="PageNumber"/>
      </w:rPr>
      <w:fldChar w:fldCharType="separate"/>
    </w:r>
    <w:r w:rsidR="005540DD">
      <w:rPr>
        <w:rStyle w:val="PageNumber"/>
        <w:noProof/>
      </w:rPr>
      <w:t>1</w:t>
    </w:r>
    <w:r w:rsidR="00A16FE0" w:rsidRPr="005B583F">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D203EB">
    <w:pPr>
      <w:pStyle w:val="Classification"/>
    </w:pPr>
  </w:p>
  <w:p w:rsidR="00E15A9B" w:rsidRDefault="00E15A9B" w:rsidP="003A5358">
    <w:pPr>
      <w:pStyle w:val="Footer"/>
    </w:pPr>
    <w:r>
      <w:tab/>
    </w:r>
    <w:r w:rsidR="0039520B" w:rsidRPr="0039520B">
      <w:rPr>
        <w:color w:val="FFFFFF" w:themeColor="background1"/>
      </w:rPr>
      <w:fldChar w:fldCharType="begin"/>
    </w:r>
    <w:r w:rsidR="0039520B" w:rsidRPr="0039520B">
      <w:rPr>
        <w:color w:val="FFFFFF" w:themeColor="background1"/>
      </w:rPr>
      <w:instrText xml:space="preserve"> STYLEREF  Title  \* MERGEFORMAT </w:instrText>
    </w:r>
    <w:r w:rsidR="0039520B" w:rsidRPr="0039520B">
      <w:rPr>
        <w:color w:val="FFFFFF" w:themeColor="background1"/>
      </w:rPr>
      <w:fldChar w:fldCharType="separate"/>
    </w:r>
    <w:r w:rsidR="005540DD">
      <w:rPr>
        <w:noProof/>
        <w:color w:val="FFFFFF" w:themeColor="background1"/>
      </w:rPr>
      <w:t>Performance Evaluation of Australia’s Key Economic Growth Programs in Myanmar</w:t>
    </w:r>
    <w:r w:rsidR="0039520B" w:rsidRPr="0039520B">
      <w:rPr>
        <w:noProof/>
        <w:color w:val="FFFFFF" w:themeColor="background1"/>
      </w:rPr>
      <w:fldChar w:fldCharType="end"/>
    </w:r>
    <w:r>
      <w:tab/>
    </w:r>
    <w:r w:rsidR="00A16FE0" w:rsidRPr="00B92E1E">
      <w:rPr>
        <w:rStyle w:val="PageNumber"/>
      </w:rPr>
      <w:fldChar w:fldCharType="begin"/>
    </w:r>
    <w:r w:rsidRPr="00F5404C">
      <w:rPr>
        <w:rStyle w:val="PageNumber"/>
      </w:rPr>
      <w:instrText xml:space="preserve"> PAGE   \* MERGEFORMAT </w:instrText>
    </w:r>
    <w:r w:rsidR="00A16FE0" w:rsidRPr="00B92E1E">
      <w:rPr>
        <w:rStyle w:val="PageNumber"/>
      </w:rPr>
      <w:fldChar w:fldCharType="separate"/>
    </w:r>
    <w:r w:rsidR="005540DD">
      <w:rPr>
        <w:rStyle w:val="PageNumber"/>
        <w:noProof/>
      </w:rPr>
      <w:t>40</w:t>
    </w:r>
    <w:r w:rsidR="00A16FE0" w:rsidRPr="00B92E1E">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D203EB">
    <w:pPr>
      <w:pStyle w:val="Classification"/>
    </w:pPr>
  </w:p>
  <w:p w:rsidR="00E15A9B" w:rsidRDefault="00E15A9B" w:rsidP="003A5358">
    <w:pPr>
      <w:pStyle w:val="Footer"/>
    </w:pPr>
    <w:r>
      <w:tab/>
    </w:r>
    <w:r w:rsidR="0039520B" w:rsidRPr="0039520B">
      <w:rPr>
        <w:color w:val="FFFFFF" w:themeColor="background1"/>
      </w:rPr>
      <w:fldChar w:fldCharType="begin"/>
    </w:r>
    <w:r w:rsidR="0039520B" w:rsidRPr="0039520B">
      <w:rPr>
        <w:color w:val="FFFFFF" w:themeColor="background1"/>
      </w:rPr>
      <w:instrText xml:space="preserve"> STYLEREF  Title  \* MERGEFORMAT </w:instrText>
    </w:r>
    <w:r w:rsidR="0039520B" w:rsidRPr="0039520B">
      <w:rPr>
        <w:color w:val="FFFFFF" w:themeColor="background1"/>
      </w:rPr>
      <w:fldChar w:fldCharType="separate"/>
    </w:r>
    <w:r w:rsidR="005540DD">
      <w:rPr>
        <w:noProof/>
        <w:color w:val="FFFFFF" w:themeColor="background1"/>
      </w:rPr>
      <w:t>Performance Evaluation of Australia’s Key Economic Growth Programs in Myanmar</w:t>
    </w:r>
    <w:r w:rsidR="0039520B" w:rsidRPr="0039520B">
      <w:rPr>
        <w:noProof/>
        <w:color w:val="FFFFFF" w:themeColor="background1"/>
      </w:rPr>
      <w:fldChar w:fldCharType="end"/>
    </w:r>
    <w:r w:rsidRPr="0039520B">
      <w:rPr>
        <w:color w:val="FFFFFF" w:themeColor="background1"/>
      </w:rPr>
      <w:tab/>
    </w:r>
    <w:r w:rsidR="00A16FE0" w:rsidRPr="005B583F">
      <w:rPr>
        <w:rStyle w:val="PageNumber"/>
      </w:rPr>
      <w:fldChar w:fldCharType="begin"/>
    </w:r>
    <w:r w:rsidRPr="00F5404C">
      <w:rPr>
        <w:rStyle w:val="PageNumber"/>
      </w:rPr>
      <w:instrText xml:space="preserve"> PAGE   \* MERGEFORMAT </w:instrText>
    </w:r>
    <w:r w:rsidR="00A16FE0" w:rsidRPr="005B583F">
      <w:rPr>
        <w:rStyle w:val="PageNumber"/>
      </w:rPr>
      <w:fldChar w:fldCharType="separate"/>
    </w:r>
    <w:r w:rsidR="005540DD">
      <w:rPr>
        <w:rStyle w:val="PageNumber"/>
        <w:noProof/>
      </w:rPr>
      <w:t>3</w:t>
    </w:r>
    <w:r w:rsidR="00A16FE0"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C1" w:rsidRPr="008C5A0E" w:rsidRDefault="00A655C1" w:rsidP="003A5358">
      <w:pPr>
        <w:pStyle w:val="FootnoteSeparator"/>
      </w:pPr>
    </w:p>
  </w:footnote>
  <w:footnote w:type="continuationSeparator" w:id="0">
    <w:p w:rsidR="00A655C1" w:rsidRDefault="00A655C1" w:rsidP="003A5358">
      <w:r>
        <w:continuationSeparator/>
      </w:r>
    </w:p>
  </w:footnote>
  <w:footnote w:id="1">
    <w:p w:rsidR="00E15A9B" w:rsidRPr="004B1F57" w:rsidRDefault="00E15A9B" w:rsidP="00235986">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w:t>
      </w:r>
      <w:r w:rsidRPr="00235986">
        <w:rPr>
          <w:rFonts w:ascii="Arial" w:hAnsi="Arial" w:cs="Arial"/>
          <w:color w:val="auto"/>
          <w:sz w:val="17"/>
          <w:szCs w:val="17"/>
          <w:u w:val="single"/>
        </w:rPr>
        <w:t>2015/16</w:t>
      </w:r>
      <w:r>
        <w:rPr>
          <w:rFonts w:ascii="Arial" w:hAnsi="Arial" w:cs="Arial"/>
          <w:color w:val="auto"/>
          <w:sz w:val="17"/>
          <w:szCs w:val="17"/>
        </w:rPr>
        <w:t xml:space="preserve">: </w:t>
      </w:r>
      <w:r w:rsidRPr="00235986">
        <w:rPr>
          <w:rFonts w:ascii="Arial" w:hAnsi="Arial" w:cs="Arial"/>
          <w:color w:val="auto"/>
          <w:sz w:val="17"/>
          <w:szCs w:val="17"/>
        </w:rPr>
        <w:t>Draft investment law finalised for submission to parliament</w:t>
      </w:r>
      <w:r>
        <w:rPr>
          <w:rFonts w:ascii="Arial" w:hAnsi="Arial" w:cs="Arial"/>
          <w:color w:val="auto"/>
          <w:sz w:val="17"/>
          <w:szCs w:val="17"/>
        </w:rPr>
        <w:t xml:space="preserve">; </w:t>
      </w:r>
      <w:r w:rsidRPr="00235986">
        <w:rPr>
          <w:rFonts w:ascii="Arial" w:hAnsi="Arial" w:cs="Arial"/>
          <w:color w:val="auto"/>
          <w:sz w:val="17"/>
          <w:szCs w:val="17"/>
          <w:u w:val="single"/>
        </w:rPr>
        <w:t>2016/17</w:t>
      </w:r>
      <w:r>
        <w:rPr>
          <w:rFonts w:ascii="Arial" w:hAnsi="Arial" w:cs="Arial"/>
          <w:color w:val="auto"/>
          <w:sz w:val="17"/>
          <w:szCs w:val="17"/>
        </w:rPr>
        <w:t xml:space="preserve">: </w:t>
      </w:r>
      <w:r w:rsidRPr="00235986">
        <w:rPr>
          <w:rFonts w:ascii="Arial" w:hAnsi="Arial" w:cs="Arial"/>
          <w:color w:val="auto"/>
          <w:sz w:val="17"/>
          <w:szCs w:val="17"/>
        </w:rPr>
        <w:t xml:space="preserve">Investment procedures clarified, including through consultation </w:t>
      </w:r>
      <w:r>
        <w:rPr>
          <w:rFonts w:ascii="Arial" w:hAnsi="Arial" w:cs="Arial"/>
          <w:color w:val="auto"/>
          <w:sz w:val="17"/>
          <w:szCs w:val="17"/>
        </w:rPr>
        <w:t xml:space="preserve">with business and civil society; </w:t>
      </w:r>
      <w:r w:rsidRPr="00235986">
        <w:rPr>
          <w:rFonts w:ascii="Arial" w:hAnsi="Arial" w:cs="Arial"/>
          <w:color w:val="auto"/>
          <w:sz w:val="17"/>
          <w:szCs w:val="17"/>
          <w:u w:val="single"/>
        </w:rPr>
        <w:t>2017/18</w:t>
      </w:r>
      <w:r>
        <w:rPr>
          <w:rFonts w:ascii="Arial" w:hAnsi="Arial" w:cs="Arial"/>
          <w:color w:val="auto"/>
          <w:sz w:val="17"/>
          <w:szCs w:val="17"/>
        </w:rPr>
        <w:t xml:space="preserve">: </w:t>
      </w:r>
      <w:r w:rsidRPr="00235986">
        <w:rPr>
          <w:rFonts w:ascii="Arial" w:hAnsi="Arial" w:cs="Arial"/>
          <w:color w:val="auto"/>
          <w:sz w:val="17"/>
          <w:szCs w:val="17"/>
        </w:rPr>
        <w:t>A more certain and predictable investment environment</w:t>
      </w:r>
      <w:r>
        <w:rPr>
          <w:rFonts w:ascii="Arial" w:hAnsi="Arial" w:cs="Arial"/>
          <w:color w:val="auto"/>
          <w:sz w:val="17"/>
          <w:szCs w:val="17"/>
        </w:rPr>
        <w:t xml:space="preserve">; and, </w:t>
      </w:r>
      <w:r w:rsidRPr="00235986">
        <w:rPr>
          <w:rFonts w:ascii="Arial" w:hAnsi="Arial" w:cs="Arial"/>
          <w:color w:val="auto"/>
          <w:sz w:val="17"/>
          <w:szCs w:val="17"/>
          <w:u w:val="single"/>
        </w:rPr>
        <w:t>2018/19</w:t>
      </w:r>
      <w:r>
        <w:rPr>
          <w:rFonts w:ascii="Arial" w:hAnsi="Arial" w:cs="Arial"/>
          <w:color w:val="auto"/>
          <w:sz w:val="17"/>
          <w:szCs w:val="17"/>
        </w:rPr>
        <w:t xml:space="preserve">: </w:t>
      </w:r>
      <w:r w:rsidRPr="00235986">
        <w:rPr>
          <w:rFonts w:ascii="Arial" w:hAnsi="Arial" w:cs="Arial"/>
          <w:color w:val="auto"/>
          <w:sz w:val="17"/>
          <w:szCs w:val="17"/>
        </w:rPr>
        <w:t>On track to meet an increase in investment to a total value of US$ 500 million by 2020/21.</w:t>
      </w:r>
    </w:p>
  </w:footnote>
  <w:footnote w:id="2">
    <w:p w:rsidR="00E15A9B" w:rsidRPr="004B1F57" w:rsidRDefault="00E15A9B" w:rsidP="00F2097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w:t>
      </w:r>
      <w:r w:rsidRPr="00235986">
        <w:rPr>
          <w:rFonts w:ascii="Arial" w:hAnsi="Arial" w:cs="Arial"/>
          <w:color w:val="auto"/>
          <w:sz w:val="17"/>
          <w:szCs w:val="17"/>
          <w:u w:val="single"/>
        </w:rPr>
        <w:t>2015/16</w:t>
      </w:r>
      <w:r>
        <w:rPr>
          <w:rFonts w:ascii="Arial" w:hAnsi="Arial" w:cs="Arial"/>
          <w:color w:val="auto"/>
          <w:sz w:val="17"/>
          <w:szCs w:val="17"/>
        </w:rPr>
        <w:t xml:space="preserve">: </w:t>
      </w:r>
      <w:r w:rsidRPr="00F2097A">
        <w:rPr>
          <w:rFonts w:ascii="Arial" w:hAnsi="Arial" w:cs="Arial"/>
          <w:color w:val="auto"/>
          <w:sz w:val="17"/>
          <w:szCs w:val="17"/>
        </w:rPr>
        <w:t>Improved transparency of financial planning and budget processes</w:t>
      </w:r>
      <w:r>
        <w:rPr>
          <w:rFonts w:ascii="Arial" w:hAnsi="Arial" w:cs="Arial"/>
          <w:color w:val="auto"/>
          <w:sz w:val="17"/>
          <w:szCs w:val="17"/>
        </w:rPr>
        <w:t xml:space="preserve">; </w:t>
      </w:r>
      <w:r w:rsidRPr="00235986">
        <w:rPr>
          <w:rFonts w:ascii="Arial" w:hAnsi="Arial" w:cs="Arial"/>
          <w:color w:val="auto"/>
          <w:sz w:val="17"/>
          <w:szCs w:val="17"/>
          <w:u w:val="single"/>
        </w:rPr>
        <w:t>2016/17</w:t>
      </w:r>
      <w:r>
        <w:rPr>
          <w:rFonts w:ascii="Arial" w:hAnsi="Arial" w:cs="Arial"/>
          <w:color w:val="auto"/>
          <w:sz w:val="17"/>
          <w:szCs w:val="17"/>
        </w:rPr>
        <w:t xml:space="preserve">: </w:t>
      </w:r>
      <w:r w:rsidRPr="00F2097A">
        <w:rPr>
          <w:rFonts w:ascii="Arial" w:hAnsi="Arial" w:cs="Arial"/>
          <w:color w:val="auto"/>
          <w:sz w:val="17"/>
          <w:szCs w:val="17"/>
        </w:rPr>
        <w:t>Improved quality and transparency of financia</w:t>
      </w:r>
      <w:r>
        <w:rPr>
          <w:rFonts w:ascii="Arial" w:hAnsi="Arial" w:cs="Arial"/>
          <w:color w:val="auto"/>
          <w:sz w:val="17"/>
          <w:szCs w:val="17"/>
        </w:rPr>
        <w:t xml:space="preserve">l planning and budget processes; </w:t>
      </w:r>
      <w:r w:rsidRPr="00235986">
        <w:rPr>
          <w:rFonts w:ascii="Arial" w:hAnsi="Arial" w:cs="Arial"/>
          <w:color w:val="auto"/>
          <w:sz w:val="17"/>
          <w:szCs w:val="17"/>
          <w:u w:val="single"/>
        </w:rPr>
        <w:t>2017/18</w:t>
      </w:r>
      <w:r>
        <w:rPr>
          <w:rFonts w:ascii="Arial" w:hAnsi="Arial" w:cs="Arial"/>
          <w:color w:val="auto"/>
          <w:sz w:val="17"/>
          <w:szCs w:val="17"/>
        </w:rPr>
        <w:t xml:space="preserve">: </w:t>
      </w:r>
      <w:r w:rsidRPr="00F2097A">
        <w:rPr>
          <w:rFonts w:ascii="Arial" w:hAnsi="Arial" w:cs="Arial"/>
          <w:color w:val="auto"/>
          <w:sz w:val="17"/>
          <w:szCs w:val="17"/>
        </w:rPr>
        <w:t>Increased tax-to-GDP ratio from 6.2% in 2012/13</w:t>
      </w:r>
      <w:r>
        <w:rPr>
          <w:rFonts w:ascii="Arial" w:hAnsi="Arial" w:cs="Arial"/>
          <w:color w:val="auto"/>
          <w:sz w:val="17"/>
          <w:szCs w:val="17"/>
        </w:rPr>
        <w:t xml:space="preserve">; and, </w:t>
      </w:r>
      <w:r w:rsidRPr="00235986">
        <w:rPr>
          <w:rFonts w:ascii="Arial" w:hAnsi="Arial" w:cs="Arial"/>
          <w:color w:val="auto"/>
          <w:sz w:val="17"/>
          <w:szCs w:val="17"/>
          <w:u w:val="single"/>
        </w:rPr>
        <w:t>2018/19</w:t>
      </w:r>
      <w:r>
        <w:rPr>
          <w:rFonts w:ascii="Arial" w:hAnsi="Arial" w:cs="Arial"/>
          <w:color w:val="auto"/>
          <w:sz w:val="17"/>
          <w:szCs w:val="17"/>
        </w:rPr>
        <w:t xml:space="preserve">: </w:t>
      </w:r>
      <w:r w:rsidRPr="00F2097A">
        <w:rPr>
          <w:rFonts w:ascii="Arial" w:hAnsi="Arial" w:cs="Arial"/>
          <w:color w:val="auto"/>
          <w:sz w:val="17"/>
          <w:szCs w:val="17"/>
        </w:rPr>
        <w:t>a) Increase</w:t>
      </w:r>
      <w:r>
        <w:rPr>
          <w:rFonts w:ascii="Arial" w:hAnsi="Arial" w:cs="Arial"/>
          <w:color w:val="auto"/>
          <w:sz w:val="17"/>
          <w:szCs w:val="17"/>
        </w:rPr>
        <w:t xml:space="preserve">d tax-to-GDP ratio of over 10%, and </w:t>
      </w:r>
      <w:r w:rsidRPr="00F2097A">
        <w:rPr>
          <w:rFonts w:ascii="Arial" w:hAnsi="Arial" w:cs="Arial"/>
          <w:color w:val="auto"/>
          <w:sz w:val="17"/>
          <w:szCs w:val="17"/>
        </w:rPr>
        <w:t>b) A 20% increase in collections from large tax payers from 2012/13 baseline.</w:t>
      </w:r>
    </w:p>
  </w:footnote>
  <w:footnote w:id="3">
    <w:p w:rsidR="00E15A9B" w:rsidRPr="004B1F57" w:rsidRDefault="00E15A9B" w:rsidP="004E672C">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It is understood that the IFC in September/October 2018 started preparing a draft Theory-</w:t>
      </w:r>
      <w:r w:rsidRPr="004E672C">
        <w:rPr>
          <w:rFonts w:ascii="Arial" w:hAnsi="Arial" w:cs="Arial"/>
          <w:color w:val="auto"/>
          <w:sz w:val="17"/>
          <w:szCs w:val="17"/>
        </w:rPr>
        <w:t>of</w:t>
      </w:r>
      <w:r>
        <w:rPr>
          <w:rFonts w:ascii="Arial" w:hAnsi="Arial" w:cs="Arial"/>
          <w:color w:val="auto"/>
          <w:sz w:val="17"/>
          <w:szCs w:val="17"/>
        </w:rPr>
        <w:t>-</w:t>
      </w:r>
      <w:r w:rsidRPr="004E672C">
        <w:rPr>
          <w:rFonts w:ascii="Arial" w:hAnsi="Arial" w:cs="Arial"/>
          <w:color w:val="auto"/>
          <w:sz w:val="17"/>
          <w:szCs w:val="17"/>
        </w:rPr>
        <w:t>Change and</w:t>
      </w:r>
      <w:r>
        <w:rPr>
          <w:rFonts w:ascii="Arial" w:hAnsi="Arial" w:cs="Arial"/>
          <w:color w:val="auto"/>
          <w:sz w:val="17"/>
          <w:szCs w:val="17"/>
        </w:rPr>
        <w:t xml:space="preserve"> </w:t>
      </w:r>
      <w:r w:rsidRPr="004E672C">
        <w:rPr>
          <w:rFonts w:ascii="Arial" w:hAnsi="Arial" w:cs="Arial"/>
          <w:color w:val="auto"/>
          <w:sz w:val="17"/>
          <w:szCs w:val="17"/>
        </w:rPr>
        <w:t>associated output/outcome and impact</w:t>
      </w:r>
      <w:r>
        <w:rPr>
          <w:rFonts w:ascii="Arial" w:hAnsi="Arial" w:cs="Arial"/>
          <w:color w:val="auto"/>
          <w:sz w:val="17"/>
          <w:szCs w:val="17"/>
        </w:rPr>
        <w:t>. However, from the information available it would appear that this is done by the IFC specifically for DFAT rather than as a comprehensive tool to be used for the program overall and by all donor partners.</w:t>
      </w:r>
    </w:p>
  </w:footnote>
  <w:footnote w:id="4">
    <w:p w:rsidR="00E15A9B" w:rsidRPr="004B1F57" w:rsidRDefault="00E15A9B" w:rsidP="004E672C">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The IFC commented on a draft of this Evaluation Report that this recommendation as been ‘already resolved’, which refers to the new quarterly reporting format introduced for the ICCP in August 2018. However, this format does not accommodate program-level indicators (which first need to be developed), i.e. the recommendation has not yet been addressed.</w:t>
      </w:r>
    </w:p>
  </w:footnote>
  <w:footnote w:id="5">
    <w:p w:rsidR="00E15A9B" w:rsidRPr="004B1F57" w:rsidRDefault="00E15A9B" w:rsidP="001B62AA">
      <w:pPr>
        <w:pStyle w:val="FootnoteText"/>
        <w:spacing w:before="0" w:line="240" w:lineRule="auto"/>
        <w:ind w:left="173" w:hanging="173"/>
        <w:jc w:val="both"/>
        <w:rPr>
          <w:rFonts w:ascii="Arial" w:hAnsi="Arial" w:cs="Arial"/>
          <w:color w:val="auto"/>
          <w:sz w:val="17"/>
          <w:szCs w:val="17"/>
          <w:lang w:val="en-AU"/>
        </w:rPr>
      </w:pPr>
      <w:r w:rsidRPr="004B1F57">
        <w:rPr>
          <w:rStyle w:val="FootnoteReference"/>
          <w:rFonts w:ascii="Arial" w:hAnsi="Arial" w:cs="Arial"/>
          <w:color w:val="auto"/>
          <w:sz w:val="17"/>
          <w:szCs w:val="17"/>
          <w:lang w:val="en-AU"/>
        </w:rPr>
        <w:footnoteRef/>
      </w:r>
      <w:r w:rsidRPr="004B1F57">
        <w:rPr>
          <w:rFonts w:ascii="Arial" w:hAnsi="Arial" w:cs="Arial"/>
          <w:color w:val="auto"/>
          <w:sz w:val="17"/>
          <w:szCs w:val="17"/>
          <w:lang w:val="en-AU"/>
        </w:rPr>
        <w:t xml:space="preserve"> The four projects were: Business regulatory reform, Investment policy reform, Trade Competitiveness and enterprise development, and Corporate governance.</w:t>
      </w:r>
    </w:p>
  </w:footnote>
  <w:footnote w:id="6">
    <w:p w:rsidR="00E15A9B" w:rsidRPr="004B1F57" w:rsidRDefault="00E15A9B" w:rsidP="001B62AA">
      <w:pPr>
        <w:pStyle w:val="FootnoteText"/>
        <w:spacing w:before="0" w:line="240" w:lineRule="auto"/>
        <w:ind w:left="173" w:hanging="173"/>
        <w:jc w:val="both"/>
        <w:rPr>
          <w:rFonts w:ascii="Arial" w:hAnsi="Arial" w:cs="Arial"/>
          <w:color w:val="auto"/>
          <w:sz w:val="17"/>
          <w:szCs w:val="17"/>
          <w:lang w:val="en-AU"/>
        </w:rPr>
      </w:pPr>
      <w:r w:rsidRPr="004B1F57">
        <w:rPr>
          <w:rStyle w:val="FootnoteReference"/>
          <w:rFonts w:ascii="Arial" w:hAnsi="Arial" w:cs="Arial"/>
          <w:color w:val="auto"/>
          <w:sz w:val="17"/>
          <w:szCs w:val="17"/>
          <w:lang w:val="en-AU"/>
        </w:rPr>
        <w:footnoteRef/>
      </w:r>
      <w:r w:rsidRPr="004B1F57">
        <w:rPr>
          <w:rFonts w:ascii="Arial" w:hAnsi="Arial" w:cs="Arial"/>
          <w:color w:val="auto"/>
          <w:sz w:val="17"/>
          <w:szCs w:val="17"/>
          <w:lang w:val="en-AU"/>
        </w:rPr>
        <w:t xml:space="preserve"> IFC (2015): “Concept Note to MDTF on the World Bank Group Investment Climate and Competitiveness Program”, May, p. 1 and p. 6.</w:t>
      </w:r>
    </w:p>
  </w:footnote>
  <w:footnote w:id="7">
    <w:p w:rsidR="00E15A9B" w:rsidRPr="004B1F57" w:rsidRDefault="00E15A9B" w:rsidP="001B62AA">
      <w:pPr>
        <w:spacing w:before="0" w:after="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World Bank Group’s 2015 Concept Note, MDTF progress reports and </w:t>
      </w:r>
      <w:r>
        <w:rPr>
          <w:rFonts w:ascii="Arial" w:hAnsi="Arial" w:cs="Arial"/>
          <w:color w:val="auto"/>
          <w:sz w:val="17"/>
          <w:szCs w:val="17"/>
        </w:rPr>
        <w:t>the q</w:t>
      </w:r>
      <w:r w:rsidRPr="004B1F57">
        <w:rPr>
          <w:rFonts w:ascii="Arial" w:hAnsi="Arial" w:cs="Arial"/>
          <w:color w:val="auto"/>
          <w:sz w:val="17"/>
          <w:szCs w:val="17"/>
        </w:rPr>
        <w:t xml:space="preserve">uarterly </w:t>
      </w:r>
      <w:r>
        <w:rPr>
          <w:rFonts w:ascii="Arial" w:hAnsi="Arial" w:cs="Arial"/>
          <w:color w:val="auto"/>
          <w:sz w:val="17"/>
          <w:szCs w:val="17"/>
        </w:rPr>
        <w:t>ICCP r</w:t>
      </w:r>
      <w:r w:rsidRPr="004B1F57">
        <w:rPr>
          <w:rFonts w:ascii="Arial" w:hAnsi="Arial" w:cs="Arial"/>
          <w:color w:val="auto"/>
          <w:sz w:val="17"/>
          <w:szCs w:val="17"/>
        </w:rPr>
        <w:t>eports (until January 2018) used a different structure to organise the ICCP projects, namely: 1) Business Regulatory Reform; 2) Improving Investment Policy Framework and Corporate Governance; 3) Supporting economic integration by improving connectivity, strengthening trade policy and making trade more inclusive; and, 4) Support Linkages in Key Value Chains.</w:t>
      </w:r>
      <w:r>
        <w:rPr>
          <w:rFonts w:ascii="Arial" w:hAnsi="Arial" w:cs="Arial"/>
          <w:color w:val="auto"/>
          <w:sz w:val="17"/>
          <w:szCs w:val="17"/>
        </w:rPr>
        <w:t xml:space="preserve"> </w:t>
      </w:r>
      <w:r w:rsidRPr="004B1F57">
        <w:rPr>
          <w:rFonts w:ascii="Arial" w:hAnsi="Arial" w:cs="Arial"/>
          <w:color w:val="auto"/>
          <w:sz w:val="17"/>
          <w:szCs w:val="17"/>
        </w:rPr>
        <w:t xml:space="preserve">However, the above three-theme structure has been applied since May 2018 based on the IFC’s note ‘ICCP Narrative for Discussion’ as it better captures the aims </w:t>
      </w:r>
      <w:r>
        <w:rPr>
          <w:rFonts w:ascii="Arial" w:hAnsi="Arial" w:cs="Arial"/>
          <w:color w:val="auto"/>
          <w:sz w:val="17"/>
          <w:szCs w:val="17"/>
        </w:rPr>
        <w:t>of</w:t>
      </w:r>
      <w:r w:rsidRPr="004B1F57">
        <w:rPr>
          <w:rFonts w:ascii="Arial" w:hAnsi="Arial" w:cs="Arial"/>
          <w:color w:val="auto"/>
          <w:sz w:val="17"/>
          <w:szCs w:val="17"/>
        </w:rPr>
        <w:t xml:space="preserve"> the ICCP.</w:t>
      </w:r>
    </w:p>
  </w:footnote>
  <w:footnote w:id="8">
    <w:p w:rsidR="00E15A9B" w:rsidRPr="004B1F57" w:rsidRDefault="00E15A9B" w:rsidP="001B62AA">
      <w:pPr>
        <w:spacing w:before="0" w:after="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t>
      </w:r>
      <w:r>
        <w:rPr>
          <w:rFonts w:ascii="Arial" w:hAnsi="Arial" w:cs="Arial"/>
          <w:color w:val="auto"/>
          <w:sz w:val="17"/>
          <w:szCs w:val="17"/>
        </w:rPr>
        <w:t>Financial</w:t>
      </w:r>
      <w:r w:rsidRPr="004B1F57">
        <w:rPr>
          <w:rFonts w:ascii="Arial" w:hAnsi="Arial" w:cs="Arial"/>
          <w:color w:val="auto"/>
          <w:sz w:val="17"/>
          <w:szCs w:val="17"/>
        </w:rPr>
        <w:t xml:space="preserve"> support for PFM reform is provided to the World Bank for the Modernisation of Public Finance Management Project (MPFMP) and the Implementation of the Extractive Industries Transparency Initiative (EITI) as well </w:t>
      </w:r>
      <w:r>
        <w:rPr>
          <w:rFonts w:ascii="Arial" w:hAnsi="Arial" w:cs="Arial"/>
          <w:color w:val="auto"/>
          <w:sz w:val="17"/>
          <w:szCs w:val="17"/>
        </w:rPr>
        <w:t xml:space="preserve">as some analytical activities, and to </w:t>
      </w:r>
      <w:r w:rsidRPr="004B1F57">
        <w:rPr>
          <w:rFonts w:ascii="Arial" w:hAnsi="Arial" w:cs="Arial"/>
          <w:color w:val="auto"/>
          <w:sz w:val="17"/>
          <w:szCs w:val="17"/>
        </w:rPr>
        <w:t>the Asia Foundation (TAF) for the Myanmar Strategic Support Program (MSSP).</w:t>
      </w:r>
    </w:p>
  </w:footnote>
  <w:footnote w:id="9">
    <w:p w:rsidR="00E15A9B" w:rsidRPr="004B1F57" w:rsidRDefault="00E15A9B" w:rsidP="001B62AA">
      <w:pPr>
        <w:spacing w:before="0" w:after="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ICCP is furthermore financed by DFID (GBP 10 million) and Japan (USD 1 million). PFM reform is supported by grants from DFID (GBP 20 million) and Denmark (USD 3.6 million), and a loan from the World Bank (USD 30 million).</w:t>
      </w:r>
    </w:p>
  </w:footnote>
  <w:footnote w:id="10">
    <w:p w:rsidR="00E15A9B" w:rsidRPr="004B1F57" w:rsidRDefault="00E15A9B" w:rsidP="00850FFB">
      <w:pPr>
        <w:spacing w:before="0" w:after="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t>
      </w:r>
      <w:r>
        <w:rPr>
          <w:rFonts w:ascii="Arial" w:hAnsi="Arial" w:cs="Arial"/>
          <w:color w:val="auto"/>
          <w:sz w:val="17"/>
          <w:szCs w:val="17"/>
        </w:rPr>
        <w:t xml:space="preserve">It is noted that </w:t>
      </w:r>
      <w:r w:rsidRPr="00850FFB">
        <w:rPr>
          <w:rFonts w:ascii="Arial" w:hAnsi="Arial" w:cs="Arial"/>
          <w:color w:val="auto"/>
          <w:sz w:val="17"/>
          <w:szCs w:val="17"/>
        </w:rPr>
        <w:t>the MDT</w:t>
      </w:r>
      <w:r>
        <w:rPr>
          <w:rFonts w:ascii="Arial" w:hAnsi="Arial" w:cs="Arial"/>
          <w:color w:val="auto"/>
          <w:sz w:val="17"/>
          <w:szCs w:val="17"/>
        </w:rPr>
        <w:t>F is</w:t>
      </w:r>
      <w:r w:rsidRPr="00850FFB">
        <w:rPr>
          <w:rFonts w:ascii="Arial" w:hAnsi="Arial" w:cs="Arial"/>
          <w:color w:val="auto"/>
          <w:sz w:val="17"/>
          <w:szCs w:val="17"/>
        </w:rPr>
        <w:t xml:space="preserve"> </w:t>
      </w:r>
      <w:r>
        <w:rPr>
          <w:rFonts w:ascii="Arial" w:hAnsi="Arial" w:cs="Arial"/>
          <w:color w:val="auto"/>
          <w:sz w:val="17"/>
          <w:szCs w:val="17"/>
        </w:rPr>
        <w:t xml:space="preserve">based on </w:t>
      </w:r>
      <w:r w:rsidRPr="00850FFB">
        <w:rPr>
          <w:rFonts w:ascii="Arial" w:hAnsi="Arial" w:cs="Arial"/>
          <w:color w:val="auto"/>
          <w:sz w:val="17"/>
          <w:szCs w:val="17"/>
        </w:rPr>
        <w:t>tripartite agreement between the World Bank, IFC and donor</w:t>
      </w:r>
      <w:r>
        <w:rPr>
          <w:rFonts w:ascii="Arial" w:hAnsi="Arial" w:cs="Arial"/>
          <w:color w:val="auto"/>
          <w:sz w:val="17"/>
          <w:szCs w:val="17"/>
        </w:rPr>
        <w:t xml:space="preserve"> </w:t>
      </w:r>
      <w:r w:rsidRPr="00850FFB">
        <w:rPr>
          <w:rFonts w:ascii="Arial" w:hAnsi="Arial" w:cs="Arial"/>
          <w:color w:val="auto"/>
          <w:sz w:val="17"/>
          <w:szCs w:val="17"/>
        </w:rPr>
        <w:t>partners with the World Bank and</w:t>
      </w:r>
      <w:r>
        <w:rPr>
          <w:rFonts w:ascii="Arial" w:hAnsi="Arial" w:cs="Arial"/>
          <w:color w:val="auto"/>
          <w:sz w:val="17"/>
          <w:szCs w:val="17"/>
        </w:rPr>
        <w:t xml:space="preserve"> the IFC as individual signatories.</w:t>
      </w:r>
    </w:p>
  </w:footnote>
  <w:footnote w:id="11">
    <w:p w:rsidR="00E15A9B" w:rsidRPr="004B1F57" w:rsidRDefault="00E15A9B" w:rsidP="009C6992">
      <w:pPr>
        <w:spacing w:before="0" w:after="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DFAT (2016): “Aid Evaluation Policy”, November, p. 2.</w:t>
      </w:r>
    </w:p>
  </w:footnote>
  <w:footnote w:id="12">
    <w:p w:rsidR="00E15A9B" w:rsidRPr="004B1F57" w:rsidRDefault="00E15A9B" w:rsidP="005C59D7">
      <w:pPr>
        <w:spacing w:before="0" w:after="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The IFC has noted that it considered some of the information requested as ‘</w:t>
      </w:r>
      <w:r w:rsidRPr="005C59D7">
        <w:rPr>
          <w:rFonts w:ascii="Arial" w:hAnsi="Arial" w:cs="Arial"/>
          <w:color w:val="auto"/>
          <w:sz w:val="17"/>
          <w:szCs w:val="17"/>
        </w:rPr>
        <w:t>project management level</w:t>
      </w:r>
      <w:r>
        <w:rPr>
          <w:rFonts w:ascii="Arial" w:hAnsi="Arial" w:cs="Arial"/>
          <w:color w:val="auto"/>
          <w:sz w:val="17"/>
          <w:szCs w:val="17"/>
        </w:rPr>
        <w:t xml:space="preserve">’ and confidential, and that such </w:t>
      </w:r>
      <w:r w:rsidRPr="005C59D7">
        <w:rPr>
          <w:rFonts w:ascii="Arial" w:hAnsi="Arial" w:cs="Arial"/>
          <w:color w:val="auto"/>
          <w:sz w:val="17"/>
          <w:szCs w:val="17"/>
        </w:rPr>
        <w:t xml:space="preserve">information </w:t>
      </w:r>
      <w:r>
        <w:rPr>
          <w:rFonts w:ascii="Arial" w:hAnsi="Arial" w:cs="Arial"/>
          <w:color w:val="auto"/>
          <w:sz w:val="17"/>
          <w:szCs w:val="17"/>
        </w:rPr>
        <w:t xml:space="preserve">is not </w:t>
      </w:r>
      <w:r w:rsidRPr="005C59D7">
        <w:rPr>
          <w:rFonts w:ascii="Arial" w:hAnsi="Arial" w:cs="Arial"/>
          <w:color w:val="auto"/>
          <w:sz w:val="17"/>
          <w:szCs w:val="17"/>
        </w:rPr>
        <w:t>normally shared</w:t>
      </w:r>
      <w:r>
        <w:rPr>
          <w:rFonts w:ascii="Arial" w:hAnsi="Arial" w:cs="Arial"/>
          <w:color w:val="auto"/>
          <w:sz w:val="17"/>
          <w:szCs w:val="17"/>
        </w:rPr>
        <w:t>.</w:t>
      </w:r>
    </w:p>
  </w:footnote>
  <w:footnote w:id="13">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ADB (2016): “Myanmar, Indicative Private Sector Development Framework and Action Plan”, MIC-MoC-UMFCCI, March, p. 34.</w:t>
      </w:r>
    </w:p>
  </w:footnote>
  <w:footnote w:id="14">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PSD Committee has 18 members: Vice-President, 11 Union Ministers, Central Bank of Myanmar (CBM), UMFCCI, MIA, DICA, MoC, and Myanmar Trade Promotion Organization. The five working groups are: Access to Finance, Legal and Regulatory Environment, Trade and Investment, State-Owned Enterprises (SOEs) and PPPs, and Human Capital.</w:t>
      </w:r>
    </w:p>
  </w:footnote>
  <w:footnote w:id="15">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TBPTF is chaired by the Minister of Commerce and aims to promote development of the private sector and make it easier to do business in Myanmar, while the Improving Myanmar’s Ease of Doing Business Ranking Working Group is chaired by the Deputy Minister of Commerce and focuses specifically on improving Myanmar’s Doing Business scores.</w:t>
      </w:r>
    </w:p>
  </w:footnote>
  <w:footnote w:id="16">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E.g. there are overlaps between the PSD Committee working group on Trade and Investment and the TBPTF.</w:t>
      </w:r>
    </w:p>
  </w:footnote>
  <w:footnote w:id="17">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International Crisis Group (2018): “Myanmar’s Stalled Transition”, Briefing No. 151, 28 August, p. 5.</w:t>
      </w:r>
    </w:p>
  </w:footnote>
  <w:footnote w:id="18">
    <w:p w:rsidR="00E15A9B" w:rsidRPr="004B1F57" w:rsidRDefault="00E15A9B" w:rsidP="00834E20">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organisations invited to the monthly meetings are: ADB, Global Affairs Canada (GAC); DFAT; DFID; the embassies of Denmark, the Netherlands; Japan, Switzerland; European Union (EU); GIZ; IFC; International Monetary Fund (IMF); International Trade Centre (ITC); Italian Agency for Development Cooperation (AICS); Japan International Cooperation Agency (JICA); Kreditanstalt für Wiederaufbau (KfW); Korea International Cooperation Agency (KOICA); New Zealand’s Ministry of Foreign Affairs and Trade (MFAT); Organisation for Economic Co-operation and Development (OECD); The Asia Foundation (TAF); UNCDF; United Nations Development Program (UNDP); UNIDO; United Nations Office for Project Services (UNOPS); United States Agency for International Development (USAID); and the World Bank as well as Global Green Growth Institute (GGGI) and Mekong Business Initiative (MBI).</w:t>
      </w:r>
    </w:p>
  </w:footnote>
  <w:footnote w:id="19">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four projects were investment climate (business regulatory reform), investment policy reform, trade competitiveness and enterprise development, and corporate governance.</w:t>
      </w:r>
    </w:p>
  </w:footnote>
  <w:footnote w:id="20">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World Bank Group (2015): “Concept Note to MDTF on the World Bank Group Investment Climate and Competitiveness Program”, May, p. 1.</w:t>
      </w:r>
    </w:p>
  </w:footnote>
  <w:footnote w:id="21">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Annex G provides a full overview of the ICCP objectives and goals that have been stated over time in different documents, including the ‘high-level goals’ stated for the MDTF PSD Window.</w:t>
      </w:r>
    </w:p>
  </w:footnote>
  <w:footnote w:id="22">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DFID’s Business Case (May 2015) is for the ‘Business for Shared Prosperity (BSP)’ and covers three separate interventions: 1) ICCP; 2) DaNa Facility that is implemented by a managing contractor and provides grant financing; and, 3) Doing Business Reform Fund (DBRF) that is managed by DFID and provides financial support to the GoM through multilateral organisations based on individual projects (approved by the DFID Minister of State).</w:t>
      </w:r>
    </w:p>
  </w:footnote>
  <w:footnote w:id="23">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The IFC commented on a draft of this Evaluation Report that </w:t>
      </w:r>
      <w:r w:rsidRPr="009E6FD5">
        <w:rPr>
          <w:rFonts w:ascii="Arial" w:hAnsi="Arial" w:cs="Arial"/>
          <w:color w:val="auto"/>
          <w:sz w:val="17"/>
          <w:szCs w:val="17"/>
        </w:rPr>
        <w:t>a logframe was developed with DFID</w:t>
      </w:r>
      <w:r>
        <w:rPr>
          <w:rFonts w:ascii="Arial" w:hAnsi="Arial" w:cs="Arial"/>
          <w:color w:val="auto"/>
          <w:sz w:val="17"/>
          <w:szCs w:val="17"/>
        </w:rPr>
        <w:t>, but not with DFAT, and that t</w:t>
      </w:r>
      <w:r w:rsidRPr="009E6FD5">
        <w:rPr>
          <w:rFonts w:ascii="Arial" w:hAnsi="Arial" w:cs="Arial"/>
          <w:color w:val="auto"/>
          <w:sz w:val="17"/>
          <w:szCs w:val="17"/>
        </w:rPr>
        <w:t xml:space="preserve">he </w:t>
      </w:r>
      <w:r>
        <w:rPr>
          <w:rFonts w:ascii="Arial" w:hAnsi="Arial" w:cs="Arial"/>
          <w:color w:val="auto"/>
          <w:sz w:val="17"/>
          <w:szCs w:val="17"/>
        </w:rPr>
        <w:t>“</w:t>
      </w:r>
      <w:r w:rsidRPr="00AD19D7">
        <w:rPr>
          <w:rFonts w:ascii="Arial" w:hAnsi="Arial" w:cs="Arial"/>
          <w:i/>
          <w:iCs/>
          <w:color w:val="auto"/>
          <w:sz w:val="17"/>
          <w:szCs w:val="17"/>
        </w:rPr>
        <w:t>failure to do one with DFAT seems to have been an oversight on both the part of IFC and DFAT and it is unclear if there was an agreement to use the one developed with DFID …</w:t>
      </w:r>
      <w:r>
        <w:rPr>
          <w:rFonts w:ascii="Arial" w:hAnsi="Arial" w:cs="Arial"/>
          <w:color w:val="auto"/>
          <w:sz w:val="17"/>
          <w:szCs w:val="17"/>
        </w:rPr>
        <w:t xml:space="preserve">”. The basis for this comment is not clear given that the 2015 ICCP Concept Note included a draft </w:t>
      </w:r>
      <w:r w:rsidRPr="00FC23AE">
        <w:rPr>
          <w:rFonts w:ascii="Arial" w:hAnsi="Arial" w:cs="Arial"/>
          <w:color w:val="auto"/>
          <w:sz w:val="17"/>
          <w:szCs w:val="17"/>
        </w:rPr>
        <w:t>Conceptual Logframe</w:t>
      </w:r>
      <w:r>
        <w:rPr>
          <w:rFonts w:ascii="Arial" w:hAnsi="Arial" w:cs="Arial"/>
          <w:color w:val="auto"/>
          <w:sz w:val="17"/>
          <w:szCs w:val="17"/>
        </w:rPr>
        <w:t xml:space="preserve"> (Annex B) for which it was stated that it</w:t>
      </w:r>
      <w:r w:rsidRPr="00FC23AE">
        <w:rPr>
          <w:rFonts w:ascii="Arial" w:hAnsi="Arial" w:cs="Arial"/>
          <w:color w:val="auto"/>
          <w:sz w:val="17"/>
          <w:szCs w:val="17"/>
        </w:rPr>
        <w:t xml:space="preserve"> is </w:t>
      </w:r>
      <w:r>
        <w:rPr>
          <w:rFonts w:ascii="Arial" w:hAnsi="Arial" w:cs="Arial"/>
          <w:color w:val="auto"/>
          <w:sz w:val="17"/>
          <w:szCs w:val="17"/>
        </w:rPr>
        <w:t>“</w:t>
      </w:r>
      <w:r w:rsidRPr="00FC23AE">
        <w:rPr>
          <w:rFonts w:ascii="Arial" w:hAnsi="Arial" w:cs="Arial"/>
          <w:i/>
          <w:iCs/>
          <w:color w:val="auto"/>
          <w:sz w:val="17"/>
          <w:szCs w:val="17"/>
        </w:rPr>
        <w:t xml:space="preserve">provided as a starting point for the discussion on the </w:t>
      </w:r>
      <w:r>
        <w:rPr>
          <w:rFonts w:ascii="Arial" w:hAnsi="Arial" w:cs="Arial"/>
          <w:i/>
          <w:iCs/>
          <w:color w:val="auto"/>
          <w:sz w:val="17"/>
          <w:szCs w:val="17"/>
        </w:rPr>
        <w:t>… [ICCP]</w:t>
      </w:r>
      <w:r w:rsidRPr="00FC23AE">
        <w:rPr>
          <w:rFonts w:ascii="Arial" w:hAnsi="Arial" w:cs="Arial"/>
          <w:i/>
          <w:iCs/>
          <w:color w:val="auto"/>
          <w:sz w:val="17"/>
          <w:szCs w:val="17"/>
        </w:rPr>
        <w:t>. A number of indicators will be refined, and targets and baselines need to be developed</w:t>
      </w:r>
      <w:r>
        <w:rPr>
          <w:rFonts w:ascii="Arial" w:hAnsi="Arial" w:cs="Arial"/>
          <w:color w:val="auto"/>
          <w:sz w:val="17"/>
          <w:szCs w:val="17"/>
        </w:rPr>
        <w:t>”, i.e. the intention in 2015 obviously was that one common logframe was to be developed, agreed and applied.</w:t>
      </w:r>
    </w:p>
  </w:footnote>
  <w:footnote w:id="24">
    <w:p w:rsidR="00E15A9B" w:rsidRPr="004B1F57" w:rsidRDefault="00E15A9B" w:rsidP="006B33E3">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A MDTF Results Matrix with high-level goals, outcomes and milestones for each of the three windows had been developed in 2014/2015 and was included in the MDTF Annual Report 2014/2015, but it has been updated only once (in March 2018) and </w:t>
      </w:r>
      <w:r>
        <w:rPr>
          <w:rFonts w:ascii="Arial" w:hAnsi="Arial" w:cs="Arial"/>
          <w:color w:val="auto"/>
          <w:sz w:val="17"/>
          <w:szCs w:val="17"/>
        </w:rPr>
        <w:t>has</w:t>
      </w:r>
      <w:r w:rsidRPr="004B1F57">
        <w:rPr>
          <w:rFonts w:ascii="Arial" w:hAnsi="Arial" w:cs="Arial"/>
          <w:color w:val="auto"/>
          <w:sz w:val="17"/>
          <w:szCs w:val="17"/>
        </w:rPr>
        <w:t xml:space="preserve"> not been actively used for the ICCP.</w:t>
      </w:r>
      <w:r>
        <w:rPr>
          <w:rFonts w:ascii="Arial" w:hAnsi="Arial" w:cs="Arial"/>
          <w:color w:val="auto"/>
          <w:sz w:val="17"/>
          <w:szCs w:val="17"/>
        </w:rPr>
        <w:t xml:space="preserve"> Also, the Results Matrix did not have the scope or coverage of a logframe.</w:t>
      </w:r>
    </w:p>
  </w:footnote>
  <w:footnote w:id="25">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11 projects are funded via a total of 23 trust fund accounts.</w:t>
      </w:r>
    </w:p>
  </w:footnote>
  <w:footnote w:id="26">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While this is treated as one project in terms of presentation and discussion within the ICCP quarterly meetings, in practical terms it consists of two specific projects: 1) Myanmar Agribusiness, and 2) Myanmar Food Safety.</w:t>
      </w:r>
    </w:p>
  </w:footnote>
  <w:footnote w:id="27">
    <w:p w:rsidR="00E15A9B" w:rsidRPr="004B1F57" w:rsidRDefault="00E15A9B" w:rsidP="0099658E">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The IFC commented on a draft of this Evaluation Report that </w:t>
      </w:r>
      <w:r w:rsidRPr="0099658E">
        <w:rPr>
          <w:rFonts w:ascii="Arial" w:hAnsi="Arial" w:cs="Arial"/>
          <w:color w:val="auto"/>
          <w:sz w:val="17"/>
          <w:szCs w:val="17"/>
        </w:rPr>
        <w:t xml:space="preserve">the </w:t>
      </w:r>
      <w:r>
        <w:rPr>
          <w:rFonts w:ascii="Arial" w:hAnsi="Arial" w:cs="Arial"/>
          <w:color w:val="auto"/>
          <w:sz w:val="17"/>
          <w:szCs w:val="17"/>
        </w:rPr>
        <w:t>“</w:t>
      </w:r>
      <w:r w:rsidRPr="0067759E">
        <w:rPr>
          <w:rFonts w:ascii="Arial" w:hAnsi="Arial" w:cs="Arial"/>
          <w:i/>
          <w:iCs/>
          <w:color w:val="auto"/>
          <w:sz w:val="17"/>
          <w:szCs w:val="17"/>
        </w:rPr>
        <w:t>program was designed with unallocated budget from the very beginning to add projects …</w:t>
      </w:r>
      <w:r>
        <w:rPr>
          <w:rFonts w:ascii="Arial" w:hAnsi="Arial" w:cs="Arial"/>
          <w:color w:val="auto"/>
          <w:sz w:val="17"/>
          <w:szCs w:val="17"/>
        </w:rPr>
        <w:t xml:space="preserve">”. That is not factually correct given that the 2015 ICCP Concept Note included a proposed budget that fully allocated the estimated </w:t>
      </w:r>
      <w:r w:rsidRPr="007C6CBC">
        <w:rPr>
          <w:rFonts w:ascii="Arial" w:hAnsi="Arial" w:cs="Arial"/>
          <w:color w:val="auto"/>
          <w:sz w:val="17"/>
          <w:szCs w:val="17"/>
        </w:rPr>
        <w:t xml:space="preserve">funding envelop </w:t>
      </w:r>
      <w:r>
        <w:rPr>
          <w:rFonts w:ascii="Arial" w:hAnsi="Arial" w:cs="Arial"/>
          <w:color w:val="auto"/>
          <w:sz w:val="17"/>
          <w:szCs w:val="17"/>
        </w:rPr>
        <w:t xml:space="preserve">of </w:t>
      </w:r>
      <w:r w:rsidRPr="007C6CBC">
        <w:rPr>
          <w:rFonts w:ascii="Arial" w:hAnsi="Arial" w:cs="Arial"/>
          <w:color w:val="auto"/>
          <w:sz w:val="17"/>
          <w:szCs w:val="17"/>
        </w:rPr>
        <w:t>USD 32.4 million</w:t>
      </w:r>
      <w:r>
        <w:rPr>
          <w:rFonts w:ascii="Arial" w:hAnsi="Arial" w:cs="Arial"/>
          <w:color w:val="auto"/>
          <w:sz w:val="17"/>
          <w:szCs w:val="17"/>
        </w:rPr>
        <w:t xml:space="preserve"> on four broad components (</w:t>
      </w:r>
      <w:r w:rsidRPr="007C6CBC">
        <w:rPr>
          <w:rFonts w:ascii="Arial" w:hAnsi="Arial" w:cs="Arial"/>
          <w:color w:val="auto"/>
          <w:sz w:val="17"/>
          <w:szCs w:val="17"/>
        </w:rPr>
        <w:t>Annex C: Proposed Budget for the Program</w:t>
      </w:r>
      <w:r>
        <w:rPr>
          <w:rFonts w:ascii="Arial" w:hAnsi="Arial" w:cs="Arial"/>
          <w:color w:val="auto"/>
          <w:sz w:val="17"/>
          <w:szCs w:val="17"/>
        </w:rPr>
        <w:t xml:space="preserve">). However, it was stated in the Concept Note that the </w:t>
      </w:r>
      <w:r w:rsidRPr="007C6CBC">
        <w:rPr>
          <w:rFonts w:ascii="Arial" w:hAnsi="Arial" w:cs="Arial"/>
          <w:color w:val="auto"/>
          <w:sz w:val="17"/>
          <w:szCs w:val="17"/>
        </w:rPr>
        <w:t xml:space="preserve">program comprised components that </w:t>
      </w:r>
      <w:r>
        <w:rPr>
          <w:rFonts w:ascii="Arial" w:hAnsi="Arial" w:cs="Arial"/>
          <w:color w:val="auto"/>
          <w:sz w:val="17"/>
          <w:szCs w:val="17"/>
        </w:rPr>
        <w:t>were</w:t>
      </w:r>
      <w:r w:rsidRPr="007C6CBC">
        <w:rPr>
          <w:rFonts w:ascii="Arial" w:hAnsi="Arial" w:cs="Arial"/>
          <w:color w:val="auto"/>
          <w:sz w:val="17"/>
          <w:szCs w:val="17"/>
        </w:rPr>
        <w:t xml:space="preserve"> already on</w:t>
      </w:r>
      <w:r>
        <w:rPr>
          <w:rFonts w:ascii="Arial" w:hAnsi="Arial" w:cs="Arial"/>
          <w:color w:val="auto"/>
          <w:sz w:val="17"/>
          <w:szCs w:val="17"/>
        </w:rPr>
        <w:t>-</w:t>
      </w:r>
      <w:r w:rsidRPr="007C6CBC">
        <w:rPr>
          <w:rFonts w:ascii="Arial" w:hAnsi="Arial" w:cs="Arial"/>
          <w:color w:val="auto"/>
          <w:sz w:val="17"/>
          <w:szCs w:val="17"/>
        </w:rPr>
        <w:t xml:space="preserve">going </w:t>
      </w:r>
      <w:r>
        <w:rPr>
          <w:rFonts w:ascii="Arial" w:hAnsi="Arial" w:cs="Arial"/>
          <w:color w:val="auto"/>
          <w:sz w:val="17"/>
          <w:szCs w:val="17"/>
        </w:rPr>
        <w:t xml:space="preserve">(based </w:t>
      </w:r>
      <w:r w:rsidRPr="007C6CBC">
        <w:rPr>
          <w:rFonts w:ascii="Arial" w:hAnsi="Arial" w:cs="Arial"/>
          <w:color w:val="auto"/>
          <w:sz w:val="17"/>
          <w:szCs w:val="17"/>
        </w:rPr>
        <w:t>DFAT</w:t>
      </w:r>
      <w:r>
        <w:rPr>
          <w:rFonts w:ascii="Arial" w:hAnsi="Arial" w:cs="Arial"/>
          <w:color w:val="auto"/>
          <w:sz w:val="17"/>
          <w:szCs w:val="17"/>
        </w:rPr>
        <w:t xml:space="preserve"> and </w:t>
      </w:r>
      <w:r w:rsidRPr="007C6CBC">
        <w:rPr>
          <w:rFonts w:ascii="Arial" w:hAnsi="Arial" w:cs="Arial"/>
          <w:color w:val="auto"/>
          <w:sz w:val="17"/>
          <w:szCs w:val="17"/>
        </w:rPr>
        <w:t xml:space="preserve">DFID </w:t>
      </w:r>
      <w:r>
        <w:rPr>
          <w:rFonts w:ascii="Arial" w:hAnsi="Arial" w:cs="Arial"/>
          <w:color w:val="auto"/>
          <w:sz w:val="17"/>
          <w:szCs w:val="17"/>
        </w:rPr>
        <w:t>support) that would be expanded</w:t>
      </w:r>
      <w:r w:rsidRPr="007C6CBC">
        <w:rPr>
          <w:rFonts w:ascii="Arial" w:hAnsi="Arial" w:cs="Arial"/>
          <w:color w:val="auto"/>
          <w:sz w:val="17"/>
          <w:szCs w:val="17"/>
        </w:rPr>
        <w:t xml:space="preserve"> as well as components </w:t>
      </w:r>
      <w:r>
        <w:rPr>
          <w:rFonts w:ascii="Arial" w:hAnsi="Arial" w:cs="Arial"/>
          <w:color w:val="auto"/>
          <w:sz w:val="17"/>
          <w:szCs w:val="17"/>
        </w:rPr>
        <w:t>that were at</w:t>
      </w:r>
      <w:r w:rsidRPr="007C6CBC">
        <w:rPr>
          <w:rFonts w:ascii="Arial" w:hAnsi="Arial" w:cs="Arial"/>
          <w:color w:val="auto"/>
          <w:sz w:val="17"/>
          <w:szCs w:val="17"/>
        </w:rPr>
        <w:t xml:space="preserve"> various stages of</w:t>
      </w:r>
      <w:r>
        <w:rPr>
          <w:rFonts w:ascii="Arial" w:hAnsi="Arial" w:cs="Arial"/>
          <w:color w:val="auto"/>
          <w:sz w:val="17"/>
          <w:szCs w:val="17"/>
        </w:rPr>
        <w:t xml:space="preserve"> </w:t>
      </w:r>
      <w:r w:rsidRPr="007C6CBC">
        <w:rPr>
          <w:rFonts w:ascii="Arial" w:hAnsi="Arial" w:cs="Arial"/>
          <w:color w:val="auto"/>
          <w:sz w:val="17"/>
          <w:szCs w:val="17"/>
        </w:rPr>
        <w:t xml:space="preserve">concept preparation and development. </w:t>
      </w:r>
      <w:r>
        <w:rPr>
          <w:rFonts w:ascii="Arial" w:hAnsi="Arial" w:cs="Arial"/>
          <w:color w:val="auto"/>
          <w:sz w:val="17"/>
          <w:szCs w:val="17"/>
        </w:rPr>
        <w:t xml:space="preserve">Thus it is clear that discussions between the donor partners would be needed to </w:t>
      </w:r>
      <w:r w:rsidRPr="007C6CBC">
        <w:rPr>
          <w:rFonts w:ascii="Arial" w:hAnsi="Arial" w:cs="Arial"/>
          <w:color w:val="auto"/>
          <w:sz w:val="17"/>
          <w:szCs w:val="17"/>
        </w:rPr>
        <w:t>prioritiz</w:t>
      </w:r>
      <w:r>
        <w:rPr>
          <w:rFonts w:ascii="Arial" w:hAnsi="Arial" w:cs="Arial"/>
          <w:color w:val="auto"/>
          <w:sz w:val="17"/>
          <w:szCs w:val="17"/>
        </w:rPr>
        <w:t xml:space="preserve">e fund allocations to scale up existing projects as well as initiate </w:t>
      </w:r>
      <w:r w:rsidRPr="007C6CBC">
        <w:rPr>
          <w:rFonts w:ascii="Arial" w:hAnsi="Arial" w:cs="Arial"/>
          <w:color w:val="auto"/>
          <w:sz w:val="17"/>
          <w:szCs w:val="17"/>
        </w:rPr>
        <w:t>follow-on</w:t>
      </w:r>
      <w:r>
        <w:rPr>
          <w:rFonts w:ascii="Arial" w:hAnsi="Arial" w:cs="Arial"/>
          <w:color w:val="auto"/>
          <w:sz w:val="17"/>
          <w:szCs w:val="17"/>
        </w:rPr>
        <w:t xml:space="preserve"> projects. However, from the consultations held during the evaluation mission, it is clear that both DFID and DFAT viewed the selection of the phase III projects in 2017 as primarily aiming at improving overall ICCP budget execution (which does not imply that the projects were not otherwise considered relevant for PSD in Myanmar).</w:t>
      </w:r>
    </w:p>
  </w:footnote>
  <w:footnote w:id="28">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For example, the four projects under phase I in mid-2015 had a combined allocation of USD 2.5 million, which by mid-2018 had been increased to USD 12.1 million.</w:t>
      </w:r>
    </w:p>
  </w:footnote>
  <w:footnote w:id="29">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This is in fact also seen in Table 2 in that the older projects have higher budget execution rates (‘</w:t>
      </w:r>
      <w:r w:rsidRPr="004B1F57">
        <w:rPr>
          <w:rFonts w:ascii="Arial" w:eastAsia="Times New Roman" w:hAnsi="Arial" w:cs="Arial"/>
          <w:color w:val="000000"/>
          <w:sz w:val="17"/>
          <w:szCs w:val="17"/>
          <w:lang w:val="en-PH" w:eastAsia="en-PH" w:bidi="my-MM"/>
        </w:rPr>
        <w:t>Grants Disbursed &amp; Committed’</w:t>
      </w:r>
      <w:r w:rsidRPr="004B1F57">
        <w:rPr>
          <w:rFonts w:ascii="Arial" w:hAnsi="Arial" w:cs="Arial"/>
          <w:color w:val="auto"/>
          <w:sz w:val="17"/>
          <w:szCs w:val="17"/>
        </w:rPr>
        <w:t>) than newer projects. The combined budget execution rate for the projects under phase I is 59 per cent, while it for phase II and phase III is 37 per cent and 16 per cent, respectively.</w:t>
      </w:r>
    </w:p>
  </w:footnote>
  <w:footnote w:id="30">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For the purpose of this evaluation, the IFC shared redacted versions of the implementation plans for on-going projects, the World Bank’s concept note for the Trade Competitiveness and Enterprise Development project, and concept notes for the four new projects. </w:t>
      </w:r>
    </w:p>
  </w:footnote>
  <w:footnote w:id="31">
    <w:p w:rsidR="00E15A9B" w:rsidRPr="004B1F57" w:rsidRDefault="00E15A9B" w:rsidP="00AE7AF9">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The IFC commented on a draft of this Evaluation Report that there was no </w:t>
      </w:r>
      <w:r w:rsidRPr="003E38A6">
        <w:rPr>
          <w:rFonts w:ascii="Arial" w:hAnsi="Arial" w:cs="Arial"/>
          <w:color w:val="auto"/>
          <w:sz w:val="17"/>
          <w:szCs w:val="17"/>
        </w:rPr>
        <w:t xml:space="preserve">failure of coordination </w:t>
      </w:r>
      <w:r>
        <w:rPr>
          <w:rFonts w:ascii="Arial" w:hAnsi="Arial" w:cs="Arial"/>
          <w:color w:val="auto"/>
          <w:sz w:val="17"/>
          <w:szCs w:val="17"/>
        </w:rPr>
        <w:t>within the</w:t>
      </w:r>
      <w:r w:rsidRPr="003E38A6">
        <w:rPr>
          <w:rFonts w:ascii="Arial" w:hAnsi="Arial" w:cs="Arial"/>
          <w:color w:val="auto"/>
          <w:sz w:val="17"/>
          <w:szCs w:val="17"/>
        </w:rPr>
        <w:t xml:space="preserve"> World Bank Group, but</w:t>
      </w:r>
      <w:r>
        <w:rPr>
          <w:rFonts w:ascii="Arial" w:hAnsi="Arial" w:cs="Arial"/>
          <w:color w:val="auto"/>
          <w:sz w:val="17"/>
          <w:szCs w:val="17"/>
        </w:rPr>
        <w:t xml:space="preserve"> </w:t>
      </w:r>
      <w:r w:rsidRPr="003E38A6">
        <w:rPr>
          <w:rFonts w:ascii="Arial" w:hAnsi="Arial" w:cs="Arial"/>
          <w:color w:val="auto"/>
          <w:sz w:val="17"/>
          <w:szCs w:val="17"/>
        </w:rPr>
        <w:t>rather th</w:t>
      </w:r>
      <w:r>
        <w:rPr>
          <w:rFonts w:ascii="Arial" w:hAnsi="Arial" w:cs="Arial"/>
          <w:color w:val="auto"/>
          <w:sz w:val="17"/>
          <w:szCs w:val="17"/>
        </w:rPr>
        <w:t>at there was a s</w:t>
      </w:r>
      <w:r w:rsidRPr="003E38A6">
        <w:rPr>
          <w:rFonts w:ascii="Arial" w:hAnsi="Arial" w:cs="Arial"/>
          <w:color w:val="auto"/>
          <w:sz w:val="17"/>
          <w:szCs w:val="17"/>
        </w:rPr>
        <w:t xml:space="preserve">hift in focus by the </w:t>
      </w:r>
      <w:r>
        <w:rPr>
          <w:rFonts w:ascii="Arial" w:hAnsi="Arial" w:cs="Arial"/>
          <w:color w:val="auto"/>
          <w:sz w:val="17"/>
          <w:szCs w:val="17"/>
        </w:rPr>
        <w:t>GoM’s</w:t>
      </w:r>
      <w:r w:rsidRPr="003E38A6">
        <w:rPr>
          <w:rFonts w:ascii="Arial" w:hAnsi="Arial" w:cs="Arial"/>
          <w:color w:val="auto"/>
          <w:sz w:val="17"/>
          <w:szCs w:val="17"/>
        </w:rPr>
        <w:t xml:space="preserve"> Department of Rural Development (DRD) </w:t>
      </w:r>
      <w:r>
        <w:rPr>
          <w:rFonts w:ascii="Arial" w:hAnsi="Arial" w:cs="Arial"/>
          <w:color w:val="auto"/>
          <w:sz w:val="17"/>
          <w:szCs w:val="17"/>
        </w:rPr>
        <w:t xml:space="preserve">as regards the </w:t>
      </w:r>
      <w:r w:rsidRPr="003E38A6">
        <w:rPr>
          <w:rFonts w:ascii="Arial" w:hAnsi="Arial" w:cs="Arial"/>
          <w:color w:val="auto"/>
          <w:sz w:val="17"/>
          <w:szCs w:val="17"/>
        </w:rPr>
        <w:t>NEP</w:t>
      </w:r>
      <w:r>
        <w:rPr>
          <w:rFonts w:ascii="Arial" w:hAnsi="Arial" w:cs="Arial"/>
          <w:color w:val="auto"/>
          <w:sz w:val="17"/>
          <w:szCs w:val="17"/>
        </w:rPr>
        <w:t xml:space="preserve">. According to the </w:t>
      </w:r>
      <w:r w:rsidRPr="003E38A6">
        <w:rPr>
          <w:rFonts w:ascii="Arial" w:hAnsi="Arial" w:cs="Arial"/>
          <w:color w:val="auto"/>
          <w:sz w:val="17"/>
          <w:szCs w:val="17"/>
        </w:rPr>
        <w:t>IFC</w:t>
      </w:r>
      <w:r>
        <w:rPr>
          <w:rFonts w:ascii="Arial" w:hAnsi="Arial" w:cs="Arial"/>
          <w:color w:val="auto"/>
          <w:sz w:val="17"/>
          <w:szCs w:val="17"/>
        </w:rPr>
        <w:t>, it</w:t>
      </w:r>
      <w:r w:rsidRPr="003E38A6">
        <w:rPr>
          <w:rFonts w:ascii="Arial" w:hAnsi="Arial" w:cs="Arial"/>
          <w:color w:val="auto"/>
          <w:sz w:val="17"/>
          <w:szCs w:val="17"/>
        </w:rPr>
        <w:t xml:space="preserve"> coordinat</w:t>
      </w:r>
      <w:r>
        <w:rPr>
          <w:rFonts w:ascii="Arial" w:hAnsi="Arial" w:cs="Arial"/>
          <w:color w:val="auto"/>
          <w:sz w:val="17"/>
          <w:szCs w:val="17"/>
        </w:rPr>
        <w:t xml:space="preserve">ed closely </w:t>
      </w:r>
      <w:r w:rsidRPr="003E38A6">
        <w:rPr>
          <w:rFonts w:ascii="Arial" w:hAnsi="Arial" w:cs="Arial"/>
          <w:color w:val="auto"/>
          <w:sz w:val="17"/>
          <w:szCs w:val="17"/>
        </w:rPr>
        <w:t>with the DRD and the World Bank</w:t>
      </w:r>
      <w:r>
        <w:rPr>
          <w:rFonts w:ascii="Arial" w:hAnsi="Arial" w:cs="Arial"/>
          <w:color w:val="auto"/>
          <w:sz w:val="17"/>
          <w:szCs w:val="17"/>
        </w:rPr>
        <w:t xml:space="preserve"> </w:t>
      </w:r>
      <w:r w:rsidRPr="003E38A6">
        <w:rPr>
          <w:rFonts w:ascii="Arial" w:hAnsi="Arial" w:cs="Arial"/>
          <w:color w:val="auto"/>
          <w:sz w:val="17"/>
          <w:szCs w:val="17"/>
        </w:rPr>
        <w:t xml:space="preserve">to try to ensure that the original </w:t>
      </w:r>
      <w:r>
        <w:rPr>
          <w:rFonts w:ascii="Arial" w:hAnsi="Arial" w:cs="Arial"/>
          <w:color w:val="auto"/>
          <w:sz w:val="17"/>
          <w:szCs w:val="17"/>
        </w:rPr>
        <w:t>focus</w:t>
      </w:r>
      <w:r w:rsidRPr="003E38A6">
        <w:rPr>
          <w:rFonts w:ascii="Arial" w:hAnsi="Arial" w:cs="Arial"/>
          <w:color w:val="auto"/>
          <w:sz w:val="17"/>
          <w:szCs w:val="17"/>
        </w:rPr>
        <w:t xml:space="preserve"> was upheld</w:t>
      </w:r>
      <w:r>
        <w:rPr>
          <w:rFonts w:ascii="Arial" w:hAnsi="Arial" w:cs="Arial"/>
          <w:color w:val="auto"/>
          <w:sz w:val="17"/>
          <w:szCs w:val="17"/>
        </w:rPr>
        <w:t xml:space="preserve"> and, when </w:t>
      </w:r>
      <w:r w:rsidRPr="003E38A6">
        <w:rPr>
          <w:rFonts w:ascii="Arial" w:hAnsi="Arial" w:cs="Arial"/>
          <w:color w:val="auto"/>
          <w:sz w:val="17"/>
          <w:szCs w:val="17"/>
        </w:rPr>
        <w:t>this approach was</w:t>
      </w:r>
      <w:r>
        <w:rPr>
          <w:rFonts w:ascii="Arial" w:hAnsi="Arial" w:cs="Arial"/>
          <w:color w:val="auto"/>
          <w:sz w:val="17"/>
          <w:szCs w:val="17"/>
        </w:rPr>
        <w:t xml:space="preserve"> </w:t>
      </w:r>
      <w:r w:rsidRPr="003E38A6">
        <w:rPr>
          <w:rFonts w:ascii="Arial" w:hAnsi="Arial" w:cs="Arial"/>
          <w:color w:val="auto"/>
          <w:sz w:val="17"/>
          <w:szCs w:val="17"/>
        </w:rPr>
        <w:t xml:space="preserve">unsuccessful, the </w:t>
      </w:r>
      <w:r>
        <w:rPr>
          <w:rFonts w:ascii="Arial" w:hAnsi="Arial" w:cs="Arial"/>
          <w:color w:val="auto"/>
          <w:sz w:val="17"/>
          <w:szCs w:val="17"/>
        </w:rPr>
        <w:t xml:space="preserve">IFC </w:t>
      </w:r>
      <w:r w:rsidRPr="003E38A6">
        <w:rPr>
          <w:rFonts w:ascii="Arial" w:hAnsi="Arial" w:cs="Arial"/>
          <w:color w:val="auto"/>
          <w:sz w:val="17"/>
          <w:szCs w:val="17"/>
        </w:rPr>
        <w:t>worked extensively with the World Bank to mitigate the effects of the</w:t>
      </w:r>
      <w:r>
        <w:rPr>
          <w:rFonts w:ascii="Arial" w:hAnsi="Arial" w:cs="Arial"/>
          <w:color w:val="auto"/>
          <w:sz w:val="17"/>
          <w:szCs w:val="17"/>
        </w:rPr>
        <w:t xml:space="preserve"> </w:t>
      </w:r>
      <w:r w:rsidRPr="003E38A6">
        <w:rPr>
          <w:rFonts w:ascii="Arial" w:hAnsi="Arial" w:cs="Arial"/>
          <w:color w:val="auto"/>
          <w:sz w:val="17"/>
          <w:szCs w:val="17"/>
        </w:rPr>
        <w:t>DRD program</w:t>
      </w:r>
      <w:r>
        <w:rPr>
          <w:rFonts w:ascii="Arial" w:hAnsi="Arial" w:cs="Arial"/>
          <w:color w:val="auto"/>
          <w:sz w:val="17"/>
          <w:szCs w:val="17"/>
        </w:rPr>
        <w:t>. However, the fact remains that the IFC and the World Bank support two different projects that focus on similar technical areas.</w:t>
      </w:r>
    </w:p>
  </w:footnote>
  <w:footnote w:id="32">
    <w:p w:rsidR="00E15A9B" w:rsidRPr="004B1F57" w:rsidRDefault="00E15A9B" w:rsidP="00F74FC9">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other MDTF windows are Social Development and Inclusion (</w:t>
      </w:r>
      <w:r w:rsidRPr="00F74FC9">
        <w:rPr>
          <w:rFonts w:ascii="Arial" w:hAnsi="Arial" w:cs="Arial"/>
          <w:color w:val="auto"/>
          <w:sz w:val="17"/>
          <w:szCs w:val="17"/>
        </w:rPr>
        <w:t>Decentralizing Funding for School Project, National Community Driven Development Project</w:t>
      </w:r>
      <w:r w:rsidRPr="004B1F57">
        <w:rPr>
          <w:rFonts w:ascii="Arial" w:hAnsi="Arial" w:cs="Arial"/>
          <w:color w:val="auto"/>
          <w:sz w:val="17"/>
          <w:szCs w:val="17"/>
        </w:rPr>
        <w:t>) and Institutional Strengthening (PFM; EITI; financial sector development; and, pay, compensation and HR review</w:t>
      </w:r>
      <w:r>
        <w:rPr>
          <w:rFonts w:ascii="Arial" w:hAnsi="Arial" w:cs="Arial"/>
          <w:color w:val="auto"/>
          <w:sz w:val="17"/>
          <w:szCs w:val="17"/>
        </w:rPr>
        <w:t>, etc.</w:t>
      </w:r>
      <w:r w:rsidRPr="004B1F57">
        <w:rPr>
          <w:rFonts w:ascii="Arial" w:hAnsi="Arial" w:cs="Arial"/>
          <w:color w:val="auto"/>
          <w:sz w:val="17"/>
          <w:szCs w:val="17"/>
        </w:rPr>
        <w:t>).</w:t>
      </w:r>
    </w:p>
  </w:footnote>
  <w:footnote w:id="33">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Other Steering</w:t>
      </w:r>
      <w:r>
        <w:rPr>
          <w:rFonts w:ascii="Arial" w:hAnsi="Arial" w:cs="Arial"/>
          <w:color w:val="auto"/>
          <w:sz w:val="17"/>
          <w:szCs w:val="17"/>
        </w:rPr>
        <w:t xml:space="preserve"> Committee members are Denmark and </w:t>
      </w:r>
      <w:r w:rsidRPr="004B1F57">
        <w:rPr>
          <w:rFonts w:ascii="Arial" w:hAnsi="Arial" w:cs="Arial"/>
          <w:color w:val="auto"/>
          <w:sz w:val="17"/>
          <w:szCs w:val="17"/>
        </w:rPr>
        <w:t>Finland as well as the World Bank Group and the GoM.</w:t>
      </w:r>
    </w:p>
  </w:footnote>
  <w:footnote w:id="34">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This is according to Annex 3 of the 2014 Administration Agreement between the World Bank Group and DFAT.</w:t>
      </w:r>
    </w:p>
  </w:footnote>
  <w:footnote w:id="35">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DFAT (2015): “Investment Design Summary Title Burma Investment Climate and Competitiveness Program”, p. 3.</w:t>
      </w:r>
    </w:p>
  </w:footnote>
  <w:footnote w:id="36">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Among the 13 tasks listed in the job advertisement, it is related to the ICCP only mentioned that the specialist should “Ensure effective communication with donor partners regarding trade and competitiveness program implementation”, “Support coordination of activities under the private sector window of the MDTF and ensure timely preparation of donor reports as needed”, and “Collaborate with the MDTF Program Manager and Regional Partnerships Lead to ensure effective coordination of T&amp;C programs with other windows of the MDTF”.</w:t>
      </w:r>
    </w:p>
  </w:footnote>
  <w:footnote w:id="37">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For the period July 2015 to July 2018 there should have been prepared a total of 12 quarterly reports, but only seven have been available for this evaluation (See Annex D). It is not clear if some quarterly reports were not prepared, or whether not all reports were not filed and hence can no longer be traced.</w:t>
      </w:r>
    </w:p>
  </w:footnote>
  <w:footnote w:id="38">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Presumably the IFC does internally have such necessary overview and information, given that it has a separate six-monthly progress reporting process, but the reporting formats applied for DFAT and DFID has not provided this.</w:t>
      </w:r>
    </w:p>
  </w:footnote>
  <w:footnote w:id="39">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It was stated that Post would take the following specific measures during the first year: 1) Conveying to the IFC, through the MDTF Steering Committee and the ICCP committee, that Australia’s participation would be contingent on an appropriate focus and satisfactory performance on gender equality; 2) Undertaking joint advocacy with DFID to improve the ICCP’s gender equality focus and performance; and, 3) Mobilising DFAT’s regional gender expert, or a similarly qualified adviser, to undertake an assessment of ICCP’s performance on gender equality and identify opportunities for improvement.</w:t>
      </w:r>
    </w:p>
  </w:footnote>
  <w:footnote w:id="40">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t>
      </w:r>
      <w:hyperlink r:id="rId1" w:history="1">
        <w:r w:rsidRPr="004B1F57">
          <w:rPr>
            <w:rStyle w:val="Hyperlink"/>
            <w:rFonts w:ascii="Arial" w:hAnsi="Arial" w:cs="Arial"/>
            <w:sz w:val="17"/>
            <w:szCs w:val="17"/>
            <w:u w:val="none"/>
          </w:rPr>
          <w:t>DFAT (2016): “Women and the economy in Myanmar, An assessment of DFAT’s private sector development programs</w:t>
        </w:r>
      </w:hyperlink>
      <w:r w:rsidRPr="004B1F57">
        <w:rPr>
          <w:rFonts w:ascii="Arial" w:hAnsi="Arial" w:cs="Arial"/>
          <w:color w:val="auto"/>
          <w:sz w:val="17"/>
          <w:szCs w:val="17"/>
        </w:rPr>
        <w:t>”, January.</w:t>
      </w:r>
    </w:p>
  </w:footnote>
  <w:footnote w:id="41">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minutes from the ICCP quarterly meeting in March 2016 mention, in the context of gender-related work, that the Administration Agreement between the World Bank Group and DFAT will be amended with a Side Letter and that the World Bank Group will field a gender specialist to support ICCP activities.</w:t>
      </w:r>
    </w:p>
  </w:footnote>
  <w:footnote w:id="42">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A note prepared by IFC in January 2017 outlined seven potential activities to promote “gender-smart investment climate reform” of which some were afterwards implemented, </w:t>
      </w:r>
      <w:r w:rsidRPr="004B1F57">
        <w:rPr>
          <w:rFonts w:ascii="Arial" w:hAnsi="Arial" w:cs="Arial"/>
          <w:color w:val="auto"/>
          <w:sz w:val="17"/>
          <w:szCs w:val="17"/>
          <w:lang w:val="en-AU"/>
        </w:rPr>
        <w:t>including a gender analysis as part of the Investment Climate Assessment (ICA) Enterprise Survey (Trade Competitiveness and Enterprise Development project), organising a “Ring the Bell for Gender Equality” event with the Securities and Exchange Commission of Myanmar (SECM) and the Yangon Stock Exchange (YSX) (Corporate Governance project), and exploring options to improve involvement of women in the distribution of solar products (Energy Access (Lighting Myanmar) project).</w:t>
      </w:r>
    </w:p>
  </w:footnote>
  <w:footnote w:id="43">
    <w:p w:rsidR="00E15A9B" w:rsidRPr="007A1EC3"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(i) An </w:t>
      </w:r>
      <w:r w:rsidRPr="007A1EC3">
        <w:rPr>
          <w:rFonts w:ascii="Arial" w:hAnsi="Arial" w:cs="Arial"/>
          <w:color w:val="auto"/>
          <w:sz w:val="17"/>
          <w:szCs w:val="17"/>
        </w:rPr>
        <w:t>analysis of the gap between men and women that the project can contribute to reduce; (ii) At least one specific gender-related intervention that the project will undertake; and, (iii) A gender indicator (outcome/impact) included in the results framework, where possible.</w:t>
      </w:r>
    </w:p>
  </w:footnote>
  <w:footnote w:id="44">
    <w:p w:rsidR="00E15A9B" w:rsidRPr="004B1F57" w:rsidRDefault="00E15A9B" w:rsidP="007A1EC3">
      <w:pPr>
        <w:pStyle w:val="FootnoteText"/>
        <w:spacing w:before="0" w:line="240" w:lineRule="auto"/>
        <w:ind w:left="173" w:hanging="173"/>
        <w:jc w:val="both"/>
        <w:rPr>
          <w:rFonts w:ascii="Arial" w:hAnsi="Arial" w:cs="Arial"/>
          <w:color w:val="auto"/>
          <w:sz w:val="17"/>
          <w:szCs w:val="17"/>
        </w:rPr>
      </w:pPr>
      <w:r w:rsidRPr="007A1EC3">
        <w:rPr>
          <w:rStyle w:val="FootnoteReference"/>
          <w:rFonts w:ascii="Arial" w:hAnsi="Arial" w:cs="Arial"/>
          <w:color w:val="auto"/>
          <w:sz w:val="17"/>
          <w:szCs w:val="17"/>
        </w:rPr>
        <w:footnoteRef/>
      </w:r>
      <w:r w:rsidRPr="007A1EC3">
        <w:rPr>
          <w:rFonts w:ascii="Arial" w:hAnsi="Arial" w:cs="Arial"/>
          <w:color w:val="auto"/>
          <w:sz w:val="17"/>
          <w:szCs w:val="17"/>
        </w:rPr>
        <w:t xml:space="preserve"> The IFC has in this regard referred to its Access to Information Policy (1 January 2012)</w:t>
      </w:r>
      <w:r>
        <w:rPr>
          <w:rFonts w:ascii="Arial" w:hAnsi="Arial" w:cs="Arial"/>
          <w:color w:val="auto"/>
          <w:sz w:val="17"/>
          <w:szCs w:val="17"/>
        </w:rPr>
        <w:t xml:space="preserve">, </w:t>
      </w:r>
      <w:r w:rsidRPr="007A1EC3">
        <w:rPr>
          <w:rFonts w:ascii="Arial" w:hAnsi="Arial" w:cs="Arial"/>
          <w:color w:val="auto"/>
          <w:sz w:val="17"/>
          <w:szCs w:val="17"/>
        </w:rPr>
        <w:t xml:space="preserve">which </w:t>
      </w:r>
      <w:r>
        <w:rPr>
          <w:rFonts w:ascii="Arial" w:hAnsi="Arial" w:cs="Arial"/>
          <w:color w:val="auto"/>
          <w:sz w:val="17"/>
          <w:szCs w:val="17"/>
        </w:rPr>
        <w:t>defines its policy, outlines information routinely made available, and explains implementation aspects of the p</w:t>
      </w:r>
      <w:r w:rsidRPr="007A1EC3">
        <w:rPr>
          <w:rFonts w:ascii="Arial" w:hAnsi="Arial" w:cs="Arial"/>
          <w:color w:val="auto"/>
          <w:sz w:val="17"/>
          <w:szCs w:val="17"/>
        </w:rPr>
        <w:t>olicy.</w:t>
      </w:r>
      <w:r>
        <w:rPr>
          <w:rFonts w:ascii="Arial" w:hAnsi="Arial" w:cs="Arial"/>
          <w:color w:val="auto"/>
          <w:sz w:val="17"/>
          <w:szCs w:val="17"/>
        </w:rPr>
        <w:t xml:space="preserve"> The document could serve as a starting point for discussions between the IFC and its donor partners about information sharing, but its general nature does not provide specific guidance regarding access to, for example, project-level data.</w:t>
      </w:r>
    </w:p>
  </w:footnote>
  <w:footnote w:id="45">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See, for example, the information leaflet ‘IFC in Myanmar’, which lists agencies that IFC works in partnership with: </w:t>
      </w:r>
      <w:hyperlink r:id="rId2" w:history="1">
        <w:r w:rsidRPr="004B1F57">
          <w:rPr>
            <w:rStyle w:val="Hyperlink"/>
            <w:rFonts w:ascii="Arial" w:hAnsi="Arial" w:cs="Arial"/>
            <w:sz w:val="17"/>
            <w:szCs w:val="17"/>
          </w:rPr>
          <w:t>https://www.ifc.org/wps/wcm/connect/3974170043ba9348bab7ba869243d457/IFC+in+Myanmar.pdf?MOD=AJPERES</w:t>
        </w:r>
      </w:hyperlink>
      <w:r w:rsidRPr="004B1F57">
        <w:rPr>
          <w:rFonts w:ascii="Arial" w:hAnsi="Arial" w:cs="Arial"/>
          <w:color w:val="auto"/>
          <w:sz w:val="17"/>
          <w:szCs w:val="17"/>
        </w:rPr>
        <w:t>.</w:t>
      </w:r>
    </w:p>
  </w:footnote>
  <w:footnote w:id="46">
    <w:p w:rsidR="00E15A9B" w:rsidRPr="004B1F57" w:rsidRDefault="00E15A9B" w:rsidP="001B62AA">
      <w:pPr>
        <w:pStyle w:val="FootnoteText"/>
        <w:spacing w:before="0" w:line="240" w:lineRule="auto"/>
        <w:ind w:left="173" w:hanging="173"/>
        <w:jc w:val="both"/>
        <w:rPr>
          <w:rFonts w:ascii="Arial" w:hAnsi="Arial" w:cs="Arial"/>
          <w:color w:val="auto"/>
          <w:sz w:val="17"/>
          <w:szCs w:val="17"/>
          <w:lang w:val="en-PH"/>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For example, the web pages for the Investment Climate project (</w:t>
      </w:r>
      <w:hyperlink r:id="rId3" w:anchor="/projectDetail/AS/600430" w:history="1">
        <w:r w:rsidRPr="004B1F57">
          <w:rPr>
            <w:rStyle w:val="Hyperlink"/>
            <w:rFonts w:ascii="Arial" w:hAnsi="Arial" w:cs="Arial"/>
            <w:sz w:val="17"/>
            <w:szCs w:val="17"/>
          </w:rPr>
          <w:t>https://disclosures.ifc.org/#/projectDetail/AS/600430</w:t>
        </w:r>
      </w:hyperlink>
      <w:r w:rsidRPr="004B1F57">
        <w:rPr>
          <w:rFonts w:ascii="Arial" w:hAnsi="Arial" w:cs="Arial"/>
          <w:color w:val="auto"/>
          <w:sz w:val="17"/>
          <w:szCs w:val="17"/>
        </w:rPr>
        <w:t>) and the Investment Policy project (</w:t>
      </w:r>
      <w:hyperlink r:id="rId4" w:anchor="/projectDetail/AS/600309" w:history="1">
        <w:r w:rsidRPr="004B1F57">
          <w:rPr>
            <w:rStyle w:val="Hyperlink"/>
            <w:rFonts w:ascii="Arial" w:hAnsi="Arial" w:cs="Arial"/>
            <w:sz w:val="17"/>
            <w:szCs w:val="17"/>
          </w:rPr>
          <w:t>https://disclosures.ifc.org/#/projectDetail/AS/600309</w:t>
        </w:r>
      </w:hyperlink>
      <w:r w:rsidRPr="004B1F57">
        <w:rPr>
          <w:rFonts w:ascii="Arial" w:hAnsi="Arial" w:cs="Arial"/>
          <w:color w:val="auto"/>
          <w:sz w:val="17"/>
          <w:szCs w:val="17"/>
        </w:rPr>
        <w:t>) do not – as of mid-September 2018 – include information the projects being funded by DFAT and DFID.</w:t>
      </w:r>
    </w:p>
  </w:footnote>
  <w:footnote w:id="47">
    <w:p w:rsidR="00E15A9B" w:rsidRPr="004B1F57" w:rsidRDefault="00E15A9B" w:rsidP="00BC6640">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E-mail from the IFC to DFAT dated 3 October 2018.</w:t>
      </w:r>
    </w:p>
  </w:footnote>
  <w:footnote w:id="48">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For example, the Investment Policy Project includes an indicator on additional investments resulting from improvements in the legal framework, investment entry, protection and incentives, but such a result would likely to be challenging to attribute specifically to project-related activities.</w:t>
      </w:r>
    </w:p>
  </w:footnote>
  <w:footnote w:id="49">
    <w:p w:rsidR="00E15A9B" w:rsidRPr="004B1F57" w:rsidRDefault="00E15A9B" w:rsidP="004E672C">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It is understood that the IFC in September/October 2018 started preparing a draft Theory-</w:t>
      </w:r>
      <w:r w:rsidRPr="004E672C">
        <w:rPr>
          <w:rFonts w:ascii="Arial" w:hAnsi="Arial" w:cs="Arial"/>
          <w:color w:val="auto"/>
          <w:sz w:val="17"/>
          <w:szCs w:val="17"/>
        </w:rPr>
        <w:t>of</w:t>
      </w:r>
      <w:r>
        <w:rPr>
          <w:rFonts w:ascii="Arial" w:hAnsi="Arial" w:cs="Arial"/>
          <w:color w:val="auto"/>
          <w:sz w:val="17"/>
          <w:szCs w:val="17"/>
        </w:rPr>
        <w:t>-</w:t>
      </w:r>
      <w:r w:rsidRPr="004E672C">
        <w:rPr>
          <w:rFonts w:ascii="Arial" w:hAnsi="Arial" w:cs="Arial"/>
          <w:color w:val="auto"/>
          <w:sz w:val="17"/>
          <w:szCs w:val="17"/>
        </w:rPr>
        <w:t>Change and</w:t>
      </w:r>
      <w:r>
        <w:rPr>
          <w:rFonts w:ascii="Arial" w:hAnsi="Arial" w:cs="Arial"/>
          <w:color w:val="auto"/>
          <w:sz w:val="17"/>
          <w:szCs w:val="17"/>
        </w:rPr>
        <w:t xml:space="preserve"> </w:t>
      </w:r>
      <w:r w:rsidRPr="004E672C">
        <w:rPr>
          <w:rFonts w:ascii="Arial" w:hAnsi="Arial" w:cs="Arial"/>
          <w:color w:val="auto"/>
          <w:sz w:val="17"/>
          <w:szCs w:val="17"/>
        </w:rPr>
        <w:t>associated output/outcome and impact</w:t>
      </w:r>
      <w:r>
        <w:rPr>
          <w:rFonts w:ascii="Arial" w:hAnsi="Arial" w:cs="Arial"/>
          <w:color w:val="auto"/>
          <w:sz w:val="17"/>
          <w:szCs w:val="17"/>
        </w:rPr>
        <w:t>. However, from the information available it would appear that this is done by the IFC specifically for DFAT rather than as a comprehensive tool to be used for the program overall and by all donor partners.</w:t>
      </w:r>
    </w:p>
  </w:footnote>
  <w:footnote w:id="50">
    <w:p w:rsidR="00E15A9B" w:rsidRPr="004B1F57" w:rsidRDefault="00E15A9B" w:rsidP="004E672C">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The IFC commented on a draft of this Evaluation Report that this recommendation as been ‘already resolved’, which refers to the new quarterly reporting format introduced for the ICCP in August 2018. However, this format does not accommodate program-level indicators (which first need to be developed), i.e. the recommendation has not yet been addressed.</w:t>
      </w:r>
    </w:p>
  </w:footnote>
  <w:footnote w:id="51">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Oxford Policy Management (2018): “Performance Evaluation of DFID’s ‘Improving the Management of Public Funds for the Benefit of People in Burma’ Programme”, Final Evaluation Report, 3 July.</w:t>
      </w:r>
    </w:p>
  </w:footnote>
  <w:footnote w:id="52">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See, for example, the request for inputs on the rules drafting process prepared by DICA/MIC in November 2016: </w:t>
      </w:r>
      <w:hyperlink r:id="rId5" w:history="1">
        <w:r w:rsidRPr="004B1F57">
          <w:rPr>
            <w:rStyle w:val="Hyperlink"/>
            <w:rFonts w:ascii="Arial" w:hAnsi="Arial" w:cs="Arial"/>
            <w:sz w:val="17"/>
            <w:szCs w:val="17"/>
          </w:rPr>
          <w:t>https://www.dica.gov.mm/sites/dica.gov.mm/files/uploads/pdf/mirbriefing_paper.pdf</w:t>
        </w:r>
      </w:hyperlink>
      <w:r w:rsidRPr="004B1F57">
        <w:rPr>
          <w:rFonts w:ascii="Arial" w:hAnsi="Arial" w:cs="Arial"/>
          <w:color w:val="auto"/>
          <w:sz w:val="17"/>
          <w:szCs w:val="17"/>
        </w:rPr>
        <w:t>.</w:t>
      </w:r>
    </w:p>
  </w:footnote>
  <w:footnote w:id="53">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IFC. 2018. “Performance and Perception of FDI firms in Myanmar”, Presentation.</w:t>
      </w:r>
    </w:p>
  </w:footnote>
  <w:footnote w:id="54">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survey finds the expected benefits of domestic firms especially to be in relation to transfer of technology and larger markets, which is similar for foreign firms although a mechanism to resolve disputes is also viewed as important.</w:t>
      </w:r>
    </w:p>
  </w:footnote>
  <w:footnote w:id="55">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For example, the time it takes to secure a land lease or clear customs for imports and the importance of knowing the “right” people in government to help resolve related issues.</w:t>
      </w:r>
    </w:p>
  </w:footnote>
  <w:footnote w:id="56">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IFC states that this will include a review of the attributability of any incremental investment based on stakeholder interviews and an investment trend study to distinguish the project's additionality.</w:t>
      </w:r>
    </w:p>
  </w:footnote>
  <w:footnote w:id="57">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USD 500 million performance target was seemingly adopted from the 2015 ICCP Concept Note prepared by the World Bank. However, the IFC’s Investment Policy Project only operate</w:t>
      </w:r>
      <w:r>
        <w:rPr>
          <w:rFonts w:ascii="Arial" w:hAnsi="Arial" w:cs="Arial"/>
          <w:color w:val="auto"/>
          <w:sz w:val="17"/>
          <w:szCs w:val="17"/>
        </w:rPr>
        <w:t>s</w:t>
      </w:r>
      <w:r w:rsidRPr="004B1F57">
        <w:rPr>
          <w:rFonts w:ascii="Arial" w:hAnsi="Arial" w:cs="Arial"/>
          <w:color w:val="auto"/>
          <w:sz w:val="17"/>
          <w:szCs w:val="17"/>
        </w:rPr>
        <w:t xml:space="preserve"> with USD 200 million.</w:t>
      </w:r>
    </w:p>
  </w:footnote>
  <w:footnote w:id="58">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Approved FDI for the past three years were: USD 9.5 billion in 2015/16, USD 6.6 billion in 2016/17 and USD 5.7 billion in 2017/18 (</w:t>
      </w:r>
      <w:hyperlink r:id="rId6" w:history="1">
        <w:r w:rsidRPr="004B1F57">
          <w:rPr>
            <w:rStyle w:val="Hyperlink"/>
            <w:rFonts w:ascii="Arial" w:hAnsi="Arial" w:cs="Arial"/>
            <w:sz w:val="17"/>
            <w:szCs w:val="17"/>
          </w:rPr>
          <w:t>https://www.dica.gov.mm/sites/dica.gov.mm/files/document-files/yearly_approved_by_sector_0.pdf</w:t>
        </w:r>
      </w:hyperlink>
      <w:r w:rsidRPr="004B1F57">
        <w:rPr>
          <w:rFonts w:ascii="Arial" w:hAnsi="Arial" w:cs="Arial"/>
          <w:color w:val="auto"/>
          <w:sz w:val="17"/>
          <w:szCs w:val="17"/>
        </w:rPr>
        <w:t>). Also, the World Bank in its latest Economic Update (July 2018) reports that approved FDI from April to June 2018 was only USD 394 million compared with USD 1,960 million in the same period in 2017.</w:t>
      </w:r>
    </w:p>
  </w:footnote>
  <w:footnote w:id="59">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The 2018/19 benchmark as stated in the AIP was “</w:t>
      </w:r>
      <w:r w:rsidRPr="004B1F57">
        <w:rPr>
          <w:rFonts w:ascii="Arial" w:hAnsi="Arial" w:cs="Arial"/>
          <w:i/>
          <w:iCs/>
          <w:color w:val="auto"/>
          <w:sz w:val="17"/>
          <w:szCs w:val="17"/>
        </w:rPr>
        <w:t>Increased tax to GDP ratio of over 10% and a 20% increase in large tax payers from 2012-13 baseline</w:t>
      </w:r>
      <w:r w:rsidRPr="004B1F57">
        <w:rPr>
          <w:rFonts w:ascii="Arial" w:hAnsi="Arial" w:cs="Arial"/>
          <w:color w:val="auto"/>
          <w:sz w:val="17"/>
          <w:szCs w:val="17"/>
        </w:rPr>
        <w:t>”. This has above been amended to “</w:t>
      </w:r>
      <w:r w:rsidRPr="004B1F57">
        <w:rPr>
          <w:rFonts w:ascii="Arial" w:hAnsi="Arial" w:cs="Arial"/>
          <w:i/>
          <w:iCs/>
          <w:color w:val="auto"/>
          <w:sz w:val="17"/>
          <w:szCs w:val="17"/>
        </w:rPr>
        <w:t xml:space="preserve">Increased tax to GDP ratio of over 10% and a 20% increase </w:t>
      </w:r>
      <w:r w:rsidRPr="004B1F57">
        <w:rPr>
          <w:rFonts w:ascii="Arial" w:hAnsi="Arial" w:cs="Arial"/>
          <w:i/>
          <w:iCs/>
          <w:color w:val="auto"/>
          <w:sz w:val="17"/>
          <w:szCs w:val="17"/>
          <w:u w:val="single"/>
        </w:rPr>
        <w:t>in collections from</w:t>
      </w:r>
      <w:r w:rsidRPr="004B1F57">
        <w:rPr>
          <w:rFonts w:ascii="Arial" w:hAnsi="Arial" w:cs="Arial"/>
          <w:i/>
          <w:iCs/>
          <w:color w:val="auto"/>
          <w:sz w:val="17"/>
          <w:szCs w:val="17"/>
        </w:rPr>
        <w:t xml:space="preserve"> large tax payers from 2012-13 baseline</w:t>
      </w:r>
      <w:r w:rsidRPr="004B1F57">
        <w:rPr>
          <w:rFonts w:ascii="Arial" w:hAnsi="Arial" w:cs="Arial"/>
          <w:color w:val="auto"/>
          <w:sz w:val="17"/>
          <w:szCs w:val="17"/>
        </w:rPr>
        <w:t>” so as to be in line with the results indicators in the World Bank’s 2014 Project Appraisal Document for the MPFMP (page 8).</w:t>
      </w:r>
    </w:p>
  </w:footnote>
  <w:footnote w:id="60">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World Bank (2017): “Myanmar, Modernization of PFM Project – Implementation Status &amp; Results Report”, Seq. No. 5, 3 January, p. 3.</w:t>
      </w:r>
    </w:p>
  </w:footnote>
  <w:footnote w:id="61">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Ibid, p. 5.</w:t>
      </w:r>
    </w:p>
  </w:footnote>
  <w:footnote w:id="62">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World Bank (2018): “Myanmar, Modernization of PFM Project – Implementation Status &amp; Results Report”, Seq. No. 7, 6 March, p. 6.</w:t>
      </w:r>
    </w:p>
  </w:footnote>
  <w:footnote w:id="63">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Ibid, p. 4.</w:t>
      </w:r>
    </w:p>
  </w:footnote>
  <w:footnote w:id="64">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E-mail from the World Bank dated 24 August 2018.</w:t>
      </w:r>
    </w:p>
  </w:footnote>
  <w:footnote w:id="65">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Oxford Policy Management (2018): op.cit., p. 30.</w:t>
      </w:r>
    </w:p>
  </w:footnote>
  <w:footnote w:id="66">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E-mail from the World Bank dated 4 September 2018. The World Bank in the MPFMP ‘Implementation Status &amp; Results Report’ provides data on the tax-to-GDP ratio as generated by the Large Taxpayer Office (LTO). This increased from 1.5 per cent in 2015/16 to 2.9 per cent in 2016/17. However, the indicator in the World Bank’s Results Framework (and in DFAT’s AIP) requires measuring the actual increase in LTO collections over an established baseline.</w:t>
      </w:r>
    </w:p>
  </w:footnote>
  <w:footnote w:id="67">
    <w:p w:rsidR="00E15A9B" w:rsidRPr="004B1F57" w:rsidRDefault="00E15A9B" w:rsidP="00E03E08">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w:t>
      </w:r>
      <w:r>
        <w:rPr>
          <w:rFonts w:ascii="Arial" w:hAnsi="Arial" w:cs="Arial"/>
          <w:color w:val="auto"/>
          <w:sz w:val="17"/>
          <w:szCs w:val="17"/>
        </w:rPr>
        <w:t xml:space="preserve">The World Bank’s </w:t>
      </w:r>
      <w:r w:rsidRPr="00E03E08">
        <w:rPr>
          <w:rFonts w:ascii="Arial" w:hAnsi="Arial" w:cs="Arial"/>
          <w:color w:val="auto"/>
          <w:sz w:val="17"/>
          <w:szCs w:val="17"/>
        </w:rPr>
        <w:t xml:space="preserve">Myanmar Partnership MDTF Program Manager </w:t>
      </w:r>
      <w:r>
        <w:rPr>
          <w:rFonts w:ascii="Arial" w:hAnsi="Arial" w:cs="Arial"/>
          <w:color w:val="auto"/>
          <w:sz w:val="17"/>
          <w:szCs w:val="17"/>
        </w:rPr>
        <w:t>has noted that, in the view of the World Bank, the PFM Evaluation report “</w:t>
      </w:r>
      <w:r w:rsidRPr="00E03E08">
        <w:rPr>
          <w:rFonts w:ascii="Arial" w:hAnsi="Arial" w:cs="Arial"/>
          <w:i/>
          <w:iCs/>
          <w:color w:val="auto"/>
          <w:sz w:val="17"/>
          <w:szCs w:val="17"/>
        </w:rPr>
        <w:t>did not eventually take into account a series of comments and observations by the Bank</w:t>
      </w:r>
      <w:r>
        <w:rPr>
          <w:rFonts w:ascii="Arial" w:hAnsi="Arial" w:cs="Arial"/>
          <w:color w:val="auto"/>
          <w:sz w:val="17"/>
          <w:szCs w:val="17"/>
        </w:rPr>
        <w:t>”</w:t>
      </w:r>
      <w:r w:rsidRPr="00E03E08">
        <w:rPr>
          <w:rFonts w:ascii="Arial" w:hAnsi="Arial" w:cs="Arial"/>
          <w:color w:val="auto"/>
          <w:sz w:val="17"/>
          <w:szCs w:val="17"/>
        </w:rPr>
        <w:t>.</w:t>
      </w:r>
    </w:p>
  </w:footnote>
  <w:footnote w:id="68">
    <w:p w:rsidR="00E15A9B" w:rsidRPr="004B1F57" w:rsidRDefault="00E15A9B" w:rsidP="004A475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Pr>
          <w:rFonts w:ascii="Arial" w:hAnsi="Arial" w:cs="Arial"/>
          <w:color w:val="auto"/>
          <w:sz w:val="17"/>
          <w:szCs w:val="17"/>
        </w:rPr>
        <w:t xml:space="preserve"> This should take into </w:t>
      </w:r>
      <w:r w:rsidRPr="004A475A">
        <w:rPr>
          <w:rFonts w:ascii="Arial" w:hAnsi="Arial" w:cs="Arial"/>
          <w:color w:val="auto"/>
          <w:sz w:val="17"/>
          <w:szCs w:val="17"/>
        </w:rPr>
        <w:t>consid</w:t>
      </w:r>
      <w:r>
        <w:rPr>
          <w:rFonts w:ascii="Arial" w:hAnsi="Arial" w:cs="Arial"/>
          <w:color w:val="auto"/>
          <w:sz w:val="17"/>
          <w:szCs w:val="17"/>
        </w:rPr>
        <w:t xml:space="preserve">eration the capacity building and </w:t>
      </w:r>
      <w:r w:rsidRPr="004A475A">
        <w:rPr>
          <w:rFonts w:ascii="Arial" w:hAnsi="Arial" w:cs="Arial"/>
          <w:color w:val="auto"/>
          <w:sz w:val="17"/>
          <w:szCs w:val="17"/>
        </w:rPr>
        <w:t xml:space="preserve">ownership value of </w:t>
      </w:r>
      <w:r>
        <w:rPr>
          <w:rFonts w:ascii="Arial" w:hAnsi="Arial" w:cs="Arial"/>
          <w:color w:val="auto"/>
          <w:sz w:val="17"/>
          <w:szCs w:val="17"/>
        </w:rPr>
        <w:t>recipient-executed activities that may occur.</w:t>
      </w:r>
    </w:p>
  </w:footnote>
  <w:footnote w:id="69">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Same stated in DFAT’s ‘Investment Design Summary’ from May 2015.</w:t>
      </w:r>
    </w:p>
  </w:footnote>
  <w:footnote w:id="70">
    <w:p w:rsidR="00E15A9B" w:rsidRPr="004B1F57" w:rsidRDefault="00E15A9B" w:rsidP="001B62AA">
      <w:pPr>
        <w:pStyle w:val="FootnoteText"/>
        <w:spacing w:before="0" w:line="240" w:lineRule="auto"/>
        <w:ind w:left="173" w:hanging="173"/>
        <w:jc w:val="both"/>
        <w:rPr>
          <w:rFonts w:ascii="Arial" w:hAnsi="Arial" w:cs="Arial"/>
          <w:color w:val="auto"/>
          <w:sz w:val="17"/>
          <w:szCs w:val="17"/>
        </w:rPr>
      </w:pPr>
      <w:r w:rsidRPr="004B1F57">
        <w:rPr>
          <w:rStyle w:val="FootnoteReference"/>
          <w:rFonts w:ascii="Arial" w:hAnsi="Arial" w:cs="Arial"/>
          <w:color w:val="auto"/>
          <w:sz w:val="17"/>
          <w:szCs w:val="17"/>
        </w:rPr>
        <w:footnoteRef/>
      </w:r>
      <w:r w:rsidRPr="004B1F57">
        <w:rPr>
          <w:rFonts w:ascii="Arial" w:hAnsi="Arial" w:cs="Arial"/>
          <w:color w:val="auto"/>
          <w:sz w:val="17"/>
          <w:szCs w:val="17"/>
        </w:rPr>
        <w:t xml:space="preserve"> Same stated in the MDTF Annual Report 2014/15 (page 3) for ‘Policy and Investment Climate Reform‘ under ‘Window 4: Private Sector Development’. In the later MDTF reports, separate objectives are stated for other initiatives (Improving Trade Facilitation and Competitiveness; Corporate Governance; Productivity, Income and Quality Improvement in Myanmar’s Agriculture Sector; Private Sector Development in the Energy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0B" w:rsidRDefault="0039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Pr="00806503" w:rsidRDefault="00E15A9B" w:rsidP="00057479">
    <w:pPr>
      <w:pStyle w:val="Classification"/>
    </w:pPr>
    <w:r w:rsidRPr="00D21F57">
      <w:rPr>
        <w:noProof/>
        <w:lang w:val="en-AU" w:eastAsia="en-AU"/>
      </w:rPr>
      <w:drawing>
        <wp:anchor distT="0" distB="0" distL="114300" distR="114300" simplePos="0" relativeHeight="251678720" behindDoc="1" locked="1" layoutInCell="1" allowOverlap="1">
          <wp:simplePos x="0" y="0"/>
          <wp:positionH relativeFrom="page">
            <wp:posOffset>5652770</wp:posOffset>
          </wp:positionH>
          <wp:positionV relativeFrom="page">
            <wp:posOffset>1710055</wp:posOffset>
          </wp:positionV>
          <wp:extent cx="1114560" cy="511920"/>
          <wp:effectExtent l="0" t="0" r="0" b="2540"/>
          <wp:wrapNone/>
          <wp:docPr id="2" name="Picture 2" descr="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anchor>
      </w:drawing>
    </w:r>
    <w:r w:rsidRPr="00D21F57">
      <w:rPr>
        <w:noProof/>
        <w:lang w:val="en-AU" w:eastAsia="en-AU"/>
      </w:rPr>
      <w:drawing>
        <wp:anchor distT="0" distB="0" distL="114300" distR="114300" simplePos="0" relativeHeight="251660288" behindDoc="1" locked="1" layoutInCell="1" allowOverlap="1">
          <wp:simplePos x="0" y="0"/>
          <wp:positionH relativeFrom="page">
            <wp:posOffset>720090</wp:posOffset>
          </wp:positionH>
          <wp:positionV relativeFrom="page">
            <wp:posOffset>1584325</wp:posOffset>
          </wp:positionV>
          <wp:extent cx="3168000" cy="554400"/>
          <wp:effectExtent l="0" t="0" r="0" b="0"/>
          <wp:wrapNone/>
          <wp:docPr id="14" name="Picture 14"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anchor>
      </w:drawing>
    </w:r>
    <w:r w:rsidRPr="00D21F57">
      <w:rPr>
        <w:noProof/>
        <w:lang w:val="en-AU" w:eastAsia="en-AU"/>
      </w:rPr>
      <w:drawing>
        <wp:anchor distT="0" distB="0" distL="114300" distR="114300" simplePos="0" relativeHeight="251654144" behindDoc="1" locked="1" layoutInCell="1" allowOverlap="1">
          <wp:simplePos x="0" y="0"/>
          <wp:positionH relativeFrom="page">
            <wp:align>left</wp:align>
          </wp:positionH>
          <wp:positionV relativeFrom="page">
            <wp:align>center</wp:align>
          </wp:positionV>
          <wp:extent cx="7559040" cy="10692765"/>
          <wp:effectExtent l="0" t="0" r="3810" b="0"/>
          <wp:wrapNone/>
          <wp:docPr id="15" name="Picture 15"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8" cy="1069323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A75A27">
    <w:pPr>
      <w:pStyle w:val="Classification"/>
    </w:pPr>
    <w:r w:rsidRPr="00D21F57">
      <w:rPr>
        <w:noProof/>
        <w:lang w:val="en-AU" w:eastAsia="en-AU"/>
      </w:rPr>
      <w:drawing>
        <wp:anchor distT="0" distB="0" distL="114300" distR="114300" simplePos="0" relativeHeight="251672576" behindDoc="1" locked="1" layoutInCell="1" allowOverlap="1">
          <wp:simplePos x="0" y="0"/>
          <wp:positionH relativeFrom="page">
            <wp:posOffset>5652770</wp:posOffset>
          </wp:positionH>
          <wp:positionV relativeFrom="page">
            <wp:posOffset>1710055</wp:posOffset>
          </wp:positionV>
          <wp:extent cx="1114560" cy="511920"/>
          <wp:effectExtent l="0" t="0" r="0" b="2540"/>
          <wp:wrapNone/>
          <wp:docPr id="60" name="Picture 60" descr="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anchor>
      </w:drawing>
    </w:r>
    <w:r w:rsidRPr="00D21F57">
      <w:rPr>
        <w:noProof/>
        <w:lang w:val="en-AU" w:eastAsia="en-AU"/>
      </w:rPr>
      <w:drawing>
        <wp:anchor distT="0" distB="0" distL="114300" distR="114300" simplePos="0" relativeHeight="251666432" behindDoc="1" locked="1" layoutInCell="1" allowOverlap="1">
          <wp:simplePos x="0" y="0"/>
          <wp:positionH relativeFrom="page">
            <wp:posOffset>720090</wp:posOffset>
          </wp:positionH>
          <wp:positionV relativeFrom="page">
            <wp:posOffset>1584325</wp:posOffset>
          </wp:positionV>
          <wp:extent cx="3168000" cy="554400"/>
          <wp:effectExtent l="0" t="0" r="0" b="0"/>
          <wp:wrapNone/>
          <wp:docPr id="18" name="Picture 18"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anchor>
      </w:drawing>
    </w:r>
    <w:r w:rsidRPr="00D21F57">
      <w:rPr>
        <w:noProof/>
        <w:lang w:val="en-AU" w:eastAsia="en-AU"/>
      </w:rPr>
      <w:drawing>
        <wp:anchor distT="0" distB="0" distL="114300" distR="114300" simplePos="0" relativeHeight="251641856" behindDoc="1" locked="1" layoutInCell="1" allowOverlap="1">
          <wp:simplePos x="0" y="0"/>
          <wp:positionH relativeFrom="page">
            <wp:posOffset>0</wp:posOffset>
          </wp:positionH>
          <wp:positionV relativeFrom="page">
            <wp:posOffset>4892675</wp:posOffset>
          </wp:positionV>
          <wp:extent cx="5039995" cy="4180205"/>
          <wp:effectExtent l="0" t="0" r="8255" b="0"/>
          <wp:wrapNone/>
          <wp:docPr id="19" name="Picture 1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anchor>
      </w:drawing>
    </w:r>
    <w:r w:rsidRPr="00D21F57">
      <w:rPr>
        <w:noProof/>
        <w:lang w:val="en-AU" w:eastAsia="en-AU"/>
      </w:rPr>
      <w:drawing>
        <wp:anchor distT="0" distB="0" distL="114300" distR="114300" simplePos="0" relativeHeight="251648000" behindDoc="1" locked="1" layoutInCell="1" allowOverlap="1">
          <wp:simplePos x="0" y="0"/>
          <wp:positionH relativeFrom="page">
            <wp:align>left</wp:align>
          </wp:positionH>
          <wp:positionV relativeFrom="page">
            <wp:align>center</wp:align>
          </wp:positionV>
          <wp:extent cx="7559040" cy="10692765"/>
          <wp:effectExtent l="0" t="0" r="3810" b="0"/>
          <wp:wrapNone/>
          <wp:docPr id="20" name="Picture 20"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Pr="00806503" w:rsidRDefault="00E15A9B" w:rsidP="00057479">
    <w:pPr>
      <w:pStyle w:val="Classification"/>
    </w:pPr>
    <w:r w:rsidRPr="00D21F57">
      <w:rPr>
        <w:noProof/>
        <w:lang w:val="en-AU" w:eastAsia="en-AU"/>
      </w:rPr>
      <w:drawing>
        <wp:anchor distT="0" distB="0" distL="114300" distR="114300" simplePos="0" relativeHeight="251680768" behindDoc="1" locked="1" layoutInCell="1" allowOverlap="1">
          <wp:simplePos x="0" y="0"/>
          <wp:positionH relativeFrom="page">
            <wp:align>left</wp:align>
          </wp:positionH>
          <wp:positionV relativeFrom="page">
            <wp:align>center</wp:align>
          </wp:positionV>
          <wp:extent cx="7559040" cy="10692765"/>
          <wp:effectExtent l="0" t="0" r="3810" b="0"/>
          <wp:wrapNone/>
          <wp:docPr id="21" name="Picture 21"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Default="00E15A9B" w:rsidP="003A5358">
    <w:pPr>
      <w:pStyle w:val="Header"/>
    </w:pPr>
    <w:r w:rsidRPr="00D21F57">
      <w:rPr>
        <w:noProof/>
        <w:lang w:val="en-AU" w:eastAsia="en-AU"/>
      </w:rPr>
      <w:drawing>
        <wp:anchor distT="0" distB="0" distL="114300" distR="114300" simplePos="0" relativeHeight="251697152" behindDoc="1" locked="1" layoutInCell="1" allowOverlap="1">
          <wp:simplePos x="0" y="0"/>
          <wp:positionH relativeFrom="page">
            <wp:posOffset>0</wp:posOffset>
          </wp:positionH>
          <wp:positionV relativeFrom="page">
            <wp:posOffset>0</wp:posOffset>
          </wp:positionV>
          <wp:extent cx="7558405" cy="10690860"/>
          <wp:effectExtent l="0" t="0" r="4445" b="0"/>
          <wp:wrapNone/>
          <wp:docPr id="22" name="Picture 22"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Pr="00806503" w:rsidRDefault="00E15A9B" w:rsidP="00D203EB">
    <w:pPr>
      <w:pStyle w:val="Classification"/>
    </w:pPr>
    <w:r w:rsidRPr="00D21F57">
      <w:rPr>
        <w:noProof/>
        <w:lang w:val="en-AU" w:eastAsia="en-AU"/>
      </w:rPr>
      <w:drawing>
        <wp:anchor distT="0" distB="0" distL="114300" distR="114300" simplePos="0" relativeHeight="251653632" behindDoc="1" locked="1" layoutInCell="1" allowOverlap="1">
          <wp:simplePos x="0" y="0"/>
          <wp:positionH relativeFrom="page">
            <wp:align>left</wp:align>
          </wp:positionH>
          <wp:positionV relativeFrom="page">
            <wp:align>center</wp:align>
          </wp:positionV>
          <wp:extent cx="7558405" cy="10692130"/>
          <wp:effectExtent l="0" t="0" r="4445" b="0"/>
          <wp:wrapNone/>
          <wp:docPr id="26" name="Picture 2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Pr="00806503" w:rsidRDefault="00E15A9B" w:rsidP="00D203EB">
    <w:pPr>
      <w:pStyle w:val="Classification"/>
    </w:pPr>
    <w:r w:rsidRPr="00D21F57">
      <w:rPr>
        <w:noProof/>
        <w:lang w:val="en-AU" w:eastAsia="en-AU"/>
      </w:rPr>
      <w:drawing>
        <wp:anchor distT="0" distB="0" distL="114300" distR="114300" simplePos="0" relativeHeight="251654656" behindDoc="1" locked="1" layoutInCell="1" allowOverlap="1">
          <wp:simplePos x="0" y="0"/>
          <wp:positionH relativeFrom="page">
            <wp:align>left</wp:align>
          </wp:positionH>
          <wp:positionV relativeFrom="page">
            <wp:align>center</wp:align>
          </wp:positionV>
          <wp:extent cx="7558405" cy="10692130"/>
          <wp:effectExtent l="0" t="0" r="4445" b="0"/>
          <wp:wrapNone/>
          <wp:docPr id="27" name="Picture 27"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Pr="00806503" w:rsidRDefault="00E15A9B" w:rsidP="00D203EB">
    <w:pPr>
      <w:pStyle w:val="Classification"/>
    </w:pPr>
    <w:r w:rsidRPr="00D21F57">
      <w:rPr>
        <w:noProof/>
        <w:lang w:val="en-AU" w:eastAsia="en-AU"/>
      </w:rPr>
      <w:drawing>
        <wp:anchor distT="0" distB="0" distL="114300" distR="114300" simplePos="0" relativeHeight="251709440" behindDoc="1" locked="1" layoutInCell="1" allowOverlap="1">
          <wp:simplePos x="0" y="0"/>
          <wp:positionH relativeFrom="page">
            <wp:align>left</wp:align>
          </wp:positionH>
          <wp:positionV relativeFrom="page">
            <wp:align>center</wp:align>
          </wp:positionV>
          <wp:extent cx="7558405" cy="10692130"/>
          <wp:effectExtent l="0" t="0" r="4445" b="0"/>
          <wp:wrapNone/>
          <wp:docPr id="7" name="Picture 7"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9B" w:rsidRPr="00806503" w:rsidRDefault="00E15A9B" w:rsidP="00D203EB">
    <w:pPr>
      <w:pStyle w:val="Classification"/>
    </w:pPr>
    <w:r w:rsidRPr="00D21F57">
      <w:rPr>
        <w:noProof/>
        <w:lang w:val="en-AU" w:eastAsia="en-AU"/>
      </w:rPr>
      <w:drawing>
        <wp:anchor distT="0" distB="0" distL="114300" distR="114300" simplePos="0" relativeHeight="251707392" behindDoc="1" locked="1" layoutInCell="1" allowOverlap="1">
          <wp:simplePos x="0" y="0"/>
          <wp:positionH relativeFrom="page">
            <wp:align>left</wp:align>
          </wp:positionH>
          <wp:positionV relativeFrom="page">
            <wp:align>center</wp:align>
          </wp:positionV>
          <wp:extent cx="7558405" cy="10692130"/>
          <wp:effectExtent l="0" t="0" r="4445" b="0"/>
          <wp:wrapNone/>
          <wp:docPr id="6" name="Picture 6"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D0B"/>
    <w:multiLevelType w:val="hybridMultilevel"/>
    <w:tmpl w:val="10528E98"/>
    <w:lvl w:ilvl="0" w:tplc="C124367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477F35"/>
    <w:multiLevelType w:val="hybridMultilevel"/>
    <w:tmpl w:val="E63AD7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A162DB3"/>
    <w:multiLevelType w:val="hybridMultilevel"/>
    <w:tmpl w:val="D8D05B90"/>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CE2C2B"/>
    <w:multiLevelType w:val="hybridMultilevel"/>
    <w:tmpl w:val="E4D6727A"/>
    <w:lvl w:ilvl="0" w:tplc="93860590">
      <w:start w:val="1"/>
      <w:numFmt w:val="decimal"/>
      <w:lvlText w:val="%1."/>
      <w:lvlJc w:val="left"/>
      <w:pPr>
        <w:ind w:left="630" w:hanging="360"/>
      </w:pPr>
      <w:rPr>
        <w:rFonts w:cs="Times New Roman"/>
      </w:rPr>
    </w:lvl>
    <w:lvl w:ilvl="1" w:tplc="FC306806">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15:restartNumberingAfterBreak="0">
    <w:nsid w:val="0DB756E4"/>
    <w:multiLevelType w:val="hybridMultilevel"/>
    <w:tmpl w:val="6EF89E9A"/>
    <w:lvl w:ilvl="0" w:tplc="34090013">
      <w:start w:val="1"/>
      <w:numFmt w:val="upp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8B76063"/>
    <w:multiLevelType w:val="hybridMultilevel"/>
    <w:tmpl w:val="F3966F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9D7703B"/>
    <w:multiLevelType w:val="hybridMultilevel"/>
    <w:tmpl w:val="9FF89AB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9" w15:restartNumberingAfterBreak="0">
    <w:nsid w:val="1C3B42C6"/>
    <w:multiLevelType w:val="hybridMultilevel"/>
    <w:tmpl w:val="F26CD2A0"/>
    <w:lvl w:ilvl="0" w:tplc="42BCAAD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9378C1"/>
    <w:multiLevelType w:val="hybridMultilevel"/>
    <w:tmpl w:val="92D6AAB6"/>
    <w:lvl w:ilvl="0" w:tplc="2A46357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D4D36EF"/>
    <w:multiLevelType w:val="hybridMultilevel"/>
    <w:tmpl w:val="3FA286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25A1E78"/>
    <w:multiLevelType w:val="hybridMultilevel"/>
    <w:tmpl w:val="3552D8AE"/>
    <w:lvl w:ilvl="0" w:tplc="AB80F8BE">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88537EE"/>
    <w:multiLevelType w:val="hybridMultilevel"/>
    <w:tmpl w:val="2C840E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142C58"/>
    <w:multiLevelType w:val="hybridMultilevel"/>
    <w:tmpl w:val="E4BE0890"/>
    <w:lvl w:ilvl="0" w:tplc="4B70603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EB750E1"/>
    <w:multiLevelType w:val="hybridMultilevel"/>
    <w:tmpl w:val="A8CAC212"/>
    <w:lvl w:ilvl="0" w:tplc="08090017">
      <w:start w:val="1"/>
      <w:numFmt w:val="bullet"/>
      <w:lvlText w:val=""/>
      <w:lvlJc w:val="left"/>
      <w:pPr>
        <w:tabs>
          <w:tab w:val="num" w:pos="357"/>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pStyle w:val="ActionList"/>
      <w:lvlText w:val=""/>
      <w:lvlJc w:val="left"/>
      <w:pPr>
        <w:tabs>
          <w:tab w:val="num" w:pos="6480"/>
        </w:tabs>
        <w:ind w:left="6480" w:hanging="360"/>
      </w:pPr>
      <w:rPr>
        <w:rFonts w:ascii="Wingdings" w:hAnsi="Wingdings" w:hint="default"/>
      </w:rPr>
    </w:lvl>
  </w:abstractNum>
  <w:abstractNum w:abstractNumId="17"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42168C"/>
    <w:multiLevelType w:val="hybridMultilevel"/>
    <w:tmpl w:val="43F45F62"/>
    <w:lvl w:ilvl="0" w:tplc="3856C66E">
      <w:start w:val="1"/>
      <w:numFmt w:val="decimal"/>
      <w:lvlText w:val="%1."/>
      <w:lvlJc w:val="left"/>
      <w:pPr>
        <w:tabs>
          <w:tab w:val="num" w:pos="754"/>
        </w:tabs>
        <w:ind w:left="754" w:hanging="360"/>
      </w:pPr>
      <w:rPr>
        <w:rFonts w:cs="Times New Roman"/>
      </w:rPr>
    </w:lvl>
    <w:lvl w:ilvl="1" w:tplc="40090003">
      <w:numFmt w:val="none"/>
      <w:pStyle w:val="ListBullet2"/>
      <w:lvlText w:val=""/>
      <w:lvlJc w:val="left"/>
      <w:pPr>
        <w:tabs>
          <w:tab w:val="num" w:pos="360"/>
        </w:tabs>
      </w:pPr>
      <w:rPr>
        <w:rFonts w:cs="Times New Roman"/>
      </w:rPr>
    </w:lvl>
    <w:lvl w:ilvl="2" w:tplc="40090005">
      <w:numFmt w:val="none"/>
      <w:lvlText w:val=""/>
      <w:lvlJc w:val="left"/>
      <w:pPr>
        <w:tabs>
          <w:tab w:val="num" w:pos="360"/>
        </w:tabs>
      </w:pPr>
      <w:rPr>
        <w:rFonts w:cs="Times New Roman"/>
      </w:rPr>
    </w:lvl>
    <w:lvl w:ilvl="3" w:tplc="40090001">
      <w:numFmt w:val="none"/>
      <w:lvlText w:val=""/>
      <w:lvlJc w:val="left"/>
      <w:pPr>
        <w:tabs>
          <w:tab w:val="num" w:pos="360"/>
        </w:tabs>
      </w:pPr>
      <w:rPr>
        <w:rFonts w:cs="Times New Roman"/>
      </w:rPr>
    </w:lvl>
    <w:lvl w:ilvl="4" w:tplc="40090003">
      <w:numFmt w:val="none"/>
      <w:lvlText w:val=""/>
      <w:lvlJc w:val="left"/>
      <w:pPr>
        <w:tabs>
          <w:tab w:val="num" w:pos="360"/>
        </w:tabs>
      </w:pPr>
      <w:rPr>
        <w:rFonts w:cs="Times New Roman"/>
      </w:rPr>
    </w:lvl>
    <w:lvl w:ilvl="5" w:tplc="40090005">
      <w:numFmt w:val="none"/>
      <w:lvlText w:val=""/>
      <w:lvlJc w:val="left"/>
      <w:pPr>
        <w:tabs>
          <w:tab w:val="num" w:pos="360"/>
        </w:tabs>
      </w:pPr>
      <w:rPr>
        <w:rFonts w:cs="Times New Roman"/>
      </w:rPr>
    </w:lvl>
    <w:lvl w:ilvl="6" w:tplc="40090001">
      <w:numFmt w:val="none"/>
      <w:lvlText w:val=""/>
      <w:lvlJc w:val="left"/>
      <w:pPr>
        <w:tabs>
          <w:tab w:val="num" w:pos="360"/>
        </w:tabs>
      </w:pPr>
      <w:rPr>
        <w:rFonts w:cs="Times New Roman"/>
      </w:rPr>
    </w:lvl>
    <w:lvl w:ilvl="7" w:tplc="40090003">
      <w:numFmt w:val="none"/>
      <w:lvlText w:val=""/>
      <w:lvlJc w:val="left"/>
      <w:pPr>
        <w:tabs>
          <w:tab w:val="num" w:pos="360"/>
        </w:tabs>
      </w:pPr>
      <w:rPr>
        <w:rFonts w:cs="Times New Roman"/>
      </w:rPr>
    </w:lvl>
    <w:lvl w:ilvl="8" w:tplc="40090005">
      <w:numFmt w:val="none"/>
      <w:lvlText w:val=""/>
      <w:lvlJc w:val="left"/>
      <w:pPr>
        <w:tabs>
          <w:tab w:val="num" w:pos="360"/>
        </w:tabs>
      </w:pPr>
      <w:rPr>
        <w:rFonts w:cs="Times New Roman"/>
      </w:rPr>
    </w:lvl>
  </w:abstractNum>
  <w:abstractNum w:abstractNumId="19" w15:restartNumberingAfterBreak="0">
    <w:nsid w:val="3E852566"/>
    <w:multiLevelType w:val="hybridMultilevel"/>
    <w:tmpl w:val="C924FA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7863419"/>
    <w:multiLevelType w:val="hybridMultilevel"/>
    <w:tmpl w:val="D1D6AF4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8FE7CB3"/>
    <w:multiLevelType w:val="hybridMultilevel"/>
    <w:tmpl w:val="5CA453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49B7289C"/>
    <w:multiLevelType w:val="hybridMultilevel"/>
    <w:tmpl w:val="22B02D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BD44A82"/>
    <w:multiLevelType w:val="hybridMultilevel"/>
    <w:tmpl w:val="3F7E1AF4"/>
    <w:lvl w:ilvl="0" w:tplc="315AC8D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7274C1"/>
    <w:multiLevelType w:val="multilevel"/>
    <w:tmpl w:val="08586570"/>
    <w:lvl w:ilvl="0">
      <w:start w:val="1"/>
      <w:numFmt w:val="decimal"/>
      <w:pStyle w:val="BodyText2"/>
      <w:lvlText w:val="%1."/>
      <w:lvlJc w:val="left"/>
      <w:pPr>
        <w:tabs>
          <w:tab w:val="num" w:pos="454"/>
        </w:tabs>
      </w:pPr>
      <w:rPr>
        <w:rFonts w:cs="Times New Roman" w:hint="default"/>
        <w:b w:val="0"/>
        <w:i w:val="0"/>
        <w:sz w:val="22"/>
        <w:szCs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E0027E0"/>
    <w:multiLevelType w:val="hybridMultilevel"/>
    <w:tmpl w:val="04685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6842AB"/>
    <w:multiLevelType w:val="hybridMultilevel"/>
    <w:tmpl w:val="9474BB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CA2C3C"/>
    <w:multiLevelType w:val="singleLevel"/>
    <w:tmpl w:val="B0A05BDE"/>
    <w:lvl w:ilvl="0">
      <w:start w:val="1"/>
      <w:numFmt w:val="bullet"/>
      <w:lvlRestart w:val="0"/>
      <w:pStyle w:val="Tiret0"/>
      <w:lvlText w:val="–"/>
      <w:lvlJc w:val="left"/>
      <w:pPr>
        <w:tabs>
          <w:tab w:val="num" w:pos="850"/>
        </w:tabs>
        <w:ind w:left="850" w:hanging="850"/>
      </w:pPr>
    </w:lvl>
  </w:abstractNum>
  <w:abstractNum w:abstractNumId="28" w15:restartNumberingAfterBreak="0">
    <w:nsid w:val="54A622B5"/>
    <w:multiLevelType w:val="hybridMultilevel"/>
    <w:tmpl w:val="520AAB84"/>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E86363"/>
    <w:multiLevelType w:val="hybridMultilevel"/>
    <w:tmpl w:val="0BA294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7AA4F22"/>
    <w:multiLevelType w:val="hybridMultilevel"/>
    <w:tmpl w:val="30D0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9863AF5"/>
    <w:multiLevelType w:val="hybridMultilevel"/>
    <w:tmpl w:val="2C52BC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C6673ED"/>
    <w:multiLevelType w:val="multilevel"/>
    <w:tmpl w:val="EB329CB0"/>
    <w:numStyleLink w:val="BulletsList"/>
  </w:abstractNum>
  <w:abstractNum w:abstractNumId="3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F4512D9"/>
    <w:multiLevelType w:val="hybridMultilevel"/>
    <w:tmpl w:val="91DC34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68AA21EF"/>
    <w:multiLevelType w:val="hybridMultilevel"/>
    <w:tmpl w:val="31AE45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9541C4B"/>
    <w:multiLevelType w:val="hybridMultilevel"/>
    <w:tmpl w:val="44025A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A324DC3"/>
    <w:multiLevelType w:val="hybridMultilevel"/>
    <w:tmpl w:val="0A84C26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A5A5460"/>
    <w:multiLevelType w:val="hybridMultilevel"/>
    <w:tmpl w:val="6ABE845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C3C14D0"/>
    <w:multiLevelType w:val="hybridMultilevel"/>
    <w:tmpl w:val="3BFC810A"/>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1" w15:restartNumberingAfterBreak="0">
    <w:nsid w:val="727D05EA"/>
    <w:multiLevelType w:val="hybridMultilevel"/>
    <w:tmpl w:val="097C3BEE"/>
    <w:lvl w:ilvl="0" w:tplc="E522D1D6">
      <w:start w:val="1"/>
      <w:numFmt w:val="bullet"/>
      <w:lvlText w:val=""/>
      <w:lvlJc w:val="left"/>
      <w:pPr>
        <w:tabs>
          <w:tab w:val="num" w:pos="357"/>
        </w:tabs>
        <w:ind w:left="357" w:hanging="357"/>
      </w:pPr>
      <w:rPr>
        <w:rFonts w:ascii="Symbol" w:hAnsi="Symbol" w:hint="default"/>
      </w:rPr>
    </w:lvl>
    <w:lvl w:ilvl="1" w:tplc="AAFCF214">
      <w:start w:val="1"/>
      <w:numFmt w:val="bullet"/>
      <w:lvlText w:val="o"/>
      <w:lvlJc w:val="left"/>
      <w:pPr>
        <w:tabs>
          <w:tab w:val="num" w:pos="1440"/>
        </w:tabs>
        <w:ind w:left="1440" w:hanging="360"/>
      </w:pPr>
      <w:rPr>
        <w:rFonts w:ascii="Courier New" w:hAnsi="Courier New" w:hint="default"/>
      </w:rPr>
    </w:lvl>
    <w:lvl w:ilvl="2" w:tplc="89C85A24">
      <w:start w:val="1"/>
      <w:numFmt w:val="bullet"/>
      <w:lvlText w:val=""/>
      <w:lvlJc w:val="left"/>
      <w:pPr>
        <w:tabs>
          <w:tab w:val="num" w:pos="2160"/>
        </w:tabs>
        <w:ind w:left="2160" w:hanging="360"/>
      </w:pPr>
      <w:rPr>
        <w:rFonts w:ascii="Wingdings" w:hAnsi="Wingdings" w:hint="default"/>
      </w:rPr>
    </w:lvl>
    <w:lvl w:ilvl="3" w:tplc="88D83DEE">
      <w:start w:val="1"/>
      <w:numFmt w:val="bullet"/>
      <w:lvlText w:val=""/>
      <w:lvlJc w:val="left"/>
      <w:pPr>
        <w:tabs>
          <w:tab w:val="num" w:pos="2880"/>
        </w:tabs>
        <w:ind w:left="2880" w:hanging="360"/>
      </w:pPr>
      <w:rPr>
        <w:rFonts w:ascii="Symbol" w:hAnsi="Symbol" w:hint="default"/>
      </w:rPr>
    </w:lvl>
    <w:lvl w:ilvl="4" w:tplc="5D48F3A8">
      <w:start w:val="1"/>
      <w:numFmt w:val="bullet"/>
      <w:lvlText w:val="o"/>
      <w:lvlJc w:val="left"/>
      <w:pPr>
        <w:tabs>
          <w:tab w:val="num" w:pos="3600"/>
        </w:tabs>
        <w:ind w:left="3600" w:hanging="360"/>
      </w:pPr>
      <w:rPr>
        <w:rFonts w:ascii="Courier New" w:hAnsi="Courier New" w:hint="default"/>
      </w:rPr>
    </w:lvl>
    <w:lvl w:ilvl="5" w:tplc="F83EEF3E">
      <w:start w:val="1"/>
      <w:numFmt w:val="bullet"/>
      <w:lvlText w:val=""/>
      <w:lvlJc w:val="left"/>
      <w:pPr>
        <w:tabs>
          <w:tab w:val="num" w:pos="4320"/>
        </w:tabs>
        <w:ind w:left="4320" w:hanging="360"/>
      </w:pPr>
      <w:rPr>
        <w:rFonts w:ascii="Wingdings" w:hAnsi="Wingdings" w:hint="default"/>
      </w:rPr>
    </w:lvl>
    <w:lvl w:ilvl="6" w:tplc="A344D462">
      <w:start w:val="1"/>
      <w:numFmt w:val="bullet"/>
      <w:lvlText w:val=""/>
      <w:lvlJc w:val="left"/>
      <w:pPr>
        <w:tabs>
          <w:tab w:val="num" w:pos="5040"/>
        </w:tabs>
        <w:ind w:left="5040" w:hanging="360"/>
      </w:pPr>
      <w:rPr>
        <w:rFonts w:ascii="Symbol" w:hAnsi="Symbol" w:hint="default"/>
      </w:rPr>
    </w:lvl>
    <w:lvl w:ilvl="7" w:tplc="3D403DB4">
      <w:start w:val="1"/>
      <w:numFmt w:val="bullet"/>
      <w:lvlText w:val="o"/>
      <w:lvlJc w:val="left"/>
      <w:pPr>
        <w:tabs>
          <w:tab w:val="num" w:pos="5760"/>
        </w:tabs>
        <w:ind w:left="5760" w:hanging="360"/>
      </w:pPr>
      <w:rPr>
        <w:rFonts w:ascii="Courier New" w:hAnsi="Courier New" w:hint="default"/>
      </w:rPr>
    </w:lvl>
    <w:lvl w:ilvl="8" w:tplc="98D6EB4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107305"/>
    <w:multiLevelType w:val="multilevel"/>
    <w:tmpl w:val="EB329CB0"/>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3" w15:restartNumberingAfterBreak="0">
    <w:nsid w:val="73D16A96"/>
    <w:multiLevelType w:val="multilevel"/>
    <w:tmpl w:val="80025960"/>
    <w:lvl w:ilvl="0">
      <w:start w:val="1"/>
      <w:numFmt w:val="lowerLetter"/>
      <w:lvlText w:val="%1)"/>
      <w:lvlJc w:val="left"/>
      <w:pPr>
        <w:ind w:left="720"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299" w:hanging="1440"/>
      </w:pPr>
      <w:rPr>
        <w:rFonts w:hint="default"/>
      </w:rPr>
    </w:lvl>
    <w:lvl w:ilvl="8">
      <w:start w:val="1"/>
      <w:numFmt w:val="decimal"/>
      <w:isLgl/>
      <w:lvlText w:val="%1.%2.%3.%4.%5.%6.%7.%8.%9"/>
      <w:lvlJc w:val="left"/>
      <w:pPr>
        <w:ind w:left="5016" w:hanging="1800"/>
      </w:pPr>
      <w:rPr>
        <w:rFonts w:hint="default"/>
      </w:rPr>
    </w:lvl>
  </w:abstractNum>
  <w:abstractNum w:abstractNumId="44" w15:restartNumberingAfterBreak="0">
    <w:nsid w:val="76893183"/>
    <w:multiLevelType w:val="hybridMultilevel"/>
    <w:tmpl w:val="326E1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BB103A3"/>
    <w:multiLevelType w:val="hybridMultilevel"/>
    <w:tmpl w:val="68224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EB671CA"/>
    <w:multiLevelType w:val="multilevel"/>
    <w:tmpl w:val="4E64EA3C"/>
    <w:lvl w:ilvl="0">
      <w:start w:val="1"/>
      <w:numFmt w:val="decimal"/>
      <w:pStyle w:val="Area"/>
      <w:lvlText w:val="B%1."/>
      <w:lvlJc w:val="left"/>
      <w:pPr>
        <w:tabs>
          <w:tab w:val="num" w:pos="0"/>
        </w:tabs>
      </w:pPr>
      <w:rPr>
        <w:rFonts w:cs="Times New Roman" w:hint="default"/>
        <w:b w:val="0"/>
        <w:i w:val="0"/>
        <w:sz w:val="17"/>
        <w:szCs w:val="17"/>
      </w:rPr>
    </w:lvl>
    <w:lvl w:ilvl="1">
      <w:start w:val="1"/>
      <w:numFmt w:val="decimal"/>
      <w:suff w:val="nothing"/>
      <w:lvlText w:val="%1%2. "/>
      <w:lvlJc w:val="left"/>
      <w:pPr>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upperLetter"/>
      <w:pStyle w:val="BlockText"/>
      <w:suff w:val="nothing"/>
      <w:lvlText w:val="%8. "/>
      <w:lvlJc w:val="left"/>
      <w:rPr>
        <w:rFonts w:cs="Times New Roman" w:hint="default"/>
      </w:rPr>
    </w:lvl>
    <w:lvl w:ilvl="8">
      <w:start w:val="1"/>
      <w:numFmt w:val="decimal"/>
      <w:pStyle w:val="Area"/>
      <w:suff w:val="nothing"/>
      <w:lvlText w:val="A%9."/>
      <w:lvlJc w:val="left"/>
      <w:rPr>
        <w:rFonts w:cs="Times New Roman" w:hint="default"/>
        <w:b w:val="0"/>
        <w:i w:val="0"/>
        <w:caps w:val="0"/>
        <w:strike w:val="0"/>
        <w:dstrike w:val="0"/>
        <w:vanish w:val="0"/>
        <w:sz w:val="20"/>
        <w:vertAlign w:val="baseline"/>
      </w:rPr>
    </w:lvl>
  </w:abstractNum>
  <w:num w:numId="1">
    <w:abstractNumId w:val="42"/>
  </w:num>
  <w:num w:numId="2">
    <w:abstractNumId w:val="3"/>
  </w:num>
  <w:num w:numId="3">
    <w:abstractNumId w:val="15"/>
  </w:num>
  <w:num w:numId="4">
    <w:abstractNumId w:val="31"/>
  </w:num>
  <w:num w:numId="5">
    <w:abstractNumId w:val="34"/>
  </w:num>
  <w:num w:numId="6">
    <w:abstractNumId w:val="3"/>
  </w:num>
  <w:num w:numId="7">
    <w:abstractNumId w:val="15"/>
  </w:num>
  <w:num w:numId="8">
    <w:abstractNumId w:val="6"/>
  </w:num>
  <w:num w:numId="9">
    <w:abstractNumId w:val="45"/>
  </w:num>
  <w:num w:numId="10">
    <w:abstractNumId w:val="33"/>
  </w:num>
  <w:num w:numId="11">
    <w:abstractNumId w:val="18"/>
  </w:num>
  <w:num w:numId="12">
    <w:abstractNumId w:val="27"/>
  </w:num>
  <w:num w:numId="13">
    <w:abstractNumId w:val="47"/>
  </w:num>
  <w:num w:numId="14">
    <w:abstractNumId w:val="16"/>
  </w:num>
  <w:num w:numId="15">
    <w:abstractNumId w:val="4"/>
  </w:num>
  <w:num w:numId="16">
    <w:abstractNumId w:val="41"/>
  </w:num>
  <w:num w:numId="17">
    <w:abstractNumId w:val="24"/>
  </w:num>
  <w:num w:numId="18">
    <w:abstractNumId w:val="13"/>
  </w:num>
  <w:num w:numId="19">
    <w:abstractNumId w:val="17"/>
  </w:num>
  <w:num w:numId="20">
    <w:abstractNumId w:val="37"/>
  </w:num>
  <w:num w:numId="21">
    <w:abstractNumId w:val="8"/>
  </w:num>
  <w:num w:numId="22">
    <w:abstractNumId w:val="46"/>
  </w:num>
  <w:num w:numId="23">
    <w:abstractNumId w:val="26"/>
  </w:num>
  <w:num w:numId="24">
    <w:abstractNumId w:val="44"/>
  </w:num>
  <w:num w:numId="25">
    <w:abstractNumId w:val="28"/>
  </w:num>
  <w:num w:numId="26">
    <w:abstractNumId w:val="30"/>
  </w:num>
  <w:num w:numId="27">
    <w:abstractNumId w:val="9"/>
  </w:num>
  <w:num w:numId="28">
    <w:abstractNumId w:val="25"/>
  </w:num>
  <w:num w:numId="29">
    <w:abstractNumId w:val="40"/>
  </w:num>
  <w:num w:numId="30">
    <w:abstractNumId w:val="43"/>
  </w:num>
  <w:num w:numId="31">
    <w:abstractNumId w:val="23"/>
  </w:num>
  <w:num w:numId="32">
    <w:abstractNumId w:val="19"/>
  </w:num>
  <w:num w:numId="33">
    <w:abstractNumId w:val="5"/>
  </w:num>
  <w:num w:numId="34">
    <w:abstractNumId w:val="2"/>
  </w:num>
  <w:num w:numId="35">
    <w:abstractNumId w:val="22"/>
  </w:num>
  <w:num w:numId="36">
    <w:abstractNumId w:val="21"/>
  </w:num>
  <w:num w:numId="37">
    <w:abstractNumId w:val="12"/>
  </w:num>
  <w:num w:numId="38">
    <w:abstractNumId w:val="35"/>
  </w:num>
  <w:num w:numId="39">
    <w:abstractNumId w:val="11"/>
  </w:num>
  <w:num w:numId="40">
    <w:abstractNumId w:val="0"/>
  </w:num>
  <w:num w:numId="41">
    <w:abstractNumId w:val="14"/>
  </w:num>
  <w:num w:numId="42">
    <w:abstractNumId w:val="10"/>
  </w:num>
  <w:num w:numId="43">
    <w:abstractNumId w:val="32"/>
  </w:num>
  <w:num w:numId="44">
    <w:abstractNumId w:val="36"/>
  </w:num>
  <w:num w:numId="45">
    <w:abstractNumId w:val="1"/>
  </w:num>
  <w:num w:numId="46">
    <w:abstractNumId w:val="20"/>
  </w:num>
  <w:num w:numId="47">
    <w:abstractNumId w:val="39"/>
  </w:num>
  <w:num w:numId="48">
    <w:abstractNumId w:val="38"/>
  </w:num>
  <w:num w:numId="49">
    <w:abstractNumId w:val="7"/>
  </w:num>
  <w:num w:numId="5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0B785F"/>
    <w:rsid w:val="0000299A"/>
    <w:rsid w:val="000120C6"/>
    <w:rsid w:val="00013F0E"/>
    <w:rsid w:val="00016888"/>
    <w:rsid w:val="00017607"/>
    <w:rsid w:val="0002080A"/>
    <w:rsid w:val="00021A0B"/>
    <w:rsid w:val="00022487"/>
    <w:rsid w:val="00022C17"/>
    <w:rsid w:val="00025CD1"/>
    <w:rsid w:val="00027287"/>
    <w:rsid w:val="0002782F"/>
    <w:rsid w:val="000353A5"/>
    <w:rsid w:val="00035534"/>
    <w:rsid w:val="000356C3"/>
    <w:rsid w:val="0003608C"/>
    <w:rsid w:val="00037905"/>
    <w:rsid w:val="000473C2"/>
    <w:rsid w:val="000509B7"/>
    <w:rsid w:val="00051464"/>
    <w:rsid w:val="00051A6E"/>
    <w:rsid w:val="000524C5"/>
    <w:rsid w:val="0005353D"/>
    <w:rsid w:val="00054E4D"/>
    <w:rsid w:val="000554FE"/>
    <w:rsid w:val="00057479"/>
    <w:rsid w:val="00057FFD"/>
    <w:rsid w:val="00060073"/>
    <w:rsid w:val="00062D48"/>
    <w:rsid w:val="00064E24"/>
    <w:rsid w:val="00066AB7"/>
    <w:rsid w:val="00066B69"/>
    <w:rsid w:val="00067A03"/>
    <w:rsid w:val="00071394"/>
    <w:rsid w:val="00073D0F"/>
    <w:rsid w:val="00081E4C"/>
    <w:rsid w:val="000828F6"/>
    <w:rsid w:val="0008387A"/>
    <w:rsid w:val="0008573D"/>
    <w:rsid w:val="00085FBC"/>
    <w:rsid w:val="0008614C"/>
    <w:rsid w:val="0009146E"/>
    <w:rsid w:val="00093DBD"/>
    <w:rsid w:val="00094F84"/>
    <w:rsid w:val="000A1774"/>
    <w:rsid w:val="000A76BE"/>
    <w:rsid w:val="000A7C41"/>
    <w:rsid w:val="000B05E1"/>
    <w:rsid w:val="000B0DD8"/>
    <w:rsid w:val="000B0F05"/>
    <w:rsid w:val="000B3155"/>
    <w:rsid w:val="000B321A"/>
    <w:rsid w:val="000B597E"/>
    <w:rsid w:val="000B71A1"/>
    <w:rsid w:val="000B785F"/>
    <w:rsid w:val="000C146B"/>
    <w:rsid w:val="000C1BEB"/>
    <w:rsid w:val="000C71CA"/>
    <w:rsid w:val="000D0F1B"/>
    <w:rsid w:val="000D1BBE"/>
    <w:rsid w:val="000D2F01"/>
    <w:rsid w:val="000D3563"/>
    <w:rsid w:val="000D7487"/>
    <w:rsid w:val="000E3C8C"/>
    <w:rsid w:val="000E4221"/>
    <w:rsid w:val="000E4F33"/>
    <w:rsid w:val="000E527D"/>
    <w:rsid w:val="000E79F6"/>
    <w:rsid w:val="000F4424"/>
    <w:rsid w:val="000F5439"/>
    <w:rsid w:val="000F553A"/>
    <w:rsid w:val="001022E6"/>
    <w:rsid w:val="00102316"/>
    <w:rsid w:val="0010633A"/>
    <w:rsid w:val="00106AEA"/>
    <w:rsid w:val="0011150E"/>
    <w:rsid w:val="0011229E"/>
    <w:rsid w:val="001124E2"/>
    <w:rsid w:val="00117314"/>
    <w:rsid w:val="001250CF"/>
    <w:rsid w:val="00125F57"/>
    <w:rsid w:val="00126AEB"/>
    <w:rsid w:val="00134228"/>
    <w:rsid w:val="00135D5D"/>
    <w:rsid w:val="00141E3E"/>
    <w:rsid w:val="00150EB4"/>
    <w:rsid w:val="00152DEB"/>
    <w:rsid w:val="001541EA"/>
    <w:rsid w:val="00155188"/>
    <w:rsid w:val="00157C34"/>
    <w:rsid w:val="001626E9"/>
    <w:rsid w:val="0017551A"/>
    <w:rsid w:val="00175F18"/>
    <w:rsid w:val="00176305"/>
    <w:rsid w:val="001766FE"/>
    <w:rsid w:val="00184870"/>
    <w:rsid w:val="001849E3"/>
    <w:rsid w:val="00184EC2"/>
    <w:rsid w:val="00187F6D"/>
    <w:rsid w:val="001913CF"/>
    <w:rsid w:val="00195C4D"/>
    <w:rsid w:val="001A0ADF"/>
    <w:rsid w:val="001A0E44"/>
    <w:rsid w:val="001B1D38"/>
    <w:rsid w:val="001B4C49"/>
    <w:rsid w:val="001B62AA"/>
    <w:rsid w:val="001C013B"/>
    <w:rsid w:val="001C0274"/>
    <w:rsid w:val="001C1298"/>
    <w:rsid w:val="001C61DC"/>
    <w:rsid w:val="001C763C"/>
    <w:rsid w:val="001D5B7F"/>
    <w:rsid w:val="001D6066"/>
    <w:rsid w:val="001D663E"/>
    <w:rsid w:val="001E1DC0"/>
    <w:rsid w:val="001E3060"/>
    <w:rsid w:val="001E7F13"/>
    <w:rsid w:val="001F0A34"/>
    <w:rsid w:val="001F2451"/>
    <w:rsid w:val="001F4DC0"/>
    <w:rsid w:val="001F4E41"/>
    <w:rsid w:val="00203BF7"/>
    <w:rsid w:val="00205A32"/>
    <w:rsid w:val="00206EA7"/>
    <w:rsid w:val="002122E4"/>
    <w:rsid w:val="0022186C"/>
    <w:rsid w:val="00221DB0"/>
    <w:rsid w:val="00224064"/>
    <w:rsid w:val="002304AB"/>
    <w:rsid w:val="00235986"/>
    <w:rsid w:val="0024014E"/>
    <w:rsid w:val="0024127C"/>
    <w:rsid w:val="00241728"/>
    <w:rsid w:val="002427D6"/>
    <w:rsid w:val="00244E74"/>
    <w:rsid w:val="00245B28"/>
    <w:rsid w:val="0024653B"/>
    <w:rsid w:val="0025547E"/>
    <w:rsid w:val="00260B9D"/>
    <w:rsid w:val="00262392"/>
    <w:rsid w:val="00265A04"/>
    <w:rsid w:val="002666C0"/>
    <w:rsid w:val="00270FAD"/>
    <w:rsid w:val="00271503"/>
    <w:rsid w:val="00273433"/>
    <w:rsid w:val="002743A7"/>
    <w:rsid w:val="002746E1"/>
    <w:rsid w:val="00274EDF"/>
    <w:rsid w:val="00276B76"/>
    <w:rsid w:val="00283DDE"/>
    <w:rsid w:val="0028602A"/>
    <w:rsid w:val="002902F0"/>
    <w:rsid w:val="002924FA"/>
    <w:rsid w:val="00292CD1"/>
    <w:rsid w:val="00293535"/>
    <w:rsid w:val="00295AD8"/>
    <w:rsid w:val="002A0689"/>
    <w:rsid w:val="002A0DD5"/>
    <w:rsid w:val="002A1454"/>
    <w:rsid w:val="002A2914"/>
    <w:rsid w:val="002A2E7E"/>
    <w:rsid w:val="002C2A1C"/>
    <w:rsid w:val="002C2BB7"/>
    <w:rsid w:val="002C481F"/>
    <w:rsid w:val="002C55E2"/>
    <w:rsid w:val="002D484F"/>
    <w:rsid w:val="002D59DA"/>
    <w:rsid w:val="002E5762"/>
    <w:rsid w:val="002E7CCD"/>
    <w:rsid w:val="003002C0"/>
    <w:rsid w:val="00301144"/>
    <w:rsid w:val="00307AA3"/>
    <w:rsid w:val="00311819"/>
    <w:rsid w:val="00311C3F"/>
    <w:rsid w:val="003148B7"/>
    <w:rsid w:val="003158C3"/>
    <w:rsid w:val="0031678A"/>
    <w:rsid w:val="00322A8A"/>
    <w:rsid w:val="0032309A"/>
    <w:rsid w:val="00324F0D"/>
    <w:rsid w:val="003274CD"/>
    <w:rsid w:val="00333501"/>
    <w:rsid w:val="00344A0D"/>
    <w:rsid w:val="003457C4"/>
    <w:rsid w:val="00347BE8"/>
    <w:rsid w:val="0035119D"/>
    <w:rsid w:val="003567C7"/>
    <w:rsid w:val="00361A95"/>
    <w:rsid w:val="00363B3C"/>
    <w:rsid w:val="00377443"/>
    <w:rsid w:val="00377749"/>
    <w:rsid w:val="00381DB5"/>
    <w:rsid w:val="00387162"/>
    <w:rsid w:val="00393DBA"/>
    <w:rsid w:val="0039520B"/>
    <w:rsid w:val="003A5358"/>
    <w:rsid w:val="003B3D32"/>
    <w:rsid w:val="003B4049"/>
    <w:rsid w:val="003B4F12"/>
    <w:rsid w:val="003B71EC"/>
    <w:rsid w:val="003C39C7"/>
    <w:rsid w:val="003D6957"/>
    <w:rsid w:val="003E0442"/>
    <w:rsid w:val="003E156A"/>
    <w:rsid w:val="003E38A6"/>
    <w:rsid w:val="003E53EB"/>
    <w:rsid w:val="003F021A"/>
    <w:rsid w:val="003F546F"/>
    <w:rsid w:val="003F6D89"/>
    <w:rsid w:val="003F7A0A"/>
    <w:rsid w:val="00405642"/>
    <w:rsid w:val="00407B2C"/>
    <w:rsid w:val="00407EDF"/>
    <w:rsid w:val="00410145"/>
    <w:rsid w:val="00415CF8"/>
    <w:rsid w:val="00415E43"/>
    <w:rsid w:val="004168F7"/>
    <w:rsid w:val="004215E7"/>
    <w:rsid w:val="00422BD3"/>
    <w:rsid w:val="004230ED"/>
    <w:rsid w:val="0042382E"/>
    <w:rsid w:val="00423F31"/>
    <w:rsid w:val="00425CB9"/>
    <w:rsid w:val="00426C51"/>
    <w:rsid w:val="00431899"/>
    <w:rsid w:val="004331E9"/>
    <w:rsid w:val="004378E0"/>
    <w:rsid w:val="00440229"/>
    <w:rsid w:val="00441FED"/>
    <w:rsid w:val="00445272"/>
    <w:rsid w:val="0046192F"/>
    <w:rsid w:val="004673DA"/>
    <w:rsid w:val="00467695"/>
    <w:rsid w:val="00467AF5"/>
    <w:rsid w:val="00470E2A"/>
    <w:rsid w:val="00474FD3"/>
    <w:rsid w:val="00475A74"/>
    <w:rsid w:val="00477E6A"/>
    <w:rsid w:val="0048133C"/>
    <w:rsid w:val="00482E98"/>
    <w:rsid w:val="004858D2"/>
    <w:rsid w:val="00486804"/>
    <w:rsid w:val="00487BAE"/>
    <w:rsid w:val="00491B1A"/>
    <w:rsid w:val="00494563"/>
    <w:rsid w:val="00495B64"/>
    <w:rsid w:val="00495F8E"/>
    <w:rsid w:val="004962DF"/>
    <w:rsid w:val="004A23B0"/>
    <w:rsid w:val="004A34EB"/>
    <w:rsid w:val="004A475A"/>
    <w:rsid w:val="004A79FB"/>
    <w:rsid w:val="004B0CA0"/>
    <w:rsid w:val="004B1F57"/>
    <w:rsid w:val="004B3775"/>
    <w:rsid w:val="004B6A05"/>
    <w:rsid w:val="004B7D57"/>
    <w:rsid w:val="004C1531"/>
    <w:rsid w:val="004C198E"/>
    <w:rsid w:val="004C4F2A"/>
    <w:rsid w:val="004C7846"/>
    <w:rsid w:val="004D0AEE"/>
    <w:rsid w:val="004D336E"/>
    <w:rsid w:val="004D4ED8"/>
    <w:rsid w:val="004D5FA7"/>
    <w:rsid w:val="004D633C"/>
    <w:rsid w:val="004D7BDD"/>
    <w:rsid w:val="004E058F"/>
    <w:rsid w:val="004E10BC"/>
    <w:rsid w:val="004E2609"/>
    <w:rsid w:val="004E260F"/>
    <w:rsid w:val="004E3B87"/>
    <w:rsid w:val="004E58D8"/>
    <w:rsid w:val="004E5A5E"/>
    <w:rsid w:val="004E672C"/>
    <w:rsid w:val="004E753C"/>
    <w:rsid w:val="004F0B1A"/>
    <w:rsid w:val="004F1234"/>
    <w:rsid w:val="004F18C7"/>
    <w:rsid w:val="00501EA3"/>
    <w:rsid w:val="00503EA4"/>
    <w:rsid w:val="0050405D"/>
    <w:rsid w:val="00510921"/>
    <w:rsid w:val="00510AD3"/>
    <w:rsid w:val="00513348"/>
    <w:rsid w:val="00515D36"/>
    <w:rsid w:val="00520C8E"/>
    <w:rsid w:val="00520DB6"/>
    <w:rsid w:val="005211A8"/>
    <w:rsid w:val="00521B15"/>
    <w:rsid w:val="00523C40"/>
    <w:rsid w:val="00527A16"/>
    <w:rsid w:val="00530B1F"/>
    <w:rsid w:val="00531CD2"/>
    <w:rsid w:val="00533B5D"/>
    <w:rsid w:val="00533E1A"/>
    <w:rsid w:val="005540DD"/>
    <w:rsid w:val="00556662"/>
    <w:rsid w:val="00563710"/>
    <w:rsid w:val="005646A5"/>
    <w:rsid w:val="00577E57"/>
    <w:rsid w:val="005834D7"/>
    <w:rsid w:val="005840A0"/>
    <w:rsid w:val="0058458D"/>
    <w:rsid w:val="00590839"/>
    <w:rsid w:val="00596296"/>
    <w:rsid w:val="00596DED"/>
    <w:rsid w:val="005A032E"/>
    <w:rsid w:val="005A7235"/>
    <w:rsid w:val="005B1BE8"/>
    <w:rsid w:val="005B583F"/>
    <w:rsid w:val="005B5A76"/>
    <w:rsid w:val="005C59D7"/>
    <w:rsid w:val="005D12BA"/>
    <w:rsid w:val="005D1B3D"/>
    <w:rsid w:val="005D745B"/>
    <w:rsid w:val="005D7BC5"/>
    <w:rsid w:val="005E1173"/>
    <w:rsid w:val="005E712E"/>
    <w:rsid w:val="005F3EA2"/>
    <w:rsid w:val="005F471B"/>
    <w:rsid w:val="005F77F2"/>
    <w:rsid w:val="00600F21"/>
    <w:rsid w:val="00605A6A"/>
    <w:rsid w:val="0060695A"/>
    <w:rsid w:val="006078E9"/>
    <w:rsid w:val="00617926"/>
    <w:rsid w:val="00623BA1"/>
    <w:rsid w:val="00624876"/>
    <w:rsid w:val="00626702"/>
    <w:rsid w:val="00627558"/>
    <w:rsid w:val="006346BC"/>
    <w:rsid w:val="006347D6"/>
    <w:rsid w:val="00641038"/>
    <w:rsid w:val="00646BF3"/>
    <w:rsid w:val="00654E67"/>
    <w:rsid w:val="00655169"/>
    <w:rsid w:val="00660AF5"/>
    <w:rsid w:val="00662C67"/>
    <w:rsid w:val="0066652A"/>
    <w:rsid w:val="006729F0"/>
    <w:rsid w:val="0067343C"/>
    <w:rsid w:val="00673B1A"/>
    <w:rsid w:val="00675F48"/>
    <w:rsid w:val="0067759E"/>
    <w:rsid w:val="00677F1F"/>
    <w:rsid w:val="00682167"/>
    <w:rsid w:val="006827B5"/>
    <w:rsid w:val="00687B3B"/>
    <w:rsid w:val="0069746B"/>
    <w:rsid w:val="006A2A74"/>
    <w:rsid w:val="006B0E2A"/>
    <w:rsid w:val="006B33E3"/>
    <w:rsid w:val="006B3BD4"/>
    <w:rsid w:val="006C35B5"/>
    <w:rsid w:val="006C3DEA"/>
    <w:rsid w:val="006C42AF"/>
    <w:rsid w:val="006C483E"/>
    <w:rsid w:val="006C5E5B"/>
    <w:rsid w:val="006C6918"/>
    <w:rsid w:val="006C756A"/>
    <w:rsid w:val="006C76AD"/>
    <w:rsid w:val="006C7AD6"/>
    <w:rsid w:val="006D689A"/>
    <w:rsid w:val="006D7B99"/>
    <w:rsid w:val="006E105B"/>
    <w:rsid w:val="006E2A12"/>
    <w:rsid w:val="006E6853"/>
    <w:rsid w:val="006E78C6"/>
    <w:rsid w:val="006F0606"/>
    <w:rsid w:val="006F4DBF"/>
    <w:rsid w:val="00700B3A"/>
    <w:rsid w:val="00702A41"/>
    <w:rsid w:val="007038EC"/>
    <w:rsid w:val="00704E11"/>
    <w:rsid w:val="007055D9"/>
    <w:rsid w:val="0071086E"/>
    <w:rsid w:val="00711D8E"/>
    <w:rsid w:val="00712672"/>
    <w:rsid w:val="00720B2D"/>
    <w:rsid w:val="007241DD"/>
    <w:rsid w:val="00732779"/>
    <w:rsid w:val="00734E3F"/>
    <w:rsid w:val="00736985"/>
    <w:rsid w:val="00741A86"/>
    <w:rsid w:val="007444CC"/>
    <w:rsid w:val="007451A7"/>
    <w:rsid w:val="00745DF5"/>
    <w:rsid w:val="00750A6C"/>
    <w:rsid w:val="00750DBA"/>
    <w:rsid w:val="00750F7D"/>
    <w:rsid w:val="007528E1"/>
    <w:rsid w:val="007554E6"/>
    <w:rsid w:val="00756044"/>
    <w:rsid w:val="00760D4D"/>
    <w:rsid w:val="00761FBB"/>
    <w:rsid w:val="007675D1"/>
    <w:rsid w:val="0077286B"/>
    <w:rsid w:val="00774489"/>
    <w:rsid w:val="00777096"/>
    <w:rsid w:val="00783F6A"/>
    <w:rsid w:val="007868C3"/>
    <w:rsid w:val="00795590"/>
    <w:rsid w:val="0079738A"/>
    <w:rsid w:val="007A1EC3"/>
    <w:rsid w:val="007A2DCB"/>
    <w:rsid w:val="007B177D"/>
    <w:rsid w:val="007B52F6"/>
    <w:rsid w:val="007B6176"/>
    <w:rsid w:val="007B6200"/>
    <w:rsid w:val="007B6218"/>
    <w:rsid w:val="007B77A7"/>
    <w:rsid w:val="007C5FEE"/>
    <w:rsid w:val="007C6CBC"/>
    <w:rsid w:val="007C72BD"/>
    <w:rsid w:val="007D1D8A"/>
    <w:rsid w:val="007D6733"/>
    <w:rsid w:val="007E1D64"/>
    <w:rsid w:val="007E3380"/>
    <w:rsid w:val="007F3043"/>
    <w:rsid w:val="007F3395"/>
    <w:rsid w:val="007F56DA"/>
    <w:rsid w:val="007F7C19"/>
    <w:rsid w:val="0080120D"/>
    <w:rsid w:val="00801B9F"/>
    <w:rsid w:val="008036D7"/>
    <w:rsid w:val="00803CCF"/>
    <w:rsid w:val="008062D1"/>
    <w:rsid w:val="00806503"/>
    <w:rsid w:val="00810187"/>
    <w:rsid w:val="0082265A"/>
    <w:rsid w:val="008264DB"/>
    <w:rsid w:val="0083425E"/>
    <w:rsid w:val="00834336"/>
    <w:rsid w:val="00834E20"/>
    <w:rsid w:val="008351DD"/>
    <w:rsid w:val="00835247"/>
    <w:rsid w:val="008354B7"/>
    <w:rsid w:val="00841223"/>
    <w:rsid w:val="008437DA"/>
    <w:rsid w:val="0085011E"/>
    <w:rsid w:val="0085021C"/>
    <w:rsid w:val="00850FFB"/>
    <w:rsid w:val="00853336"/>
    <w:rsid w:val="00855828"/>
    <w:rsid w:val="00855854"/>
    <w:rsid w:val="008567F3"/>
    <w:rsid w:val="00857A5D"/>
    <w:rsid w:val="00862FFF"/>
    <w:rsid w:val="0086397E"/>
    <w:rsid w:val="008671D6"/>
    <w:rsid w:val="00870910"/>
    <w:rsid w:val="00871BC3"/>
    <w:rsid w:val="00872201"/>
    <w:rsid w:val="00873A36"/>
    <w:rsid w:val="00874CEE"/>
    <w:rsid w:val="00882212"/>
    <w:rsid w:val="008830D2"/>
    <w:rsid w:val="008838FE"/>
    <w:rsid w:val="00884FE9"/>
    <w:rsid w:val="00887D99"/>
    <w:rsid w:val="00892441"/>
    <w:rsid w:val="008A0BE2"/>
    <w:rsid w:val="008A16C8"/>
    <w:rsid w:val="008A2CD2"/>
    <w:rsid w:val="008A442C"/>
    <w:rsid w:val="008B05E0"/>
    <w:rsid w:val="008B3179"/>
    <w:rsid w:val="008B602B"/>
    <w:rsid w:val="008C455D"/>
    <w:rsid w:val="008C5A0E"/>
    <w:rsid w:val="008C7285"/>
    <w:rsid w:val="008D2039"/>
    <w:rsid w:val="008D5B03"/>
    <w:rsid w:val="008E032F"/>
    <w:rsid w:val="008E05B7"/>
    <w:rsid w:val="008E68E7"/>
    <w:rsid w:val="008F32DA"/>
    <w:rsid w:val="008F516A"/>
    <w:rsid w:val="008F69DD"/>
    <w:rsid w:val="008F7199"/>
    <w:rsid w:val="00904454"/>
    <w:rsid w:val="00905428"/>
    <w:rsid w:val="009147C9"/>
    <w:rsid w:val="00915416"/>
    <w:rsid w:val="0092685B"/>
    <w:rsid w:val="00927B24"/>
    <w:rsid w:val="00930278"/>
    <w:rsid w:val="00936664"/>
    <w:rsid w:val="00937687"/>
    <w:rsid w:val="00940523"/>
    <w:rsid w:val="00942AE6"/>
    <w:rsid w:val="00945DC2"/>
    <w:rsid w:val="00947895"/>
    <w:rsid w:val="0096114C"/>
    <w:rsid w:val="00961895"/>
    <w:rsid w:val="009640B7"/>
    <w:rsid w:val="00965680"/>
    <w:rsid w:val="00965890"/>
    <w:rsid w:val="00970BED"/>
    <w:rsid w:val="009717F1"/>
    <w:rsid w:val="009730A6"/>
    <w:rsid w:val="0097383B"/>
    <w:rsid w:val="009739EA"/>
    <w:rsid w:val="00980554"/>
    <w:rsid w:val="009829E8"/>
    <w:rsid w:val="00982A5F"/>
    <w:rsid w:val="009835FA"/>
    <w:rsid w:val="00983ACE"/>
    <w:rsid w:val="00983AE2"/>
    <w:rsid w:val="00993CD4"/>
    <w:rsid w:val="009946C6"/>
    <w:rsid w:val="0099658E"/>
    <w:rsid w:val="00997669"/>
    <w:rsid w:val="009A20D7"/>
    <w:rsid w:val="009A6733"/>
    <w:rsid w:val="009B12CA"/>
    <w:rsid w:val="009B4D3B"/>
    <w:rsid w:val="009B503F"/>
    <w:rsid w:val="009C0157"/>
    <w:rsid w:val="009C0651"/>
    <w:rsid w:val="009C0F11"/>
    <w:rsid w:val="009C6826"/>
    <w:rsid w:val="009C6992"/>
    <w:rsid w:val="009C77E1"/>
    <w:rsid w:val="009C7E0E"/>
    <w:rsid w:val="009D117B"/>
    <w:rsid w:val="009D17E7"/>
    <w:rsid w:val="009D3473"/>
    <w:rsid w:val="009D6A21"/>
    <w:rsid w:val="009D7407"/>
    <w:rsid w:val="009E0866"/>
    <w:rsid w:val="009E0BA7"/>
    <w:rsid w:val="009E6FD5"/>
    <w:rsid w:val="009F5DE2"/>
    <w:rsid w:val="009F6423"/>
    <w:rsid w:val="00A1085D"/>
    <w:rsid w:val="00A10AD6"/>
    <w:rsid w:val="00A13A5E"/>
    <w:rsid w:val="00A13E4D"/>
    <w:rsid w:val="00A16F35"/>
    <w:rsid w:val="00A16FE0"/>
    <w:rsid w:val="00A24100"/>
    <w:rsid w:val="00A2486C"/>
    <w:rsid w:val="00A24A62"/>
    <w:rsid w:val="00A2566B"/>
    <w:rsid w:val="00A25858"/>
    <w:rsid w:val="00A303C1"/>
    <w:rsid w:val="00A31C9F"/>
    <w:rsid w:val="00A372C1"/>
    <w:rsid w:val="00A379CD"/>
    <w:rsid w:val="00A4119A"/>
    <w:rsid w:val="00A4144F"/>
    <w:rsid w:val="00A41A91"/>
    <w:rsid w:val="00A44BE3"/>
    <w:rsid w:val="00A47146"/>
    <w:rsid w:val="00A5194B"/>
    <w:rsid w:val="00A519B1"/>
    <w:rsid w:val="00A5330A"/>
    <w:rsid w:val="00A6174C"/>
    <w:rsid w:val="00A6241D"/>
    <w:rsid w:val="00A639D3"/>
    <w:rsid w:val="00A655C1"/>
    <w:rsid w:val="00A65798"/>
    <w:rsid w:val="00A65F96"/>
    <w:rsid w:val="00A701A5"/>
    <w:rsid w:val="00A718C0"/>
    <w:rsid w:val="00A7207A"/>
    <w:rsid w:val="00A75A27"/>
    <w:rsid w:val="00A769DE"/>
    <w:rsid w:val="00A80080"/>
    <w:rsid w:val="00A83E62"/>
    <w:rsid w:val="00A855C2"/>
    <w:rsid w:val="00A85ABC"/>
    <w:rsid w:val="00A87C50"/>
    <w:rsid w:val="00A904A4"/>
    <w:rsid w:val="00A9264C"/>
    <w:rsid w:val="00A95C7E"/>
    <w:rsid w:val="00A97ED4"/>
    <w:rsid w:val="00A97F85"/>
    <w:rsid w:val="00AA396D"/>
    <w:rsid w:val="00AA3F92"/>
    <w:rsid w:val="00AB2900"/>
    <w:rsid w:val="00AB388E"/>
    <w:rsid w:val="00AB469F"/>
    <w:rsid w:val="00AC164A"/>
    <w:rsid w:val="00AC30EE"/>
    <w:rsid w:val="00AC5C34"/>
    <w:rsid w:val="00AD19D7"/>
    <w:rsid w:val="00AD542C"/>
    <w:rsid w:val="00AD799B"/>
    <w:rsid w:val="00AE519D"/>
    <w:rsid w:val="00AE574B"/>
    <w:rsid w:val="00AE6AF5"/>
    <w:rsid w:val="00AE7AF9"/>
    <w:rsid w:val="00AF1BDA"/>
    <w:rsid w:val="00AF2050"/>
    <w:rsid w:val="00AF6D5E"/>
    <w:rsid w:val="00AF7C46"/>
    <w:rsid w:val="00B03CA8"/>
    <w:rsid w:val="00B055D2"/>
    <w:rsid w:val="00B06618"/>
    <w:rsid w:val="00B068B5"/>
    <w:rsid w:val="00B07794"/>
    <w:rsid w:val="00B10BC9"/>
    <w:rsid w:val="00B11583"/>
    <w:rsid w:val="00B115E8"/>
    <w:rsid w:val="00B14810"/>
    <w:rsid w:val="00B209AF"/>
    <w:rsid w:val="00B210A8"/>
    <w:rsid w:val="00B277DE"/>
    <w:rsid w:val="00B3322A"/>
    <w:rsid w:val="00B3352F"/>
    <w:rsid w:val="00B348C5"/>
    <w:rsid w:val="00B459BE"/>
    <w:rsid w:val="00B47A74"/>
    <w:rsid w:val="00B51505"/>
    <w:rsid w:val="00B5401C"/>
    <w:rsid w:val="00B5501B"/>
    <w:rsid w:val="00B55A92"/>
    <w:rsid w:val="00B55D80"/>
    <w:rsid w:val="00B55E19"/>
    <w:rsid w:val="00B62861"/>
    <w:rsid w:val="00B71142"/>
    <w:rsid w:val="00B7349C"/>
    <w:rsid w:val="00B76C89"/>
    <w:rsid w:val="00B773F4"/>
    <w:rsid w:val="00B80160"/>
    <w:rsid w:val="00B851FD"/>
    <w:rsid w:val="00B91BD8"/>
    <w:rsid w:val="00B92E1E"/>
    <w:rsid w:val="00B965E4"/>
    <w:rsid w:val="00BA032B"/>
    <w:rsid w:val="00BA145A"/>
    <w:rsid w:val="00BA39AE"/>
    <w:rsid w:val="00BA4B6D"/>
    <w:rsid w:val="00BA73AA"/>
    <w:rsid w:val="00BA7492"/>
    <w:rsid w:val="00BA7CFE"/>
    <w:rsid w:val="00BB11DC"/>
    <w:rsid w:val="00BB19CD"/>
    <w:rsid w:val="00BB22E6"/>
    <w:rsid w:val="00BB26C5"/>
    <w:rsid w:val="00BB6ECD"/>
    <w:rsid w:val="00BC0424"/>
    <w:rsid w:val="00BC1A22"/>
    <w:rsid w:val="00BC462F"/>
    <w:rsid w:val="00BC4735"/>
    <w:rsid w:val="00BC6640"/>
    <w:rsid w:val="00BD2E98"/>
    <w:rsid w:val="00BD36AF"/>
    <w:rsid w:val="00BD36F1"/>
    <w:rsid w:val="00BD4D51"/>
    <w:rsid w:val="00BE0891"/>
    <w:rsid w:val="00BE6586"/>
    <w:rsid w:val="00BF0838"/>
    <w:rsid w:val="00BF14D0"/>
    <w:rsid w:val="00BF1CB4"/>
    <w:rsid w:val="00BF29D2"/>
    <w:rsid w:val="00BF2F11"/>
    <w:rsid w:val="00BF3A17"/>
    <w:rsid w:val="00BF4DE6"/>
    <w:rsid w:val="00BF5544"/>
    <w:rsid w:val="00C00C98"/>
    <w:rsid w:val="00C04212"/>
    <w:rsid w:val="00C05202"/>
    <w:rsid w:val="00C05658"/>
    <w:rsid w:val="00C121E5"/>
    <w:rsid w:val="00C1224B"/>
    <w:rsid w:val="00C12A27"/>
    <w:rsid w:val="00C16478"/>
    <w:rsid w:val="00C201E2"/>
    <w:rsid w:val="00C21B92"/>
    <w:rsid w:val="00C22A28"/>
    <w:rsid w:val="00C30FE5"/>
    <w:rsid w:val="00C32E7E"/>
    <w:rsid w:val="00C33D88"/>
    <w:rsid w:val="00C35C62"/>
    <w:rsid w:val="00C3731C"/>
    <w:rsid w:val="00C42CDE"/>
    <w:rsid w:val="00C47B45"/>
    <w:rsid w:val="00C516D7"/>
    <w:rsid w:val="00C53C35"/>
    <w:rsid w:val="00C5445E"/>
    <w:rsid w:val="00C544A1"/>
    <w:rsid w:val="00C57390"/>
    <w:rsid w:val="00C62B56"/>
    <w:rsid w:val="00C632DB"/>
    <w:rsid w:val="00C63EE9"/>
    <w:rsid w:val="00C710D1"/>
    <w:rsid w:val="00C71BE0"/>
    <w:rsid w:val="00C7591D"/>
    <w:rsid w:val="00C81005"/>
    <w:rsid w:val="00C821ED"/>
    <w:rsid w:val="00C835A3"/>
    <w:rsid w:val="00C83CC7"/>
    <w:rsid w:val="00C83D39"/>
    <w:rsid w:val="00C84F2E"/>
    <w:rsid w:val="00C86007"/>
    <w:rsid w:val="00C87B60"/>
    <w:rsid w:val="00C9196C"/>
    <w:rsid w:val="00C94DA2"/>
    <w:rsid w:val="00C97F68"/>
    <w:rsid w:val="00CA065C"/>
    <w:rsid w:val="00CA37B1"/>
    <w:rsid w:val="00CA5014"/>
    <w:rsid w:val="00CA6EC9"/>
    <w:rsid w:val="00CA7649"/>
    <w:rsid w:val="00CB1959"/>
    <w:rsid w:val="00CB3DE6"/>
    <w:rsid w:val="00CB48D3"/>
    <w:rsid w:val="00CB5E00"/>
    <w:rsid w:val="00CB688E"/>
    <w:rsid w:val="00CC1652"/>
    <w:rsid w:val="00CC431B"/>
    <w:rsid w:val="00CC46CF"/>
    <w:rsid w:val="00CC7DE3"/>
    <w:rsid w:val="00CD2F34"/>
    <w:rsid w:val="00CD35B9"/>
    <w:rsid w:val="00CD3852"/>
    <w:rsid w:val="00CD6611"/>
    <w:rsid w:val="00CE0D2E"/>
    <w:rsid w:val="00CE2B41"/>
    <w:rsid w:val="00CE2D65"/>
    <w:rsid w:val="00CE5010"/>
    <w:rsid w:val="00CE5D4E"/>
    <w:rsid w:val="00CE6096"/>
    <w:rsid w:val="00CE61B8"/>
    <w:rsid w:val="00CF609D"/>
    <w:rsid w:val="00D00173"/>
    <w:rsid w:val="00D0296C"/>
    <w:rsid w:val="00D04926"/>
    <w:rsid w:val="00D06ED0"/>
    <w:rsid w:val="00D103DB"/>
    <w:rsid w:val="00D17B07"/>
    <w:rsid w:val="00D203EB"/>
    <w:rsid w:val="00D21EAD"/>
    <w:rsid w:val="00D21F57"/>
    <w:rsid w:val="00D22A80"/>
    <w:rsid w:val="00D23F28"/>
    <w:rsid w:val="00D241C6"/>
    <w:rsid w:val="00D2594C"/>
    <w:rsid w:val="00D25C0B"/>
    <w:rsid w:val="00D26665"/>
    <w:rsid w:val="00D318CA"/>
    <w:rsid w:val="00D341B2"/>
    <w:rsid w:val="00D341B4"/>
    <w:rsid w:val="00D350D9"/>
    <w:rsid w:val="00D40C15"/>
    <w:rsid w:val="00D4487C"/>
    <w:rsid w:val="00D500E9"/>
    <w:rsid w:val="00D52E5B"/>
    <w:rsid w:val="00D55221"/>
    <w:rsid w:val="00D6364B"/>
    <w:rsid w:val="00D73A26"/>
    <w:rsid w:val="00D742AA"/>
    <w:rsid w:val="00D75EA7"/>
    <w:rsid w:val="00D82DAC"/>
    <w:rsid w:val="00D85188"/>
    <w:rsid w:val="00D860E9"/>
    <w:rsid w:val="00D927BB"/>
    <w:rsid w:val="00D951E9"/>
    <w:rsid w:val="00DA6299"/>
    <w:rsid w:val="00DB733F"/>
    <w:rsid w:val="00DC2284"/>
    <w:rsid w:val="00DC2555"/>
    <w:rsid w:val="00DC2ED6"/>
    <w:rsid w:val="00DC433E"/>
    <w:rsid w:val="00DC5D71"/>
    <w:rsid w:val="00DC66BE"/>
    <w:rsid w:val="00DC681E"/>
    <w:rsid w:val="00DC6A62"/>
    <w:rsid w:val="00DD3B37"/>
    <w:rsid w:val="00DD41F9"/>
    <w:rsid w:val="00DD4BAD"/>
    <w:rsid w:val="00DE3FDC"/>
    <w:rsid w:val="00DE5426"/>
    <w:rsid w:val="00DF11F4"/>
    <w:rsid w:val="00DF22F4"/>
    <w:rsid w:val="00DF3190"/>
    <w:rsid w:val="00DF3D96"/>
    <w:rsid w:val="00E03BB8"/>
    <w:rsid w:val="00E03E08"/>
    <w:rsid w:val="00E05A4F"/>
    <w:rsid w:val="00E06C9C"/>
    <w:rsid w:val="00E130C6"/>
    <w:rsid w:val="00E13D28"/>
    <w:rsid w:val="00E15A9B"/>
    <w:rsid w:val="00E17801"/>
    <w:rsid w:val="00E33BF0"/>
    <w:rsid w:val="00E34565"/>
    <w:rsid w:val="00E357B7"/>
    <w:rsid w:val="00E377D5"/>
    <w:rsid w:val="00E42C55"/>
    <w:rsid w:val="00E44B9C"/>
    <w:rsid w:val="00E45E9E"/>
    <w:rsid w:val="00E46C46"/>
    <w:rsid w:val="00E4720E"/>
    <w:rsid w:val="00E53800"/>
    <w:rsid w:val="00E6081F"/>
    <w:rsid w:val="00E61813"/>
    <w:rsid w:val="00E61EEB"/>
    <w:rsid w:val="00E62EA1"/>
    <w:rsid w:val="00E6753E"/>
    <w:rsid w:val="00E71E0E"/>
    <w:rsid w:val="00E73A1D"/>
    <w:rsid w:val="00E7679E"/>
    <w:rsid w:val="00E81ACA"/>
    <w:rsid w:val="00E82491"/>
    <w:rsid w:val="00E8301C"/>
    <w:rsid w:val="00E85D2E"/>
    <w:rsid w:val="00E878D4"/>
    <w:rsid w:val="00E94B06"/>
    <w:rsid w:val="00E9532A"/>
    <w:rsid w:val="00E9571D"/>
    <w:rsid w:val="00EA0090"/>
    <w:rsid w:val="00EA04B2"/>
    <w:rsid w:val="00EA0BCE"/>
    <w:rsid w:val="00EA20F3"/>
    <w:rsid w:val="00EA3894"/>
    <w:rsid w:val="00EA4ADB"/>
    <w:rsid w:val="00EA6CFB"/>
    <w:rsid w:val="00EB3573"/>
    <w:rsid w:val="00EB5B25"/>
    <w:rsid w:val="00EC08A3"/>
    <w:rsid w:val="00EC6E56"/>
    <w:rsid w:val="00EC7E0D"/>
    <w:rsid w:val="00ED43D1"/>
    <w:rsid w:val="00ED61C4"/>
    <w:rsid w:val="00EE4B65"/>
    <w:rsid w:val="00EE4EE1"/>
    <w:rsid w:val="00EF23EA"/>
    <w:rsid w:val="00EF4574"/>
    <w:rsid w:val="00EF4D20"/>
    <w:rsid w:val="00F10E49"/>
    <w:rsid w:val="00F123BA"/>
    <w:rsid w:val="00F13EC6"/>
    <w:rsid w:val="00F1611E"/>
    <w:rsid w:val="00F1674A"/>
    <w:rsid w:val="00F206E3"/>
    <w:rsid w:val="00F2097A"/>
    <w:rsid w:val="00F20E5E"/>
    <w:rsid w:val="00F25BF0"/>
    <w:rsid w:val="00F2684E"/>
    <w:rsid w:val="00F31550"/>
    <w:rsid w:val="00F33D8F"/>
    <w:rsid w:val="00F358E3"/>
    <w:rsid w:val="00F41FED"/>
    <w:rsid w:val="00F42084"/>
    <w:rsid w:val="00F4791C"/>
    <w:rsid w:val="00F47F68"/>
    <w:rsid w:val="00F52D2B"/>
    <w:rsid w:val="00F5404C"/>
    <w:rsid w:val="00F543E7"/>
    <w:rsid w:val="00F60C65"/>
    <w:rsid w:val="00F62967"/>
    <w:rsid w:val="00F63911"/>
    <w:rsid w:val="00F71641"/>
    <w:rsid w:val="00F71703"/>
    <w:rsid w:val="00F729EF"/>
    <w:rsid w:val="00F74FC9"/>
    <w:rsid w:val="00F767CF"/>
    <w:rsid w:val="00F77CAE"/>
    <w:rsid w:val="00F81A14"/>
    <w:rsid w:val="00F8291B"/>
    <w:rsid w:val="00F8737F"/>
    <w:rsid w:val="00F879DD"/>
    <w:rsid w:val="00F87FFB"/>
    <w:rsid w:val="00F9560B"/>
    <w:rsid w:val="00F958AE"/>
    <w:rsid w:val="00F95AFC"/>
    <w:rsid w:val="00F96BB9"/>
    <w:rsid w:val="00FA017E"/>
    <w:rsid w:val="00FA4F47"/>
    <w:rsid w:val="00FA6261"/>
    <w:rsid w:val="00FA6985"/>
    <w:rsid w:val="00FB07B3"/>
    <w:rsid w:val="00FB380F"/>
    <w:rsid w:val="00FB4009"/>
    <w:rsid w:val="00FB4BF5"/>
    <w:rsid w:val="00FC1DBC"/>
    <w:rsid w:val="00FC23AE"/>
    <w:rsid w:val="00FC45EA"/>
    <w:rsid w:val="00FC750D"/>
    <w:rsid w:val="00FD1DF4"/>
    <w:rsid w:val="00FD22B7"/>
    <w:rsid w:val="00FD3C99"/>
    <w:rsid w:val="00FD4191"/>
    <w:rsid w:val="00FD5750"/>
    <w:rsid w:val="00FE5C53"/>
    <w:rsid w:val="00FE66E6"/>
    <w:rsid w:val="00FE6CCB"/>
    <w:rsid w:val="00FE6D51"/>
    <w:rsid w:val="00FE7052"/>
    <w:rsid w:val="00FF3B7D"/>
  </w:rsids>
  <m:mathPr>
    <m:mathFont m:val="Cambria Math"/>
    <m:brkBin m:val="before"/>
    <m:brkBinSub m:val="--"/>
    <m:smallFrac m:val="0"/>
    <m:dispDef/>
    <m:lMargin m:val="0"/>
    <m:rMargin m:val="0"/>
    <m:defJc m:val="centerGroup"/>
    <m:wrapIndent m:val="1440"/>
    <m:intLim m:val="subSup"/>
    <m:naryLim m:val="undOvr"/>
  </m:mathPr>
  <w:themeFontLang w:val="en-PH" w:bidi="my-MM"/>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24064"/>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9"/>
    <w:unhideWhenUsed/>
    <w:qFormat/>
    <w:rsid w:val="00CF609D"/>
    <w:pPr>
      <w:spacing w:line="200" w:lineRule="atLeast"/>
      <w:outlineLvl w:val="4"/>
    </w:pPr>
    <w:rPr>
      <w:b/>
      <w:sz w:val="22"/>
    </w:rPr>
  </w:style>
  <w:style w:type="paragraph" w:styleId="Heading6">
    <w:name w:val="heading 6"/>
    <w:basedOn w:val="Heading5"/>
    <w:next w:val="Normal"/>
    <w:link w:val="Heading6Char"/>
    <w:uiPriority w:val="9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99"/>
    <w:qFormat/>
    <w:rsid w:val="00C62B56"/>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99"/>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CF609D"/>
    <w:pPr>
      <w:numPr>
        <w:numId w:val="10"/>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CF609D"/>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aliases w:val="(17) EPR 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9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9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9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9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CF609D"/>
    <w:pPr>
      <w:spacing w:before="400" w:after="400" w:line="280" w:lineRule="exact"/>
    </w:pPr>
    <w:rPr>
      <w:b/>
      <w:color w:val="ACD08C" w:themeColor="accent2"/>
      <w:sz w:val="28"/>
    </w:rPr>
  </w:style>
  <w:style w:type="table" w:styleId="TableGrid">
    <w:name w:val="Table Grid"/>
    <w:aliases w:val="TabelEcorys"/>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17) EPR 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99"/>
    <w:qFormat/>
    <w:rsid w:val="00501EA3"/>
    <w:rPr>
      <w:i/>
      <w:iCs/>
    </w:rPr>
  </w:style>
  <w:style w:type="character" w:customStyle="1" w:styleId="Heading5Char">
    <w:name w:val="Heading 5 Char"/>
    <w:basedOn w:val="DefaultParagraphFont"/>
    <w:link w:val="Heading5"/>
    <w:uiPriority w:val="99"/>
    <w:rsid w:val="00CF609D"/>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99"/>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9"/>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aliases w:val="single space,FOOTNOTES,fn,ALTS FOOTNOTE,ft,Geneva 9,Font: Geneva 9,Boston 10,f,Footnote Text 1,ADB,Footnote Text Char1,Footnote Text Char Char,Footnote Text Char2 Char,Footnote Text Char1 Char Char"/>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aliases w:val="single space Char,FOOTNOTES Char,fn Char,ALTS FOOTNOTE Char,ft Char,Geneva 9 Char,Font: Geneva 9 Char,Boston 10 Char,f Char,Footnote Text 1 Char,ADB Char,Footnote Text Char1 Char,Footnote Text Char Char Char"/>
    <w:basedOn w:val="DefaultParagraphFont"/>
    <w:link w:val="FootnoteText"/>
    <w:uiPriority w:val="99"/>
    <w:rsid w:val="001C013B"/>
    <w:rPr>
      <w:color w:val="495965" w:themeColor="text2"/>
      <w:sz w:val="16"/>
      <w:szCs w:val="20"/>
      <w:lang w:val="en-GB"/>
    </w:rPr>
  </w:style>
  <w:style w:type="character" w:styleId="FootnoteReference">
    <w:name w:val="footnote reference"/>
    <w:aliases w:val="ftref,16 Point,Superscript 6 Point"/>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aliases w:val="uvlaka 2"/>
    <w:basedOn w:val="Normal"/>
    <w:link w:val="BodyTextChar"/>
    <w:uiPriority w:val="99"/>
    <w:unhideWhenUsed/>
    <w:rsid w:val="00BF3A17"/>
  </w:style>
  <w:style w:type="character" w:customStyle="1" w:styleId="BodyTextChar">
    <w:name w:val="Body Text Char"/>
    <w:aliases w:val="uvlaka 2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Table text,Recommendation,List Paragraph1,List Paragraph11,L,F5 List Paragraph,Dot pt,CV text,List Paragraph111,Medium Grid 1 - Accent 21,Numbered Paragraph,List Paragraph2,Bulleted Para,NFP GP Bulleted List,FooterText,numbered,列出段落,列出段落1"/>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7F7C19"/>
    <w:pPr>
      <w:tabs>
        <w:tab w:val="right" w:pos="13041"/>
      </w:tabs>
      <w:ind w:right="-1307"/>
      <w:jc w:val="right"/>
    </w:pPr>
    <w:rPr>
      <w:rFonts w:ascii="Calibri Light" w:eastAsia="Calibri Light" w:hAnsi="Calibri Light" w:cs="Times New Roman"/>
      <w:noProof/>
      <w:color w:val="FFFFFF" w:themeColor="background1"/>
    </w:rPr>
  </w:style>
  <w:style w:type="paragraph" w:styleId="List">
    <w:name w:val="List"/>
    <w:basedOn w:val="Normal"/>
    <w:uiPriority w:val="99"/>
    <w:locked/>
    <w:rsid w:val="000B785F"/>
    <w:pPr>
      <w:suppressAutoHyphens w:val="0"/>
      <w:spacing w:after="120" w:line="240" w:lineRule="auto"/>
      <w:ind w:left="360" w:hanging="360"/>
      <w:jc w:val="both"/>
    </w:pPr>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locked/>
    <w:rsid w:val="000B785F"/>
    <w:pPr>
      <w:suppressAutoHyphens w:val="0"/>
      <w:spacing w:after="120" w:line="240" w:lineRule="auto"/>
      <w:ind w:left="-720"/>
      <w:jc w:val="both"/>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rsid w:val="000B785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locked/>
    <w:rsid w:val="000B785F"/>
    <w:pPr>
      <w:suppressAutoHyphens w:val="0"/>
      <w:spacing w:after="120" w:line="240" w:lineRule="auto"/>
      <w:ind w:left="36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0B785F"/>
    <w:rPr>
      <w:rFonts w:ascii="Times New Roman" w:eastAsia="Times New Roman" w:hAnsi="Times New Roman" w:cs="Times New Roman"/>
      <w:sz w:val="24"/>
      <w:szCs w:val="24"/>
      <w:lang w:val="en-GB"/>
    </w:rPr>
  </w:style>
  <w:style w:type="paragraph" w:styleId="BodyText20">
    <w:name w:val="Body Text 2"/>
    <w:basedOn w:val="Normal"/>
    <w:link w:val="BodyText2Char"/>
    <w:uiPriority w:val="99"/>
    <w:locked/>
    <w:rsid w:val="000B785F"/>
    <w:pPr>
      <w:suppressAutoHyphens w:val="0"/>
      <w:spacing w:after="120" w:line="240" w:lineRule="auto"/>
      <w:jc w:val="both"/>
    </w:pPr>
    <w:rPr>
      <w:rFonts w:ascii="Times New Roman" w:eastAsia="Times New Roman" w:hAnsi="Times New Roman" w:cs="Times New Roman"/>
      <w:bCs/>
      <w:i/>
      <w:iCs/>
      <w:color w:val="auto"/>
      <w:sz w:val="24"/>
      <w:szCs w:val="24"/>
    </w:rPr>
  </w:style>
  <w:style w:type="character" w:customStyle="1" w:styleId="BodyText2Char">
    <w:name w:val="Body Text 2 Char"/>
    <w:basedOn w:val="DefaultParagraphFont"/>
    <w:link w:val="BodyText20"/>
    <w:uiPriority w:val="99"/>
    <w:rsid w:val="000B785F"/>
    <w:rPr>
      <w:rFonts w:ascii="Times New Roman" w:eastAsia="Times New Roman" w:hAnsi="Times New Roman" w:cs="Times New Roman"/>
      <w:bCs/>
      <w:i/>
      <w:iCs/>
      <w:sz w:val="24"/>
      <w:szCs w:val="24"/>
      <w:lang w:val="en-GB"/>
    </w:rPr>
  </w:style>
  <w:style w:type="paragraph" w:styleId="NormalWeb">
    <w:name w:val="Normal (Web)"/>
    <w:basedOn w:val="Normal"/>
    <w:uiPriority w:val="99"/>
    <w:rsid w:val="000B785F"/>
    <w:pPr>
      <w:suppressAutoHyphens w:val="0"/>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locked/>
    <w:rsid w:val="000B785F"/>
    <w:pPr>
      <w:tabs>
        <w:tab w:val="left" w:pos="5835"/>
      </w:tabs>
      <w:suppressAutoHyphens w:val="0"/>
      <w:spacing w:after="120" w:line="240" w:lineRule="auto"/>
      <w:jc w:val="both"/>
    </w:pPr>
    <w:rPr>
      <w:rFonts w:ascii="Times New Roman" w:eastAsia="Times New Roman" w:hAnsi="Times New Roman" w:cs="Times New Roman"/>
      <w:i/>
      <w:iCs/>
      <w:color w:val="auto"/>
      <w:sz w:val="24"/>
      <w:szCs w:val="24"/>
    </w:rPr>
  </w:style>
  <w:style w:type="character" w:customStyle="1" w:styleId="BodyText3Char">
    <w:name w:val="Body Text 3 Char"/>
    <w:basedOn w:val="DefaultParagraphFont"/>
    <w:link w:val="BodyText3"/>
    <w:uiPriority w:val="99"/>
    <w:rsid w:val="000B785F"/>
    <w:rPr>
      <w:rFonts w:ascii="Times New Roman" w:eastAsia="Times New Roman" w:hAnsi="Times New Roman" w:cs="Times New Roman"/>
      <w:i/>
      <w:iCs/>
      <w:sz w:val="24"/>
      <w:szCs w:val="24"/>
      <w:lang w:val="en-GB"/>
    </w:rPr>
  </w:style>
  <w:style w:type="character" w:styleId="FollowedHyperlink">
    <w:name w:val="FollowedHyperlink"/>
    <w:basedOn w:val="DefaultParagraphFont"/>
    <w:uiPriority w:val="99"/>
    <w:rsid w:val="000B785F"/>
    <w:rPr>
      <w:rFonts w:cs="Times New Roman"/>
      <w:color w:val="800080"/>
      <w:u w:val="single"/>
    </w:rPr>
  </w:style>
  <w:style w:type="paragraph" w:styleId="BodyTextIndent3">
    <w:name w:val="Body Text Indent 3"/>
    <w:basedOn w:val="Normal"/>
    <w:link w:val="BodyTextIndent3Char"/>
    <w:uiPriority w:val="99"/>
    <w:locked/>
    <w:rsid w:val="000B785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0" w:after="0" w:line="240" w:lineRule="auto"/>
      <w:ind w:left="550" w:hanging="550"/>
      <w:jc w:val="both"/>
    </w:pPr>
    <w:rPr>
      <w:rFonts w:ascii="Times New Roman" w:eastAsia="Times New Roman" w:hAnsi="Times New Roman" w:cs="Times New Roman"/>
      <w:color w:val="auto"/>
      <w:sz w:val="24"/>
      <w:szCs w:val="20"/>
    </w:rPr>
  </w:style>
  <w:style w:type="character" w:customStyle="1" w:styleId="BodyTextIndent3Char">
    <w:name w:val="Body Text Indent 3 Char"/>
    <w:basedOn w:val="DefaultParagraphFont"/>
    <w:link w:val="BodyTextIndent3"/>
    <w:uiPriority w:val="99"/>
    <w:rsid w:val="000B785F"/>
    <w:rPr>
      <w:rFonts w:ascii="Times New Roman" w:eastAsia="Times New Roman" w:hAnsi="Times New Roman" w:cs="Times New Roman"/>
      <w:sz w:val="24"/>
      <w:szCs w:val="20"/>
      <w:lang w:val="en-GB"/>
    </w:rPr>
  </w:style>
  <w:style w:type="paragraph" w:customStyle="1" w:styleId="Text1">
    <w:name w:val="Text 1"/>
    <w:basedOn w:val="Normal"/>
    <w:uiPriority w:val="99"/>
    <w:rsid w:val="000B785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0" w:after="240" w:line="240" w:lineRule="auto"/>
      <w:ind w:left="482"/>
      <w:jc w:val="both"/>
    </w:pPr>
    <w:rPr>
      <w:rFonts w:ascii="Times New Roman" w:eastAsia="Times New Roman" w:hAnsi="Times New Roman" w:cs="Times New Roman"/>
      <w:color w:val="auto"/>
      <w:sz w:val="24"/>
      <w:szCs w:val="20"/>
    </w:rPr>
  </w:style>
  <w:style w:type="paragraph" w:customStyle="1" w:styleId="ZCom">
    <w:name w:val="Z_Com"/>
    <w:basedOn w:val="Normal"/>
    <w:next w:val="Normal"/>
    <w:uiPriority w:val="99"/>
    <w:rsid w:val="000B785F"/>
    <w:pPr>
      <w:widowControl w:val="0"/>
      <w:suppressAutoHyphens w:val="0"/>
      <w:spacing w:before="0" w:after="0" w:line="240" w:lineRule="auto"/>
      <w:jc w:val="both"/>
    </w:pPr>
    <w:rPr>
      <w:rFonts w:ascii="Arial" w:eastAsia="Times New Roman" w:hAnsi="Arial" w:cs="Times New Roman"/>
      <w:color w:val="auto"/>
      <w:sz w:val="24"/>
      <w:szCs w:val="24"/>
      <w:lang w:val="en-US"/>
    </w:rPr>
  </w:style>
  <w:style w:type="paragraph" w:customStyle="1" w:styleId="Blockquote">
    <w:name w:val="Blockquote"/>
    <w:basedOn w:val="Normal"/>
    <w:uiPriority w:val="99"/>
    <w:rsid w:val="000B785F"/>
    <w:pPr>
      <w:suppressAutoHyphens w:val="0"/>
      <w:spacing w:before="100" w:after="100" w:line="240" w:lineRule="auto"/>
      <w:ind w:left="360" w:right="360"/>
    </w:pPr>
    <w:rPr>
      <w:rFonts w:ascii="Times New Roman" w:eastAsia="Times New Roman" w:hAnsi="Times New Roman" w:cs="Times New Roman"/>
      <w:color w:val="auto"/>
      <w:sz w:val="24"/>
      <w:szCs w:val="24"/>
      <w:lang w:val="mk-MK"/>
    </w:rPr>
  </w:style>
  <w:style w:type="paragraph" w:customStyle="1" w:styleId="BalloonText1">
    <w:name w:val="Balloon Text1"/>
    <w:basedOn w:val="Normal"/>
    <w:uiPriority w:val="99"/>
    <w:semiHidden/>
    <w:rsid w:val="000B785F"/>
    <w:pPr>
      <w:suppressAutoHyphens w:val="0"/>
      <w:spacing w:after="120" w:line="240" w:lineRule="auto"/>
      <w:jc w:val="both"/>
    </w:pPr>
    <w:rPr>
      <w:rFonts w:ascii="Tahoma" w:eastAsia="Times New Roman" w:hAnsi="Tahoma" w:cs="Tahoma"/>
      <w:color w:val="auto"/>
      <w:sz w:val="16"/>
      <w:szCs w:val="16"/>
    </w:rPr>
  </w:style>
  <w:style w:type="paragraph" w:styleId="ListBullet2">
    <w:name w:val="List Bullet 2"/>
    <w:basedOn w:val="Normal"/>
    <w:autoRedefine/>
    <w:uiPriority w:val="99"/>
    <w:locked/>
    <w:rsid w:val="000B785F"/>
    <w:pPr>
      <w:numPr>
        <w:ilvl w:val="1"/>
        <w:numId w:val="11"/>
      </w:numPr>
      <w:tabs>
        <w:tab w:val="num" w:pos="0"/>
        <w:tab w:val="left" w:pos="360"/>
      </w:tabs>
      <w:suppressAutoHyphens w:val="0"/>
      <w:spacing w:before="0" w:after="0" w:line="240" w:lineRule="auto"/>
      <w:jc w:val="both"/>
    </w:pPr>
    <w:rPr>
      <w:rFonts w:ascii="Garamond" w:eastAsia="Times New Roman" w:hAnsi="Garamond" w:cs="Times New Roman"/>
      <w:color w:val="auto"/>
      <w:sz w:val="18"/>
      <w:szCs w:val="20"/>
      <w:lang w:eastAsia="de-DE"/>
    </w:rPr>
  </w:style>
  <w:style w:type="paragraph" w:customStyle="1" w:styleId="nm">
    <w:name w:val="nm"/>
    <w:basedOn w:val="Normal"/>
    <w:uiPriority w:val="99"/>
    <w:rsid w:val="000B785F"/>
    <w:pPr>
      <w:suppressAutoHyphens w:val="0"/>
      <w:spacing w:before="0" w:after="120" w:line="240" w:lineRule="auto"/>
      <w:ind w:left="1701"/>
      <w:jc w:val="both"/>
    </w:pPr>
    <w:rPr>
      <w:rFonts w:ascii="Garamond" w:eastAsia="Times New Roman" w:hAnsi="Garamond" w:cs="Times New Roman"/>
      <w:color w:val="auto"/>
      <w:lang w:eastAsia="de-DE"/>
    </w:rPr>
  </w:style>
  <w:style w:type="character" w:customStyle="1" w:styleId="nmChar">
    <w:name w:val="nm Char"/>
    <w:uiPriority w:val="99"/>
    <w:rsid w:val="000B785F"/>
    <w:rPr>
      <w:rFonts w:ascii="Garamond" w:hAnsi="Garamond"/>
      <w:sz w:val="22"/>
      <w:lang w:val="en-GB" w:eastAsia="de-DE"/>
    </w:rPr>
  </w:style>
  <w:style w:type="paragraph" w:customStyle="1" w:styleId="th">
    <w:name w:val="th"/>
    <w:basedOn w:val="Normal"/>
    <w:uiPriority w:val="99"/>
    <w:rsid w:val="000B785F"/>
    <w:pPr>
      <w:suppressAutoHyphens w:val="0"/>
      <w:spacing w:before="0" w:after="0" w:line="280" w:lineRule="atLeast"/>
      <w:ind w:left="1701"/>
      <w:jc w:val="both"/>
    </w:pPr>
    <w:rPr>
      <w:rFonts w:ascii="Garamond" w:eastAsia="Times New Roman" w:hAnsi="Garamond" w:cs="Times New Roman"/>
      <w:bCs/>
      <w:color w:val="000000"/>
      <w:szCs w:val="20"/>
      <w:lang w:eastAsia="de-DE"/>
    </w:rPr>
  </w:style>
  <w:style w:type="paragraph" w:customStyle="1" w:styleId="Absatz">
    <w:name w:val="Absatz"/>
    <w:basedOn w:val="Normal"/>
    <w:uiPriority w:val="99"/>
    <w:rsid w:val="000B785F"/>
    <w:pPr>
      <w:suppressAutoHyphens w:val="0"/>
      <w:spacing w:before="0" w:after="120" w:line="240" w:lineRule="auto"/>
      <w:ind w:left="426"/>
      <w:jc w:val="both"/>
    </w:pPr>
    <w:rPr>
      <w:rFonts w:ascii="Arial" w:eastAsia="Times New Roman" w:hAnsi="Arial" w:cs="Times New Roman"/>
      <w:color w:val="auto"/>
      <w:szCs w:val="20"/>
      <w:lang w:val="en-US" w:eastAsia="de-DE"/>
    </w:rPr>
  </w:style>
  <w:style w:type="paragraph" w:styleId="Index1">
    <w:name w:val="index 1"/>
    <w:basedOn w:val="Normal"/>
    <w:next w:val="Normal"/>
    <w:autoRedefine/>
    <w:uiPriority w:val="99"/>
    <w:semiHidden/>
    <w:rsid w:val="000B785F"/>
    <w:pPr>
      <w:suppressAutoHyphens w:val="0"/>
      <w:spacing w:before="0" w:after="0" w:line="240" w:lineRule="auto"/>
    </w:pPr>
    <w:rPr>
      <w:rFonts w:ascii="Garamond" w:eastAsia="Times New Roman" w:hAnsi="Garamond" w:cs="Times New Roman"/>
      <w:color w:val="auto"/>
      <w:lang w:eastAsia="de-DE"/>
    </w:rPr>
  </w:style>
  <w:style w:type="paragraph" w:styleId="IndexHeading">
    <w:name w:val="index heading"/>
    <w:basedOn w:val="Normal"/>
    <w:next w:val="Index1"/>
    <w:uiPriority w:val="99"/>
    <w:semiHidden/>
    <w:rsid w:val="000B785F"/>
    <w:pPr>
      <w:widowControl w:val="0"/>
      <w:suppressAutoHyphens w:val="0"/>
      <w:spacing w:before="0" w:after="0" w:line="280" w:lineRule="atLeast"/>
      <w:jc w:val="both"/>
    </w:pPr>
    <w:rPr>
      <w:rFonts w:ascii="Times New Roman" w:eastAsia="Times New Roman" w:hAnsi="Times New Roman" w:cs="Times New Roman"/>
      <w:color w:val="auto"/>
      <w:szCs w:val="20"/>
      <w:lang w:val="de-DE" w:eastAsia="de-DE"/>
    </w:rPr>
  </w:style>
  <w:style w:type="paragraph" w:styleId="EndnoteText">
    <w:name w:val="endnote text"/>
    <w:basedOn w:val="Normal"/>
    <w:link w:val="EndnoteTextChar"/>
    <w:uiPriority w:val="99"/>
    <w:semiHidden/>
    <w:rsid w:val="000B785F"/>
    <w:pPr>
      <w:suppressAutoHyphens w:val="0"/>
      <w:spacing w:after="120" w:line="240" w:lineRule="auto"/>
      <w:jc w:val="both"/>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0B785F"/>
    <w:rPr>
      <w:rFonts w:ascii="Times New Roman" w:eastAsia="Times New Roman" w:hAnsi="Times New Roman" w:cs="Times New Roman"/>
      <w:sz w:val="20"/>
      <w:szCs w:val="20"/>
      <w:lang w:val="en-GB"/>
    </w:rPr>
  </w:style>
  <w:style w:type="paragraph" w:customStyle="1" w:styleId="Titre">
    <w:name w:val="Titre"/>
    <w:basedOn w:val="Heading1"/>
    <w:uiPriority w:val="99"/>
    <w:rsid w:val="000B785F"/>
    <w:pPr>
      <w:keepNext w:val="0"/>
      <w:keepLines w:val="0"/>
      <w:suppressAutoHyphens w:val="0"/>
      <w:autoSpaceDE w:val="0"/>
      <w:autoSpaceDN w:val="0"/>
      <w:adjustRightInd w:val="0"/>
      <w:spacing w:before="0" w:after="120" w:line="240" w:lineRule="auto"/>
      <w:contextualSpacing w:val="0"/>
      <w:jc w:val="both"/>
    </w:pPr>
    <w:rPr>
      <w:rFonts w:ascii="Garamond" w:eastAsia="Times New Roman" w:hAnsi="Garamond" w:cs="Times New Roman"/>
      <w:caps w:val="0"/>
      <w:color w:val="auto"/>
      <w:sz w:val="32"/>
      <w:szCs w:val="44"/>
    </w:rPr>
  </w:style>
  <w:style w:type="paragraph" w:customStyle="1" w:styleId="Sous">
    <w:name w:val="Sous"/>
    <w:basedOn w:val="Heading2"/>
    <w:uiPriority w:val="99"/>
    <w:rsid w:val="000B785F"/>
    <w:pPr>
      <w:keepNext w:val="0"/>
      <w:keepLines w:val="0"/>
      <w:suppressAutoHyphens w:val="0"/>
      <w:autoSpaceDE w:val="0"/>
      <w:autoSpaceDN w:val="0"/>
      <w:adjustRightInd w:val="0"/>
      <w:spacing w:before="0" w:after="40" w:line="240" w:lineRule="auto"/>
      <w:ind w:left="272" w:hanging="272"/>
      <w:contextualSpacing w:val="0"/>
      <w:jc w:val="both"/>
    </w:pPr>
    <w:rPr>
      <w:rFonts w:ascii="Garamond" w:eastAsia="Times New Roman" w:hAnsi="Garamond" w:cs="Times New Roman"/>
      <w:b/>
      <w:caps w:val="0"/>
      <w:color w:val="auto"/>
      <w:sz w:val="24"/>
      <w:szCs w:val="32"/>
    </w:rPr>
  </w:style>
  <w:style w:type="paragraph" w:customStyle="1" w:styleId="Annex">
    <w:name w:val="Annex"/>
    <w:basedOn w:val="Heading1"/>
    <w:uiPriority w:val="99"/>
    <w:rsid w:val="000B785F"/>
    <w:pPr>
      <w:keepNext w:val="0"/>
      <w:keepLines w:val="0"/>
      <w:suppressAutoHyphens w:val="0"/>
      <w:autoSpaceDE w:val="0"/>
      <w:autoSpaceDN w:val="0"/>
      <w:adjustRightInd w:val="0"/>
      <w:spacing w:before="0" w:after="120" w:line="240" w:lineRule="auto"/>
      <w:contextualSpacing w:val="0"/>
      <w:jc w:val="both"/>
    </w:pPr>
    <w:rPr>
      <w:rFonts w:ascii="Garamond" w:eastAsia="Times New Roman" w:hAnsi="Garamond" w:cs="Times New Roman"/>
      <w:caps w:val="0"/>
      <w:color w:val="auto"/>
      <w:sz w:val="32"/>
      <w:szCs w:val="44"/>
    </w:rPr>
  </w:style>
  <w:style w:type="paragraph" w:customStyle="1" w:styleId="CV2">
    <w:name w:val="CV2"/>
    <w:basedOn w:val="TOC2"/>
    <w:uiPriority w:val="99"/>
    <w:rsid w:val="000B785F"/>
    <w:pPr>
      <w:tabs>
        <w:tab w:val="clear" w:pos="680"/>
        <w:tab w:val="clear" w:pos="9628"/>
        <w:tab w:val="right" w:leader="dot" w:pos="8494"/>
        <w:tab w:val="right" w:leader="dot" w:pos="9344"/>
      </w:tabs>
      <w:suppressAutoHyphens w:val="0"/>
      <w:spacing w:after="0" w:line="240" w:lineRule="auto"/>
      <w:ind w:left="0"/>
    </w:pPr>
    <w:rPr>
      <w:rFonts w:ascii="Arial" w:eastAsia="Times New Roman" w:hAnsi="Arial" w:cs="Arial"/>
      <w:noProof/>
      <w:color w:val="auto"/>
      <w:szCs w:val="20"/>
      <w:lang w:val="de-DE" w:eastAsia="de-DE"/>
    </w:rPr>
  </w:style>
  <w:style w:type="paragraph" w:customStyle="1" w:styleId="ofctext">
    <w:name w:val="ofctext"/>
    <w:basedOn w:val="Normal"/>
    <w:uiPriority w:val="99"/>
    <w:rsid w:val="000B785F"/>
    <w:pPr>
      <w:suppressAutoHyphens w:val="0"/>
      <w:spacing w:before="0" w:after="100" w:line="240" w:lineRule="auto"/>
      <w:jc w:val="both"/>
    </w:pPr>
    <w:rPr>
      <w:rFonts w:ascii="Arial" w:eastAsia="Times New Roman" w:hAnsi="Arial" w:cs="Times New Roman"/>
      <w:color w:val="auto"/>
      <w:sz w:val="20"/>
      <w:szCs w:val="20"/>
      <w:lang w:eastAsia="el-GR"/>
    </w:rPr>
  </w:style>
  <w:style w:type="paragraph" w:customStyle="1" w:styleId="content">
    <w:name w:val="content"/>
    <w:basedOn w:val="Normal"/>
    <w:uiPriority w:val="99"/>
    <w:rsid w:val="000B785F"/>
    <w:pPr>
      <w:suppressAutoHyphens w:val="0"/>
      <w:spacing w:before="100" w:beforeAutospacing="1" w:after="100" w:afterAutospacing="1" w:line="240" w:lineRule="auto"/>
    </w:pPr>
    <w:rPr>
      <w:rFonts w:ascii="Verdana" w:eastAsia="Times New Roman" w:hAnsi="Verdana" w:cs="Times New Roman"/>
      <w:color w:val="000000"/>
      <w:sz w:val="24"/>
      <w:szCs w:val="24"/>
      <w:lang w:val="en-US"/>
    </w:rPr>
  </w:style>
  <w:style w:type="paragraph" w:customStyle="1" w:styleId="Default">
    <w:name w:val="Default"/>
    <w:uiPriority w:val="99"/>
    <w:rsid w:val="000B785F"/>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kst">
    <w:name w:val="tekst"/>
    <w:basedOn w:val="Normal"/>
    <w:uiPriority w:val="99"/>
    <w:rsid w:val="000B785F"/>
    <w:pPr>
      <w:suppressAutoHyphens w:val="0"/>
      <w:spacing w:before="0" w:after="0" w:line="240" w:lineRule="auto"/>
      <w:ind w:left="2552"/>
    </w:pPr>
    <w:rPr>
      <w:rFonts w:ascii="Times New Roman" w:eastAsia="Times New Roman" w:hAnsi="Times New Roman" w:cs="Times New Roman"/>
      <w:color w:val="auto"/>
      <w:sz w:val="24"/>
      <w:szCs w:val="20"/>
    </w:rPr>
  </w:style>
  <w:style w:type="paragraph" w:styleId="ListBullet">
    <w:name w:val="List Bullet"/>
    <w:basedOn w:val="Normal"/>
    <w:autoRedefine/>
    <w:uiPriority w:val="99"/>
    <w:locked/>
    <w:rsid w:val="000B785F"/>
    <w:pPr>
      <w:suppressAutoHyphens w:val="0"/>
      <w:spacing w:before="0" w:after="0" w:line="240" w:lineRule="auto"/>
      <w:jc w:val="both"/>
    </w:pPr>
    <w:rPr>
      <w:rFonts w:ascii="Arial" w:eastAsia="Times New Roman" w:hAnsi="Arial" w:cs="Times New Roman"/>
      <w:bCs/>
      <w:color w:val="000000"/>
    </w:rPr>
  </w:style>
  <w:style w:type="paragraph" w:customStyle="1" w:styleId="Tiret0">
    <w:name w:val="Tiret 0"/>
    <w:basedOn w:val="Normal"/>
    <w:uiPriority w:val="99"/>
    <w:rsid w:val="000B785F"/>
    <w:pPr>
      <w:numPr>
        <w:numId w:val="12"/>
      </w:numPr>
      <w:suppressAutoHyphens w:val="0"/>
      <w:spacing w:after="120" w:line="240" w:lineRule="auto"/>
      <w:jc w:val="both"/>
    </w:pPr>
    <w:rPr>
      <w:rFonts w:ascii="Times New Roman" w:eastAsia="Times New Roman" w:hAnsi="Times New Roman" w:cs="Times New Roman"/>
      <w:color w:val="auto"/>
      <w:sz w:val="24"/>
      <w:szCs w:val="20"/>
      <w:lang w:eastAsia="zh-CN"/>
    </w:rPr>
  </w:style>
  <w:style w:type="paragraph" w:customStyle="1" w:styleId="MonthlyReport">
    <w:name w:val="Monthly Report"/>
    <w:basedOn w:val="Heading1"/>
    <w:uiPriority w:val="99"/>
    <w:rsid w:val="000B785F"/>
    <w:pPr>
      <w:keepLines w:val="0"/>
      <w:suppressAutoHyphens w:val="0"/>
      <w:spacing w:before="0" w:after="0" w:line="240" w:lineRule="auto"/>
      <w:contextualSpacing w:val="0"/>
      <w:jc w:val="both"/>
    </w:pPr>
    <w:rPr>
      <w:rFonts w:ascii="Arial" w:eastAsia="Times New Roman" w:hAnsi="Arial" w:cs="Arial"/>
      <w:caps w:val="0"/>
      <w:color w:val="auto"/>
      <w:sz w:val="20"/>
      <w:szCs w:val="20"/>
    </w:rPr>
  </w:style>
  <w:style w:type="paragraph" w:customStyle="1" w:styleId="CONTENTS1IR">
    <w:name w:val="CONTENTS 1 IR"/>
    <w:basedOn w:val="Normal"/>
    <w:uiPriority w:val="99"/>
    <w:rsid w:val="000B785F"/>
    <w:pPr>
      <w:suppressAutoHyphens w:val="0"/>
      <w:spacing w:before="0" w:after="0" w:line="240" w:lineRule="auto"/>
      <w:jc w:val="both"/>
    </w:pPr>
    <w:rPr>
      <w:rFonts w:ascii="Arial" w:eastAsia="Times New Roman" w:hAnsi="Arial" w:cs="Arial"/>
      <w:b/>
      <w:color w:val="auto"/>
    </w:rPr>
  </w:style>
  <w:style w:type="paragraph" w:customStyle="1" w:styleId="CONTENTSIR">
    <w:name w:val="CONTENTS IR"/>
    <w:basedOn w:val="Normal"/>
    <w:uiPriority w:val="99"/>
    <w:rsid w:val="000B785F"/>
    <w:pPr>
      <w:tabs>
        <w:tab w:val="num" w:pos="720"/>
      </w:tabs>
      <w:suppressAutoHyphens w:val="0"/>
      <w:spacing w:before="0" w:after="0" w:line="240" w:lineRule="auto"/>
      <w:ind w:left="720" w:hanging="360"/>
      <w:jc w:val="both"/>
    </w:pPr>
    <w:rPr>
      <w:rFonts w:ascii="Arial" w:eastAsia="Times New Roman" w:hAnsi="Arial" w:cs="Arial"/>
      <w:b/>
      <w:color w:val="auto"/>
      <w:sz w:val="24"/>
      <w:szCs w:val="24"/>
    </w:rPr>
  </w:style>
  <w:style w:type="paragraph" w:customStyle="1" w:styleId="CharCharChar">
    <w:name w:val="Char Char Char"/>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paragraph" w:customStyle="1" w:styleId="CharChar">
    <w:name w:val="(文字) (文字) Char Char"/>
    <w:basedOn w:val="Heading2"/>
    <w:uiPriority w:val="99"/>
    <w:rsid w:val="000B785F"/>
    <w:pPr>
      <w:keepLines w:val="0"/>
      <w:pageBreakBefore/>
      <w:tabs>
        <w:tab w:val="left" w:pos="850"/>
        <w:tab w:val="left" w:pos="1191"/>
        <w:tab w:val="left" w:pos="1531"/>
      </w:tabs>
      <w:suppressAutoHyphens w:val="0"/>
      <w:spacing w:before="120" w:line="240" w:lineRule="auto"/>
      <w:contextualSpacing w:val="0"/>
      <w:jc w:val="center"/>
    </w:pPr>
    <w:rPr>
      <w:rFonts w:ascii="Tahoma" w:eastAsia="MS Mincho" w:hAnsi="Tahoma" w:cs="Tahoma"/>
      <w:b/>
      <w:caps w:val="0"/>
      <w:color w:val="FFFFFF"/>
      <w:spacing w:val="20"/>
      <w:sz w:val="22"/>
      <w:szCs w:val="22"/>
      <w:lang w:eastAsia="zh-CN"/>
    </w:rPr>
  </w:style>
  <w:style w:type="paragraph" w:customStyle="1" w:styleId="Table">
    <w:name w:val="Table"/>
    <w:basedOn w:val="Normal"/>
    <w:uiPriority w:val="99"/>
    <w:rsid w:val="000B785F"/>
    <w:pPr>
      <w:suppressAutoHyphens w:val="0"/>
      <w:spacing w:before="60" w:line="240" w:lineRule="auto"/>
    </w:pPr>
    <w:rPr>
      <w:rFonts w:ascii="Times New Roman" w:eastAsia="Times New Roman" w:hAnsi="Times New Roman" w:cs="Times New Roman"/>
      <w:color w:val="auto"/>
      <w:sz w:val="20"/>
      <w:szCs w:val="24"/>
      <w:lang w:eastAsia="en-GB"/>
    </w:rPr>
  </w:style>
  <w:style w:type="character" w:customStyle="1" w:styleId="s1">
    <w:name w:val="s1"/>
    <w:uiPriority w:val="99"/>
    <w:rsid w:val="000B785F"/>
    <w:rPr>
      <w:rFonts w:ascii="Arial" w:hAnsi="Arial"/>
      <w:sz w:val="20"/>
    </w:rPr>
  </w:style>
  <w:style w:type="paragraph" w:customStyle="1" w:styleId="Body">
    <w:name w:val="Body"/>
    <w:basedOn w:val="Default"/>
    <w:next w:val="Default"/>
    <w:uiPriority w:val="99"/>
    <w:rsid w:val="000B785F"/>
  </w:style>
  <w:style w:type="character" w:customStyle="1" w:styleId="BodyChar">
    <w:name w:val="Body Char"/>
    <w:uiPriority w:val="99"/>
    <w:rsid w:val="000B785F"/>
    <w:rPr>
      <w:rFonts w:ascii="HCLLBK+TimesNewRoman" w:hAnsi="HCLLBK+TimesNewRoman"/>
      <w:sz w:val="24"/>
      <w:lang w:val="en-IN" w:eastAsia="en-IN"/>
    </w:rPr>
  </w:style>
  <w:style w:type="character" w:customStyle="1" w:styleId="Char1">
    <w:name w:val="Char1"/>
    <w:uiPriority w:val="99"/>
    <w:rsid w:val="000B785F"/>
    <w:rPr>
      <w:lang w:val="en-GB" w:eastAsia="en-US"/>
    </w:rPr>
  </w:style>
  <w:style w:type="paragraph" w:styleId="BlockText">
    <w:name w:val="Block Text"/>
    <w:basedOn w:val="Normal"/>
    <w:next w:val="Normal"/>
    <w:uiPriority w:val="99"/>
    <w:locked/>
    <w:rsid w:val="000B785F"/>
    <w:pPr>
      <w:numPr>
        <w:ilvl w:val="7"/>
        <w:numId w:val="13"/>
      </w:numPr>
      <w:suppressAutoHyphens w:val="0"/>
      <w:autoSpaceDE w:val="0"/>
      <w:autoSpaceDN w:val="0"/>
      <w:adjustRightInd w:val="0"/>
      <w:spacing w:before="0" w:after="0" w:line="240" w:lineRule="auto"/>
    </w:pPr>
    <w:rPr>
      <w:rFonts w:ascii="Times New Roman" w:eastAsia="Times New Roman" w:hAnsi="Times New Roman" w:cs="Times New Roman"/>
      <w:color w:val="auto"/>
      <w:sz w:val="24"/>
      <w:szCs w:val="24"/>
      <w:lang w:eastAsia="en-GB"/>
    </w:rPr>
  </w:style>
  <w:style w:type="character" w:customStyle="1" w:styleId="AreaCharChar">
    <w:name w:val="Area Char Char"/>
    <w:uiPriority w:val="99"/>
    <w:locked/>
    <w:rsid w:val="000B785F"/>
    <w:rPr>
      <w:b/>
      <w:sz w:val="24"/>
      <w:lang w:val="en-US" w:eastAsia="en-US"/>
    </w:rPr>
  </w:style>
  <w:style w:type="paragraph" w:customStyle="1" w:styleId="Area">
    <w:name w:val="Area"/>
    <w:uiPriority w:val="99"/>
    <w:rsid w:val="000B785F"/>
    <w:pPr>
      <w:keepNext/>
      <w:numPr>
        <w:ilvl w:val="8"/>
        <w:numId w:val="13"/>
      </w:numPr>
      <w:spacing w:after="0" w:line="240" w:lineRule="auto"/>
    </w:pPr>
    <w:rPr>
      <w:rFonts w:ascii="Times New Roman" w:eastAsia="Times New Roman" w:hAnsi="Times New Roman" w:cs="Times New Roman"/>
      <w:b/>
      <w:bCs/>
      <w:sz w:val="24"/>
      <w:szCs w:val="24"/>
      <w:lang w:val="en-US"/>
    </w:rPr>
  </w:style>
  <w:style w:type="character" w:customStyle="1" w:styleId="PeterJensen">
    <w:name w:val="Peter Jensen"/>
    <w:uiPriority w:val="99"/>
    <w:semiHidden/>
    <w:rsid w:val="000B785F"/>
    <w:rPr>
      <w:rFonts w:ascii="Arial" w:hAnsi="Arial"/>
      <w:color w:val="auto"/>
      <w:sz w:val="20"/>
    </w:rPr>
  </w:style>
  <w:style w:type="paragraph" w:customStyle="1" w:styleId="TORSPara">
    <w:name w:val="TORS Para"/>
    <w:basedOn w:val="Normal"/>
    <w:uiPriority w:val="99"/>
    <w:rsid w:val="000B785F"/>
    <w:pPr>
      <w:tabs>
        <w:tab w:val="num" w:pos="1800"/>
      </w:tabs>
      <w:suppressAutoHyphens w:val="0"/>
      <w:spacing w:before="0" w:after="240" w:line="240" w:lineRule="auto"/>
      <w:ind w:left="578" w:hanging="578"/>
      <w:jc w:val="both"/>
    </w:pPr>
    <w:rPr>
      <w:rFonts w:ascii="Arial" w:eastAsia="Times New Roman" w:hAnsi="Arial" w:cs="Times New Roman"/>
      <w:color w:val="auto"/>
    </w:rPr>
  </w:style>
  <w:style w:type="paragraph" w:customStyle="1" w:styleId="TORSHeading">
    <w:name w:val="TORS Heading"/>
    <w:basedOn w:val="Normal"/>
    <w:uiPriority w:val="99"/>
    <w:rsid w:val="000B785F"/>
    <w:pPr>
      <w:tabs>
        <w:tab w:val="num" w:pos="1080"/>
      </w:tabs>
      <w:suppressAutoHyphens w:val="0"/>
      <w:spacing w:before="0" w:after="240" w:line="240" w:lineRule="auto"/>
      <w:ind w:left="431" w:hanging="431"/>
    </w:pPr>
    <w:rPr>
      <w:rFonts w:ascii="Arial" w:eastAsia="Times New Roman" w:hAnsi="Arial" w:cs="Times New Roman"/>
      <w:b/>
      <w:color w:val="auto"/>
      <w:sz w:val="24"/>
      <w:szCs w:val="24"/>
    </w:rPr>
  </w:style>
  <w:style w:type="paragraph" w:customStyle="1" w:styleId="CharChar2">
    <w:name w:val="Char Char2"/>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character" w:customStyle="1" w:styleId="Char">
    <w:name w:val="Char"/>
    <w:uiPriority w:val="99"/>
    <w:rsid w:val="000B785F"/>
    <w:rPr>
      <w:sz w:val="24"/>
      <w:lang w:val="en-GB" w:eastAsia="en-US"/>
    </w:rPr>
  </w:style>
  <w:style w:type="paragraph" w:customStyle="1" w:styleId="ZchnZchn1CharChar">
    <w:name w:val="Zchn Zchn1 Char Char"/>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paragraph" w:customStyle="1" w:styleId="CharCharCharCharCharChar">
    <w:name w:val="Char Char Char Char Char Char"/>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paragraph" w:customStyle="1" w:styleId="CharChar0">
    <w:name w:val="Char Char"/>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character" w:customStyle="1" w:styleId="emailstyle17">
    <w:name w:val="emailstyle17"/>
    <w:uiPriority w:val="99"/>
    <w:semiHidden/>
    <w:rsid w:val="000B785F"/>
    <w:rPr>
      <w:rFonts w:ascii="Arial" w:hAnsi="Arial"/>
      <w:color w:val="auto"/>
      <w:sz w:val="20"/>
    </w:rPr>
  </w:style>
  <w:style w:type="paragraph" w:customStyle="1" w:styleId="StyleHeading1Before12pt">
    <w:name w:val="Style Heading 1 + Before:  12 pt"/>
    <w:basedOn w:val="Heading1"/>
    <w:uiPriority w:val="99"/>
    <w:rsid w:val="000B785F"/>
    <w:pPr>
      <w:tabs>
        <w:tab w:val="num" w:pos="720"/>
      </w:tabs>
      <w:suppressAutoHyphens w:val="0"/>
      <w:adjustRightInd w:val="0"/>
      <w:spacing w:before="240" w:after="120" w:line="240" w:lineRule="auto"/>
      <w:ind w:left="360" w:hanging="360"/>
      <w:contextualSpacing w:val="0"/>
      <w:jc w:val="center"/>
    </w:pPr>
    <w:rPr>
      <w:rFonts w:ascii="Times New Roman" w:eastAsia="Times New Roman" w:hAnsi="Times New Roman" w:cs="Times New Roman"/>
      <w:bCs w:val="0"/>
      <w:caps w:val="0"/>
      <w:color w:val="auto"/>
      <w:spacing w:val="20"/>
      <w:kern w:val="20"/>
      <w:sz w:val="24"/>
      <w:szCs w:val="20"/>
      <w:lang w:val="en-US" w:bidi="fa-IR"/>
    </w:rPr>
  </w:style>
  <w:style w:type="paragraph" w:customStyle="1" w:styleId="StyleHeading212pt1">
    <w:name w:val="Style Heading 2 + 12 pt1"/>
    <w:basedOn w:val="Heading2"/>
    <w:uiPriority w:val="99"/>
    <w:rsid w:val="000B785F"/>
    <w:pPr>
      <w:tabs>
        <w:tab w:val="num" w:pos="754"/>
      </w:tabs>
      <w:suppressAutoHyphens w:val="0"/>
      <w:adjustRightInd w:val="0"/>
      <w:spacing w:before="0" w:after="170" w:line="240" w:lineRule="atLeast"/>
      <w:ind w:left="432" w:hanging="360"/>
      <w:contextualSpacing w:val="0"/>
    </w:pPr>
    <w:rPr>
      <w:rFonts w:ascii="Times New Roman" w:eastAsia="Times New Roman" w:hAnsi="Times New Roman" w:cs="Times New Roman"/>
      <w:caps w:val="0"/>
      <w:color w:val="auto"/>
      <w:kern w:val="20"/>
      <w:sz w:val="24"/>
      <w:szCs w:val="24"/>
      <w:u w:val="single"/>
      <w:lang w:val="en-US" w:bidi="fa-IR"/>
    </w:rPr>
  </w:style>
  <w:style w:type="paragraph" w:customStyle="1" w:styleId="DefaultText">
    <w:name w:val="Default Text"/>
    <w:basedOn w:val="Normal"/>
    <w:link w:val="DefaultTextChar"/>
    <w:uiPriority w:val="99"/>
    <w:qFormat/>
    <w:rsid w:val="000B785F"/>
    <w:pPr>
      <w:widowControl w:val="0"/>
      <w:suppressAutoHyphens w:val="0"/>
      <w:autoSpaceDE w:val="0"/>
      <w:autoSpaceDN w:val="0"/>
      <w:adjustRightInd w:val="0"/>
      <w:spacing w:before="0" w:after="0" w:line="240" w:lineRule="auto"/>
    </w:pPr>
    <w:rPr>
      <w:rFonts w:ascii="Times New Roman" w:eastAsia="Times New Roman" w:hAnsi="Times New Roman" w:cs="Times New Roman"/>
      <w:color w:val="auto"/>
      <w:sz w:val="24"/>
      <w:szCs w:val="24"/>
      <w:lang w:val="en-US"/>
    </w:rPr>
  </w:style>
  <w:style w:type="character" w:customStyle="1" w:styleId="Char2">
    <w:name w:val="Char2"/>
    <w:uiPriority w:val="99"/>
    <w:semiHidden/>
    <w:rsid w:val="000B785F"/>
    <w:rPr>
      <w:lang w:val="en-GB"/>
    </w:rPr>
  </w:style>
  <w:style w:type="paragraph" w:customStyle="1" w:styleId="msolistparagraph0">
    <w:name w:val="msolistparagraph"/>
    <w:basedOn w:val="Normal"/>
    <w:uiPriority w:val="99"/>
    <w:rsid w:val="000B785F"/>
    <w:pPr>
      <w:suppressAutoHyphens w:val="0"/>
      <w:spacing w:before="0" w:after="0" w:line="240" w:lineRule="auto"/>
      <w:ind w:left="720"/>
    </w:pPr>
    <w:rPr>
      <w:rFonts w:ascii="Times New Roman" w:eastAsia="Times New Roman" w:hAnsi="Times New Roman" w:cs="Times New Roman"/>
      <w:color w:val="auto"/>
      <w:sz w:val="24"/>
      <w:szCs w:val="24"/>
      <w:lang w:val="en-IN" w:eastAsia="en-IN"/>
    </w:rPr>
  </w:style>
  <w:style w:type="character" w:customStyle="1" w:styleId="FootnoteTextChar2">
    <w:name w:val="Footnote Text Char2"/>
    <w:aliases w:val="single space Char2,FOOTNOTES Char1,fn Char1,ALTS FOOTNOTE Char1,ft Char1,Geneva 9 Char1,Font: Geneva 9 Char1,Boston 10 Char1,f Char1,Footnote Text 1 Char1,ADB Char1,Footnote Text Char1 Char1,Footnote Text Char Char Char2"/>
    <w:basedOn w:val="DefaultParagraphFont"/>
    <w:uiPriority w:val="99"/>
    <w:semiHidden/>
    <w:locked/>
    <w:rsid w:val="000B785F"/>
    <w:rPr>
      <w:rFonts w:ascii="Arial" w:hAnsi="Arial" w:cs="Times New Roman"/>
      <w:lang w:eastAsia="en-US"/>
    </w:rPr>
  </w:style>
  <w:style w:type="paragraph" w:customStyle="1" w:styleId="CharChar1">
    <w:name w:val="Char Char1"/>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paragraph" w:customStyle="1" w:styleId="CharChar4">
    <w:name w:val="Char Char4"/>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paragraph" w:customStyle="1" w:styleId="CharChar6">
    <w:name w:val="Char Char6"/>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character" w:styleId="HTMLTypewriter">
    <w:name w:val="HTML Typewriter"/>
    <w:basedOn w:val="DefaultParagraphFont"/>
    <w:uiPriority w:val="99"/>
    <w:locked/>
    <w:rsid w:val="000B785F"/>
    <w:rPr>
      <w:rFonts w:ascii="Courier New" w:hAnsi="Courier New" w:cs="Times New Roman"/>
      <w:sz w:val="20"/>
    </w:rPr>
  </w:style>
  <w:style w:type="paragraph" w:customStyle="1" w:styleId="Dimensionheading">
    <w:name w:val="Dimension heading"/>
    <w:basedOn w:val="Normal"/>
    <w:uiPriority w:val="99"/>
    <w:rsid w:val="000B785F"/>
    <w:pPr>
      <w:tabs>
        <w:tab w:val="right" w:pos="8280"/>
      </w:tabs>
      <w:suppressAutoHyphens w:val="0"/>
      <w:spacing w:before="0" w:after="0" w:line="240" w:lineRule="auto"/>
    </w:pPr>
    <w:rPr>
      <w:rFonts w:ascii="Times New Roman" w:eastAsia="Times New Roman" w:hAnsi="Times New Roman" w:cs="Times New Roman"/>
      <w:b/>
      <w:i/>
      <w:color w:val="auto"/>
      <w:sz w:val="24"/>
      <w:szCs w:val="24"/>
      <w:lang w:val="en-IE" w:eastAsia="en-GB"/>
    </w:rPr>
  </w:style>
  <w:style w:type="character" w:customStyle="1" w:styleId="DimensionheadingChar">
    <w:name w:val="Dimension heading Char"/>
    <w:uiPriority w:val="99"/>
    <w:rsid w:val="000B785F"/>
    <w:rPr>
      <w:b/>
      <w:i/>
      <w:sz w:val="24"/>
      <w:lang w:val="en-IE" w:eastAsia="en-GB"/>
    </w:rPr>
  </w:style>
  <w:style w:type="paragraph" w:customStyle="1" w:styleId="CharChar8CharCharChar">
    <w:name w:val="Char Char8 Char Char Char"/>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paragraph" w:customStyle="1" w:styleId="text">
    <w:name w:val="text"/>
    <w:basedOn w:val="Normal"/>
    <w:uiPriority w:val="99"/>
    <w:rsid w:val="000B785F"/>
    <w:pPr>
      <w:suppressAutoHyphens w:val="0"/>
      <w:spacing w:before="100" w:beforeAutospacing="1" w:after="100" w:afterAutospacing="1" w:line="240" w:lineRule="auto"/>
    </w:pPr>
    <w:rPr>
      <w:rFonts w:ascii="Verdana" w:eastAsia="Times New Roman" w:hAnsi="Verdana" w:cs="Times New Roman"/>
      <w:color w:val="FFFFFF"/>
      <w:sz w:val="20"/>
      <w:szCs w:val="20"/>
      <w:lang w:val="en-IN" w:eastAsia="en-IN" w:bidi="th-TH"/>
    </w:rPr>
  </w:style>
  <w:style w:type="character" w:customStyle="1" w:styleId="singlespaceChar1">
    <w:name w:val="single space Char1"/>
    <w:aliases w:val="FOOTNOTES Char2,fn Char2,ALTS FOOTNOTE Char2,footnote text Char,ft Char2,Geneva 9 Char2,Font: Geneva 9 Char2,Boston 10 Char2,f Char2,Footnote Text 1 Char2,ADB Char2,Footnote Text Char1 Char2,Footnote Text Char Char Char1"/>
    <w:uiPriority w:val="99"/>
    <w:semiHidden/>
    <w:rsid w:val="000B785F"/>
    <w:rPr>
      <w:rFonts w:ascii="Arial" w:hAnsi="Arial"/>
      <w:lang w:val="en-GB" w:eastAsia="en-US"/>
    </w:rPr>
  </w:style>
  <w:style w:type="paragraph" w:styleId="HTMLPreformatted">
    <w:name w:val="HTML Preformatted"/>
    <w:basedOn w:val="Normal"/>
    <w:link w:val="HTMLPreformattedChar"/>
    <w:uiPriority w:val="99"/>
    <w:locked/>
    <w:rsid w:val="000B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IN" w:eastAsia="en-IN" w:bidi="th-TH"/>
    </w:rPr>
  </w:style>
  <w:style w:type="character" w:customStyle="1" w:styleId="HTMLPreformattedChar">
    <w:name w:val="HTML Preformatted Char"/>
    <w:basedOn w:val="DefaultParagraphFont"/>
    <w:link w:val="HTMLPreformatted"/>
    <w:uiPriority w:val="99"/>
    <w:rsid w:val="000B785F"/>
    <w:rPr>
      <w:rFonts w:ascii="Courier New" w:eastAsia="Times New Roman" w:hAnsi="Courier New" w:cs="Courier New"/>
      <w:sz w:val="20"/>
      <w:szCs w:val="20"/>
      <w:lang w:val="en-IN" w:eastAsia="en-IN" w:bidi="th-TH"/>
    </w:rPr>
  </w:style>
  <w:style w:type="character" w:styleId="EndnoteReference">
    <w:name w:val="endnote reference"/>
    <w:basedOn w:val="DefaultParagraphFont"/>
    <w:uiPriority w:val="99"/>
    <w:semiHidden/>
    <w:rsid w:val="000B785F"/>
    <w:rPr>
      <w:rFonts w:cs="Times New Roman"/>
      <w:vertAlign w:val="superscript"/>
    </w:rPr>
  </w:style>
  <w:style w:type="paragraph" w:styleId="DocumentMap">
    <w:name w:val="Document Map"/>
    <w:basedOn w:val="Normal"/>
    <w:link w:val="DocumentMapChar"/>
    <w:uiPriority w:val="99"/>
    <w:semiHidden/>
    <w:locked/>
    <w:rsid w:val="000B785F"/>
    <w:pPr>
      <w:shd w:val="clear" w:color="auto" w:fill="000080"/>
      <w:suppressAutoHyphens w:val="0"/>
      <w:spacing w:after="120" w:line="240" w:lineRule="auto"/>
      <w:jc w:val="both"/>
    </w:pPr>
    <w:rPr>
      <w:rFonts w:ascii="Tahoma" w:eastAsia="Times New Roman" w:hAnsi="Tahoma" w:cs="Tahoma"/>
      <w:color w:val="auto"/>
      <w:sz w:val="24"/>
      <w:szCs w:val="24"/>
    </w:rPr>
  </w:style>
  <w:style w:type="character" w:customStyle="1" w:styleId="DocumentMapChar">
    <w:name w:val="Document Map Char"/>
    <w:basedOn w:val="DefaultParagraphFont"/>
    <w:link w:val="DocumentMap"/>
    <w:uiPriority w:val="99"/>
    <w:semiHidden/>
    <w:rsid w:val="000B785F"/>
    <w:rPr>
      <w:rFonts w:ascii="Tahoma" w:eastAsia="Times New Roman" w:hAnsi="Tahoma" w:cs="Tahoma"/>
      <w:sz w:val="24"/>
      <w:szCs w:val="24"/>
      <w:shd w:val="clear" w:color="auto" w:fill="000080"/>
      <w:lang w:val="en-GB"/>
    </w:rPr>
  </w:style>
  <w:style w:type="character" w:customStyle="1" w:styleId="sottotitolo">
    <w:name w:val="sottotitolo"/>
    <w:basedOn w:val="DefaultParagraphFont"/>
    <w:uiPriority w:val="99"/>
    <w:rsid w:val="000B785F"/>
    <w:rPr>
      <w:rFonts w:cs="Times New Roman"/>
    </w:rPr>
  </w:style>
  <w:style w:type="paragraph" w:customStyle="1" w:styleId="StyleDefaultJustifiedBefore6ptAfter6pt">
    <w:name w:val="Style Default + Justified Before:  6 pt After:  6 pt"/>
    <w:basedOn w:val="Default"/>
    <w:uiPriority w:val="99"/>
    <w:rsid w:val="000B785F"/>
  </w:style>
  <w:style w:type="paragraph" w:customStyle="1" w:styleId="HD1">
    <w:name w:val="HD1"/>
    <w:basedOn w:val="Normal"/>
    <w:uiPriority w:val="99"/>
    <w:rsid w:val="000B785F"/>
    <w:pPr>
      <w:suppressAutoHyphens w:val="0"/>
      <w:spacing w:before="0" w:after="0" w:line="240" w:lineRule="auto"/>
    </w:pPr>
    <w:rPr>
      <w:rFonts w:ascii="Trebuchet MS" w:eastAsia="Times New Roman" w:hAnsi="Trebuchet MS" w:cs="Angsana New"/>
      <w:b/>
      <w:color w:val="003776"/>
      <w:sz w:val="24"/>
      <w:szCs w:val="24"/>
      <w:lang w:val="en-US"/>
    </w:rPr>
  </w:style>
  <w:style w:type="paragraph" w:customStyle="1" w:styleId="Pa19">
    <w:name w:val="Pa19"/>
    <w:basedOn w:val="Default"/>
    <w:next w:val="Default"/>
    <w:uiPriority w:val="99"/>
    <w:rsid w:val="000B785F"/>
  </w:style>
  <w:style w:type="paragraph" w:customStyle="1" w:styleId="Pa20">
    <w:name w:val="Pa20"/>
    <w:basedOn w:val="Default"/>
    <w:next w:val="Default"/>
    <w:uiPriority w:val="99"/>
    <w:rsid w:val="000B785F"/>
  </w:style>
  <w:style w:type="character" w:customStyle="1" w:styleId="A11">
    <w:name w:val="A11"/>
    <w:uiPriority w:val="99"/>
    <w:rsid w:val="000B785F"/>
    <w:rPr>
      <w:rFonts w:ascii="ZapfDingbats BT" w:hAnsi="ZapfDingbats BT"/>
      <w:color w:val="000000"/>
      <w:sz w:val="12"/>
    </w:rPr>
  </w:style>
  <w:style w:type="paragraph" w:customStyle="1" w:styleId="Pa21">
    <w:name w:val="Pa21"/>
    <w:basedOn w:val="Default"/>
    <w:next w:val="Default"/>
    <w:uiPriority w:val="99"/>
    <w:rsid w:val="000B785F"/>
  </w:style>
  <w:style w:type="paragraph" w:customStyle="1" w:styleId="Pa22">
    <w:name w:val="Pa22"/>
    <w:basedOn w:val="Default"/>
    <w:next w:val="Default"/>
    <w:uiPriority w:val="99"/>
    <w:rsid w:val="000B785F"/>
  </w:style>
  <w:style w:type="paragraph" w:customStyle="1" w:styleId="normal10">
    <w:name w:val="normal10"/>
    <w:basedOn w:val="Normal"/>
    <w:uiPriority w:val="99"/>
    <w:rsid w:val="000B785F"/>
    <w:pPr>
      <w:suppressAutoHyphens w:val="0"/>
      <w:spacing w:before="0" w:after="0" w:line="360" w:lineRule="auto"/>
    </w:pPr>
    <w:rPr>
      <w:rFonts w:ascii="Times New Roman" w:eastAsia="Times New Roman" w:hAnsi="Times New Roman" w:cs="Times New Roman"/>
      <w:color w:val="000000"/>
      <w:sz w:val="24"/>
      <w:szCs w:val="24"/>
      <w:lang w:val="en-US"/>
    </w:rPr>
  </w:style>
  <w:style w:type="paragraph" w:customStyle="1" w:styleId="CharChar3Char">
    <w:name w:val="Char Char3 Char"/>
    <w:basedOn w:val="Normal"/>
    <w:uiPriority w:val="99"/>
    <w:rsid w:val="000B785F"/>
    <w:pPr>
      <w:suppressAutoHyphens w:val="0"/>
      <w:spacing w:before="0" w:after="160" w:line="240" w:lineRule="exact"/>
    </w:pPr>
    <w:rPr>
      <w:rFonts w:ascii="Verdana" w:eastAsia="Times New Roman" w:hAnsi="Verdana" w:cs="Times New Roman"/>
      <w:color w:val="auto"/>
      <w:sz w:val="20"/>
      <w:szCs w:val="20"/>
      <w:lang w:val="en-US"/>
    </w:rPr>
  </w:style>
  <w:style w:type="paragraph" w:customStyle="1" w:styleId="Char1CharCharChar">
    <w:name w:val="Char1 Char Char Char"/>
    <w:basedOn w:val="Normal"/>
    <w:uiPriority w:val="99"/>
    <w:rsid w:val="000B785F"/>
    <w:pPr>
      <w:suppressAutoHyphens w:val="0"/>
      <w:spacing w:before="0" w:after="160" w:line="240" w:lineRule="exact"/>
    </w:pPr>
    <w:rPr>
      <w:rFonts w:ascii="Verdana" w:eastAsia="Times New Roman" w:hAnsi="Verdana" w:cs="Times New Roman"/>
      <w:color w:val="auto"/>
      <w:sz w:val="20"/>
      <w:szCs w:val="20"/>
      <w:lang w:val="en-US"/>
    </w:rPr>
  </w:style>
  <w:style w:type="paragraph" w:customStyle="1" w:styleId="CarCarCharCharCharCharCharCharCharCharCharCharCharCharCharCharCharCharCharCharChar">
    <w:name w:val="Car Car Char Char Char Char Char Char Char Char Char Char Char Char Char Char Char Char Char Char Char"/>
    <w:basedOn w:val="Heading2"/>
    <w:uiPriority w:val="99"/>
    <w:rsid w:val="000B785F"/>
    <w:pPr>
      <w:keepLines w:val="0"/>
      <w:pageBreakBefore/>
      <w:tabs>
        <w:tab w:val="left" w:pos="850"/>
        <w:tab w:val="left" w:pos="1191"/>
        <w:tab w:val="left" w:pos="1531"/>
      </w:tabs>
      <w:suppressAutoHyphens w:val="0"/>
      <w:spacing w:before="120" w:line="240" w:lineRule="auto"/>
      <w:contextualSpacing w:val="0"/>
      <w:jc w:val="center"/>
    </w:pPr>
    <w:rPr>
      <w:rFonts w:ascii="Tahoma" w:eastAsia="Times New Roman" w:hAnsi="Tahoma" w:cs="Tahoma"/>
      <w:b/>
      <w:caps w:val="0"/>
      <w:color w:val="FFFFFF"/>
      <w:spacing w:val="20"/>
      <w:sz w:val="22"/>
      <w:szCs w:val="22"/>
      <w:lang w:eastAsia="zh-CN"/>
    </w:rPr>
  </w:style>
  <w:style w:type="paragraph" w:customStyle="1" w:styleId="Char4">
    <w:name w:val="Char4"/>
    <w:basedOn w:val="Normal"/>
    <w:uiPriority w:val="99"/>
    <w:rsid w:val="000B785F"/>
    <w:pPr>
      <w:suppressAutoHyphens w:val="0"/>
      <w:spacing w:before="0" w:after="160" w:line="240" w:lineRule="exact"/>
    </w:pPr>
    <w:rPr>
      <w:rFonts w:ascii="Verdana" w:eastAsia="Times New Roman" w:hAnsi="Verdana" w:cs="Times New Roman"/>
      <w:color w:val="auto"/>
      <w:sz w:val="20"/>
      <w:szCs w:val="20"/>
      <w:lang w:val="en-US"/>
    </w:rPr>
  </w:style>
  <w:style w:type="character" w:customStyle="1" w:styleId="A1">
    <w:name w:val="A1"/>
    <w:uiPriority w:val="99"/>
    <w:rsid w:val="000B785F"/>
    <w:rPr>
      <w:color w:val="000000"/>
      <w:sz w:val="46"/>
    </w:rPr>
  </w:style>
  <w:style w:type="paragraph" w:customStyle="1" w:styleId="Pa23">
    <w:name w:val="Pa23"/>
    <w:basedOn w:val="Default"/>
    <w:next w:val="Default"/>
    <w:uiPriority w:val="99"/>
    <w:rsid w:val="000B785F"/>
  </w:style>
  <w:style w:type="character" w:customStyle="1" w:styleId="A5">
    <w:name w:val="A5"/>
    <w:uiPriority w:val="99"/>
    <w:rsid w:val="000B785F"/>
    <w:rPr>
      <w:color w:val="000000"/>
      <w:sz w:val="54"/>
    </w:rPr>
  </w:style>
  <w:style w:type="paragraph" w:customStyle="1" w:styleId="NormalWeb21">
    <w:name w:val="Normal (Web)21"/>
    <w:basedOn w:val="Normal"/>
    <w:uiPriority w:val="99"/>
    <w:rsid w:val="000B785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paragraph" w:styleId="PlainText">
    <w:name w:val="Plain Text"/>
    <w:basedOn w:val="Normal"/>
    <w:link w:val="PlainTextChar"/>
    <w:uiPriority w:val="99"/>
    <w:locked/>
    <w:rsid w:val="000B785F"/>
    <w:pPr>
      <w:suppressAutoHyphens w:val="0"/>
      <w:spacing w:before="0" w:after="0" w:line="240" w:lineRule="auto"/>
    </w:pPr>
    <w:rPr>
      <w:rFonts w:ascii="Consolas" w:eastAsia="Times New Roman" w:hAnsi="Consolas" w:cs="Times New Roman"/>
      <w:color w:val="auto"/>
      <w:sz w:val="21"/>
      <w:szCs w:val="21"/>
      <w:lang w:val="en-US"/>
    </w:rPr>
  </w:style>
  <w:style w:type="character" w:customStyle="1" w:styleId="PlainTextChar">
    <w:name w:val="Plain Text Char"/>
    <w:basedOn w:val="DefaultParagraphFont"/>
    <w:link w:val="PlainText"/>
    <w:uiPriority w:val="99"/>
    <w:rsid w:val="000B785F"/>
    <w:rPr>
      <w:rFonts w:ascii="Consolas" w:eastAsia="Times New Roman" w:hAnsi="Consolas" w:cs="Times New Roman"/>
      <w:sz w:val="21"/>
      <w:szCs w:val="21"/>
      <w:lang w:val="en-US"/>
    </w:rPr>
  </w:style>
  <w:style w:type="paragraph" w:customStyle="1" w:styleId="ActionList">
    <w:name w:val="Action List"/>
    <w:basedOn w:val="Normal"/>
    <w:link w:val="ActionListChar"/>
    <w:uiPriority w:val="99"/>
    <w:rsid w:val="000B785F"/>
    <w:pPr>
      <w:numPr>
        <w:ilvl w:val="8"/>
        <w:numId w:val="14"/>
      </w:numPr>
      <w:suppressAutoHyphens w:val="0"/>
      <w:spacing w:before="0" w:after="0" w:line="240" w:lineRule="auto"/>
      <w:ind w:left="180"/>
    </w:pPr>
    <w:rPr>
      <w:rFonts w:ascii="Times New Roman" w:eastAsia="MS Mincho" w:hAnsi="Times New Roman" w:cs="Times New Roman"/>
      <w:color w:val="auto"/>
      <w:sz w:val="24"/>
      <w:szCs w:val="24"/>
      <w:lang w:val="en-US"/>
    </w:rPr>
  </w:style>
  <w:style w:type="character" w:customStyle="1" w:styleId="ActionListChar">
    <w:name w:val="Action List Char"/>
    <w:link w:val="ActionList"/>
    <w:uiPriority w:val="99"/>
    <w:locked/>
    <w:rsid w:val="000B785F"/>
    <w:rPr>
      <w:rFonts w:ascii="Times New Roman" w:eastAsia="MS Mincho" w:hAnsi="Times New Roman" w:cs="Times New Roman"/>
      <w:sz w:val="24"/>
      <w:szCs w:val="24"/>
      <w:lang w:val="en-US"/>
    </w:rPr>
  </w:style>
  <w:style w:type="paragraph" w:customStyle="1" w:styleId="BoxText">
    <w:name w:val="Box Text"/>
    <w:basedOn w:val="Default"/>
    <w:next w:val="Default"/>
    <w:uiPriority w:val="99"/>
    <w:rsid w:val="000B785F"/>
  </w:style>
  <w:style w:type="paragraph" w:customStyle="1" w:styleId="Heading14">
    <w:name w:val="Heading 14"/>
    <w:basedOn w:val="Normal"/>
    <w:uiPriority w:val="99"/>
    <w:rsid w:val="000B785F"/>
    <w:pPr>
      <w:suppressAutoHyphens w:val="0"/>
      <w:spacing w:before="0" w:after="0" w:line="240" w:lineRule="auto"/>
      <w:outlineLvl w:val="1"/>
    </w:pPr>
    <w:rPr>
      <w:rFonts w:ascii="Verdana" w:eastAsia="Times New Roman" w:hAnsi="Verdana" w:cs="Times New Roman"/>
      <w:color w:val="004490"/>
      <w:kern w:val="36"/>
      <w:sz w:val="43"/>
      <w:szCs w:val="43"/>
      <w:lang w:val="en-IN" w:eastAsia="en-IN"/>
    </w:rPr>
  </w:style>
  <w:style w:type="paragraph" w:customStyle="1" w:styleId="NormalWeb2">
    <w:name w:val="Normal (Web)2"/>
    <w:basedOn w:val="Normal"/>
    <w:uiPriority w:val="99"/>
    <w:rsid w:val="000B785F"/>
    <w:pPr>
      <w:suppressAutoHyphens w:val="0"/>
      <w:spacing w:before="60" w:after="45" w:line="240" w:lineRule="auto"/>
      <w:ind w:right="60"/>
    </w:pPr>
    <w:rPr>
      <w:rFonts w:ascii="Verdana" w:eastAsia="Times New Roman" w:hAnsi="Verdana" w:cs="Times New Roman"/>
      <w:color w:val="auto"/>
      <w:sz w:val="24"/>
      <w:szCs w:val="24"/>
      <w:lang w:val="en-IN" w:eastAsia="en-IN"/>
    </w:rPr>
  </w:style>
  <w:style w:type="character" w:customStyle="1" w:styleId="WW8Num3z1">
    <w:name w:val="WW8Num3z1"/>
    <w:uiPriority w:val="99"/>
    <w:rsid w:val="000B785F"/>
    <w:rPr>
      <w:rFonts w:ascii="Courier New" w:hAnsi="Courier New"/>
    </w:rPr>
  </w:style>
  <w:style w:type="paragraph" w:customStyle="1" w:styleId="Style11ptJustifiedBefore6pt">
    <w:name w:val="Style 11 pt Justified Before:  6 pt"/>
    <w:basedOn w:val="Normal"/>
    <w:autoRedefine/>
    <w:uiPriority w:val="99"/>
    <w:rsid w:val="000B785F"/>
    <w:pPr>
      <w:suppressAutoHyphens w:val="0"/>
      <w:spacing w:after="0" w:line="240" w:lineRule="auto"/>
      <w:jc w:val="both"/>
    </w:pPr>
    <w:rPr>
      <w:rFonts w:ascii="Arial" w:eastAsia="Times New Roman" w:hAnsi="Arial" w:cs="Arial"/>
      <w:color w:val="auto"/>
    </w:rPr>
  </w:style>
  <w:style w:type="character" w:customStyle="1" w:styleId="headlinetext">
    <w:name w:val="headline_text"/>
    <w:basedOn w:val="DefaultParagraphFont"/>
    <w:uiPriority w:val="99"/>
    <w:rsid w:val="000B785F"/>
    <w:rPr>
      <w:rFonts w:cs="Times New Roman"/>
    </w:rPr>
  </w:style>
  <w:style w:type="paragraph" w:customStyle="1" w:styleId="1">
    <w:name w:val="1"/>
    <w:basedOn w:val="Normal"/>
    <w:uiPriority w:val="99"/>
    <w:rsid w:val="000B785F"/>
    <w:pPr>
      <w:suppressAutoHyphens w:val="0"/>
      <w:spacing w:before="0" w:after="160" w:line="240" w:lineRule="exact"/>
    </w:pPr>
    <w:rPr>
      <w:rFonts w:ascii="Arial" w:eastAsia="Times New Roman" w:hAnsi="Arial" w:cs="Arial"/>
      <w:color w:val="auto"/>
      <w:sz w:val="20"/>
      <w:szCs w:val="20"/>
      <w:lang w:val="en-US"/>
    </w:rPr>
  </w:style>
  <w:style w:type="paragraph" w:styleId="Date">
    <w:name w:val="Date"/>
    <w:basedOn w:val="Normal"/>
    <w:next w:val="Normal"/>
    <w:link w:val="DateChar"/>
    <w:uiPriority w:val="99"/>
    <w:rsid w:val="000B785F"/>
    <w:pPr>
      <w:suppressAutoHyphens w:val="0"/>
      <w:spacing w:before="0" w:after="0" w:line="240" w:lineRule="auto"/>
    </w:pPr>
    <w:rPr>
      <w:rFonts w:ascii="Times New Roman" w:eastAsia="MS Mincho" w:hAnsi="Times New Roman" w:cs="Times New Roman"/>
      <w:color w:val="auto"/>
      <w:sz w:val="24"/>
      <w:szCs w:val="24"/>
      <w:lang w:val="en-US" w:eastAsia="ja-JP"/>
    </w:rPr>
  </w:style>
  <w:style w:type="character" w:customStyle="1" w:styleId="DateChar">
    <w:name w:val="Date Char"/>
    <w:basedOn w:val="DefaultParagraphFont"/>
    <w:link w:val="Date"/>
    <w:uiPriority w:val="99"/>
    <w:rsid w:val="000B785F"/>
    <w:rPr>
      <w:rFonts w:ascii="Times New Roman" w:eastAsia="MS Mincho" w:hAnsi="Times New Roman" w:cs="Times New Roman"/>
      <w:sz w:val="24"/>
      <w:szCs w:val="24"/>
      <w:lang w:val="en-US" w:eastAsia="ja-JP"/>
    </w:rPr>
  </w:style>
  <w:style w:type="paragraph" w:customStyle="1" w:styleId="MainParanoChapter">
    <w:name w:val="Main Para no Chapter #"/>
    <w:basedOn w:val="Normal"/>
    <w:uiPriority w:val="99"/>
    <w:rsid w:val="000B785F"/>
    <w:pPr>
      <w:suppressAutoHyphens w:val="0"/>
      <w:spacing w:before="0" w:after="240" w:line="240" w:lineRule="auto"/>
      <w:outlineLvl w:val="1"/>
    </w:pPr>
    <w:rPr>
      <w:rFonts w:ascii="Times New Roman" w:eastAsia="Times New Roman" w:hAnsi="Times New Roman" w:cs="Times New Roman"/>
      <w:color w:val="auto"/>
      <w:sz w:val="24"/>
      <w:szCs w:val="24"/>
      <w:lang w:val="en-US"/>
    </w:rPr>
  </w:style>
  <w:style w:type="paragraph" w:customStyle="1" w:styleId="msonospacing0">
    <w:name w:val="msonospacing"/>
    <w:basedOn w:val="Normal"/>
    <w:uiPriority w:val="99"/>
    <w:rsid w:val="000B785F"/>
    <w:pPr>
      <w:suppressAutoHyphens w:val="0"/>
      <w:spacing w:before="0" w:after="0" w:line="240" w:lineRule="auto"/>
    </w:pPr>
    <w:rPr>
      <w:rFonts w:ascii="Calibri" w:eastAsia="Times New Roman" w:hAnsi="Calibri" w:cs="Times New Roman"/>
      <w:color w:val="auto"/>
      <w:lang w:val="en-IN" w:eastAsia="en-IN"/>
    </w:rPr>
  </w:style>
  <w:style w:type="paragraph" w:customStyle="1" w:styleId="BodyText1">
    <w:name w:val="Body Text1"/>
    <w:aliases w:val="OPM"/>
    <w:basedOn w:val="Normal"/>
    <w:uiPriority w:val="99"/>
    <w:rsid w:val="000B785F"/>
    <w:pPr>
      <w:suppressAutoHyphens w:val="0"/>
      <w:spacing w:before="0" w:after="240" w:line="240" w:lineRule="auto"/>
      <w:jc w:val="both"/>
    </w:pPr>
    <w:rPr>
      <w:rFonts w:ascii="Arial" w:eastAsia="Times New Roman" w:hAnsi="Arial" w:cs="Times New Roman"/>
      <w:color w:val="auto"/>
      <w:szCs w:val="20"/>
    </w:rPr>
  </w:style>
  <w:style w:type="paragraph" w:customStyle="1" w:styleId="BodyCopy">
    <w:name w:val="Body Copy"/>
    <w:basedOn w:val="Normal"/>
    <w:link w:val="BodyCopyChar"/>
    <w:uiPriority w:val="99"/>
    <w:rsid w:val="000B785F"/>
    <w:pPr>
      <w:spacing w:before="77" w:after="113" w:line="250" w:lineRule="atLeast"/>
    </w:pPr>
    <w:rPr>
      <w:rFonts w:ascii="Arial" w:eastAsia="Times New Roman" w:hAnsi="Arial" w:cs="Times New Roman"/>
      <w:color w:val="auto"/>
      <w:sz w:val="20"/>
      <w:szCs w:val="24"/>
      <w:lang w:val="en-AU"/>
    </w:rPr>
  </w:style>
  <w:style w:type="paragraph" w:customStyle="1" w:styleId="Footnote">
    <w:name w:val="Footnote"/>
    <w:basedOn w:val="Normal"/>
    <w:uiPriority w:val="99"/>
    <w:rsid w:val="000B785F"/>
    <w:pPr>
      <w:spacing w:before="77" w:after="113" w:line="240" w:lineRule="auto"/>
      <w:contextualSpacing/>
    </w:pPr>
    <w:rPr>
      <w:rFonts w:ascii="Arial" w:eastAsia="Times New Roman" w:hAnsi="Arial" w:cs="Arial"/>
      <w:color w:val="auto"/>
      <w:sz w:val="16"/>
      <w:szCs w:val="24"/>
    </w:rPr>
  </w:style>
  <w:style w:type="character" w:customStyle="1" w:styleId="BodyCopyChar">
    <w:name w:val="Body Copy Char"/>
    <w:link w:val="BodyCopy"/>
    <w:uiPriority w:val="99"/>
    <w:locked/>
    <w:rsid w:val="000B785F"/>
    <w:rPr>
      <w:rFonts w:ascii="Arial" w:eastAsia="Times New Roman" w:hAnsi="Arial" w:cs="Times New Roman"/>
      <w:sz w:val="20"/>
      <w:szCs w:val="24"/>
    </w:rPr>
  </w:style>
  <w:style w:type="paragraph" w:styleId="Revision">
    <w:name w:val="Revision"/>
    <w:hidden/>
    <w:uiPriority w:val="99"/>
    <w:semiHidden/>
    <w:rsid w:val="000B785F"/>
    <w:pPr>
      <w:spacing w:after="0" w:line="240" w:lineRule="auto"/>
    </w:pPr>
    <w:rPr>
      <w:rFonts w:ascii="Times New Roman" w:eastAsia="Times New Roman" w:hAnsi="Times New Roman" w:cs="Times New Roman"/>
      <w:sz w:val="24"/>
      <w:szCs w:val="24"/>
      <w:lang w:val="en-GB"/>
    </w:rPr>
  </w:style>
  <w:style w:type="paragraph" w:customStyle="1" w:styleId="Annexheading1">
    <w:name w:val="Annex heading 1"/>
    <w:basedOn w:val="Normal"/>
    <w:uiPriority w:val="99"/>
    <w:rsid w:val="000B785F"/>
    <w:pPr>
      <w:keepNext/>
      <w:pBdr>
        <w:bottom w:val="single" w:sz="6" w:space="1" w:color="999999"/>
      </w:pBdr>
      <w:suppressAutoHyphens w:val="0"/>
      <w:spacing w:before="480" w:line="240" w:lineRule="auto"/>
      <w:outlineLvl w:val="0"/>
    </w:pPr>
    <w:rPr>
      <w:rFonts w:ascii="Arial" w:eastAsia="Times New Roman" w:hAnsi="Arial" w:cs="Times New Roman"/>
      <w:b/>
      <w:bCs/>
      <w:color w:val="auto"/>
      <w:kern w:val="32"/>
      <w:sz w:val="26"/>
      <w:szCs w:val="20"/>
      <w:lang w:val="en-AU" w:eastAsia="en-AU"/>
    </w:rPr>
  </w:style>
  <w:style w:type="paragraph" w:customStyle="1" w:styleId="BodyText2">
    <w:name w:val="Body Text2"/>
    <w:basedOn w:val="Normal"/>
    <w:uiPriority w:val="99"/>
    <w:rsid w:val="000B785F"/>
    <w:pPr>
      <w:numPr>
        <w:numId w:val="17"/>
      </w:numPr>
      <w:suppressAutoHyphens w:val="0"/>
      <w:spacing w:before="0" w:after="240" w:line="240" w:lineRule="auto"/>
      <w:jc w:val="both"/>
    </w:pPr>
    <w:rPr>
      <w:rFonts w:ascii="Arial" w:eastAsia="Times New Roman" w:hAnsi="Arial" w:cs="Times New Roman"/>
      <w:color w:val="auto"/>
      <w:szCs w:val="24"/>
      <w:lang w:val="en-AU"/>
    </w:rPr>
  </w:style>
  <w:style w:type="paragraph" w:customStyle="1" w:styleId="BodyText21">
    <w:name w:val="Body Text21"/>
    <w:basedOn w:val="Normal"/>
    <w:uiPriority w:val="99"/>
    <w:rsid w:val="000B785F"/>
    <w:pPr>
      <w:tabs>
        <w:tab w:val="num" w:pos="454"/>
      </w:tabs>
      <w:suppressAutoHyphens w:val="0"/>
      <w:spacing w:before="0" w:after="240" w:line="240" w:lineRule="auto"/>
      <w:jc w:val="both"/>
    </w:pPr>
    <w:rPr>
      <w:rFonts w:ascii="Arial" w:eastAsia="Times New Roman" w:hAnsi="Arial" w:cs="Times New Roman"/>
      <w:color w:val="auto"/>
      <w:szCs w:val="24"/>
      <w:lang w:val="en-AU"/>
    </w:rPr>
  </w:style>
  <w:style w:type="paragraph" w:customStyle="1" w:styleId="Table-normal-text">
    <w:name w:val="Table-normal-text"/>
    <w:basedOn w:val="Normal"/>
    <w:rsid w:val="000B785F"/>
    <w:pPr>
      <w:suppressAutoHyphens w:val="0"/>
      <w:spacing w:before="60" w:after="0" w:line="240" w:lineRule="auto"/>
    </w:pPr>
    <w:rPr>
      <w:rFonts w:ascii="Arial" w:eastAsia="Times New Roman" w:hAnsi="Arial" w:cs="Times New Roman"/>
      <w:color w:val="auto"/>
      <w:sz w:val="20"/>
      <w:szCs w:val="24"/>
      <w:lang w:val="en-AU"/>
    </w:rPr>
  </w:style>
  <w:style w:type="paragraph" w:customStyle="1" w:styleId="style6">
    <w:name w:val="style6"/>
    <w:basedOn w:val="Normal"/>
    <w:uiPriority w:val="99"/>
    <w:rsid w:val="000B785F"/>
    <w:pPr>
      <w:suppressAutoHyphens w:val="0"/>
      <w:spacing w:before="100" w:beforeAutospacing="1" w:after="100" w:afterAutospacing="1" w:line="240" w:lineRule="auto"/>
    </w:pPr>
    <w:rPr>
      <w:rFonts w:ascii="Verdana" w:eastAsia="Times New Roman" w:hAnsi="Verdana" w:cs="Times New Roman"/>
      <w:color w:val="000000"/>
      <w:sz w:val="18"/>
      <w:szCs w:val="18"/>
      <w:lang w:val="en-US"/>
    </w:rPr>
  </w:style>
  <w:style w:type="paragraph" w:customStyle="1" w:styleId="Char3">
    <w:name w:val="Char3"/>
    <w:basedOn w:val="Normal"/>
    <w:uiPriority w:val="99"/>
    <w:rsid w:val="000B785F"/>
    <w:pPr>
      <w:suppressAutoHyphens w:val="0"/>
      <w:spacing w:before="0" w:after="160" w:line="240" w:lineRule="exact"/>
    </w:pPr>
    <w:rPr>
      <w:rFonts w:ascii="Verdana" w:eastAsia="Times New Roman" w:hAnsi="Verdana" w:cs="Times New Roman"/>
      <w:color w:val="auto"/>
      <w:sz w:val="20"/>
      <w:szCs w:val="20"/>
      <w:lang w:val="en-US"/>
    </w:rPr>
  </w:style>
  <w:style w:type="paragraph" w:customStyle="1" w:styleId="DocName">
    <w:name w:val="DocName"/>
    <w:basedOn w:val="Normal"/>
    <w:link w:val="DocNameChar"/>
    <w:rsid w:val="000B785F"/>
    <w:pPr>
      <w:suppressAutoHyphens w:val="0"/>
      <w:spacing w:before="0" w:after="0" w:line="240" w:lineRule="auto"/>
      <w:jc w:val="center"/>
    </w:pPr>
    <w:rPr>
      <w:rFonts w:ascii="Arial" w:eastAsia="Times New Roman" w:hAnsi="Arial" w:cs="Times New Roman"/>
      <w:b/>
      <w:bCs/>
      <w:color w:val="auto"/>
      <w:sz w:val="28"/>
      <w:szCs w:val="24"/>
      <w:lang w:val="en-AU"/>
    </w:rPr>
  </w:style>
  <w:style w:type="paragraph" w:customStyle="1" w:styleId="List-number-2">
    <w:name w:val="List-number-2"/>
    <w:basedOn w:val="Normal"/>
    <w:link w:val="List-number-2Char"/>
    <w:rsid w:val="000B785F"/>
    <w:pPr>
      <w:numPr>
        <w:ilvl w:val="1"/>
        <w:numId w:val="19"/>
      </w:numPr>
      <w:suppressAutoHyphens w:val="0"/>
      <w:spacing w:after="0" w:line="240" w:lineRule="auto"/>
    </w:pPr>
    <w:rPr>
      <w:rFonts w:ascii="Arial" w:eastAsia="Times New Roman" w:hAnsi="Arial" w:cs="Times New Roman"/>
      <w:color w:val="auto"/>
      <w:sz w:val="20"/>
      <w:szCs w:val="24"/>
      <w:lang w:val="en-AU"/>
    </w:rPr>
  </w:style>
  <w:style w:type="paragraph" w:customStyle="1" w:styleId="List-number-1">
    <w:name w:val="List-number-1"/>
    <w:basedOn w:val="Normal"/>
    <w:rsid w:val="000B785F"/>
    <w:pPr>
      <w:numPr>
        <w:numId w:val="19"/>
      </w:numPr>
      <w:suppressAutoHyphens w:val="0"/>
      <w:spacing w:after="0" w:line="240" w:lineRule="auto"/>
    </w:pPr>
    <w:rPr>
      <w:rFonts w:ascii="Arial" w:eastAsia="Times New Roman" w:hAnsi="Arial" w:cs="Times New Roman"/>
      <w:color w:val="auto"/>
      <w:sz w:val="20"/>
      <w:szCs w:val="24"/>
      <w:lang w:val="en-AU"/>
    </w:rPr>
  </w:style>
  <w:style w:type="character" w:customStyle="1" w:styleId="List-number-2Char">
    <w:name w:val="List-number-2 Char"/>
    <w:link w:val="List-number-2"/>
    <w:rsid w:val="000B785F"/>
    <w:rPr>
      <w:rFonts w:ascii="Arial" w:eastAsia="Times New Roman" w:hAnsi="Arial" w:cs="Times New Roman"/>
      <w:sz w:val="20"/>
      <w:szCs w:val="24"/>
    </w:rPr>
  </w:style>
  <w:style w:type="character" w:customStyle="1" w:styleId="DocNameChar">
    <w:name w:val="DocName Char"/>
    <w:link w:val="DocName"/>
    <w:rsid w:val="000B785F"/>
    <w:rPr>
      <w:rFonts w:ascii="Arial" w:eastAsia="Times New Roman" w:hAnsi="Arial" w:cs="Times New Roman"/>
      <w:b/>
      <w:bCs/>
      <w:sz w:val="28"/>
      <w:szCs w:val="24"/>
    </w:rPr>
  </w:style>
  <w:style w:type="character" w:customStyle="1" w:styleId="ListParagraphChar">
    <w:name w:val="List Paragraph Char"/>
    <w:aliases w:val="Table text Char,Recommendation Char,List Paragraph1 Char,List Paragraph11 Char,L Char,F5 List Paragraph Char,Dot pt Char,CV text Char,List Paragraph111 Char,Medium Grid 1 - Accent 21 Char,Numbered Paragraph Char,List Paragraph2 Char"/>
    <w:basedOn w:val="DefaultParagraphFont"/>
    <w:link w:val="ListParagraph"/>
    <w:uiPriority w:val="34"/>
    <w:qFormat/>
    <w:rsid w:val="004168F7"/>
    <w:rPr>
      <w:color w:val="495965" w:themeColor="text2"/>
      <w:lang w:val="en-GB"/>
    </w:rPr>
  </w:style>
  <w:style w:type="character" w:customStyle="1" w:styleId="DefaultTextChar">
    <w:name w:val="Default Text Char"/>
    <w:basedOn w:val="DefaultParagraphFont"/>
    <w:link w:val="DefaultText"/>
    <w:uiPriority w:val="99"/>
    <w:rsid w:val="002E576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451">
      <w:bodyDiv w:val="1"/>
      <w:marLeft w:val="0"/>
      <w:marRight w:val="0"/>
      <w:marTop w:val="0"/>
      <w:marBottom w:val="0"/>
      <w:divBdr>
        <w:top w:val="none" w:sz="0" w:space="0" w:color="auto"/>
        <w:left w:val="none" w:sz="0" w:space="0" w:color="auto"/>
        <w:bottom w:val="none" w:sz="0" w:space="0" w:color="auto"/>
        <w:right w:val="none" w:sz="0" w:space="0" w:color="auto"/>
      </w:divBdr>
    </w:div>
    <w:div w:id="467432077">
      <w:bodyDiv w:val="1"/>
      <w:marLeft w:val="0"/>
      <w:marRight w:val="0"/>
      <w:marTop w:val="0"/>
      <w:marBottom w:val="0"/>
      <w:divBdr>
        <w:top w:val="none" w:sz="0" w:space="0" w:color="auto"/>
        <w:left w:val="none" w:sz="0" w:space="0" w:color="auto"/>
        <w:bottom w:val="none" w:sz="0" w:space="0" w:color="auto"/>
        <w:right w:val="none" w:sz="0" w:space="0" w:color="auto"/>
      </w:divBdr>
    </w:div>
    <w:div w:id="677193760">
      <w:bodyDiv w:val="1"/>
      <w:marLeft w:val="0"/>
      <w:marRight w:val="0"/>
      <w:marTop w:val="0"/>
      <w:marBottom w:val="0"/>
      <w:divBdr>
        <w:top w:val="none" w:sz="0" w:space="0" w:color="auto"/>
        <w:left w:val="none" w:sz="0" w:space="0" w:color="auto"/>
        <w:bottom w:val="none" w:sz="0" w:space="0" w:color="auto"/>
        <w:right w:val="none" w:sz="0" w:space="0" w:color="auto"/>
      </w:divBdr>
    </w:div>
    <w:div w:id="731925583">
      <w:bodyDiv w:val="1"/>
      <w:marLeft w:val="0"/>
      <w:marRight w:val="0"/>
      <w:marTop w:val="0"/>
      <w:marBottom w:val="0"/>
      <w:divBdr>
        <w:top w:val="none" w:sz="0" w:space="0" w:color="auto"/>
        <w:left w:val="none" w:sz="0" w:space="0" w:color="auto"/>
        <w:bottom w:val="none" w:sz="0" w:space="0" w:color="auto"/>
        <w:right w:val="none" w:sz="0" w:space="0" w:color="auto"/>
      </w:divBdr>
    </w:div>
    <w:div w:id="819350727">
      <w:bodyDiv w:val="1"/>
      <w:marLeft w:val="0"/>
      <w:marRight w:val="0"/>
      <w:marTop w:val="0"/>
      <w:marBottom w:val="0"/>
      <w:divBdr>
        <w:top w:val="none" w:sz="0" w:space="0" w:color="auto"/>
        <w:left w:val="none" w:sz="0" w:space="0" w:color="auto"/>
        <w:bottom w:val="none" w:sz="0" w:space="0" w:color="auto"/>
        <w:right w:val="none" w:sz="0" w:space="0" w:color="auto"/>
      </w:divBdr>
    </w:div>
    <w:div w:id="979268710">
      <w:bodyDiv w:val="1"/>
      <w:marLeft w:val="0"/>
      <w:marRight w:val="0"/>
      <w:marTop w:val="0"/>
      <w:marBottom w:val="0"/>
      <w:divBdr>
        <w:top w:val="none" w:sz="0" w:space="0" w:color="auto"/>
        <w:left w:val="none" w:sz="0" w:space="0" w:color="auto"/>
        <w:bottom w:val="none" w:sz="0" w:space="0" w:color="auto"/>
        <w:right w:val="none" w:sz="0" w:space="0" w:color="auto"/>
      </w:divBdr>
    </w:div>
    <w:div w:id="1095905043">
      <w:bodyDiv w:val="1"/>
      <w:marLeft w:val="0"/>
      <w:marRight w:val="0"/>
      <w:marTop w:val="0"/>
      <w:marBottom w:val="0"/>
      <w:divBdr>
        <w:top w:val="none" w:sz="0" w:space="0" w:color="auto"/>
        <w:left w:val="none" w:sz="0" w:space="0" w:color="auto"/>
        <w:bottom w:val="none" w:sz="0" w:space="0" w:color="auto"/>
        <w:right w:val="none" w:sz="0" w:space="0" w:color="auto"/>
      </w:divBdr>
    </w:div>
    <w:div w:id="1933122666">
      <w:bodyDiv w:val="1"/>
      <w:marLeft w:val="0"/>
      <w:marRight w:val="0"/>
      <w:marTop w:val="0"/>
      <w:marBottom w:val="0"/>
      <w:divBdr>
        <w:top w:val="none" w:sz="0" w:space="0" w:color="auto"/>
        <w:left w:val="none" w:sz="0" w:space="0" w:color="auto"/>
        <w:bottom w:val="none" w:sz="0" w:space="0" w:color="auto"/>
        <w:right w:val="none" w:sz="0" w:space="0" w:color="auto"/>
      </w:divBdr>
    </w:div>
    <w:div w:id="1962568636">
      <w:bodyDiv w:val="1"/>
      <w:marLeft w:val="0"/>
      <w:marRight w:val="0"/>
      <w:marTop w:val="0"/>
      <w:marBottom w:val="0"/>
      <w:divBdr>
        <w:top w:val="none" w:sz="0" w:space="0" w:color="auto"/>
        <w:left w:val="none" w:sz="0" w:space="0" w:color="auto"/>
        <w:bottom w:val="none" w:sz="0" w:space="0" w:color="auto"/>
        <w:right w:val="none" w:sz="0" w:space="0" w:color="auto"/>
      </w:divBdr>
    </w:div>
    <w:div w:id="20829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isclosures.ifc.org/" TargetMode="External"/><Relationship Id="rId2" Type="http://schemas.openxmlformats.org/officeDocument/2006/relationships/hyperlink" Target="https://www.ifc.org/wps/wcm/connect/3974170043ba9348bab7ba869243d457/IFC+in+Myanmar.pdf?MOD=AJPERES" TargetMode="External"/><Relationship Id="rId1" Type="http://schemas.openxmlformats.org/officeDocument/2006/relationships/hyperlink" Target="https://dfat.gov.au/about-us/publications/Pages/women-and-the-economy-in-myanmar-assessment-dfat-private-sect-dev-prog-jan-16.aspx" TargetMode="External"/><Relationship Id="rId6" Type="http://schemas.openxmlformats.org/officeDocument/2006/relationships/hyperlink" Target="https://www.dica.gov.mm/sites/dica.gov.mm/files/document-files/yearly_approved_by_sector_0.pdf" TargetMode="External"/><Relationship Id="rId5" Type="http://schemas.openxmlformats.org/officeDocument/2006/relationships/hyperlink" Target="https://www.dica.gov.mm/sites/dica.gov.mm/files/uploads/pdf/mirbriefing_paper.pdf" TargetMode="External"/><Relationship Id="rId4" Type="http://schemas.openxmlformats.org/officeDocument/2006/relationships/hyperlink" Target="https://disclosures.if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BAD5F0-A330-4282-A22F-0D7001A59A0D}"/>
</file>

<file path=customXml/itemProps2.xml><?xml version="1.0" encoding="utf-8"?>
<ds:datastoreItem xmlns:ds="http://schemas.openxmlformats.org/officeDocument/2006/customXml" ds:itemID="{7921DC60-C25D-4AC0-AC68-5DAF07B5F068}"/>
</file>

<file path=customXml/itemProps3.xml><?xml version="1.0" encoding="utf-8"?>
<ds:datastoreItem xmlns:ds="http://schemas.openxmlformats.org/officeDocument/2006/customXml" ds:itemID="{A9BF9958-B1A3-44C6-9B31-48C3185544FF}"/>
</file>

<file path=customXml/itemProps4.xml><?xml version="1.0" encoding="utf-8"?>
<ds:datastoreItem xmlns:ds="http://schemas.openxmlformats.org/officeDocument/2006/customXml" ds:itemID="{F308A75C-961F-45E2-A8B7-20E4733A7F1B}"/>
</file>

<file path=customXml/itemProps5.xml><?xml version="1.0" encoding="utf-8"?>
<ds:datastoreItem xmlns:ds="http://schemas.openxmlformats.org/officeDocument/2006/customXml" ds:itemID="{E0B7CCE2-A7AE-4EE3-9DA3-88E819861961}"/>
</file>

<file path=docProps/app.xml><?xml version="1.0" encoding="utf-8"?>
<Properties xmlns="http://schemas.openxmlformats.org/officeDocument/2006/extended-properties" xmlns:vt="http://schemas.openxmlformats.org/officeDocument/2006/docPropsVTypes">
  <Template>Normal.dotm</Template>
  <TotalTime>0</TotalTime>
  <Pages>44</Pages>
  <Words>15242</Words>
  <Characters>86883</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2019-06-27T06:17:00Z</dcterms:created>
  <dcterms:modified xsi:type="dcterms:W3CDTF">2019-06-27T06:17:00Z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6a57eba1-d03d-4fe4-8e15-1fb06f5fbcd8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1251600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