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8F03" w14:textId="77777777" w:rsidR="00FE6F2A" w:rsidRDefault="00FE6F2A" w:rsidP="00F25A93">
      <w:pPr>
        <w:pStyle w:val="SpacebeforeTitle"/>
      </w:pPr>
    </w:p>
    <w:p w14:paraId="75EF16DD" w14:textId="5F047896" w:rsidR="00992C76" w:rsidRPr="00B94423" w:rsidRDefault="00B372D8" w:rsidP="00D37B04">
      <w:pPr>
        <w:pStyle w:val="Title"/>
      </w:pPr>
      <w:r>
        <w:rPr>
          <w:caps w:val="0"/>
        </w:rPr>
        <w:t>Evaluation of Nature-based Solutions Investments</w:t>
      </w:r>
    </w:p>
    <w:p w14:paraId="704D2600" w14:textId="6DFA542D" w:rsidR="00CD0E4B" w:rsidRPr="00B94423" w:rsidRDefault="00557D6E" w:rsidP="00557D6E">
      <w:pPr>
        <w:pStyle w:val="Title"/>
      </w:pPr>
      <w:r>
        <w:rPr>
          <w:caps w:val="0"/>
        </w:rPr>
        <w:t>M</w:t>
      </w:r>
      <w:r w:rsidRPr="00B94423">
        <w:rPr>
          <w:caps w:val="0"/>
        </w:rPr>
        <w:t>anagement response</w:t>
      </w:r>
    </w:p>
    <w:p w14:paraId="50AC9907" w14:textId="474E9C78" w:rsidR="006B7949" w:rsidRDefault="388A39E4" w:rsidP="1F8A53FE">
      <w:r>
        <w:t>Nature-based solutions</w:t>
      </w:r>
      <w:r w:rsidR="11A7D6E5">
        <w:t xml:space="preserve"> (NbS)</w:t>
      </w:r>
      <w:r>
        <w:t xml:space="preserve"> </w:t>
      </w:r>
      <w:r w:rsidR="00CA5F9E">
        <w:t xml:space="preserve">are </w:t>
      </w:r>
      <w:r>
        <w:t xml:space="preserve">a relatively new </w:t>
      </w:r>
      <w:r w:rsidR="00CA5F9E">
        <w:t xml:space="preserve">approach </w:t>
      </w:r>
      <w:r w:rsidR="70B9EA1B">
        <w:t>in</w:t>
      </w:r>
      <w:r>
        <w:t xml:space="preserve"> DFAT</w:t>
      </w:r>
      <w:r w:rsidR="0872D4E2">
        <w:t xml:space="preserve"> development program</w:t>
      </w:r>
      <w:r w:rsidR="7A706F1F">
        <w:t>ming</w:t>
      </w:r>
      <w:r>
        <w:t xml:space="preserve">. Over the last </w:t>
      </w:r>
      <w:r w:rsidR="381670A2">
        <w:t xml:space="preserve">six </w:t>
      </w:r>
      <w:r>
        <w:t xml:space="preserve">years, DFAT </w:t>
      </w:r>
      <w:r w:rsidR="009F7481">
        <w:t xml:space="preserve">has </w:t>
      </w:r>
      <w:r>
        <w:t>funded</w:t>
      </w:r>
      <w:r w:rsidR="009F7481">
        <w:t xml:space="preserve"> the piloting of</w:t>
      </w:r>
      <w:r>
        <w:t xml:space="preserve"> </w:t>
      </w:r>
      <w:r w:rsidR="4E0A37C8">
        <w:t xml:space="preserve">a small number of </w:t>
      </w:r>
      <w:r w:rsidR="6394DBF1">
        <w:t>NbS</w:t>
      </w:r>
      <w:r>
        <w:t xml:space="preserve"> investments </w:t>
      </w:r>
      <w:r w:rsidR="00C83626">
        <w:t xml:space="preserve">with the aim of </w:t>
      </w:r>
      <w:r w:rsidR="742C003F">
        <w:t>encourag</w:t>
      </w:r>
      <w:r w:rsidR="00C83626">
        <w:t>ing</w:t>
      </w:r>
      <w:r w:rsidR="742C003F">
        <w:t xml:space="preserve"> greater investment in climate mitigation, adaptation and resilient green growth in the Indo-Pacific</w:t>
      </w:r>
      <w:r w:rsidR="25E69EF3">
        <w:t xml:space="preserve">. </w:t>
      </w:r>
      <w:r w:rsidR="00C83626">
        <w:t>I</w:t>
      </w:r>
      <w:r w:rsidR="25E69EF3">
        <w:t xml:space="preserve">nitiatives were developed with short timeframes and without established definitions and frameworks. This affected time available for implementation and activities </w:t>
      </w:r>
      <w:r w:rsidR="23E77C20">
        <w:t xml:space="preserve">were </w:t>
      </w:r>
      <w:r w:rsidR="25E69EF3">
        <w:t xml:space="preserve">necessarily iterative and adaptive. </w:t>
      </w:r>
    </w:p>
    <w:p w14:paraId="29A41767" w14:textId="00D27D48" w:rsidR="0057723E" w:rsidRDefault="624ABBEE" w:rsidP="1F8A53FE">
      <w:r>
        <w:t xml:space="preserve">In September 2023, </w:t>
      </w:r>
      <w:r w:rsidR="00A478A2">
        <w:t>DFAT commissioned</w:t>
      </w:r>
      <w:r w:rsidR="00EF776D">
        <w:t xml:space="preserve"> an independent evaluation </w:t>
      </w:r>
      <w:r w:rsidR="6AEA862B">
        <w:t>t</w:t>
      </w:r>
      <w:r w:rsidR="2AA97E97">
        <w:t>o</w:t>
      </w:r>
      <w:r w:rsidR="167BBB77">
        <w:t xml:space="preserve"> examine the effectiveness of three NbS investments and to</w:t>
      </w:r>
      <w:r w:rsidR="2AA97E97">
        <w:t xml:space="preserve"> inform a more strategic approach to future </w:t>
      </w:r>
      <w:r w:rsidR="2B64805A">
        <w:t>NbS</w:t>
      </w:r>
      <w:r w:rsidR="2AA97E97">
        <w:t xml:space="preserve"> investments. The evaluation had the </w:t>
      </w:r>
      <w:r w:rsidR="0057723E">
        <w:t xml:space="preserve">following objectives: </w:t>
      </w:r>
    </w:p>
    <w:p w14:paraId="2FBBB61D" w14:textId="51314500" w:rsidR="0057723E" w:rsidRPr="0057723E" w:rsidRDefault="0057723E" w:rsidP="00CE485D">
      <w:pPr>
        <w:pStyle w:val="ListParagraph"/>
        <w:numPr>
          <w:ilvl w:val="0"/>
          <w:numId w:val="38"/>
        </w:numPr>
      </w:pPr>
      <w:r>
        <w:t>Assess the effectiveness of three</w:t>
      </w:r>
      <w:r w:rsidR="006160E4">
        <w:t xml:space="preserve"> investments: Climate Resilient by Nature, the Pacific Blue Carbon Program, and ReefCloud</w:t>
      </w:r>
      <w:r w:rsidR="006B7949">
        <w:t>.</w:t>
      </w:r>
    </w:p>
    <w:p w14:paraId="7DFF8B60" w14:textId="21DCD99F" w:rsidR="0057723E" w:rsidRPr="00125FC1" w:rsidRDefault="0057723E" w:rsidP="1F8A53FE">
      <w:pPr>
        <w:pStyle w:val="ListParagraph"/>
        <w:numPr>
          <w:ilvl w:val="0"/>
          <w:numId w:val="38"/>
        </w:numPr>
      </w:pPr>
      <w:r>
        <w:t xml:space="preserve">Identify lessons to inform and shape the next phase of DFAT’s support </w:t>
      </w:r>
      <w:r w:rsidR="00CA5F9E">
        <w:t>for</w:t>
      </w:r>
      <w:r>
        <w:t xml:space="preserve"> </w:t>
      </w:r>
      <w:r w:rsidR="3D5D9074">
        <w:t>NbS</w:t>
      </w:r>
      <w:r>
        <w:t>.</w:t>
      </w:r>
    </w:p>
    <w:p w14:paraId="4C335247" w14:textId="54EC4322" w:rsidR="006160E4" w:rsidRDefault="39BA2208" w:rsidP="3C7274CF">
      <w:r>
        <w:t xml:space="preserve">DFAT </w:t>
      </w:r>
      <w:r w:rsidR="00D4C34A">
        <w:t>notes</w:t>
      </w:r>
      <w:r w:rsidR="17D4A005">
        <w:t xml:space="preserve"> the</w:t>
      </w:r>
      <w:r w:rsidR="6B3FBB23">
        <w:t xml:space="preserve"> limitations of the evaluation, including that some </w:t>
      </w:r>
      <w:r w:rsidR="4801D8C4">
        <w:t xml:space="preserve">evaluated </w:t>
      </w:r>
      <w:r w:rsidR="6B3FBB23">
        <w:t xml:space="preserve">programs </w:t>
      </w:r>
      <w:r w:rsidR="025C9DF4">
        <w:t>we</w:t>
      </w:r>
      <w:r w:rsidR="6B3FBB23">
        <w:t>re still in early stage</w:t>
      </w:r>
      <w:r w:rsidR="1C277E75">
        <w:t>s</w:t>
      </w:r>
      <w:r w:rsidR="6B3FBB23">
        <w:t>. DFAT also acknowledges th</w:t>
      </w:r>
      <w:r w:rsidR="7416D029">
        <w:t>at</w:t>
      </w:r>
      <w:r w:rsidR="3830D7E2">
        <w:t>, d</w:t>
      </w:r>
      <w:r w:rsidR="13DF0B43">
        <w:t>ue to time and resource constraints, the evaluation</w:t>
      </w:r>
      <w:r w:rsidR="31BFDE44">
        <w:t xml:space="preserve"> </w:t>
      </w:r>
      <w:r w:rsidR="6B3FBB23">
        <w:t xml:space="preserve">team was </w:t>
      </w:r>
      <w:r w:rsidR="700D0060">
        <w:t>un</w:t>
      </w:r>
      <w:r w:rsidR="6B3FBB23">
        <w:t>able to visit Climate Resilient by Nature activities in the Mekong</w:t>
      </w:r>
      <w:r w:rsidR="63FBB8F0">
        <w:t>.</w:t>
      </w:r>
      <w:r w:rsidR="7EC9D4BB">
        <w:t xml:space="preserve"> </w:t>
      </w:r>
      <w:r w:rsidR="4AC28AC6">
        <w:t xml:space="preserve">Additional interviews were conducted with </w:t>
      </w:r>
      <w:r w:rsidR="7EC9D4BB">
        <w:t>DFAT staff in the Mekong</w:t>
      </w:r>
      <w:r w:rsidR="7ED337A7">
        <w:t xml:space="preserve"> to extract additional evaluative information.</w:t>
      </w:r>
      <w:r w:rsidR="7EC9D4BB">
        <w:t xml:space="preserve"> Further, </w:t>
      </w:r>
      <w:r w:rsidR="2CA654B6">
        <w:t>some planned</w:t>
      </w:r>
      <w:r w:rsidR="7238A5C2">
        <w:t xml:space="preserve"> </w:t>
      </w:r>
      <w:r w:rsidR="1B910995">
        <w:t xml:space="preserve">site visits in Fiji </w:t>
      </w:r>
      <w:r w:rsidR="5118DB11">
        <w:t xml:space="preserve">could not be conducted due to </w:t>
      </w:r>
      <w:r w:rsidR="1B910995">
        <w:t xml:space="preserve">Cyclone </w:t>
      </w:r>
      <w:r w:rsidR="0566D174">
        <w:t>Mal</w:t>
      </w:r>
      <w:r w:rsidR="6B3FBB23">
        <w:t>.</w:t>
      </w:r>
      <w:r w:rsidR="1E1A81D4">
        <w:t xml:space="preserve"> Evaluation members instead hel</w:t>
      </w:r>
      <w:r w:rsidR="6EE31154">
        <w:t>d</w:t>
      </w:r>
      <w:r w:rsidR="1E1A81D4">
        <w:t xml:space="preserve"> a one-day</w:t>
      </w:r>
      <w:r w:rsidR="6B3FBB23">
        <w:t xml:space="preserve"> </w:t>
      </w:r>
      <w:r w:rsidR="51B6262E">
        <w:t>consultatio</w:t>
      </w:r>
      <w:r w:rsidR="54EBD3CC">
        <w:t>n with the WWF Pacific team.</w:t>
      </w:r>
    </w:p>
    <w:p w14:paraId="09C33C61" w14:textId="77777777" w:rsidR="00A654B3" w:rsidRDefault="00A654B3" w:rsidP="00A654B3">
      <w:r>
        <w:t>DFAT would like to thank Alinea for conducting the independent evaluation, implementing partners for facilitating and contributing to the evaluation, and partner governments, communities and other stakeholders who shared their experiences and insights.</w:t>
      </w:r>
    </w:p>
    <w:p w14:paraId="4F89F0F1" w14:textId="03B11D75" w:rsidR="00C53B22" w:rsidRDefault="53798B09" w:rsidP="00557D6E">
      <w:pPr>
        <w:rPr>
          <w:b/>
          <w:bCs/>
        </w:rPr>
      </w:pPr>
      <w:r>
        <w:t xml:space="preserve">The evaluation report was completed in March 2024 and included useful finding and recommendations. </w:t>
      </w:r>
      <w:r w:rsidR="00094928">
        <w:t xml:space="preserve">DFAT has considered the </w:t>
      </w:r>
      <w:r w:rsidR="203BBF54">
        <w:t>report</w:t>
      </w:r>
      <w:r w:rsidR="00094928">
        <w:t xml:space="preserve"> </w:t>
      </w:r>
      <w:r w:rsidR="0054732F">
        <w:t>and respon</w:t>
      </w:r>
      <w:r w:rsidR="5F965137">
        <w:t>ds</w:t>
      </w:r>
      <w:r w:rsidR="0054732F">
        <w:t xml:space="preserve"> below. </w:t>
      </w:r>
      <w:r w:rsidR="00C53B22">
        <w:rPr>
          <w:b/>
          <w:bCs/>
        </w:rPr>
        <w:br w:type="page"/>
      </w:r>
    </w:p>
    <w:p w14:paraId="16948E42" w14:textId="7FA09BE7" w:rsidR="002336AB" w:rsidRPr="00557D6E" w:rsidRDefault="00657623" w:rsidP="00557D6E">
      <w:pPr>
        <w:pStyle w:val="Heading2"/>
      </w:pPr>
      <w:r w:rsidRPr="00557D6E">
        <w:lastRenderedPageBreak/>
        <w:t>Evaluation recommendations – strategic level</w:t>
      </w:r>
    </w:p>
    <w:tbl>
      <w:tblPr>
        <w:tblW w:w="9638" w:type="dxa"/>
        <w:tblLook w:val="04A0" w:firstRow="1" w:lastRow="0" w:firstColumn="1" w:lastColumn="0" w:noHBand="0" w:noVBand="1"/>
      </w:tblPr>
      <w:tblGrid>
        <w:gridCol w:w="4815"/>
        <w:gridCol w:w="4823"/>
      </w:tblGrid>
      <w:tr w:rsidR="002336AB" w:rsidRPr="00B94423" w14:paraId="659EA716" w14:textId="77777777" w:rsidTr="41F77E8A">
        <w:trPr>
          <w:trHeight w:val="300"/>
          <w:tblHeader/>
        </w:trPr>
        <w:tc>
          <w:tcPr>
            <w:tcW w:w="4815" w:type="dxa"/>
            <w:shd w:val="clear" w:color="auto" w:fill="C1E7E0" w:themeFill="accent1" w:themeFillTint="66"/>
            <w:vAlign w:val="center"/>
          </w:tcPr>
          <w:p w14:paraId="3500DEE6" w14:textId="09E1D142" w:rsidR="002336AB" w:rsidRPr="00B94423" w:rsidRDefault="002336AB" w:rsidP="002336AB">
            <w:pPr>
              <w:jc w:val="center"/>
              <w:rPr>
                <w:b/>
                <w:bCs/>
                <w:lang w:val="en-AU"/>
              </w:rPr>
            </w:pPr>
            <w:r w:rsidRPr="00B94423">
              <w:rPr>
                <w:b/>
                <w:bCs/>
                <w:lang w:val="en-AU"/>
              </w:rPr>
              <w:t>Recommendation</w:t>
            </w:r>
          </w:p>
        </w:tc>
        <w:tc>
          <w:tcPr>
            <w:tcW w:w="4823" w:type="dxa"/>
            <w:shd w:val="clear" w:color="auto" w:fill="C1E7E0" w:themeFill="accent1" w:themeFillTint="66"/>
            <w:vAlign w:val="center"/>
          </w:tcPr>
          <w:p w14:paraId="7D73FC30" w14:textId="4122B0F4" w:rsidR="002336AB" w:rsidRPr="00B94423" w:rsidRDefault="2F70CAE7" w:rsidP="002336AB">
            <w:pPr>
              <w:jc w:val="center"/>
              <w:rPr>
                <w:b/>
                <w:bCs/>
                <w:lang w:val="en-AU"/>
              </w:rPr>
            </w:pPr>
            <w:r w:rsidRPr="1F8A53FE">
              <w:rPr>
                <w:b/>
                <w:bCs/>
                <w:lang w:val="en-AU"/>
              </w:rPr>
              <w:t>DFAT response</w:t>
            </w:r>
          </w:p>
        </w:tc>
      </w:tr>
      <w:tr w:rsidR="002336AB" w:rsidRPr="00B94423" w14:paraId="7B12F9BB" w14:textId="77777777" w:rsidTr="41F77E8A">
        <w:trPr>
          <w:trHeight w:val="300"/>
        </w:trPr>
        <w:tc>
          <w:tcPr>
            <w:tcW w:w="4815" w:type="dxa"/>
          </w:tcPr>
          <w:p w14:paraId="5A10C54A" w14:textId="0BC68DC2" w:rsidR="002336AB" w:rsidRPr="00B94423" w:rsidRDefault="130E4E25" w:rsidP="009900FA">
            <w:pPr>
              <w:numPr>
                <w:ilvl w:val="0"/>
                <w:numId w:val="35"/>
              </w:numPr>
              <w:rPr>
                <w:lang w:val="en-AU"/>
              </w:rPr>
            </w:pPr>
            <w:r w:rsidRPr="1F8A53FE">
              <w:rPr>
                <w:lang w:val="en-AU"/>
              </w:rPr>
              <w:t>An ambitious definition for NbS should be established at the strategic level.</w:t>
            </w:r>
          </w:p>
        </w:tc>
        <w:tc>
          <w:tcPr>
            <w:tcW w:w="4823" w:type="dxa"/>
          </w:tcPr>
          <w:p w14:paraId="173583EE" w14:textId="7ED2432D" w:rsidR="002336AB" w:rsidRPr="00000FEB" w:rsidRDefault="5DCCF2A9" w:rsidP="528B2957">
            <w:pPr>
              <w:rPr>
                <w:lang w:val="en-AU"/>
              </w:rPr>
            </w:pPr>
            <w:r w:rsidRPr="1F8A53FE">
              <w:rPr>
                <w:lang w:val="en-AU"/>
              </w:rPr>
              <w:t xml:space="preserve">Agreed. </w:t>
            </w:r>
            <w:r w:rsidR="7BFCB458" w:rsidRPr="1F8A53FE">
              <w:rPr>
                <w:lang w:val="en-AU"/>
              </w:rPr>
              <w:t xml:space="preserve">In 2024-25, </w:t>
            </w:r>
            <w:r w:rsidRPr="1F8A53FE">
              <w:rPr>
                <w:lang w:val="en-AU"/>
              </w:rPr>
              <w:t xml:space="preserve">DFAT will </w:t>
            </w:r>
            <w:r w:rsidR="0B2FD86F" w:rsidRPr="1F8A53FE">
              <w:rPr>
                <w:lang w:val="en-AU"/>
              </w:rPr>
              <w:t xml:space="preserve">consider developing </w:t>
            </w:r>
            <w:r w:rsidRPr="1F8A53FE">
              <w:rPr>
                <w:lang w:val="en-AU"/>
              </w:rPr>
              <w:t>guidance</w:t>
            </w:r>
            <w:r w:rsidR="07BC87AF" w:rsidRPr="1F8A53FE">
              <w:rPr>
                <w:lang w:val="en-AU"/>
              </w:rPr>
              <w:t xml:space="preserve"> </w:t>
            </w:r>
            <w:r w:rsidR="2FC522FE" w:rsidRPr="1F8A53FE">
              <w:rPr>
                <w:lang w:val="en-AU"/>
              </w:rPr>
              <w:t>to inform future Nb</w:t>
            </w:r>
            <w:r w:rsidR="07BC87AF" w:rsidRPr="1F8A53FE">
              <w:rPr>
                <w:lang w:val="en-AU"/>
              </w:rPr>
              <w:t>S investments</w:t>
            </w:r>
            <w:r w:rsidR="686BCF9D" w:rsidRPr="1F8A53FE">
              <w:rPr>
                <w:lang w:val="en-AU"/>
              </w:rPr>
              <w:t xml:space="preserve">. A definition would be included in such guidance. </w:t>
            </w:r>
          </w:p>
        </w:tc>
      </w:tr>
      <w:tr w:rsidR="002336AB" w:rsidRPr="00B94423" w14:paraId="561D822E" w14:textId="77777777" w:rsidTr="41F77E8A">
        <w:trPr>
          <w:trHeight w:val="300"/>
        </w:trPr>
        <w:tc>
          <w:tcPr>
            <w:tcW w:w="4815" w:type="dxa"/>
          </w:tcPr>
          <w:p w14:paraId="22036496" w14:textId="5404794C" w:rsidR="002336AB" w:rsidRPr="00C45E8E" w:rsidRDefault="00C45E8E" w:rsidP="00C45E8E">
            <w:pPr>
              <w:pStyle w:val="ListParagraph"/>
              <w:numPr>
                <w:ilvl w:val="0"/>
                <w:numId w:val="35"/>
              </w:numPr>
              <w:rPr>
                <w:lang w:val="en-AU"/>
              </w:rPr>
            </w:pPr>
            <w:r w:rsidRPr="00C45E8E">
              <w:rPr>
                <w:lang w:val="en-AU"/>
              </w:rPr>
              <w:t>To operationalise the NbS definition, all NbS terminology, operational criteria, and minimum performance targets should be comprehensively defined.</w:t>
            </w:r>
          </w:p>
        </w:tc>
        <w:tc>
          <w:tcPr>
            <w:tcW w:w="4823" w:type="dxa"/>
          </w:tcPr>
          <w:p w14:paraId="01D15103" w14:textId="59EB9CDA" w:rsidR="002336AB" w:rsidRPr="005677CE" w:rsidRDefault="6C48A8A2" w:rsidP="1F8A53FE">
            <w:pPr>
              <w:rPr>
                <w:lang w:val="en-AU"/>
              </w:rPr>
            </w:pPr>
            <w:r w:rsidRPr="257B5C0D">
              <w:rPr>
                <w:lang w:val="en-AU"/>
              </w:rPr>
              <w:t xml:space="preserve">Agreed. In 2024-25, DFAT will </w:t>
            </w:r>
            <w:r w:rsidR="00E8513A" w:rsidRPr="257B5C0D">
              <w:rPr>
                <w:lang w:val="en-AU"/>
              </w:rPr>
              <w:t xml:space="preserve">commence development of </w:t>
            </w:r>
            <w:r w:rsidRPr="257B5C0D">
              <w:rPr>
                <w:lang w:val="en-AU"/>
              </w:rPr>
              <w:t xml:space="preserve">guidance to inform future NbS investments. Terminology, operational criteria and </w:t>
            </w:r>
            <w:r w:rsidR="00E8513A" w:rsidRPr="257B5C0D">
              <w:rPr>
                <w:lang w:val="en-AU"/>
              </w:rPr>
              <w:t xml:space="preserve">minimal </w:t>
            </w:r>
            <w:r w:rsidRPr="257B5C0D">
              <w:rPr>
                <w:lang w:val="en-AU"/>
              </w:rPr>
              <w:t xml:space="preserve">performance targets </w:t>
            </w:r>
            <w:r w:rsidR="00E8513A" w:rsidRPr="257B5C0D">
              <w:rPr>
                <w:lang w:val="en-AU"/>
              </w:rPr>
              <w:t xml:space="preserve">will </w:t>
            </w:r>
            <w:r w:rsidRPr="257B5C0D">
              <w:rPr>
                <w:lang w:val="en-AU"/>
              </w:rPr>
              <w:t>be addressed</w:t>
            </w:r>
            <w:r w:rsidR="07B86062" w:rsidRPr="257B5C0D">
              <w:rPr>
                <w:lang w:val="en-AU"/>
              </w:rPr>
              <w:t xml:space="preserve"> as part of such guidance.</w:t>
            </w:r>
          </w:p>
        </w:tc>
      </w:tr>
      <w:tr w:rsidR="002336AB" w:rsidRPr="00B94423" w14:paraId="12D72EB1" w14:textId="77777777" w:rsidTr="41F77E8A">
        <w:trPr>
          <w:trHeight w:val="300"/>
        </w:trPr>
        <w:tc>
          <w:tcPr>
            <w:tcW w:w="4815" w:type="dxa"/>
          </w:tcPr>
          <w:p w14:paraId="4518115B" w14:textId="28758BB9" w:rsidR="002336AB" w:rsidRPr="00B94423" w:rsidRDefault="00C52EBA" w:rsidP="002336AB">
            <w:pPr>
              <w:numPr>
                <w:ilvl w:val="0"/>
                <w:numId w:val="35"/>
              </w:numPr>
              <w:rPr>
                <w:lang w:val="en-AU"/>
              </w:rPr>
            </w:pPr>
            <w:r w:rsidRPr="257B5C0D">
              <w:rPr>
                <w:lang w:val="en-AU"/>
              </w:rPr>
              <w:t>The investment ambition should be clearly defined at the proposal and stop-go stages (design, pilot, rollout etc.). The ambition should be broadly defined, requiring investments or projects to demonstrate their ability to meet the defined criteria and performance targets. Piloting NbS to prove its concept is essential before rollout.</w:t>
            </w:r>
          </w:p>
        </w:tc>
        <w:tc>
          <w:tcPr>
            <w:tcW w:w="4823" w:type="dxa"/>
          </w:tcPr>
          <w:p w14:paraId="475E9717" w14:textId="5C45A2D7" w:rsidR="002336AB" w:rsidRPr="00E767DB" w:rsidRDefault="00E46DF9" w:rsidP="002336AB">
            <w:pPr>
              <w:rPr>
                <w:lang w:val="en-AU"/>
              </w:rPr>
            </w:pPr>
            <w:r w:rsidRPr="41F77E8A">
              <w:rPr>
                <w:lang w:val="en-AU"/>
              </w:rPr>
              <w:t>Partially a</w:t>
            </w:r>
            <w:r w:rsidR="0562806C" w:rsidRPr="41F77E8A">
              <w:rPr>
                <w:lang w:val="en-AU"/>
              </w:rPr>
              <w:t xml:space="preserve">greed. </w:t>
            </w:r>
            <w:r w:rsidR="0ACC43E6" w:rsidRPr="41F77E8A">
              <w:rPr>
                <w:lang w:val="en-AU"/>
              </w:rPr>
              <w:t xml:space="preserve">In 2024-25, DFAT will </w:t>
            </w:r>
            <w:r w:rsidR="58C8773A" w:rsidRPr="41F77E8A">
              <w:rPr>
                <w:lang w:val="en-AU"/>
              </w:rPr>
              <w:t>commence developing</w:t>
            </w:r>
            <w:r w:rsidR="001F38EC" w:rsidRPr="41F77E8A">
              <w:rPr>
                <w:lang w:val="en-AU"/>
              </w:rPr>
              <w:t xml:space="preserve"> </w:t>
            </w:r>
            <w:r w:rsidR="0ACC43E6" w:rsidRPr="41F77E8A">
              <w:rPr>
                <w:lang w:val="en-AU"/>
              </w:rPr>
              <w:t xml:space="preserve">guidance </w:t>
            </w:r>
            <w:r w:rsidR="004776E2" w:rsidRPr="41F77E8A">
              <w:rPr>
                <w:lang w:val="en-AU"/>
              </w:rPr>
              <w:t>to inform</w:t>
            </w:r>
            <w:r w:rsidR="0ACC43E6" w:rsidRPr="41F77E8A">
              <w:rPr>
                <w:lang w:val="en-AU"/>
              </w:rPr>
              <w:t xml:space="preserve"> future NbS investments.</w:t>
            </w:r>
            <w:r w:rsidR="00856D02" w:rsidRPr="41F77E8A">
              <w:rPr>
                <w:lang w:val="en-AU"/>
              </w:rPr>
              <w:t xml:space="preserve"> This will assist in helping to define clear ambition at different project stages</w:t>
            </w:r>
            <w:r w:rsidR="0058538C" w:rsidRPr="41F77E8A">
              <w:rPr>
                <w:lang w:val="en-AU"/>
              </w:rPr>
              <w:t xml:space="preserve">. </w:t>
            </w:r>
            <w:r w:rsidR="004776E2" w:rsidRPr="41F77E8A">
              <w:rPr>
                <w:lang w:val="en-AU"/>
              </w:rPr>
              <w:t xml:space="preserve"> </w:t>
            </w:r>
            <w:r w:rsidRPr="41F77E8A">
              <w:rPr>
                <w:lang w:val="en-AU"/>
              </w:rPr>
              <w:t xml:space="preserve">While piloting will be encouraged </w:t>
            </w:r>
            <w:r w:rsidR="00A1697D" w:rsidRPr="41F77E8A">
              <w:rPr>
                <w:lang w:val="en-AU"/>
              </w:rPr>
              <w:t>for NbS</w:t>
            </w:r>
            <w:r w:rsidR="005122FA" w:rsidRPr="41F77E8A">
              <w:rPr>
                <w:lang w:val="en-AU"/>
              </w:rPr>
              <w:t xml:space="preserve"> </w:t>
            </w:r>
            <w:r w:rsidR="00416255" w:rsidRPr="41F77E8A">
              <w:rPr>
                <w:lang w:val="en-AU"/>
              </w:rPr>
              <w:t xml:space="preserve">there may be occasions where </w:t>
            </w:r>
            <w:r w:rsidR="00CD7F88" w:rsidRPr="41F77E8A">
              <w:rPr>
                <w:lang w:val="en-AU"/>
              </w:rPr>
              <w:t>proof of concept already exists.</w:t>
            </w:r>
          </w:p>
        </w:tc>
      </w:tr>
      <w:tr w:rsidR="00A84997" w:rsidRPr="00B94423" w14:paraId="58D48D6B" w14:textId="77777777" w:rsidTr="41F77E8A">
        <w:trPr>
          <w:trHeight w:val="2121"/>
        </w:trPr>
        <w:tc>
          <w:tcPr>
            <w:tcW w:w="4815" w:type="dxa"/>
          </w:tcPr>
          <w:p w14:paraId="6426EDE7" w14:textId="689DCD07" w:rsidR="00A84997" w:rsidRPr="00CB3972" w:rsidRDefault="00CB3972" w:rsidP="00CB3972">
            <w:pPr>
              <w:pStyle w:val="ListParagraph"/>
              <w:numPr>
                <w:ilvl w:val="0"/>
                <w:numId w:val="35"/>
              </w:numPr>
              <w:rPr>
                <w:lang w:val="en-AU"/>
              </w:rPr>
            </w:pPr>
            <w:r w:rsidRPr="00CB3972">
              <w:rPr>
                <w:lang w:val="en-AU"/>
              </w:rPr>
              <w:t>Establishment of a guidance framework at strategic level that includes baselines, trends, and targets. The framework should focus on outcomes that can be aggregated from project to investment to portfolio levels.</w:t>
            </w:r>
          </w:p>
        </w:tc>
        <w:tc>
          <w:tcPr>
            <w:tcW w:w="4823" w:type="dxa"/>
          </w:tcPr>
          <w:p w14:paraId="3B0563DB" w14:textId="614D1CBA" w:rsidR="00A84997" w:rsidRPr="003A445D" w:rsidRDefault="0B7E62FC" w:rsidP="0082334B">
            <w:pPr>
              <w:rPr>
                <w:lang w:val="en-AU"/>
              </w:rPr>
            </w:pPr>
            <w:r w:rsidRPr="1F8A53FE">
              <w:rPr>
                <w:lang w:val="en-AU"/>
              </w:rPr>
              <w:t>Noted</w:t>
            </w:r>
            <w:r w:rsidR="54912A42" w:rsidRPr="1F8A53FE">
              <w:rPr>
                <w:lang w:val="en-AU"/>
              </w:rPr>
              <w:t>.</w:t>
            </w:r>
            <w:r w:rsidR="06CA5BA0" w:rsidRPr="1F8A53FE">
              <w:rPr>
                <w:lang w:val="en-AU"/>
              </w:rPr>
              <w:t xml:space="preserve"> DFAT will consider this recommendation in the context of broader MEL for climate</w:t>
            </w:r>
            <w:r w:rsidR="219AD684" w:rsidRPr="1F8A53FE">
              <w:rPr>
                <w:lang w:val="en-AU"/>
              </w:rPr>
              <w:t xml:space="preserve"> in the development program</w:t>
            </w:r>
            <w:r w:rsidR="06CA5BA0" w:rsidRPr="1F8A53FE">
              <w:rPr>
                <w:lang w:val="en-AU"/>
              </w:rPr>
              <w:t>.</w:t>
            </w:r>
          </w:p>
        </w:tc>
      </w:tr>
      <w:tr w:rsidR="002336AB" w:rsidRPr="00B94423" w14:paraId="155E230A" w14:textId="77777777" w:rsidTr="41F77E8A">
        <w:trPr>
          <w:trHeight w:val="300"/>
        </w:trPr>
        <w:tc>
          <w:tcPr>
            <w:tcW w:w="4815" w:type="dxa"/>
          </w:tcPr>
          <w:p w14:paraId="1074E640" w14:textId="3CED30CB" w:rsidR="002336AB" w:rsidRPr="00B94423" w:rsidRDefault="00972453" w:rsidP="002336AB">
            <w:pPr>
              <w:numPr>
                <w:ilvl w:val="0"/>
                <w:numId w:val="35"/>
              </w:numPr>
              <w:rPr>
                <w:lang w:val="en-AU"/>
              </w:rPr>
            </w:pPr>
            <w:r w:rsidRPr="00972453">
              <w:rPr>
                <w:lang w:val="en-AU"/>
              </w:rPr>
              <w:t>Collaboratively establish progress and trend measurement methods through consultations with positive outlier projects.</w:t>
            </w:r>
          </w:p>
        </w:tc>
        <w:tc>
          <w:tcPr>
            <w:tcW w:w="4823" w:type="dxa"/>
          </w:tcPr>
          <w:p w14:paraId="6FB1DC52" w14:textId="1E81C059" w:rsidR="002336AB" w:rsidRPr="003A445D" w:rsidRDefault="637F1793" w:rsidP="0082334B">
            <w:pPr>
              <w:rPr>
                <w:lang w:val="en-AU"/>
              </w:rPr>
            </w:pPr>
            <w:r w:rsidRPr="1F8A53FE">
              <w:rPr>
                <w:lang w:val="en-AU"/>
              </w:rPr>
              <w:t>Noted</w:t>
            </w:r>
            <w:r w:rsidR="07C0A390" w:rsidRPr="1F8A53FE">
              <w:rPr>
                <w:lang w:val="en-AU"/>
              </w:rPr>
              <w:t xml:space="preserve">. </w:t>
            </w:r>
            <w:r w:rsidR="64CE4E3B" w:rsidRPr="1F8A53FE">
              <w:rPr>
                <w:lang w:val="en-AU"/>
              </w:rPr>
              <w:t xml:space="preserve">DFAT will </w:t>
            </w:r>
            <w:r w:rsidR="10F7A606" w:rsidRPr="1F8A53FE">
              <w:rPr>
                <w:lang w:val="en-AU"/>
              </w:rPr>
              <w:t xml:space="preserve">consider this recommendation in developing guidance to inform future NbS investments. </w:t>
            </w:r>
          </w:p>
        </w:tc>
      </w:tr>
      <w:tr w:rsidR="002336AB" w:rsidRPr="00B94423" w14:paraId="5DAE4A0B" w14:textId="77777777" w:rsidTr="41F77E8A">
        <w:trPr>
          <w:trHeight w:val="300"/>
        </w:trPr>
        <w:tc>
          <w:tcPr>
            <w:tcW w:w="4815" w:type="dxa"/>
          </w:tcPr>
          <w:p w14:paraId="5772E3D0" w14:textId="0370602F" w:rsidR="002336AB" w:rsidRPr="00B94423" w:rsidRDefault="00715D10" w:rsidP="002336AB">
            <w:pPr>
              <w:numPr>
                <w:ilvl w:val="0"/>
                <w:numId w:val="35"/>
              </w:numPr>
              <w:rPr>
                <w:lang w:val="en-AU"/>
              </w:rPr>
            </w:pPr>
            <w:r w:rsidRPr="00715D10">
              <w:rPr>
                <w:lang w:val="en-AU"/>
              </w:rPr>
              <w:t>Establish a facility to provide technical support to all NbS investments.</w:t>
            </w:r>
          </w:p>
        </w:tc>
        <w:tc>
          <w:tcPr>
            <w:tcW w:w="4823" w:type="dxa"/>
          </w:tcPr>
          <w:p w14:paraId="6D9A90B4" w14:textId="1E6AD3EA" w:rsidR="002336AB" w:rsidRPr="007F6341" w:rsidRDefault="086BB4E4" w:rsidP="1F8A53FE">
            <w:r w:rsidRPr="1F8A53FE">
              <w:t>Disagreed</w:t>
            </w:r>
            <w:r w:rsidR="07C0A390" w:rsidRPr="1F8A53FE">
              <w:t>.</w:t>
            </w:r>
            <w:r w:rsidR="2B733BA5" w:rsidRPr="1F8A53FE">
              <w:t xml:space="preserve"> </w:t>
            </w:r>
            <w:r w:rsidR="0C9D381A" w:rsidRPr="1F8A53FE">
              <w:t>DFAT’s NbS portfo</w:t>
            </w:r>
            <w:r w:rsidR="5BFD62EB" w:rsidRPr="1F8A53FE">
              <w:t>lio is part of DFAT’s broader climate investment portfolio. D</w:t>
            </w:r>
            <w:r w:rsidR="2B733BA5" w:rsidRPr="1F8A53FE">
              <w:t>FAT will consider Value for Money approaches to technical support for NbS through existing and future delivery mechanisms</w:t>
            </w:r>
            <w:r w:rsidR="73AC0672" w:rsidRPr="1F8A53FE">
              <w:t xml:space="preserve"> for climate programming</w:t>
            </w:r>
            <w:r w:rsidR="2B733BA5" w:rsidRPr="1F8A53FE">
              <w:t>.</w:t>
            </w:r>
          </w:p>
        </w:tc>
      </w:tr>
      <w:tr w:rsidR="002336AB" w:rsidRPr="00B94423" w14:paraId="1E6BB6AE" w14:textId="77777777" w:rsidTr="41F77E8A">
        <w:trPr>
          <w:trHeight w:val="300"/>
        </w:trPr>
        <w:tc>
          <w:tcPr>
            <w:tcW w:w="4815" w:type="dxa"/>
          </w:tcPr>
          <w:p w14:paraId="025B5D32" w14:textId="17E913E1" w:rsidR="002336AB" w:rsidRPr="00B94423" w:rsidRDefault="005A3695" w:rsidP="002336AB">
            <w:pPr>
              <w:numPr>
                <w:ilvl w:val="0"/>
                <w:numId w:val="35"/>
              </w:numPr>
              <w:rPr>
                <w:lang w:val="en-AU"/>
              </w:rPr>
            </w:pPr>
            <w:r w:rsidRPr="005A3695">
              <w:rPr>
                <w:lang w:val="en-AU"/>
              </w:rPr>
              <w:t>Cross-cutting specialists provide their input at the design stage in collaboration with NbS experts to achieve an integrated approach. NbS presents significant opportunities for transformative impacts on cross-cutting issues such as GEDSI, localisation, and Indigenous engagement.</w:t>
            </w:r>
          </w:p>
        </w:tc>
        <w:tc>
          <w:tcPr>
            <w:tcW w:w="4823" w:type="dxa"/>
          </w:tcPr>
          <w:p w14:paraId="0612E870" w14:textId="795B0E6A" w:rsidR="002336AB" w:rsidRPr="007F6341" w:rsidRDefault="3F753992" w:rsidP="1F8A53FE">
            <w:pPr>
              <w:rPr>
                <w:lang w:val="en-AU"/>
              </w:rPr>
            </w:pPr>
            <w:r w:rsidRPr="257B5C0D">
              <w:rPr>
                <w:lang w:val="en-AU"/>
              </w:rPr>
              <w:t xml:space="preserve">Agreed. </w:t>
            </w:r>
            <w:r w:rsidR="73A9DBAA" w:rsidRPr="257B5C0D">
              <w:rPr>
                <w:lang w:val="en-AU"/>
              </w:rPr>
              <w:t xml:space="preserve">DFAT considers </w:t>
            </w:r>
            <w:r w:rsidR="34D96417" w:rsidRPr="257B5C0D">
              <w:rPr>
                <w:lang w:val="en-AU"/>
              </w:rPr>
              <w:t>early engagement of specialists to integrate cross-cutting issues as best practice across the development program.</w:t>
            </w:r>
          </w:p>
        </w:tc>
      </w:tr>
      <w:tr w:rsidR="002336AB" w:rsidRPr="002336AB" w14:paraId="2527071B" w14:textId="77777777" w:rsidTr="41F77E8A">
        <w:trPr>
          <w:trHeight w:val="300"/>
        </w:trPr>
        <w:tc>
          <w:tcPr>
            <w:tcW w:w="4815" w:type="dxa"/>
          </w:tcPr>
          <w:p w14:paraId="254BFF34" w14:textId="1709E7D3" w:rsidR="002336AB" w:rsidRPr="00B94423" w:rsidRDefault="00A5563F" w:rsidP="002336AB">
            <w:pPr>
              <w:numPr>
                <w:ilvl w:val="0"/>
                <w:numId w:val="35"/>
              </w:numPr>
              <w:rPr>
                <w:lang w:val="en-AU"/>
              </w:rPr>
            </w:pPr>
            <w:r w:rsidRPr="00A5563F">
              <w:rPr>
                <w:lang w:val="en-AU"/>
              </w:rPr>
              <w:t>Establish separate funding for expert services to incentivise their utilisation within NbS initiatives</w:t>
            </w:r>
            <w:r>
              <w:rPr>
                <w:lang w:val="en-AU"/>
              </w:rPr>
              <w:t>.</w:t>
            </w:r>
          </w:p>
        </w:tc>
        <w:tc>
          <w:tcPr>
            <w:tcW w:w="4823" w:type="dxa"/>
            <w:shd w:val="clear" w:color="auto" w:fill="auto"/>
          </w:tcPr>
          <w:p w14:paraId="6F8A3BDA" w14:textId="64F7FE66" w:rsidR="00395313" w:rsidRPr="00160731" w:rsidRDefault="6C5A487A" w:rsidP="1F8A53FE">
            <w:pPr>
              <w:rPr>
                <w:lang w:val="en-AU"/>
              </w:rPr>
            </w:pPr>
            <w:r w:rsidRPr="1F8A53FE">
              <w:rPr>
                <w:lang w:val="en-AU"/>
              </w:rPr>
              <w:t>Disagreed</w:t>
            </w:r>
            <w:r w:rsidR="382D1872" w:rsidRPr="1F8A53FE">
              <w:rPr>
                <w:lang w:val="en-AU"/>
              </w:rPr>
              <w:t xml:space="preserve">. </w:t>
            </w:r>
            <w:r w:rsidR="7B4C73AC" w:rsidRPr="1F8A53FE">
              <w:rPr>
                <w:lang w:val="en-AU"/>
              </w:rPr>
              <w:t xml:space="preserve">DFAT’s </w:t>
            </w:r>
            <w:r w:rsidR="2E1B89A7" w:rsidRPr="1F8A53FE">
              <w:rPr>
                <w:lang w:val="en-AU"/>
              </w:rPr>
              <w:t xml:space="preserve">NbS </w:t>
            </w:r>
            <w:r w:rsidR="510EC17E" w:rsidRPr="1F8A53FE">
              <w:rPr>
                <w:lang w:val="en-AU"/>
              </w:rPr>
              <w:t>investments are</w:t>
            </w:r>
            <w:r w:rsidR="2E1B89A7" w:rsidRPr="1F8A53FE">
              <w:rPr>
                <w:lang w:val="en-AU"/>
              </w:rPr>
              <w:t xml:space="preserve"> part of DFAT’s broader climate investment portfolio. DFAT will consider Value for Money approaches to </w:t>
            </w:r>
            <w:r w:rsidR="7253B432" w:rsidRPr="1F8A53FE">
              <w:rPr>
                <w:lang w:val="en-AU"/>
              </w:rPr>
              <w:t xml:space="preserve">accessing </w:t>
            </w:r>
            <w:r w:rsidR="3D65BE05" w:rsidRPr="1F8A53FE">
              <w:rPr>
                <w:lang w:val="en-AU"/>
              </w:rPr>
              <w:t>expert services</w:t>
            </w:r>
            <w:r w:rsidR="2E1B89A7" w:rsidRPr="1F8A53FE">
              <w:rPr>
                <w:lang w:val="en-AU"/>
              </w:rPr>
              <w:t xml:space="preserve"> for NbS through existing </w:t>
            </w:r>
            <w:r w:rsidR="2E1B89A7" w:rsidRPr="1F8A53FE">
              <w:rPr>
                <w:lang w:val="en-AU"/>
              </w:rPr>
              <w:lastRenderedPageBreak/>
              <w:t>and future delivery mechanisms for climate programming.</w:t>
            </w:r>
            <w:r w:rsidR="56117E6B" w:rsidRPr="1F8A53FE">
              <w:rPr>
                <w:lang w:val="en-AU"/>
              </w:rPr>
              <w:t xml:space="preserve"> </w:t>
            </w:r>
          </w:p>
        </w:tc>
      </w:tr>
      <w:tr w:rsidR="005677CE" w:rsidRPr="002336AB" w14:paraId="44B48343" w14:textId="77777777" w:rsidTr="41F77E8A">
        <w:trPr>
          <w:trHeight w:val="300"/>
        </w:trPr>
        <w:tc>
          <w:tcPr>
            <w:tcW w:w="4815" w:type="dxa"/>
          </w:tcPr>
          <w:p w14:paraId="7BD5198F" w14:textId="44ADAB37" w:rsidR="005677CE" w:rsidRPr="00A5563F" w:rsidRDefault="41DEBCCF" w:rsidP="002336AB">
            <w:pPr>
              <w:numPr>
                <w:ilvl w:val="0"/>
                <w:numId w:val="35"/>
              </w:numPr>
              <w:rPr>
                <w:lang w:val="en-AU"/>
              </w:rPr>
            </w:pPr>
            <w:r w:rsidRPr="1F8A53FE">
              <w:rPr>
                <w:lang w:val="en-AU"/>
              </w:rPr>
              <w:lastRenderedPageBreak/>
              <w:t>Integrate regular implementation activities with interventions aimed at improving the operating environment of NbS initiatives.</w:t>
            </w:r>
          </w:p>
        </w:tc>
        <w:tc>
          <w:tcPr>
            <w:tcW w:w="4823" w:type="dxa"/>
          </w:tcPr>
          <w:p w14:paraId="39426F4C" w14:textId="45969B56" w:rsidR="00FB6A02" w:rsidRPr="00044578" w:rsidRDefault="2B4B32D9" w:rsidP="1F8A53FE">
            <w:r>
              <w:t>Agree</w:t>
            </w:r>
            <w:r w:rsidR="1F0FCC19">
              <w:t>d</w:t>
            </w:r>
            <w:r w:rsidR="752DAC25">
              <w:t xml:space="preserve"> in principle</w:t>
            </w:r>
            <w:r>
              <w:t xml:space="preserve">. </w:t>
            </w:r>
            <w:r w:rsidR="134DA5D6">
              <w:t>See re</w:t>
            </w:r>
            <w:r w:rsidR="7C55D485">
              <w:t>sponse to re</w:t>
            </w:r>
            <w:r w:rsidR="134DA5D6">
              <w:t xml:space="preserve">commendation 10. </w:t>
            </w:r>
          </w:p>
        </w:tc>
      </w:tr>
      <w:tr w:rsidR="00485A4E" w:rsidRPr="002336AB" w14:paraId="0456FB16" w14:textId="77777777" w:rsidTr="41F77E8A">
        <w:trPr>
          <w:trHeight w:val="300"/>
        </w:trPr>
        <w:tc>
          <w:tcPr>
            <w:tcW w:w="4815" w:type="dxa"/>
          </w:tcPr>
          <w:p w14:paraId="372EBB68" w14:textId="06768A5B" w:rsidR="00485A4E" w:rsidRPr="00485A4E" w:rsidRDefault="007E68C0" w:rsidP="002336AB">
            <w:pPr>
              <w:numPr>
                <w:ilvl w:val="0"/>
                <w:numId w:val="35"/>
              </w:numPr>
              <w:rPr>
                <w:lang w:val="en-AU"/>
              </w:rPr>
            </w:pPr>
            <w:r w:rsidRPr="007E68C0">
              <w:rPr>
                <w:lang w:val="en-AU"/>
              </w:rPr>
              <w:t>Prioritise manageable interventions that address the context of NbS initiatives attuned to country-specific political economy considerations. As NbS is a relatively new field, there are various challenges that need to be addressed, ranging from scientific issues to governance structures and regulatory frameworks. Therefore, it is important for NbS projects to allocate their resources judiciously and avoid spreading them too thin across the multitude of context-related challenges that may arise.</w:t>
            </w:r>
          </w:p>
        </w:tc>
        <w:tc>
          <w:tcPr>
            <w:tcW w:w="4823" w:type="dxa"/>
          </w:tcPr>
          <w:p w14:paraId="3BB5DAD2" w14:textId="77777777" w:rsidR="0082334B" w:rsidRDefault="6625CD0B" w:rsidP="002336AB">
            <w:pPr>
              <w:rPr>
                <w:lang w:val="en-AU"/>
              </w:rPr>
            </w:pPr>
            <w:r w:rsidRPr="257B5C0D">
              <w:rPr>
                <w:lang w:val="en-AU"/>
              </w:rPr>
              <w:t>Agreed</w:t>
            </w:r>
            <w:r w:rsidR="3D5AEA89" w:rsidRPr="257B5C0D">
              <w:rPr>
                <w:lang w:val="en-AU"/>
              </w:rPr>
              <w:t xml:space="preserve"> in principle</w:t>
            </w:r>
            <w:r w:rsidRPr="257B5C0D">
              <w:rPr>
                <w:lang w:val="en-AU"/>
              </w:rPr>
              <w:t>.</w:t>
            </w:r>
            <w:r w:rsidR="6836E1C7" w:rsidRPr="257B5C0D">
              <w:rPr>
                <w:lang w:val="en-AU"/>
              </w:rPr>
              <w:t xml:space="preserve"> </w:t>
            </w:r>
            <w:r w:rsidR="00332E0B" w:rsidRPr="257B5C0D">
              <w:rPr>
                <w:lang w:val="en-AU"/>
              </w:rPr>
              <w:t xml:space="preserve">Future </w:t>
            </w:r>
            <w:r w:rsidR="600B2756" w:rsidRPr="257B5C0D">
              <w:rPr>
                <w:lang w:val="en-AU"/>
              </w:rPr>
              <w:t xml:space="preserve">guidance for NbS investments </w:t>
            </w:r>
            <w:r w:rsidR="00CA5F9E">
              <w:rPr>
                <w:lang w:val="en-AU"/>
              </w:rPr>
              <w:t>will reference</w:t>
            </w:r>
            <w:r w:rsidR="459D7398" w:rsidRPr="257B5C0D">
              <w:rPr>
                <w:lang w:val="en-AU"/>
              </w:rPr>
              <w:t xml:space="preserve"> partner government needs and goals as set out in Development Partnership Plans.</w:t>
            </w:r>
            <w:r w:rsidR="19122AB8" w:rsidRPr="257B5C0D">
              <w:rPr>
                <w:lang w:val="en-AU"/>
              </w:rPr>
              <w:t xml:space="preserve"> </w:t>
            </w:r>
          </w:p>
          <w:p w14:paraId="2921DA23" w14:textId="719351CB" w:rsidR="00696704" w:rsidRDefault="3D5AEA89" w:rsidP="002336AB">
            <w:pPr>
              <w:rPr>
                <w:lang w:val="en-AU"/>
              </w:rPr>
            </w:pPr>
            <w:r w:rsidRPr="1F8A53FE">
              <w:rPr>
                <w:lang w:val="en-AU"/>
              </w:rPr>
              <w:t xml:space="preserve">DFAT </w:t>
            </w:r>
            <w:r w:rsidR="28DC2615" w:rsidRPr="1F8A53FE">
              <w:rPr>
                <w:lang w:val="en-AU"/>
              </w:rPr>
              <w:t xml:space="preserve">investment </w:t>
            </w:r>
            <w:r w:rsidRPr="1F8A53FE">
              <w:rPr>
                <w:lang w:val="en-AU"/>
              </w:rPr>
              <w:t>design</w:t>
            </w:r>
            <w:r w:rsidR="28DC2615" w:rsidRPr="1F8A53FE">
              <w:rPr>
                <w:lang w:val="en-AU"/>
              </w:rPr>
              <w:t>s</w:t>
            </w:r>
            <w:r w:rsidRPr="1F8A53FE">
              <w:rPr>
                <w:lang w:val="en-AU"/>
              </w:rPr>
              <w:t xml:space="preserve"> require consideration of political economy</w:t>
            </w:r>
            <w:r w:rsidR="5907A588" w:rsidRPr="1F8A53FE">
              <w:rPr>
                <w:lang w:val="en-AU"/>
              </w:rPr>
              <w:t>,</w:t>
            </w:r>
            <w:r w:rsidRPr="1F8A53FE">
              <w:rPr>
                <w:lang w:val="en-AU"/>
              </w:rPr>
              <w:t xml:space="preserve"> policy dialogue opportunities</w:t>
            </w:r>
            <w:r w:rsidR="21B46884" w:rsidRPr="1F8A53FE">
              <w:rPr>
                <w:lang w:val="en-AU"/>
              </w:rPr>
              <w:t>, context-related risks and opportunities, and appropriate resourcing</w:t>
            </w:r>
            <w:r w:rsidRPr="1F8A53FE">
              <w:rPr>
                <w:lang w:val="en-AU"/>
              </w:rPr>
              <w:t>.</w:t>
            </w:r>
          </w:p>
          <w:p w14:paraId="16D8558F" w14:textId="47BCE675" w:rsidR="00485A4E" w:rsidRPr="00160731" w:rsidRDefault="00485A4E" w:rsidP="1F8A53FE">
            <w:pPr>
              <w:rPr>
                <w:lang w:val="en-AU"/>
              </w:rPr>
            </w:pPr>
          </w:p>
        </w:tc>
      </w:tr>
    </w:tbl>
    <w:p w14:paraId="51FF49D3" w14:textId="77777777" w:rsidR="002336AB" w:rsidRDefault="002336AB" w:rsidP="002336AB"/>
    <w:p w14:paraId="0BB9B60C" w14:textId="3AAECAE3" w:rsidR="00657623" w:rsidRPr="00557D6E" w:rsidRDefault="00657623" w:rsidP="00557D6E">
      <w:pPr>
        <w:pStyle w:val="Heading2"/>
      </w:pPr>
      <w:r w:rsidRPr="00557D6E">
        <w:t>Evaluation recommendations – investment level</w:t>
      </w:r>
    </w:p>
    <w:p w14:paraId="2A8030A3" w14:textId="135A9F36" w:rsidR="00557D6E" w:rsidRPr="00557D6E" w:rsidRDefault="00557D6E" w:rsidP="00557D6E">
      <w:pPr>
        <w:pStyle w:val="Heading3"/>
      </w:pPr>
      <w:r w:rsidRPr="00557D6E">
        <w:t>Climate Resilient by Nature</w:t>
      </w:r>
    </w:p>
    <w:tbl>
      <w:tblPr>
        <w:tblpPr w:leftFromText="180" w:rightFromText="180" w:vertAnchor="text" w:tblpXSpec="right" w:tblpY="1"/>
        <w:tblOverlap w:val="never"/>
        <w:tblW w:w="5000" w:type="pct"/>
        <w:tblLook w:val="04A0" w:firstRow="1" w:lastRow="0" w:firstColumn="1" w:lastColumn="0" w:noHBand="0" w:noVBand="1"/>
      </w:tblPr>
      <w:tblGrid>
        <w:gridCol w:w="4819"/>
        <w:gridCol w:w="4819"/>
      </w:tblGrid>
      <w:tr w:rsidR="00657623" w:rsidRPr="00B94423" w14:paraId="5191A69B" w14:textId="77777777" w:rsidTr="257B5C0D">
        <w:trPr>
          <w:tblHeader/>
        </w:trPr>
        <w:tc>
          <w:tcPr>
            <w:tcW w:w="2500" w:type="pct"/>
            <w:shd w:val="clear" w:color="auto" w:fill="C1E7E0" w:themeFill="accent1" w:themeFillTint="66"/>
            <w:vAlign w:val="center"/>
          </w:tcPr>
          <w:p w14:paraId="6E899956" w14:textId="77777777" w:rsidR="00657623" w:rsidRPr="00B94423" w:rsidRDefault="00657623" w:rsidP="00D359A0">
            <w:pPr>
              <w:jc w:val="center"/>
              <w:rPr>
                <w:b/>
                <w:bCs/>
                <w:lang w:val="en-AU"/>
              </w:rPr>
            </w:pPr>
            <w:r w:rsidRPr="00B94423">
              <w:rPr>
                <w:b/>
                <w:bCs/>
                <w:lang w:val="en-AU"/>
              </w:rPr>
              <w:t>Recommendation</w:t>
            </w:r>
          </w:p>
        </w:tc>
        <w:tc>
          <w:tcPr>
            <w:tcW w:w="2500" w:type="pct"/>
            <w:shd w:val="clear" w:color="auto" w:fill="C1E7E0" w:themeFill="accent1" w:themeFillTint="66"/>
            <w:vAlign w:val="center"/>
          </w:tcPr>
          <w:p w14:paraId="2FCC742D" w14:textId="77777777" w:rsidR="00657623" w:rsidRPr="00B94423" w:rsidRDefault="00657623" w:rsidP="00D359A0">
            <w:pPr>
              <w:jc w:val="center"/>
              <w:rPr>
                <w:b/>
                <w:bCs/>
                <w:lang w:val="en-AU"/>
              </w:rPr>
            </w:pPr>
            <w:r w:rsidRPr="00B94423">
              <w:rPr>
                <w:b/>
                <w:bCs/>
                <w:lang w:val="en-AU"/>
              </w:rPr>
              <w:t>DFAT response</w:t>
            </w:r>
          </w:p>
        </w:tc>
      </w:tr>
      <w:tr w:rsidR="00657623" w:rsidRPr="00B94423" w14:paraId="0D0F2877" w14:textId="77777777" w:rsidTr="257B5C0D">
        <w:tc>
          <w:tcPr>
            <w:tcW w:w="2500" w:type="pct"/>
          </w:tcPr>
          <w:p w14:paraId="41C99E0D" w14:textId="29DB2FE5" w:rsidR="00657623" w:rsidRPr="00B94423" w:rsidRDefault="00F4670A" w:rsidP="00D359A0">
            <w:pPr>
              <w:numPr>
                <w:ilvl w:val="0"/>
                <w:numId w:val="35"/>
              </w:numPr>
              <w:rPr>
                <w:lang w:val="en-AU"/>
              </w:rPr>
            </w:pPr>
            <w:r w:rsidRPr="00F4670A">
              <w:rPr>
                <w:lang w:val="en-AU"/>
              </w:rPr>
              <w:t>Prioritise investment in improving and replicating successful approaches to date. A comprehensive review of all projects, sub-projects, and early-stage pilots should be undertaken, drawing on criteria derived from an ambitious NbS definition. As a minimum, this should include assessment against the NbS criteria of biodiversity, climate change, and livelihoods. The intention of such a review is not to shift the goal posts of current projects, but to ensure that future activities are meeting the definition of a NbS.</w:t>
            </w:r>
          </w:p>
        </w:tc>
        <w:tc>
          <w:tcPr>
            <w:tcW w:w="2500" w:type="pct"/>
          </w:tcPr>
          <w:p w14:paraId="0413F79E" w14:textId="509F5F7E" w:rsidR="00915244" w:rsidRPr="0084594F" w:rsidRDefault="7E54AACB" w:rsidP="1F8A53FE">
            <w:pPr>
              <w:rPr>
                <w:lang w:val="en-AU"/>
              </w:rPr>
            </w:pPr>
            <w:r w:rsidRPr="257B5C0D">
              <w:rPr>
                <w:lang w:val="en-AU"/>
              </w:rPr>
              <w:t>Noted</w:t>
            </w:r>
            <w:r w:rsidR="0BFD155A" w:rsidRPr="257B5C0D">
              <w:rPr>
                <w:lang w:val="en-AU"/>
              </w:rPr>
              <w:t>.</w:t>
            </w:r>
            <w:r w:rsidRPr="257B5C0D">
              <w:rPr>
                <w:lang w:val="en-AU"/>
              </w:rPr>
              <w:t xml:space="preserve"> </w:t>
            </w:r>
            <w:r w:rsidR="020A9CEC" w:rsidRPr="257B5C0D">
              <w:rPr>
                <w:lang w:val="en-AU"/>
              </w:rPr>
              <w:t>L</w:t>
            </w:r>
            <w:r w:rsidR="4ACBA596" w:rsidRPr="257B5C0D">
              <w:rPr>
                <w:lang w:val="en-AU"/>
              </w:rPr>
              <w:t xml:space="preserve">essons </w:t>
            </w:r>
            <w:r w:rsidR="0E755D68" w:rsidRPr="257B5C0D">
              <w:rPr>
                <w:lang w:val="en-AU"/>
              </w:rPr>
              <w:t xml:space="preserve">learnt through the Climate Resilient by Nature </w:t>
            </w:r>
            <w:r w:rsidR="1F5E1C66" w:rsidRPr="257B5C0D">
              <w:rPr>
                <w:lang w:val="en-AU"/>
              </w:rPr>
              <w:t>investment</w:t>
            </w:r>
            <w:r w:rsidR="50555DA2" w:rsidRPr="257B5C0D">
              <w:rPr>
                <w:lang w:val="en-AU"/>
              </w:rPr>
              <w:t xml:space="preserve"> w</w:t>
            </w:r>
            <w:r w:rsidR="2D39440E" w:rsidRPr="257B5C0D">
              <w:rPr>
                <w:lang w:val="en-AU"/>
              </w:rPr>
              <w:t>ould</w:t>
            </w:r>
            <w:r w:rsidR="50555DA2" w:rsidRPr="257B5C0D">
              <w:rPr>
                <w:lang w:val="en-AU"/>
              </w:rPr>
              <w:t xml:space="preserve"> inform </w:t>
            </w:r>
            <w:r w:rsidR="108AAD18" w:rsidRPr="257B5C0D">
              <w:rPr>
                <w:lang w:val="en-AU"/>
              </w:rPr>
              <w:t xml:space="preserve">prospective </w:t>
            </w:r>
            <w:r w:rsidR="3829AC7C" w:rsidRPr="257B5C0D">
              <w:rPr>
                <w:lang w:val="en-AU"/>
              </w:rPr>
              <w:t>DFAT guidance</w:t>
            </w:r>
            <w:r w:rsidR="5C7CAFED" w:rsidRPr="257B5C0D">
              <w:rPr>
                <w:lang w:val="en-AU"/>
              </w:rPr>
              <w:t xml:space="preserve"> </w:t>
            </w:r>
            <w:r w:rsidR="523552D6" w:rsidRPr="257B5C0D">
              <w:rPr>
                <w:lang w:val="en-AU"/>
              </w:rPr>
              <w:t xml:space="preserve">on </w:t>
            </w:r>
            <w:r w:rsidR="3829AC7C" w:rsidRPr="257B5C0D">
              <w:rPr>
                <w:lang w:val="en-AU"/>
              </w:rPr>
              <w:t>nature-based solutions</w:t>
            </w:r>
            <w:r w:rsidR="11261DDA" w:rsidRPr="257B5C0D">
              <w:rPr>
                <w:lang w:val="en-AU"/>
              </w:rPr>
              <w:t>. T</w:t>
            </w:r>
            <w:r w:rsidR="47C4AD9F" w:rsidRPr="257B5C0D">
              <w:rPr>
                <w:lang w:val="en-AU"/>
              </w:rPr>
              <w:t>his in turn will be considered in future NbS programming.</w:t>
            </w:r>
          </w:p>
        </w:tc>
      </w:tr>
      <w:tr w:rsidR="00657623" w:rsidRPr="00B94423" w14:paraId="236E8691" w14:textId="77777777" w:rsidTr="257B5C0D">
        <w:tc>
          <w:tcPr>
            <w:tcW w:w="2500" w:type="pct"/>
          </w:tcPr>
          <w:p w14:paraId="19901C53" w14:textId="56985B97" w:rsidR="00657623" w:rsidRPr="0084594F" w:rsidRDefault="0084594F" w:rsidP="00D359A0">
            <w:pPr>
              <w:pStyle w:val="ListParagraph"/>
              <w:numPr>
                <w:ilvl w:val="0"/>
                <w:numId w:val="35"/>
              </w:numPr>
              <w:rPr>
                <w:lang w:val="en-AU"/>
              </w:rPr>
            </w:pPr>
            <w:r w:rsidRPr="0084594F">
              <w:rPr>
                <w:lang w:val="en-AU"/>
              </w:rPr>
              <w:t>Proactively increase the provision of guidance and expertise. The support provided should be practical and tailored to the specific needs of each project.</w:t>
            </w:r>
          </w:p>
        </w:tc>
        <w:tc>
          <w:tcPr>
            <w:tcW w:w="2500" w:type="pct"/>
          </w:tcPr>
          <w:p w14:paraId="08F4690B" w14:textId="15FA810B" w:rsidR="00657623" w:rsidRPr="0084594F" w:rsidRDefault="1DFF43E2" w:rsidP="1F8A53FE">
            <w:r w:rsidRPr="1F8A53FE">
              <w:t>Agreed</w:t>
            </w:r>
            <w:r w:rsidR="3A5FE193" w:rsidRPr="1F8A53FE">
              <w:t xml:space="preserve">. </w:t>
            </w:r>
            <w:r w:rsidR="7869D967" w:rsidRPr="1F8A53FE">
              <w:t xml:space="preserve">DFAT will </w:t>
            </w:r>
            <w:r w:rsidR="0203E22E" w:rsidRPr="1F8A53FE">
              <w:t xml:space="preserve">engage with WWF on </w:t>
            </w:r>
            <w:r w:rsidR="7869D967" w:rsidRPr="1F8A53FE">
              <w:t>adequate technical suppo</w:t>
            </w:r>
            <w:r w:rsidR="38F9028E" w:rsidRPr="1F8A53FE">
              <w:t>rt</w:t>
            </w:r>
            <w:r w:rsidR="7869D967" w:rsidRPr="1F8A53FE">
              <w:t xml:space="preserve">. Access to guidance and expertise could be considered in </w:t>
            </w:r>
            <w:r w:rsidR="6977995C" w:rsidRPr="1F8A53FE">
              <w:t>DFAT guidance to nature-based sol</w:t>
            </w:r>
            <w:r w:rsidR="09763BEE" w:rsidRPr="1F8A53FE">
              <w:t>ut</w:t>
            </w:r>
            <w:r w:rsidR="6977995C" w:rsidRPr="1F8A53FE">
              <w:t>ions.</w:t>
            </w:r>
            <w:r w:rsidR="7791FF80" w:rsidRPr="1F8A53FE">
              <w:t xml:space="preserve"> </w:t>
            </w:r>
          </w:p>
        </w:tc>
      </w:tr>
      <w:tr w:rsidR="00657623" w:rsidRPr="00B94423" w14:paraId="281111DD" w14:textId="77777777" w:rsidTr="257B5C0D">
        <w:tc>
          <w:tcPr>
            <w:tcW w:w="2500" w:type="pct"/>
          </w:tcPr>
          <w:p w14:paraId="622D2BA9" w14:textId="2723A794" w:rsidR="00657623" w:rsidRPr="00B94423" w:rsidRDefault="00A740C2" w:rsidP="00D359A0">
            <w:pPr>
              <w:numPr>
                <w:ilvl w:val="0"/>
                <w:numId w:val="35"/>
              </w:numPr>
              <w:rPr>
                <w:lang w:val="en-AU"/>
              </w:rPr>
            </w:pPr>
            <w:r w:rsidRPr="00A740C2">
              <w:rPr>
                <w:lang w:val="en-AU"/>
              </w:rPr>
              <w:t xml:space="preserve">Enhance the investment’s MEL function with a specific focus on project support. The MEL function should involve a comprehensive assessment of on-the-ground progress conducted by diverse experts who collaborate to establish an integrated approach, ensuring </w:t>
            </w:r>
            <w:r w:rsidRPr="00A740C2">
              <w:rPr>
                <w:lang w:val="en-AU"/>
              </w:rPr>
              <w:lastRenderedPageBreak/>
              <w:t>that projects meet all NbS criteria, including cross-cutting issues.</w:t>
            </w:r>
          </w:p>
        </w:tc>
        <w:tc>
          <w:tcPr>
            <w:tcW w:w="2500" w:type="pct"/>
          </w:tcPr>
          <w:p w14:paraId="79F0DB11" w14:textId="20206BD7" w:rsidR="00657623" w:rsidRPr="00CF7AAD" w:rsidRDefault="69624979" w:rsidP="0082334B">
            <w:pPr>
              <w:rPr>
                <w:lang w:val="en-AU"/>
              </w:rPr>
            </w:pPr>
            <w:r w:rsidRPr="1F8A53FE">
              <w:rPr>
                <w:lang w:val="en-AU"/>
              </w:rPr>
              <w:lastRenderedPageBreak/>
              <w:t>Noted.</w:t>
            </w:r>
            <w:r w:rsidR="2E794BC1" w:rsidRPr="1F8A53FE">
              <w:rPr>
                <w:lang w:val="en-AU"/>
              </w:rPr>
              <w:t xml:space="preserve"> </w:t>
            </w:r>
            <w:r w:rsidR="20885973" w:rsidRPr="1F8A53FE">
              <w:rPr>
                <w:lang w:val="en-AU"/>
              </w:rPr>
              <w:t>DFAT will consider this recommendation in developing guidance to inform future NbS investments, which may include</w:t>
            </w:r>
            <w:r w:rsidR="37FC96C6" w:rsidRPr="1F8A53FE">
              <w:rPr>
                <w:lang w:val="en-AU"/>
              </w:rPr>
              <w:t xml:space="preserve"> how to best capture on-ground progress within </w:t>
            </w:r>
            <w:r w:rsidR="7B2BE025" w:rsidRPr="1F8A53FE">
              <w:rPr>
                <w:lang w:val="en-AU"/>
              </w:rPr>
              <w:t xml:space="preserve">MEL frameworks and </w:t>
            </w:r>
            <w:r w:rsidR="37FC96C6" w:rsidRPr="1F8A53FE">
              <w:rPr>
                <w:lang w:val="en-AU"/>
              </w:rPr>
              <w:t>adequate</w:t>
            </w:r>
            <w:r w:rsidR="148997F0" w:rsidRPr="1F8A53FE">
              <w:rPr>
                <w:lang w:val="en-AU"/>
              </w:rPr>
              <w:t xml:space="preserve">ly integrate </w:t>
            </w:r>
            <w:r w:rsidR="37FC96C6" w:rsidRPr="1F8A53FE">
              <w:rPr>
                <w:lang w:val="en-AU"/>
              </w:rPr>
              <w:t>expertise.</w:t>
            </w:r>
          </w:p>
        </w:tc>
      </w:tr>
    </w:tbl>
    <w:p w14:paraId="1C59C086" w14:textId="2FC0AB78" w:rsidR="00557D6E" w:rsidRDefault="00557D6E" w:rsidP="00557D6E">
      <w:pPr>
        <w:pStyle w:val="Heading3"/>
      </w:pPr>
      <w:r w:rsidRPr="00557D6E">
        <w:lastRenderedPageBreak/>
        <w:t>Pacific Blue Carbon Program</w:t>
      </w:r>
    </w:p>
    <w:tbl>
      <w:tblPr>
        <w:tblpPr w:leftFromText="180" w:rightFromText="180" w:vertAnchor="text" w:tblpXSpec="right" w:tblpY="1"/>
        <w:tblOverlap w:val="never"/>
        <w:tblW w:w="5000" w:type="pct"/>
        <w:tblLook w:val="04A0" w:firstRow="1" w:lastRow="0" w:firstColumn="1" w:lastColumn="0" w:noHBand="0" w:noVBand="1"/>
      </w:tblPr>
      <w:tblGrid>
        <w:gridCol w:w="4819"/>
        <w:gridCol w:w="4819"/>
      </w:tblGrid>
      <w:tr w:rsidR="00557D6E" w:rsidRPr="00F42FA7" w14:paraId="183363A6" w14:textId="77777777" w:rsidTr="00557D6E">
        <w:tc>
          <w:tcPr>
            <w:tcW w:w="2500" w:type="pct"/>
            <w:shd w:val="clear" w:color="auto" w:fill="C1E7E0"/>
            <w:vAlign w:val="center"/>
          </w:tcPr>
          <w:p w14:paraId="2ED2A3EF" w14:textId="2223F790" w:rsidR="00557D6E" w:rsidRPr="00FD3EA0" w:rsidRDefault="00557D6E" w:rsidP="00557D6E">
            <w:pPr>
              <w:pStyle w:val="ListParagraph"/>
              <w:ind w:left="360"/>
              <w:rPr>
                <w:lang w:val="en-AU"/>
              </w:rPr>
            </w:pPr>
            <w:r w:rsidRPr="00B94423">
              <w:rPr>
                <w:b/>
                <w:bCs/>
                <w:lang w:val="en-AU"/>
              </w:rPr>
              <w:t>Recommendation</w:t>
            </w:r>
          </w:p>
        </w:tc>
        <w:tc>
          <w:tcPr>
            <w:tcW w:w="2500" w:type="pct"/>
            <w:shd w:val="clear" w:color="auto" w:fill="C1E7E0"/>
            <w:vAlign w:val="center"/>
          </w:tcPr>
          <w:p w14:paraId="61E7E46F" w14:textId="58DD2481" w:rsidR="00557D6E" w:rsidRPr="1F8A53FE" w:rsidRDefault="00557D6E" w:rsidP="00557D6E">
            <w:pPr>
              <w:rPr>
                <w:lang w:val="en-AU"/>
              </w:rPr>
            </w:pPr>
            <w:r w:rsidRPr="00B94423">
              <w:rPr>
                <w:b/>
                <w:bCs/>
                <w:lang w:val="en-AU"/>
              </w:rPr>
              <w:t>DFAT response</w:t>
            </w:r>
          </w:p>
        </w:tc>
      </w:tr>
      <w:tr w:rsidR="00557D6E" w:rsidRPr="00F42FA7" w14:paraId="7DB8798B" w14:textId="77777777" w:rsidTr="00557D6E">
        <w:tc>
          <w:tcPr>
            <w:tcW w:w="2500" w:type="pct"/>
            <w:shd w:val="clear" w:color="auto" w:fill="FBFBFC"/>
          </w:tcPr>
          <w:p w14:paraId="59A7D939" w14:textId="77777777" w:rsidR="00557D6E" w:rsidRPr="00FD3EA0" w:rsidRDefault="00557D6E" w:rsidP="00557D6E">
            <w:pPr>
              <w:pStyle w:val="ListParagraph"/>
              <w:numPr>
                <w:ilvl w:val="0"/>
                <w:numId w:val="35"/>
              </w:numPr>
              <w:rPr>
                <w:lang w:val="en-AU"/>
              </w:rPr>
            </w:pPr>
            <w:r w:rsidRPr="00FD3EA0">
              <w:rPr>
                <w:lang w:val="en-AU"/>
              </w:rPr>
              <w:t>Document the different phases of implementation as a case study. The various aspects of project conceptualisation, government engagement, pilot design, assessment of the operating context, and site selection could all provide valuable lessons for other investments and projects.</w:t>
            </w:r>
          </w:p>
        </w:tc>
        <w:tc>
          <w:tcPr>
            <w:tcW w:w="2500" w:type="pct"/>
            <w:shd w:val="clear" w:color="auto" w:fill="FBFBFC"/>
          </w:tcPr>
          <w:p w14:paraId="558F8399" w14:textId="18F5256B" w:rsidR="00557D6E" w:rsidRPr="00F42FA7" w:rsidRDefault="00557D6E" w:rsidP="0082334B">
            <w:pPr>
              <w:rPr>
                <w:lang w:val="en-AU"/>
              </w:rPr>
            </w:pPr>
            <w:r w:rsidRPr="1F8A53FE">
              <w:rPr>
                <w:lang w:val="en-AU"/>
              </w:rPr>
              <w:t>Agreed in principle. DFAT will consider the range of existing NbS initiatives and lessons learned in developing guidance to inform development of future NbS initiatives.</w:t>
            </w:r>
          </w:p>
        </w:tc>
      </w:tr>
      <w:tr w:rsidR="00557D6E" w:rsidRPr="00A4206C" w14:paraId="6178DD1C" w14:textId="77777777" w:rsidTr="00557D6E">
        <w:tc>
          <w:tcPr>
            <w:tcW w:w="2500" w:type="pct"/>
            <w:shd w:val="clear" w:color="auto" w:fill="FBFBFC"/>
          </w:tcPr>
          <w:p w14:paraId="291BB818" w14:textId="77777777" w:rsidR="00557D6E" w:rsidRPr="00FD3EA0" w:rsidRDefault="00557D6E" w:rsidP="00557D6E">
            <w:pPr>
              <w:pStyle w:val="ListParagraph"/>
              <w:numPr>
                <w:ilvl w:val="0"/>
                <w:numId w:val="35"/>
              </w:numPr>
              <w:rPr>
                <w:lang w:val="en-AU"/>
              </w:rPr>
            </w:pPr>
            <w:r w:rsidRPr="00283739">
              <w:rPr>
                <w:lang w:val="en-AU"/>
              </w:rPr>
              <w:t>Foster collaboration with other investments and projects. Collaboration allows for the pooling of resources and the development of shared methodologies, ensuring consistency and comparability in measuring key NbS pillars.</w:t>
            </w:r>
          </w:p>
        </w:tc>
        <w:tc>
          <w:tcPr>
            <w:tcW w:w="2500" w:type="pct"/>
            <w:shd w:val="clear" w:color="auto" w:fill="FBFBFC"/>
          </w:tcPr>
          <w:p w14:paraId="27722818" w14:textId="77777777" w:rsidR="00557D6E" w:rsidRPr="00A4206C" w:rsidRDefault="00557D6E" w:rsidP="00557D6E">
            <w:pPr>
              <w:rPr>
                <w:lang w:val="en-AU"/>
              </w:rPr>
            </w:pPr>
            <w:r w:rsidRPr="1F8A53FE">
              <w:rPr>
                <w:lang w:val="en-AU"/>
              </w:rPr>
              <w:t>Agreed. DFAT will look for opportunities to share lessons, resources, and methodologies from the Pacific Blue Carbon Program and other NbS investments to support collaboration across the portfolio.</w:t>
            </w:r>
          </w:p>
        </w:tc>
      </w:tr>
      <w:tr w:rsidR="00557D6E" w:rsidRPr="008D768C" w14:paraId="68FFB8B4" w14:textId="77777777" w:rsidTr="00557D6E">
        <w:tc>
          <w:tcPr>
            <w:tcW w:w="2500" w:type="pct"/>
            <w:shd w:val="clear" w:color="auto" w:fill="FBFBFC"/>
          </w:tcPr>
          <w:p w14:paraId="74C76471" w14:textId="77777777" w:rsidR="00557D6E" w:rsidRPr="00283739" w:rsidRDefault="00557D6E" w:rsidP="00557D6E">
            <w:pPr>
              <w:pStyle w:val="ListParagraph"/>
              <w:numPr>
                <w:ilvl w:val="0"/>
                <w:numId w:val="35"/>
              </w:numPr>
              <w:rPr>
                <w:lang w:val="en-AU"/>
              </w:rPr>
            </w:pPr>
            <w:r w:rsidRPr="00F425E3">
              <w:rPr>
                <w:lang w:val="en-AU"/>
              </w:rPr>
              <w:t>Revision of the investment’s governance structure to enhance the integration of different components. A key aspect of this revision should involve designating a single organisation as responsible for the overall outcomes of the investment.</w:t>
            </w:r>
          </w:p>
        </w:tc>
        <w:tc>
          <w:tcPr>
            <w:tcW w:w="2500" w:type="pct"/>
            <w:shd w:val="clear" w:color="auto" w:fill="FBFBFC"/>
          </w:tcPr>
          <w:p w14:paraId="20654B1F" w14:textId="77777777" w:rsidR="00557D6E" w:rsidRPr="008D768C" w:rsidRDefault="00557D6E" w:rsidP="00557D6E">
            <w:pPr>
              <w:rPr>
                <w:lang w:val="en-AU"/>
              </w:rPr>
            </w:pPr>
            <w:r w:rsidRPr="1F8A53FE">
              <w:rPr>
                <w:lang w:val="en-AU"/>
              </w:rPr>
              <w:t xml:space="preserve">Agreed in principle. DFAT acknowledges the governance structure could be improved but does not propose this structure is altered as the program approaches the final stage of implementation. </w:t>
            </w:r>
          </w:p>
        </w:tc>
      </w:tr>
      <w:tr w:rsidR="00557D6E" w:rsidRPr="006A07F9" w14:paraId="29A7B383" w14:textId="77777777" w:rsidTr="00557D6E">
        <w:tc>
          <w:tcPr>
            <w:tcW w:w="2500" w:type="pct"/>
            <w:shd w:val="clear" w:color="auto" w:fill="FBFBFC"/>
          </w:tcPr>
          <w:p w14:paraId="355DC66E" w14:textId="77777777" w:rsidR="00557D6E" w:rsidRPr="00F425E3" w:rsidRDefault="00557D6E" w:rsidP="00557D6E">
            <w:pPr>
              <w:pStyle w:val="ListParagraph"/>
              <w:numPr>
                <w:ilvl w:val="0"/>
                <w:numId w:val="35"/>
              </w:numPr>
              <w:rPr>
                <w:lang w:val="en-AU"/>
              </w:rPr>
            </w:pPr>
            <w:r w:rsidRPr="1F8A53FE">
              <w:rPr>
                <w:lang w:val="en-AU"/>
              </w:rPr>
              <w:t>Collaborate with the Government of Fiji (GoF) to develop a preliminary plan for the nationwide rollout of NbS, particularly focusing on blue carbon initiatives.</w:t>
            </w:r>
          </w:p>
        </w:tc>
        <w:tc>
          <w:tcPr>
            <w:tcW w:w="2500" w:type="pct"/>
            <w:shd w:val="clear" w:color="auto" w:fill="FBFBFC"/>
          </w:tcPr>
          <w:p w14:paraId="69923928" w14:textId="77777777" w:rsidR="00557D6E" w:rsidRPr="006A07F9" w:rsidRDefault="00557D6E" w:rsidP="00557D6E">
            <w:pPr>
              <w:rPr>
                <w:lang w:val="en-AU"/>
              </w:rPr>
            </w:pPr>
            <w:r w:rsidRPr="1F8A53FE">
              <w:rPr>
                <w:lang w:val="en-AU"/>
              </w:rPr>
              <w:t>Noted. DFAT will support the needs and development goals of the Government of Fiji with reference to the Development Partnership Plan.</w:t>
            </w:r>
          </w:p>
        </w:tc>
      </w:tr>
    </w:tbl>
    <w:p w14:paraId="735ECAAA" w14:textId="77777777" w:rsidR="00557D6E" w:rsidRDefault="00557D6E" w:rsidP="002336AB"/>
    <w:p w14:paraId="582435AF" w14:textId="6C32BF4C" w:rsidR="00557D6E" w:rsidRDefault="00557D6E" w:rsidP="00557D6E">
      <w:pPr>
        <w:pStyle w:val="Heading3"/>
      </w:pPr>
      <w:r w:rsidRPr="00557D6E">
        <w:t>The Coral Reef Innovation Project</w:t>
      </w:r>
    </w:p>
    <w:tbl>
      <w:tblPr>
        <w:tblpPr w:leftFromText="180" w:rightFromText="180" w:vertAnchor="text" w:tblpXSpec="right" w:tblpY="1"/>
        <w:tblOverlap w:val="never"/>
        <w:tblW w:w="5000" w:type="pct"/>
        <w:tblLook w:val="04A0" w:firstRow="1" w:lastRow="0" w:firstColumn="1" w:lastColumn="0" w:noHBand="0" w:noVBand="1"/>
      </w:tblPr>
      <w:tblGrid>
        <w:gridCol w:w="4819"/>
        <w:gridCol w:w="4819"/>
      </w:tblGrid>
      <w:tr w:rsidR="00557D6E" w:rsidRPr="00CB0F56" w14:paraId="7D8E77A6" w14:textId="77777777" w:rsidTr="00557D6E">
        <w:trPr>
          <w:tblHeader/>
        </w:trPr>
        <w:tc>
          <w:tcPr>
            <w:tcW w:w="2500" w:type="pct"/>
            <w:shd w:val="clear" w:color="auto" w:fill="C1E7E0"/>
            <w:vAlign w:val="center"/>
          </w:tcPr>
          <w:p w14:paraId="0F305FB9" w14:textId="4769E836" w:rsidR="00557D6E" w:rsidRPr="002E2126" w:rsidRDefault="00557D6E" w:rsidP="00557D6E">
            <w:pPr>
              <w:pStyle w:val="ListParagraph"/>
              <w:ind w:left="360"/>
              <w:rPr>
                <w:lang w:val="en-AU"/>
              </w:rPr>
            </w:pPr>
            <w:r w:rsidRPr="00B94423">
              <w:rPr>
                <w:b/>
                <w:bCs/>
                <w:lang w:val="en-AU"/>
              </w:rPr>
              <w:t>Recommendation</w:t>
            </w:r>
          </w:p>
        </w:tc>
        <w:tc>
          <w:tcPr>
            <w:tcW w:w="2500" w:type="pct"/>
            <w:shd w:val="clear" w:color="auto" w:fill="C1E7E0"/>
            <w:vAlign w:val="center"/>
          </w:tcPr>
          <w:p w14:paraId="4DD4F381" w14:textId="44FE4AD7" w:rsidR="00557D6E" w:rsidRPr="257B5C0D" w:rsidRDefault="00557D6E" w:rsidP="00557D6E">
            <w:pPr>
              <w:rPr>
                <w:lang w:val="en-AU"/>
              </w:rPr>
            </w:pPr>
            <w:r w:rsidRPr="00B94423">
              <w:rPr>
                <w:b/>
                <w:bCs/>
                <w:lang w:val="en-AU"/>
              </w:rPr>
              <w:t>DFAT response</w:t>
            </w:r>
          </w:p>
        </w:tc>
      </w:tr>
      <w:tr w:rsidR="00557D6E" w:rsidRPr="00CB0F56" w14:paraId="76C6FDC5" w14:textId="77777777" w:rsidTr="00557D6E">
        <w:tc>
          <w:tcPr>
            <w:tcW w:w="2500" w:type="pct"/>
            <w:shd w:val="clear" w:color="auto" w:fill="FBFBFC"/>
          </w:tcPr>
          <w:p w14:paraId="2ACDF6C5" w14:textId="77777777" w:rsidR="00557D6E" w:rsidRPr="00CB0F56" w:rsidRDefault="00557D6E" w:rsidP="0014755D">
            <w:pPr>
              <w:pStyle w:val="ListParagraph"/>
              <w:numPr>
                <w:ilvl w:val="0"/>
                <w:numId w:val="35"/>
              </w:numPr>
              <w:rPr>
                <w:lang w:val="en-AU"/>
              </w:rPr>
            </w:pPr>
            <w:r w:rsidRPr="002E2126">
              <w:rPr>
                <w:lang w:val="en-AU"/>
              </w:rPr>
              <w:t>Establish collaborative partnerships with NbS projects that are focused on reef restoration, particularly if the investment intends to secure ongoing funding from the DFAT NbS funding envelop</w:t>
            </w:r>
            <w:r>
              <w:rPr>
                <w:lang w:val="en-AU"/>
              </w:rPr>
              <w:t>e</w:t>
            </w:r>
            <w:r w:rsidRPr="002E2126">
              <w:rPr>
                <w:lang w:val="en-AU"/>
              </w:rPr>
              <w:t>.</w:t>
            </w:r>
          </w:p>
        </w:tc>
        <w:tc>
          <w:tcPr>
            <w:tcW w:w="2500" w:type="pct"/>
            <w:shd w:val="clear" w:color="auto" w:fill="FBFBFC"/>
          </w:tcPr>
          <w:p w14:paraId="3A80B5B0" w14:textId="77777777" w:rsidR="00557D6E" w:rsidRPr="00CB0F56" w:rsidRDefault="00557D6E" w:rsidP="0014755D">
            <w:pPr>
              <w:rPr>
                <w:lang w:val="en-AU"/>
              </w:rPr>
            </w:pPr>
            <w:r w:rsidRPr="257B5C0D">
              <w:rPr>
                <w:lang w:val="en-AU"/>
              </w:rPr>
              <w:t>Noted. The future of the Coral Reef Innovation Project will be considered with reference to partners’ development goals as outlined in Development Partnership Plans and available opportunities for responding to community-identified needs.</w:t>
            </w:r>
          </w:p>
        </w:tc>
      </w:tr>
    </w:tbl>
    <w:p w14:paraId="3E8A055F" w14:textId="77777777" w:rsidR="00557D6E" w:rsidRDefault="00557D6E" w:rsidP="002336AB"/>
    <w:sectPr w:rsidR="00557D6E" w:rsidSect="002D5B25">
      <w:headerReference w:type="default" r:id="rId8"/>
      <w:footerReference w:type="default" r:id="rId9"/>
      <w:headerReference w:type="first" r:id="rId10"/>
      <w:footerReference w:type="first" r:id="rId11"/>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9544" w14:textId="77777777" w:rsidR="00A3131C" w:rsidRDefault="00A3131C" w:rsidP="00D37B04">
      <w:r>
        <w:separator/>
      </w:r>
    </w:p>
  </w:endnote>
  <w:endnote w:type="continuationSeparator" w:id="0">
    <w:p w14:paraId="120F7E60" w14:textId="77777777" w:rsidR="00A3131C" w:rsidRDefault="00A3131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4E0" w14:textId="77777777" w:rsidR="00C35791" w:rsidRDefault="00C35791">
    <w:pPr>
      <w:pStyle w:val="Footer"/>
    </w:pPr>
    <w:r w:rsidRPr="00FC322F">
      <w:rPr>
        <w:b/>
        <w:noProof/>
        <w:lang w:val="en-AU" w:eastAsia="en-AU"/>
      </w:rPr>
      <w:drawing>
        <wp:inline distT="0" distB="0" distL="0" distR="0" wp14:anchorId="3B501724" wp14:editId="0A94943A">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F20" w14:textId="77777777" w:rsidR="00C35791" w:rsidRPr="00FC322F" w:rsidRDefault="00C35791" w:rsidP="00C35791">
    <w:pPr>
      <w:pStyle w:val="Footer"/>
      <w:rPr>
        <w:b/>
      </w:rPr>
    </w:pPr>
    <w:r w:rsidRPr="00FC322F">
      <w:rPr>
        <w:b/>
        <w:noProof/>
        <w:lang w:val="en-AU" w:eastAsia="en-AU"/>
      </w:rPr>
      <w:drawing>
        <wp:inline distT="0" distB="0" distL="0" distR="0" wp14:anchorId="160E66D3" wp14:editId="418B72A3">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DF10" w14:textId="77777777" w:rsidR="00A3131C" w:rsidRPr="008C5A0E" w:rsidRDefault="00A3131C" w:rsidP="00D37B04">
      <w:pPr>
        <w:pStyle w:val="Footer"/>
      </w:pPr>
    </w:p>
  </w:footnote>
  <w:footnote w:type="continuationSeparator" w:id="0">
    <w:p w14:paraId="77F42F9F" w14:textId="77777777" w:rsidR="00A3131C" w:rsidRDefault="00A3131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2B4" w14:textId="77777777" w:rsidR="002D5B25" w:rsidRPr="000854FD" w:rsidRDefault="002D5B25" w:rsidP="002D5B25">
    <w:pPr>
      <w:pStyle w:val="Header"/>
    </w:pPr>
    <w:r w:rsidRPr="00943730">
      <w:rPr>
        <w:noProof/>
        <w:lang w:val="en-AU" w:eastAsia="en-AU"/>
      </w:rPr>
      <w:drawing>
        <wp:anchor distT="0" distB="0" distL="114300" distR="114300" simplePos="0" relativeHeight="251658240" behindDoc="1" locked="1" layoutInCell="1" allowOverlap="1" wp14:anchorId="487BB1A0" wp14:editId="4C5A327F">
          <wp:simplePos x="0" y="0"/>
          <wp:positionH relativeFrom="page">
            <wp:posOffset>12700</wp:posOffset>
          </wp:positionH>
          <wp:positionV relativeFrom="page">
            <wp:posOffset>0</wp:posOffset>
          </wp:positionV>
          <wp:extent cx="7559675" cy="10692765"/>
          <wp:effectExtent l="0" t="0" r="317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CDF9" w14:textId="45F4F376"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557D6E">
      <w:rPr>
        <w:noProof/>
      </w:rPr>
      <w:t>April 2024</w:t>
    </w:r>
    <w:r w:rsidRPr="00943730">
      <w:fldChar w:fldCharType="end"/>
    </w:r>
    <w:r w:rsidRPr="00943730">
      <w:rPr>
        <w:noProof/>
        <w:lang w:val="en-AU" w:eastAsia="en-AU"/>
      </w:rPr>
      <w:drawing>
        <wp:anchor distT="0" distB="0" distL="114300" distR="114300" simplePos="0" relativeHeight="251657216" behindDoc="1" locked="1" layoutInCell="1" allowOverlap="1" wp14:anchorId="010727E0" wp14:editId="0A9175B3">
          <wp:simplePos x="0" y="0"/>
          <wp:positionH relativeFrom="page">
            <wp:posOffset>720090</wp:posOffset>
          </wp:positionH>
          <wp:positionV relativeFrom="page">
            <wp:posOffset>1043940</wp:posOffset>
          </wp:positionV>
          <wp:extent cx="3166920" cy="554400"/>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95D05C9" wp14:editId="50B3A003">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03D4C"/>
    <w:multiLevelType w:val="hybridMultilevel"/>
    <w:tmpl w:val="DA28C8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D313F3E"/>
    <w:multiLevelType w:val="hybridMultilevel"/>
    <w:tmpl w:val="F008F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51963F56"/>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42E7399"/>
    <w:multiLevelType w:val="hybridMultilevel"/>
    <w:tmpl w:val="33D02C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B960C7"/>
    <w:multiLevelType w:val="hybridMultilevel"/>
    <w:tmpl w:val="EA8209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B456166"/>
    <w:multiLevelType w:val="hybridMultilevel"/>
    <w:tmpl w:val="91D88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981104">
    <w:abstractNumId w:val="22"/>
  </w:num>
  <w:num w:numId="2" w16cid:durableId="1730763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972323">
    <w:abstractNumId w:val="10"/>
  </w:num>
  <w:num w:numId="4" w16cid:durableId="41367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5362">
    <w:abstractNumId w:val="15"/>
  </w:num>
  <w:num w:numId="6" w16cid:durableId="1426999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0478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6221256">
    <w:abstractNumId w:val="12"/>
  </w:num>
  <w:num w:numId="9" w16cid:durableId="1339455864">
    <w:abstractNumId w:val="17"/>
  </w:num>
  <w:num w:numId="10" w16cid:durableId="1665205005">
    <w:abstractNumId w:val="19"/>
  </w:num>
  <w:num w:numId="11" w16cid:durableId="560824278">
    <w:abstractNumId w:val="9"/>
  </w:num>
  <w:num w:numId="12" w16cid:durableId="474832344">
    <w:abstractNumId w:val="7"/>
  </w:num>
  <w:num w:numId="13" w16cid:durableId="850145364">
    <w:abstractNumId w:val="6"/>
  </w:num>
  <w:num w:numId="14" w16cid:durableId="1227960572">
    <w:abstractNumId w:val="5"/>
  </w:num>
  <w:num w:numId="15" w16cid:durableId="345982337">
    <w:abstractNumId w:val="4"/>
  </w:num>
  <w:num w:numId="16" w16cid:durableId="1119448519">
    <w:abstractNumId w:val="8"/>
  </w:num>
  <w:num w:numId="17" w16cid:durableId="402532056">
    <w:abstractNumId w:val="3"/>
  </w:num>
  <w:num w:numId="18" w16cid:durableId="222644178">
    <w:abstractNumId w:val="2"/>
  </w:num>
  <w:num w:numId="19" w16cid:durableId="7563471">
    <w:abstractNumId w:val="1"/>
  </w:num>
  <w:num w:numId="20" w16cid:durableId="1026977748">
    <w:abstractNumId w:val="0"/>
  </w:num>
  <w:num w:numId="21" w16cid:durableId="1915821678">
    <w:abstractNumId w:val="18"/>
  </w:num>
  <w:num w:numId="22" w16cid:durableId="175193061">
    <w:abstractNumId w:val="15"/>
  </w:num>
  <w:num w:numId="23" w16cid:durableId="1663267751">
    <w:abstractNumId w:val="15"/>
  </w:num>
  <w:num w:numId="24" w16cid:durableId="806705944">
    <w:abstractNumId w:val="18"/>
  </w:num>
  <w:num w:numId="25" w16cid:durableId="52198923">
    <w:abstractNumId w:val="18"/>
  </w:num>
  <w:num w:numId="26" w16cid:durableId="189227969">
    <w:abstractNumId w:val="18"/>
  </w:num>
  <w:num w:numId="27" w16cid:durableId="2117208276">
    <w:abstractNumId w:val="17"/>
  </w:num>
  <w:num w:numId="28" w16cid:durableId="783614771">
    <w:abstractNumId w:val="10"/>
  </w:num>
  <w:num w:numId="29" w16cid:durableId="1785267005">
    <w:abstractNumId w:val="10"/>
  </w:num>
  <w:num w:numId="30" w16cid:durableId="310866268">
    <w:abstractNumId w:val="10"/>
  </w:num>
  <w:num w:numId="31" w16cid:durableId="694038215">
    <w:abstractNumId w:val="13"/>
  </w:num>
  <w:num w:numId="32" w16cid:durableId="1043364102">
    <w:abstractNumId w:val="23"/>
  </w:num>
  <w:num w:numId="33" w16cid:durableId="1370304513">
    <w:abstractNumId w:val="14"/>
  </w:num>
  <w:num w:numId="34" w16cid:durableId="307251718">
    <w:abstractNumId w:val="20"/>
  </w:num>
  <w:num w:numId="35" w16cid:durableId="859858152">
    <w:abstractNumId w:val="21"/>
  </w:num>
  <w:num w:numId="36" w16cid:durableId="1462110584">
    <w:abstractNumId w:val="11"/>
  </w:num>
  <w:num w:numId="37" w16cid:durableId="1247959232">
    <w:abstractNumId w:val="24"/>
  </w:num>
  <w:num w:numId="38" w16cid:durableId="1113668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AB"/>
    <w:rsid w:val="00000FEB"/>
    <w:rsid w:val="00001436"/>
    <w:rsid w:val="00001DA8"/>
    <w:rsid w:val="000020C1"/>
    <w:rsid w:val="00007ED0"/>
    <w:rsid w:val="0001201A"/>
    <w:rsid w:val="000163E6"/>
    <w:rsid w:val="0002080A"/>
    <w:rsid w:val="0002782F"/>
    <w:rsid w:val="00031486"/>
    <w:rsid w:val="00035BBF"/>
    <w:rsid w:val="00044578"/>
    <w:rsid w:val="00050806"/>
    <w:rsid w:val="000541C5"/>
    <w:rsid w:val="000546D9"/>
    <w:rsid w:val="00054E4D"/>
    <w:rsid w:val="00056449"/>
    <w:rsid w:val="00060073"/>
    <w:rsid w:val="000616C6"/>
    <w:rsid w:val="00061F9A"/>
    <w:rsid w:val="000740CD"/>
    <w:rsid w:val="00076EA0"/>
    <w:rsid w:val="00081C17"/>
    <w:rsid w:val="000854FD"/>
    <w:rsid w:val="00094928"/>
    <w:rsid w:val="000A407E"/>
    <w:rsid w:val="000A4738"/>
    <w:rsid w:val="000B0603"/>
    <w:rsid w:val="000B34DE"/>
    <w:rsid w:val="000B37F5"/>
    <w:rsid w:val="000D66D6"/>
    <w:rsid w:val="000E6399"/>
    <w:rsid w:val="00103CF5"/>
    <w:rsid w:val="00105D0F"/>
    <w:rsid w:val="001101DF"/>
    <w:rsid w:val="00113288"/>
    <w:rsid w:val="001214BE"/>
    <w:rsid w:val="00123179"/>
    <w:rsid w:val="0012398F"/>
    <w:rsid w:val="00125FC1"/>
    <w:rsid w:val="00126538"/>
    <w:rsid w:val="0013101C"/>
    <w:rsid w:val="00135060"/>
    <w:rsid w:val="001368F7"/>
    <w:rsid w:val="001406ED"/>
    <w:rsid w:val="001461D6"/>
    <w:rsid w:val="001541EA"/>
    <w:rsid w:val="00160718"/>
    <w:rsid w:val="00160731"/>
    <w:rsid w:val="00162679"/>
    <w:rsid w:val="00172482"/>
    <w:rsid w:val="001A0376"/>
    <w:rsid w:val="001A0447"/>
    <w:rsid w:val="001B6C9F"/>
    <w:rsid w:val="001D18C2"/>
    <w:rsid w:val="001D663E"/>
    <w:rsid w:val="001E1DC0"/>
    <w:rsid w:val="001E6321"/>
    <w:rsid w:val="001E6D20"/>
    <w:rsid w:val="001F00F7"/>
    <w:rsid w:val="001F0A43"/>
    <w:rsid w:val="001F38EC"/>
    <w:rsid w:val="002011AD"/>
    <w:rsid w:val="002336AB"/>
    <w:rsid w:val="002343CD"/>
    <w:rsid w:val="00235F86"/>
    <w:rsid w:val="002375CE"/>
    <w:rsid w:val="00244229"/>
    <w:rsid w:val="00264FFA"/>
    <w:rsid w:val="00276016"/>
    <w:rsid w:val="00283739"/>
    <w:rsid w:val="0028602A"/>
    <w:rsid w:val="00296A1F"/>
    <w:rsid w:val="002A12F2"/>
    <w:rsid w:val="002B431E"/>
    <w:rsid w:val="002B5E10"/>
    <w:rsid w:val="002B7E31"/>
    <w:rsid w:val="002C793D"/>
    <w:rsid w:val="002D5B25"/>
    <w:rsid w:val="002E2126"/>
    <w:rsid w:val="002E4495"/>
    <w:rsid w:val="002F4F2B"/>
    <w:rsid w:val="003002C0"/>
    <w:rsid w:val="00301144"/>
    <w:rsid w:val="003031C6"/>
    <w:rsid w:val="00304984"/>
    <w:rsid w:val="00312BF8"/>
    <w:rsid w:val="003148B7"/>
    <w:rsid w:val="003158C3"/>
    <w:rsid w:val="00321EF0"/>
    <w:rsid w:val="003274CD"/>
    <w:rsid w:val="00332E0B"/>
    <w:rsid w:val="00333501"/>
    <w:rsid w:val="003457C4"/>
    <w:rsid w:val="00350EFF"/>
    <w:rsid w:val="0035119D"/>
    <w:rsid w:val="003543D3"/>
    <w:rsid w:val="00360E9B"/>
    <w:rsid w:val="0036507B"/>
    <w:rsid w:val="00371B48"/>
    <w:rsid w:val="0037B6BE"/>
    <w:rsid w:val="0038072F"/>
    <w:rsid w:val="00382147"/>
    <w:rsid w:val="0039344A"/>
    <w:rsid w:val="00394CF7"/>
    <w:rsid w:val="00395313"/>
    <w:rsid w:val="00397B8E"/>
    <w:rsid w:val="003A445D"/>
    <w:rsid w:val="003A711E"/>
    <w:rsid w:val="003B4F12"/>
    <w:rsid w:val="003C6C4F"/>
    <w:rsid w:val="003D7D20"/>
    <w:rsid w:val="003E0143"/>
    <w:rsid w:val="003F2041"/>
    <w:rsid w:val="003F22E1"/>
    <w:rsid w:val="003F485B"/>
    <w:rsid w:val="00400B0B"/>
    <w:rsid w:val="00402ACC"/>
    <w:rsid w:val="004120EC"/>
    <w:rsid w:val="00416255"/>
    <w:rsid w:val="0042109F"/>
    <w:rsid w:val="00423F31"/>
    <w:rsid w:val="00431899"/>
    <w:rsid w:val="00432F16"/>
    <w:rsid w:val="004522DE"/>
    <w:rsid w:val="004548E5"/>
    <w:rsid w:val="004679C6"/>
    <w:rsid w:val="004745E3"/>
    <w:rsid w:val="00475D73"/>
    <w:rsid w:val="004776E2"/>
    <w:rsid w:val="00482AE8"/>
    <w:rsid w:val="00482C9A"/>
    <w:rsid w:val="0048405F"/>
    <w:rsid w:val="00485A4E"/>
    <w:rsid w:val="00486804"/>
    <w:rsid w:val="0049311F"/>
    <w:rsid w:val="004942F6"/>
    <w:rsid w:val="004A5549"/>
    <w:rsid w:val="004B3775"/>
    <w:rsid w:val="004B7A9E"/>
    <w:rsid w:val="004C709D"/>
    <w:rsid w:val="004C722B"/>
    <w:rsid w:val="004D0BA0"/>
    <w:rsid w:val="004E058F"/>
    <w:rsid w:val="004E361A"/>
    <w:rsid w:val="004E3B87"/>
    <w:rsid w:val="004F169F"/>
    <w:rsid w:val="005054EA"/>
    <w:rsid w:val="00510921"/>
    <w:rsid w:val="00510AD3"/>
    <w:rsid w:val="005122FA"/>
    <w:rsid w:val="00513348"/>
    <w:rsid w:val="00513AD8"/>
    <w:rsid w:val="005204D2"/>
    <w:rsid w:val="00522396"/>
    <w:rsid w:val="00533B5D"/>
    <w:rsid w:val="0054732F"/>
    <w:rsid w:val="00551C70"/>
    <w:rsid w:val="00553ECD"/>
    <w:rsid w:val="00557D6E"/>
    <w:rsid w:val="005677CE"/>
    <w:rsid w:val="0057723E"/>
    <w:rsid w:val="005828AA"/>
    <w:rsid w:val="0058538C"/>
    <w:rsid w:val="00585CB4"/>
    <w:rsid w:val="00597E10"/>
    <w:rsid w:val="005A19B4"/>
    <w:rsid w:val="005A20F6"/>
    <w:rsid w:val="005A2878"/>
    <w:rsid w:val="005A3695"/>
    <w:rsid w:val="005A6099"/>
    <w:rsid w:val="005A740D"/>
    <w:rsid w:val="005B6899"/>
    <w:rsid w:val="005D2646"/>
    <w:rsid w:val="005D3655"/>
    <w:rsid w:val="005D6977"/>
    <w:rsid w:val="005D9782"/>
    <w:rsid w:val="005E4830"/>
    <w:rsid w:val="005F3388"/>
    <w:rsid w:val="00602F9F"/>
    <w:rsid w:val="00605D6A"/>
    <w:rsid w:val="00611CEE"/>
    <w:rsid w:val="006138C3"/>
    <w:rsid w:val="006160E4"/>
    <w:rsid w:val="006175D3"/>
    <w:rsid w:val="00622B86"/>
    <w:rsid w:val="00623BA1"/>
    <w:rsid w:val="006346BC"/>
    <w:rsid w:val="00657623"/>
    <w:rsid w:val="00665808"/>
    <w:rsid w:val="0066652A"/>
    <w:rsid w:val="006719C3"/>
    <w:rsid w:val="00680522"/>
    <w:rsid w:val="00682167"/>
    <w:rsid w:val="00686D2B"/>
    <w:rsid w:val="00696704"/>
    <w:rsid w:val="00697F22"/>
    <w:rsid w:val="006A07F9"/>
    <w:rsid w:val="006B7949"/>
    <w:rsid w:val="006C1F53"/>
    <w:rsid w:val="006C42AF"/>
    <w:rsid w:val="006E3F43"/>
    <w:rsid w:val="006E6D5C"/>
    <w:rsid w:val="00704946"/>
    <w:rsid w:val="00707CBA"/>
    <w:rsid w:val="00711D8E"/>
    <w:rsid w:val="00712672"/>
    <w:rsid w:val="00715D10"/>
    <w:rsid w:val="00734E3F"/>
    <w:rsid w:val="00735585"/>
    <w:rsid w:val="00736985"/>
    <w:rsid w:val="00745DF5"/>
    <w:rsid w:val="0074692E"/>
    <w:rsid w:val="007505BE"/>
    <w:rsid w:val="00755D69"/>
    <w:rsid w:val="0076250F"/>
    <w:rsid w:val="00765826"/>
    <w:rsid w:val="0077384B"/>
    <w:rsid w:val="00780FA5"/>
    <w:rsid w:val="00786D7A"/>
    <w:rsid w:val="0079489F"/>
    <w:rsid w:val="007A7594"/>
    <w:rsid w:val="007B6200"/>
    <w:rsid w:val="007C0A37"/>
    <w:rsid w:val="007C5DB9"/>
    <w:rsid w:val="007D05FA"/>
    <w:rsid w:val="007E556D"/>
    <w:rsid w:val="007E68C0"/>
    <w:rsid w:val="007F3395"/>
    <w:rsid w:val="007F4695"/>
    <w:rsid w:val="007F6341"/>
    <w:rsid w:val="00801B9F"/>
    <w:rsid w:val="0080204D"/>
    <w:rsid w:val="0082334B"/>
    <w:rsid w:val="00824C1A"/>
    <w:rsid w:val="0084191E"/>
    <w:rsid w:val="0084594F"/>
    <w:rsid w:val="008475F0"/>
    <w:rsid w:val="00852473"/>
    <w:rsid w:val="008533E0"/>
    <w:rsid w:val="00853B9F"/>
    <w:rsid w:val="00853F5E"/>
    <w:rsid w:val="008557A7"/>
    <w:rsid w:val="00856D02"/>
    <w:rsid w:val="00857331"/>
    <w:rsid w:val="008625C1"/>
    <w:rsid w:val="008635F3"/>
    <w:rsid w:val="00870928"/>
    <w:rsid w:val="0087116F"/>
    <w:rsid w:val="00872AA6"/>
    <w:rsid w:val="00872C5A"/>
    <w:rsid w:val="008755F9"/>
    <w:rsid w:val="00890C47"/>
    <w:rsid w:val="00892093"/>
    <w:rsid w:val="00892E61"/>
    <w:rsid w:val="0089405C"/>
    <w:rsid w:val="00897DCB"/>
    <w:rsid w:val="00897FA2"/>
    <w:rsid w:val="008A5AFE"/>
    <w:rsid w:val="008C5A0E"/>
    <w:rsid w:val="008C6EC6"/>
    <w:rsid w:val="008D768C"/>
    <w:rsid w:val="009122B4"/>
    <w:rsid w:val="00915244"/>
    <w:rsid w:val="0091658B"/>
    <w:rsid w:val="009315D7"/>
    <w:rsid w:val="00943730"/>
    <w:rsid w:val="0096388D"/>
    <w:rsid w:val="00965398"/>
    <w:rsid w:val="009705E7"/>
    <w:rsid w:val="00972453"/>
    <w:rsid w:val="00972509"/>
    <w:rsid w:val="00975CA5"/>
    <w:rsid w:val="009761C2"/>
    <w:rsid w:val="009838B0"/>
    <w:rsid w:val="00986590"/>
    <w:rsid w:val="009900FA"/>
    <w:rsid w:val="00992C76"/>
    <w:rsid w:val="009969D6"/>
    <w:rsid w:val="00996E22"/>
    <w:rsid w:val="009A6B34"/>
    <w:rsid w:val="009B4D3B"/>
    <w:rsid w:val="009C3348"/>
    <w:rsid w:val="009D7407"/>
    <w:rsid w:val="009E0866"/>
    <w:rsid w:val="009E273C"/>
    <w:rsid w:val="009E4C40"/>
    <w:rsid w:val="009E6D3A"/>
    <w:rsid w:val="009F1350"/>
    <w:rsid w:val="009F4FFD"/>
    <w:rsid w:val="009F58DB"/>
    <w:rsid w:val="009F6423"/>
    <w:rsid w:val="009F7481"/>
    <w:rsid w:val="009F7BD2"/>
    <w:rsid w:val="00A1697D"/>
    <w:rsid w:val="00A24A62"/>
    <w:rsid w:val="00A3131C"/>
    <w:rsid w:val="00A31C9F"/>
    <w:rsid w:val="00A35178"/>
    <w:rsid w:val="00A4144F"/>
    <w:rsid w:val="00A4206C"/>
    <w:rsid w:val="00A478A2"/>
    <w:rsid w:val="00A5563F"/>
    <w:rsid w:val="00A6024C"/>
    <w:rsid w:val="00A61B4D"/>
    <w:rsid w:val="00A654B3"/>
    <w:rsid w:val="00A7366A"/>
    <w:rsid w:val="00A740C2"/>
    <w:rsid w:val="00A77158"/>
    <w:rsid w:val="00A80F95"/>
    <w:rsid w:val="00A82737"/>
    <w:rsid w:val="00A82C60"/>
    <w:rsid w:val="00A84997"/>
    <w:rsid w:val="00A97BF1"/>
    <w:rsid w:val="00AA298A"/>
    <w:rsid w:val="00AB09DA"/>
    <w:rsid w:val="00AC164A"/>
    <w:rsid w:val="00AE3D98"/>
    <w:rsid w:val="00AE448A"/>
    <w:rsid w:val="00AF2050"/>
    <w:rsid w:val="00AF24B4"/>
    <w:rsid w:val="00B025C9"/>
    <w:rsid w:val="00B02B2A"/>
    <w:rsid w:val="00B03CA8"/>
    <w:rsid w:val="00B22532"/>
    <w:rsid w:val="00B33C0A"/>
    <w:rsid w:val="00B33FD4"/>
    <w:rsid w:val="00B372D8"/>
    <w:rsid w:val="00B447DB"/>
    <w:rsid w:val="00B45B49"/>
    <w:rsid w:val="00B55AF2"/>
    <w:rsid w:val="00B55E19"/>
    <w:rsid w:val="00B57CCF"/>
    <w:rsid w:val="00B62E49"/>
    <w:rsid w:val="00B66004"/>
    <w:rsid w:val="00B8210B"/>
    <w:rsid w:val="00B8218A"/>
    <w:rsid w:val="00B857E1"/>
    <w:rsid w:val="00B87620"/>
    <w:rsid w:val="00B94423"/>
    <w:rsid w:val="00B94758"/>
    <w:rsid w:val="00BA055C"/>
    <w:rsid w:val="00BA1492"/>
    <w:rsid w:val="00BA4B6D"/>
    <w:rsid w:val="00BB26C5"/>
    <w:rsid w:val="00BB4D9E"/>
    <w:rsid w:val="00BC08D8"/>
    <w:rsid w:val="00BCA79F"/>
    <w:rsid w:val="00BE106E"/>
    <w:rsid w:val="00BE211F"/>
    <w:rsid w:val="00BF4DE6"/>
    <w:rsid w:val="00C04608"/>
    <w:rsid w:val="00C06B13"/>
    <w:rsid w:val="00C13BD3"/>
    <w:rsid w:val="00C15567"/>
    <w:rsid w:val="00C20543"/>
    <w:rsid w:val="00C27D25"/>
    <w:rsid w:val="00C30034"/>
    <w:rsid w:val="00C33ABA"/>
    <w:rsid w:val="00C35791"/>
    <w:rsid w:val="00C42541"/>
    <w:rsid w:val="00C42CDE"/>
    <w:rsid w:val="00C42EB7"/>
    <w:rsid w:val="00C45E8E"/>
    <w:rsid w:val="00C502A6"/>
    <w:rsid w:val="00C5182A"/>
    <w:rsid w:val="00C52EBA"/>
    <w:rsid w:val="00C53B22"/>
    <w:rsid w:val="00C63DF6"/>
    <w:rsid w:val="00C63EE9"/>
    <w:rsid w:val="00C76F11"/>
    <w:rsid w:val="00C80A6D"/>
    <w:rsid w:val="00C83626"/>
    <w:rsid w:val="00C852C8"/>
    <w:rsid w:val="00C878B3"/>
    <w:rsid w:val="00C91AE8"/>
    <w:rsid w:val="00C971F5"/>
    <w:rsid w:val="00CA01E4"/>
    <w:rsid w:val="00CA16F3"/>
    <w:rsid w:val="00CA37B1"/>
    <w:rsid w:val="00CA5F9E"/>
    <w:rsid w:val="00CB0F56"/>
    <w:rsid w:val="00CB1959"/>
    <w:rsid w:val="00CB3972"/>
    <w:rsid w:val="00CB3A58"/>
    <w:rsid w:val="00CC741B"/>
    <w:rsid w:val="00CD0E4B"/>
    <w:rsid w:val="00CD360B"/>
    <w:rsid w:val="00CD7F88"/>
    <w:rsid w:val="00CE485D"/>
    <w:rsid w:val="00CE4C89"/>
    <w:rsid w:val="00CE70DD"/>
    <w:rsid w:val="00CF07BA"/>
    <w:rsid w:val="00CF7AAD"/>
    <w:rsid w:val="00D0296C"/>
    <w:rsid w:val="00D02DF4"/>
    <w:rsid w:val="00D041BB"/>
    <w:rsid w:val="00D115ED"/>
    <w:rsid w:val="00D139E7"/>
    <w:rsid w:val="00D258E3"/>
    <w:rsid w:val="00D25CF4"/>
    <w:rsid w:val="00D30339"/>
    <w:rsid w:val="00D32D6F"/>
    <w:rsid w:val="00D359A0"/>
    <w:rsid w:val="00D35C4E"/>
    <w:rsid w:val="00D36813"/>
    <w:rsid w:val="00D37B04"/>
    <w:rsid w:val="00D40F70"/>
    <w:rsid w:val="00D44945"/>
    <w:rsid w:val="00D4C34A"/>
    <w:rsid w:val="00D512E6"/>
    <w:rsid w:val="00D540C6"/>
    <w:rsid w:val="00D60BC2"/>
    <w:rsid w:val="00D64BD1"/>
    <w:rsid w:val="00D675FC"/>
    <w:rsid w:val="00D71A2E"/>
    <w:rsid w:val="00D81253"/>
    <w:rsid w:val="00D8203A"/>
    <w:rsid w:val="00D92254"/>
    <w:rsid w:val="00DC0C0B"/>
    <w:rsid w:val="00DE0825"/>
    <w:rsid w:val="00DE084C"/>
    <w:rsid w:val="00DE4413"/>
    <w:rsid w:val="00DE72B1"/>
    <w:rsid w:val="00E13CD4"/>
    <w:rsid w:val="00E14444"/>
    <w:rsid w:val="00E14F51"/>
    <w:rsid w:val="00E328DD"/>
    <w:rsid w:val="00E357B7"/>
    <w:rsid w:val="00E35A1E"/>
    <w:rsid w:val="00E46DF9"/>
    <w:rsid w:val="00E50213"/>
    <w:rsid w:val="00E50816"/>
    <w:rsid w:val="00E52819"/>
    <w:rsid w:val="00E53800"/>
    <w:rsid w:val="00E6081F"/>
    <w:rsid w:val="00E61A38"/>
    <w:rsid w:val="00E75079"/>
    <w:rsid w:val="00E767DB"/>
    <w:rsid w:val="00E8296D"/>
    <w:rsid w:val="00E8457B"/>
    <w:rsid w:val="00E8513A"/>
    <w:rsid w:val="00E8708D"/>
    <w:rsid w:val="00E94CE3"/>
    <w:rsid w:val="00E95974"/>
    <w:rsid w:val="00E971A3"/>
    <w:rsid w:val="00EA04B2"/>
    <w:rsid w:val="00EA20F3"/>
    <w:rsid w:val="00EA6A53"/>
    <w:rsid w:val="00EB0D7F"/>
    <w:rsid w:val="00EC2538"/>
    <w:rsid w:val="00ED2831"/>
    <w:rsid w:val="00ED4290"/>
    <w:rsid w:val="00ED43D1"/>
    <w:rsid w:val="00EE12C4"/>
    <w:rsid w:val="00EE2BBE"/>
    <w:rsid w:val="00EE4EE1"/>
    <w:rsid w:val="00EF2CD8"/>
    <w:rsid w:val="00EF4574"/>
    <w:rsid w:val="00EF776D"/>
    <w:rsid w:val="00F01CA1"/>
    <w:rsid w:val="00F06529"/>
    <w:rsid w:val="00F11BC5"/>
    <w:rsid w:val="00F2147A"/>
    <w:rsid w:val="00F25A93"/>
    <w:rsid w:val="00F2684E"/>
    <w:rsid w:val="00F3150E"/>
    <w:rsid w:val="00F425E3"/>
    <w:rsid w:val="00F42FA7"/>
    <w:rsid w:val="00F4670A"/>
    <w:rsid w:val="00F47930"/>
    <w:rsid w:val="00F5166D"/>
    <w:rsid w:val="00F53501"/>
    <w:rsid w:val="00F5404C"/>
    <w:rsid w:val="00F62D5C"/>
    <w:rsid w:val="00F640EF"/>
    <w:rsid w:val="00F67C6A"/>
    <w:rsid w:val="00F67E1C"/>
    <w:rsid w:val="00F729EF"/>
    <w:rsid w:val="00F767CF"/>
    <w:rsid w:val="00F77CAE"/>
    <w:rsid w:val="00F82271"/>
    <w:rsid w:val="00F83428"/>
    <w:rsid w:val="00F853B7"/>
    <w:rsid w:val="00F95B75"/>
    <w:rsid w:val="00F96BB9"/>
    <w:rsid w:val="00FA0791"/>
    <w:rsid w:val="00FB6A02"/>
    <w:rsid w:val="00FC0799"/>
    <w:rsid w:val="00FD142C"/>
    <w:rsid w:val="00FD3EA0"/>
    <w:rsid w:val="00FD5456"/>
    <w:rsid w:val="00FD7D4C"/>
    <w:rsid w:val="00FE6D51"/>
    <w:rsid w:val="00FE6F2A"/>
    <w:rsid w:val="00FF2D40"/>
    <w:rsid w:val="01E42323"/>
    <w:rsid w:val="0203E22E"/>
    <w:rsid w:val="020A9CEC"/>
    <w:rsid w:val="020AD86A"/>
    <w:rsid w:val="025C9DF4"/>
    <w:rsid w:val="025D25C8"/>
    <w:rsid w:val="02CE01EE"/>
    <w:rsid w:val="03953844"/>
    <w:rsid w:val="03A5D182"/>
    <w:rsid w:val="03BA742C"/>
    <w:rsid w:val="0494DFD9"/>
    <w:rsid w:val="04B52840"/>
    <w:rsid w:val="05317D2F"/>
    <w:rsid w:val="0562806C"/>
    <w:rsid w:val="0566D174"/>
    <w:rsid w:val="05720E1D"/>
    <w:rsid w:val="05867956"/>
    <w:rsid w:val="05D69A4E"/>
    <w:rsid w:val="05F069CE"/>
    <w:rsid w:val="0609425E"/>
    <w:rsid w:val="06498D27"/>
    <w:rsid w:val="065FE99B"/>
    <w:rsid w:val="06CA5BA0"/>
    <w:rsid w:val="06DB79AE"/>
    <w:rsid w:val="07B86062"/>
    <w:rsid w:val="07BC87AF"/>
    <w:rsid w:val="07BE3B1C"/>
    <w:rsid w:val="07C0A390"/>
    <w:rsid w:val="07E80FDA"/>
    <w:rsid w:val="086BB4E4"/>
    <w:rsid w:val="0872D4E2"/>
    <w:rsid w:val="092DA478"/>
    <w:rsid w:val="096850FC"/>
    <w:rsid w:val="09763BEE"/>
    <w:rsid w:val="0994C299"/>
    <w:rsid w:val="09A90026"/>
    <w:rsid w:val="0A1A5DC7"/>
    <w:rsid w:val="0ACC43E6"/>
    <w:rsid w:val="0B1FC019"/>
    <w:rsid w:val="0B2FD86F"/>
    <w:rsid w:val="0B339CE1"/>
    <w:rsid w:val="0B7E62FC"/>
    <w:rsid w:val="0BEE39B0"/>
    <w:rsid w:val="0BF7E450"/>
    <w:rsid w:val="0BFD155A"/>
    <w:rsid w:val="0C2200F5"/>
    <w:rsid w:val="0C9D381A"/>
    <w:rsid w:val="0CBE312B"/>
    <w:rsid w:val="0CE558E7"/>
    <w:rsid w:val="0DA1E2EB"/>
    <w:rsid w:val="0E3A0505"/>
    <w:rsid w:val="0E5E2442"/>
    <w:rsid w:val="0E755D68"/>
    <w:rsid w:val="0E79123F"/>
    <w:rsid w:val="0F80A1AD"/>
    <w:rsid w:val="0FB2F1C3"/>
    <w:rsid w:val="101CF9A9"/>
    <w:rsid w:val="108AAD18"/>
    <w:rsid w:val="10C4C5AF"/>
    <w:rsid w:val="10F7A606"/>
    <w:rsid w:val="11261DDA"/>
    <w:rsid w:val="114E55E2"/>
    <w:rsid w:val="116A0E39"/>
    <w:rsid w:val="11A7D6E5"/>
    <w:rsid w:val="126D06BB"/>
    <w:rsid w:val="127C00E0"/>
    <w:rsid w:val="12812C19"/>
    <w:rsid w:val="130E4E25"/>
    <w:rsid w:val="134DA5D6"/>
    <w:rsid w:val="135C224F"/>
    <w:rsid w:val="13DF0B43"/>
    <w:rsid w:val="1408794F"/>
    <w:rsid w:val="140C3568"/>
    <w:rsid w:val="140F9D75"/>
    <w:rsid w:val="145F06C6"/>
    <w:rsid w:val="148997F0"/>
    <w:rsid w:val="152933D6"/>
    <w:rsid w:val="156F098A"/>
    <w:rsid w:val="1599A146"/>
    <w:rsid w:val="167BBB77"/>
    <w:rsid w:val="168584EA"/>
    <w:rsid w:val="17D4A005"/>
    <w:rsid w:val="1806CC28"/>
    <w:rsid w:val="1821554B"/>
    <w:rsid w:val="182F9372"/>
    <w:rsid w:val="1838DDBB"/>
    <w:rsid w:val="189498D4"/>
    <w:rsid w:val="18EBC29F"/>
    <w:rsid w:val="19122AB8"/>
    <w:rsid w:val="1926249C"/>
    <w:rsid w:val="19403F6A"/>
    <w:rsid w:val="196AD84E"/>
    <w:rsid w:val="199D8112"/>
    <w:rsid w:val="1A1752B1"/>
    <w:rsid w:val="1A51E712"/>
    <w:rsid w:val="1A6F0FB3"/>
    <w:rsid w:val="1B345029"/>
    <w:rsid w:val="1B60DD6B"/>
    <w:rsid w:val="1B910995"/>
    <w:rsid w:val="1C277E75"/>
    <w:rsid w:val="1CB1A68C"/>
    <w:rsid w:val="1D030495"/>
    <w:rsid w:val="1D23CB1D"/>
    <w:rsid w:val="1D4670B7"/>
    <w:rsid w:val="1D6FEDB4"/>
    <w:rsid w:val="1D9EF204"/>
    <w:rsid w:val="1DC44E9F"/>
    <w:rsid w:val="1DFF43E2"/>
    <w:rsid w:val="1E1A81D4"/>
    <w:rsid w:val="1EDF68FB"/>
    <w:rsid w:val="1F0FCC19"/>
    <w:rsid w:val="1F46A7DF"/>
    <w:rsid w:val="1F5D6E3F"/>
    <w:rsid w:val="1F5E1C66"/>
    <w:rsid w:val="1F5FF06E"/>
    <w:rsid w:val="1F721A79"/>
    <w:rsid w:val="1F7D7874"/>
    <w:rsid w:val="1F8A53FE"/>
    <w:rsid w:val="203BBF54"/>
    <w:rsid w:val="206D7DEA"/>
    <w:rsid w:val="20885973"/>
    <w:rsid w:val="20F6D17E"/>
    <w:rsid w:val="210DB809"/>
    <w:rsid w:val="216479AC"/>
    <w:rsid w:val="219AD684"/>
    <w:rsid w:val="21A57F24"/>
    <w:rsid w:val="21B46884"/>
    <w:rsid w:val="221709BD"/>
    <w:rsid w:val="22CB5C08"/>
    <w:rsid w:val="22EA1226"/>
    <w:rsid w:val="22FAF017"/>
    <w:rsid w:val="23E77C20"/>
    <w:rsid w:val="24595331"/>
    <w:rsid w:val="24EDF454"/>
    <w:rsid w:val="25210A3D"/>
    <w:rsid w:val="2522A62A"/>
    <w:rsid w:val="255092B6"/>
    <w:rsid w:val="256901CC"/>
    <w:rsid w:val="25772146"/>
    <w:rsid w:val="257B5C0D"/>
    <w:rsid w:val="25BB6147"/>
    <w:rsid w:val="25D44F5E"/>
    <w:rsid w:val="25E69EF3"/>
    <w:rsid w:val="269DD65B"/>
    <w:rsid w:val="270680D2"/>
    <w:rsid w:val="274D2C52"/>
    <w:rsid w:val="27DC14F8"/>
    <w:rsid w:val="28A66F47"/>
    <w:rsid w:val="28BD891B"/>
    <w:rsid w:val="28DC2615"/>
    <w:rsid w:val="2A0738BD"/>
    <w:rsid w:val="2A6CC7A3"/>
    <w:rsid w:val="2A7B8BAB"/>
    <w:rsid w:val="2A84FDD8"/>
    <w:rsid w:val="2AA97E97"/>
    <w:rsid w:val="2ADD0E75"/>
    <w:rsid w:val="2AF23395"/>
    <w:rsid w:val="2B4B32D9"/>
    <w:rsid w:val="2B51F2C6"/>
    <w:rsid w:val="2B64805A"/>
    <w:rsid w:val="2B66B4BF"/>
    <w:rsid w:val="2B6B143C"/>
    <w:rsid w:val="2B733BA5"/>
    <w:rsid w:val="2C5F48A2"/>
    <w:rsid w:val="2C93909F"/>
    <w:rsid w:val="2CA654B6"/>
    <w:rsid w:val="2CF60BE5"/>
    <w:rsid w:val="2D39440E"/>
    <w:rsid w:val="2E1B89A7"/>
    <w:rsid w:val="2E46C0C1"/>
    <w:rsid w:val="2E794BC1"/>
    <w:rsid w:val="2E91DC46"/>
    <w:rsid w:val="2E9A96DB"/>
    <w:rsid w:val="2EB6DC84"/>
    <w:rsid w:val="2F70CAE7"/>
    <w:rsid w:val="2F8EB837"/>
    <w:rsid w:val="2FC522FE"/>
    <w:rsid w:val="31BFDE44"/>
    <w:rsid w:val="31FFD119"/>
    <w:rsid w:val="321B054A"/>
    <w:rsid w:val="3236F590"/>
    <w:rsid w:val="326E6069"/>
    <w:rsid w:val="32792E33"/>
    <w:rsid w:val="32F0CCE9"/>
    <w:rsid w:val="33FE8809"/>
    <w:rsid w:val="341E02F2"/>
    <w:rsid w:val="342A7859"/>
    <w:rsid w:val="34630479"/>
    <w:rsid w:val="34D96417"/>
    <w:rsid w:val="351DE9A3"/>
    <w:rsid w:val="35822203"/>
    <w:rsid w:val="358C1C83"/>
    <w:rsid w:val="36406FC9"/>
    <w:rsid w:val="36EF63D3"/>
    <w:rsid w:val="37038D9E"/>
    <w:rsid w:val="3709E7AE"/>
    <w:rsid w:val="378C6714"/>
    <w:rsid w:val="37E2355B"/>
    <w:rsid w:val="37FC96C6"/>
    <w:rsid w:val="381670A2"/>
    <w:rsid w:val="3829AC7C"/>
    <w:rsid w:val="382D1872"/>
    <w:rsid w:val="3830D7E2"/>
    <w:rsid w:val="388A39E4"/>
    <w:rsid w:val="388B3434"/>
    <w:rsid w:val="38D79D4D"/>
    <w:rsid w:val="38F9028E"/>
    <w:rsid w:val="394C24DF"/>
    <w:rsid w:val="39BA2208"/>
    <w:rsid w:val="39C90CED"/>
    <w:rsid w:val="39F37B4E"/>
    <w:rsid w:val="3A09BB1F"/>
    <w:rsid w:val="3A5FE193"/>
    <w:rsid w:val="3BB7CAC9"/>
    <w:rsid w:val="3C7274CF"/>
    <w:rsid w:val="3D4FCC96"/>
    <w:rsid w:val="3D5AEA89"/>
    <w:rsid w:val="3D5D9074"/>
    <w:rsid w:val="3D65BE05"/>
    <w:rsid w:val="3DFE1F09"/>
    <w:rsid w:val="3E11D445"/>
    <w:rsid w:val="3E69F726"/>
    <w:rsid w:val="3E971B7E"/>
    <w:rsid w:val="3F2D45F2"/>
    <w:rsid w:val="3F753992"/>
    <w:rsid w:val="3FAFC59A"/>
    <w:rsid w:val="4024BB80"/>
    <w:rsid w:val="405FD446"/>
    <w:rsid w:val="40A950D3"/>
    <w:rsid w:val="40F0C842"/>
    <w:rsid w:val="41DEBCCF"/>
    <w:rsid w:val="41F77E8A"/>
    <w:rsid w:val="4206043F"/>
    <w:rsid w:val="42204A1D"/>
    <w:rsid w:val="42477CAE"/>
    <w:rsid w:val="42A01CF6"/>
    <w:rsid w:val="42CB1420"/>
    <w:rsid w:val="42F541C0"/>
    <w:rsid w:val="433104D7"/>
    <w:rsid w:val="4372F0F1"/>
    <w:rsid w:val="43A8538B"/>
    <w:rsid w:val="4411AEDA"/>
    <w:rsid w:val="448115C9"/>
    <w:rsid w:val="4512A87D"/>
    <w:rsid w:val="459D7398"/>
    <w:rsid w:val="45A1EBFC"/>
    <w:rsid w:val="45B511A6"/>
    <w:rsid w:val="45C62F56"/>
    <w:rsid w:val="45DDCADF"/>
    <w:rsid w:val="45FE5565"/>
    <w:rsid w:val="4693FD04"/>
    <w:rsid w:val="4798064A"/>
    <w:rsid w:val="47C4AD9F"/>
    <w:rsid w:val="47F94A90"/>
    <w:rsid w:val="4801D8C4"/>
    <w:rsid w:val="48E4A9FA"/>
    <w:rsid w:val="490BDF17"/>
    <w:rsid w:val="496D70D0"/>
    <w:rsid w:val="4A356313"/>
    <w:rsid w:val="4A3CF8C4"/>
    <w:rsid w:val="4A46AA55"/>
    <w:rsid w:val="4A62D207"/>
    <w:rsid w:val="4A8882C9"/>
    <w:rsid w:val="4AB9B860"/>
    <w:rsid w:val="4AC28AC6"/>
    <w:rsid w:val="4ACBA596"/>
    <w:rsid w:val="4AFA797F"/>
    <w:rsid w:val="4B2A2CBC"/>
    <w:rsid w:val="4B328777"/>
    <w:rsid w:val="4CB66AFC"/>
    <w:rsid w:val="4D9CD3A6"/>
    <w:rsid w:val="4DCA1A69"/>
    <w:rsid w:val="4E0A37C8"/>
    <w:rsid w:val="4E52908F"/>
    <w:rsid w:val="4E688C14"/>
    <w:rsid w:val="4EA32AC7"/>
    <w:rsid w:val="4F137717"/>
    <w:rsid w:val="4F13DE76"/>
    <w:rsid w:val="4F16A69B"/>
    <w:rsid w:val="4F6EB8CE"/>
    <w:rsid w:val="4FC7F144"/>
    <w:rsid w:val="50555DA2"/>
    <w:rsid w:val="50967580"/>
    <w:rsid w:val="50B73E3D"/>
    <w:rsid w:val="510EC17E"/>
    <w:rsid w:val="5118DB11"/>
    <w:rsid w:val="512DFB32"/>
    <w:rsid w:val="51515AAA"/>
    <w:rsid w:val="5163F862"/>
    <w:rsid w:val="51B6262E"/>
    <w:rsid w:val="523155F1"/>
    <w:rsid w:val="523552D6"/>
    <w:rsid w:val="524F34EE"/>
    <w:rsid w:val="528B2957"/>
    <w:rsid w:val="53798B09"/>
    <w:rsid w:val="5391E800"/>
    <w:rsid w:val="54727CA3"/>
    <w:rsid w:val="54912A42"/>
    <w:rsid w:val="54EBD3CC"/>
    <w:rsid w:val="55836CE7"/>
    <w:rsid w:val="55999ADB"/>
    <w:rsid w:val="55EFCEBD"/>
    <w:rsid w:val="56117E6B"/>
    <w:rsid w:val="56F05A58"/>
    <w:rsid w:val="5743B5EC"/>
    <w:rsid w:val="58C8773A"/>
    <w:rsid w:val="5907A588"/>
    <w:rsid w:val="59D34940"/>
    <w:rsid w:val="5A4EE86D"/>
    <w:rsid w:val="5A6D0BFE"/>
    <w:rsid w:val="5ADF1493"/>
    <w:rsid w:val="5B9C1426"/>
    <w:rsid w:val="5BFD62EB"/>
    <w:rsid w:val="5C17270F"/>
    <w:rsid w:val="5C1F80D7"/>
    <w:rsid w:val="5C7CAFED"/>
    <w:rsid w:val="5D08277B"/>
    <w:rsid w:val="5D56F0BC"/>
    <w:rsid w:val="5D5C35CD"/>
    <w:rsid w:val="5DCCF2A9"/>
    <w:rsid w:val="5DD9E4FD"/>
    <w:rsid w:val="5E74E806"/>
    <w:rsid w:val="5ED3B4E8"/>
    <w:rsid w:val="5F0B6A34"/>
    <w:rsid w:val="5F965137"/>
    <w:rsid w:val="600B2756"/>
    <w:rsid w:val="61AC8EC3"/>
    <w:rsid w:val="61E882AD"/>
    <w:rsid w:val="62278FE7"/>
    <w:rsid w:val="624ABBEE"/>
    <w:rsid w:val="6282A490"/>
    <w:rsid w:val="637F1793"/>
    <w:rsid w:val="6394DBF1"/>
    <w:rsid w:val="63FBB8F0"/>
    <w:rsid w:val="642C8CE9"/>
    <w:rsid w:val="6488105A"/>
    <w:rsid w:val="64CE4E3B"/>
    <w:rsid w:val="65D9AED8"/>
    <w:rsid w:val="65DA1BDB"/>
    <w:rsid w:val="6625CD0B"/>
    <w:rsid w:val="6640A08B"/>
    <w:rsid w:val="66DFF023"/>
    <w:rsid w:val="670A9FF7"/>
    <w:rsid w:val="6717A0EB"/>
    <w:rsid w:val="67771F18"/>
    <w:rsid w:val="67F24EDB"/>
    <w:rsid w:val="6836E1C7"/>
    <w:rsid w:val="686BCF9D"/>
    <w:rsid w:val="69624979"/>
    <w:rsid w:val="6977995C"/>
    <w:rsid w:val="69B027AE"/>
    <w:rsid w:val="6A34E61A"/>
    <w:rsid w:val="6A3F0715"/>
    <w:rsid w:val="6A90F2EE"/>
    <w:rsid w:val="6A9BFD1B"/>
    <w:rsid w:val="6AEA862B"/>
    <w:rsid w:val="6B2664BF"/>
    <w:rsid w:val="6B3FBB23"/>
    <w:rsid w:val="6C48A8A2"/>
    <w:rsid w:val="6C5A487A"/>
    <w:rsid w:val="6CB1569D"/>
    <w:rsid w:val="6CCDBAAC"/>
    <w:rsid w:val="6CD62556"/>
    <w:rsid w:val="6D07E56F"/>
    <w:rsid w:val="6E08A198"/>
    <w:rsid w:val="6EA94279"/>
    <w:rsid w:val="6ECAC1B7"/>
    <w:rsid w:val="6EE31154"/>
    <w:rsid w:val="6EF70692"/>
    <w:rsid w:val="6FAA8B20"/>
    <w:rsid w:val="6FE8F75F"/>
    <w:rsid w:val="700650ED"/>
    <w:rsid w:val="700D0060"/>
    <w:rsid w:val="704512DA"/>
    <w:rsid w:val="704FB27D"/>
    <w:rsid w:val="70B1E7DF"/>
    <w:rsid w:val="70B9EA1B"/>
    <w:rsid w:val="71A54530"/>
    <w:rsid w:val="71E0E33B"/>
    <w:rsid w:val="7238A5C2"/>
    <w:rsid w:val="7253B432"/>
    <w:rsid w:val="72C8E955"/>
    <w:rsid w:val="72CC8D29"/>
    <w:rsid w:val="72E57F5B"/>
    <w:rsid w:val="72ED9A82"/>
    <w:rsid w:val="737C174E"/>
    <w:rsid w:val="737F1479"/>
    <w:rsid w:val="73A9DBAA"/>
    <w:rsid w:val="73AC0672"/>
    <w:rsid w:val="7416D029"/>
    <w:rsid w:val="742C003F"/>
    <w:rsid w:val="7512C254"/>
    <w:rsid w:val="751883FD"/>
    <w:rsid w:val="752DAC25"/>
    <w:rsid w:val="75A69FF7"/>
    <w:rsid w:val="7633B4CC"/>
    <w:rsid w:val="76B4545E"/>
    <w:rsid w:val="76B6B53B"/>
    <w:rsid w:val="7727D40C"/>
    <w:rsid w:val="7791FF80"/>
    <w:rsid w:val="77DA321D"/>
    <w:rsid w:val="7852F1DE"/>
    <w:rsid w:val="7869D967"/>
    <w:rsid w:val="791C2971"/>
    <w:rsid w:val="7A2D2385"/>
    <w:rsid w:val="7A706F1F"/>
    <w:rsid w:val="7B2BE025"/>
    <w:rsid w:val="7B4C73AC"/>
    <w:rsid w:val="7B5AC5CB"/>
    <w:rsid w:val="7BFCB458"/>
    <w:rsid w:val="7C55D485"/>
    <w:rsid w:val="7C98E34F"/>
    <w:rsid w:val="7CF6962C"/>
    <w:rsid w:val="7D25F6BF"/>
    <w:rsid w:val="7D4BF4CA"/>
    <w:rsid w:val="7D594A87"/>
    <w:rsid w:val="7DD3A56C"/>
    <w:rsid w:val="7E54AACB"/>
    <w:rsid w:val="7E9C9A30"/>
    <w:rsid w:val="7E9F9549"/>
    <w:rsid w:val="7EA9BB63"/>
    <w:rsid w:val="7EC1C720"/>
    <w:rsid w:val="7EC9D4BB"/>
    <w:rsid w:val="7ED337A7"/>
    <w:rsid w:val="7FB9DD24"/>
    <w:rsid w:val="7FE07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557D6E"/>
    <w:pPr>
      <w:outlineLvl w:val="1"/>
    </w:pPr>
    <w:rPr>
      <w:b/>
      <w:bCs/>
      <w:sz w:val="28"/>
      <w:szCs w:val="28"/>
    </w:rPr>
  </w:style>
  <w:style w:type="paragraph" w:styleId="Heading3">
    <w:name w:val="heading 3"/>
    <w:basedOn w:val="Normal"/>
    <w:next w:val="Normal"/>
    <w:link w:val="Heading3Char"/>
    <w:uiPriority w:val="9"/>
    <w:unhideWhenUsed/>
    <w:qFormat/>
    <w:rsid w:val="00557D6E"/>
    <w:pPr>
      <w:outlineLvl w:val="2"/>
    </w:pPr>
    <w:rPr>
      <w:b/>
      <w:bCs/>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57D6E"/>
    <w:rPr>
      <w:b/>
      <w:bCs/>
      <w:color w:val="495965" w:themeColor="text2"/>
      <w:sz w:val="28"/>
      <w:szCs w:val="28"/>
      <w:lang w:val="en-GB"/>
    </w:rPr>
  </w:style>
  <w:style w:type="character" w:customStyle="1" w:styleId="Heading3Char">
    <w:name w:val="Heading 3 Char"/>
    <w:basedOn w:val="DefaultParagraphFont"/>
    <w:link w:val="Heading3"/>
    <w:uiPriority w:val="9"/>
    <w:rsid w:val="00557D6E"/>
    <w:rPr>
      <w:b/>
      <w:b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val="0"/>
    </w:rPr>
  </w:style>
  <w:style w:type="paragraph" w:customStyle="1" w:styleId="Heading3Numbered">
    <w:name w:val="Heading 3 Numbered"/>
    <w:basedOn w:val="Heading3"/>
    <w:next w:val="Normal"/>
    <w:qFormat/>
    <w:rsid w:val="00ED2831"/>
    <w:pPr>
      <w:numPr>
        <w:ilvl w:val="2"/>
        <w:numId w:val="23"/>
      </w:numPr>
      <w:spacing w:before="300"/>
    </w:p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C45E8E"/>
    <w:pPr>
      <w:ind w:left="720"/>
      <w:contextualSpacing/>
    </w:pPr>
  </w:style>
  <w:style w:type="paragraph" w:styleId="Revision">
    <w:name w:val="Revision"/>
    <w:hidden/>
    <w:uiPriority w:val="99"/>
    <w:semiHidden/>
    <w:rsid w:val="00872C5A"/>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8406</Characters>
  <Application>Microsoft Office Word</Application>
  <DocSecurity>0</DocSecurity>
  <Lines>221</Lines>
  <Paragraphs>59</Paragraphs>
  <ScaleCrop>false</ScaleCrop>
  <HeadingPairs>
    <vt:vector size="2" baseType="variant">
      <vt:variant>
        <vt:lpstr>Title</vt:lpstr>
      </vt:variant>
      <vt:variant>
        <vt:i4>1</vt:i4>
      </vt:variant>
    </vt:vector>
  </HeadingPairs>
  <TitlesOfParts>
    <vt:vector size="1" baseType="lpstr">
      <vt:lpstr>Evaluation of Nature-based Solutions Investments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Nature-based Solutions Investments -Management response</dc:title>
  <dc:subject/>
  <dc:creator/>
  <cp:keywords>[SEC=OFFICIAL]</cp:keywords>
  <cp:lastModifiedBy/>
  <cp:revision>1</cp:revision>
  <dcterms:created xsi:type="dcterms:W3CDTF">2024-04-23T03:19:00Z</dcterms:created>
  <dcterms:modified xsi:type="dcterms:W3CDTF">2024-04-23T03:20:00Z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v=2022.1;a=SHA256;h=547E455F82B031D22CD8F3292E45AC36964D34D4F04440E2A37BCD011E4DFD79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2024-02-19T04:53:48Z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22E8171D859446EF93384CDD8BAE8F4D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AB2196910A22BC122A7B55A89084EAD3</vt:lpwstr>
  </property>
  <property fmtid="{D5CDD505-2E9C-101B-9397-08002B2CF9AE}" pid="24" name="PM_Hash_Salt">
    <vt:lpwstr>B2650C4BE9C551530A589CE1DD05ABE3</vt:lpwstr>
  </property>
  <property fmtid="{D5CDD505-2E9C-101B-9397-08002B2CF9AE}" pid="25" name="PM_Hash_SHA1">
    <vt:lpwstr>D806701A67FEC48F3EBD51AF4E37F730A460487D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