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2D" w:rsidRDefault="00A56F14" w:rsidP="00D146A2">
      <w:r>
        <w:rPr>
          <w:noProof/>
          <w:lang w:val="en-AU" w:eastAsia="en-AU"/>
        </w:rPr>
        <w:drawing>
          <wp:anchor distT="0" distB="0" distL="114300" distR="114300" simplePos="0" relativeHeight="251661312" behindDoc="1" locked="1" layoutInCell="1" allowOverlap="1" wp14:anchorId="3E14CB49" wp14:editId="3EC7732E">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049A8661" wp14:editId="3721E279">
            <wp:simplePos x="0" y="0"/>
            <wp:positionH relativeFrom="page">
              <wp:align>right</wp:align>
            </wp:positionH>
            <wp:positionV relativeFrom="page">
              <wp:align>top</wp:align>
            </wp:positionV>
            <wp:extent cx="7559675" cy="10810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559675" cy="1081087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7A410B" w:rsidP="00A56F14">
      <w:pPr>
        <w:rPr>
          <w:sz w:val="24"/>
        </w:rPr>
        <w:sectPr w:rsidR="0059146A" w:rsidSect="00C57CC2">
          <w:headerReference w:type="default" r:id="rId13"/>
          <w:headerReference w:type="first" r:id="rId14"/>
          <w:pgSz w:w="11906" w:h="16838" w:code="9"/>
          <w:pgMar w:top="1952" w:right="1134" w:bottom="851" w:left="1134" w:header="1814" w:footer="567" w:gutter="0"/>
          <w:cols w:space="397"/>
          <w:titlePg/>
          <w:docGrid w:linePitch="360"/>
        </w:sectPr>
      </w:pPr>
      <w:r>
        <w:rPr>
          <w:sz w:val="40"/>
        </w:rPr>
        <w:t>Nauru</w:t>
      </w:r>
      <w:r w:rsidR="0059146A">
        <w:rPr>
          <w:sz w:val="40"/>
        </w:rPr>
        <w:br/>
      </w:r>
      <w:r w:rsidR="0059146A" w:rsidRPr="0059146A">
        <w:rPr>
          <w:sz w:val="24"/>
        </w:rPr>
        <w:t>September 2016</w:t>
      </w:r>
    </w:p>
    <w:p w:rsidR="005B5769" w:rsidRPr="00B438D3" w:rsidRDefault="007A410B" w:rsidP="00B438D3">
      <w:pPr>
        <w:pStyle w:val="Title"/>
      </w:pPr>
      <w:r>
        <w:lastRenderedPageBreak/>
        <w:t>NAURU</w:t>
      </w:r>
      <w:r w:rsidR="005B5769" w:rsidRPr="00B438D3">
        <w:t xml:space="preserve"> Aid Program Performance Information 2015-16</w:t>
      </w:r>
    </w:p>
    <w:p w:rsidR="005B5769" w:rsidRPr="00C4114C" w:rsidRDefault="005B5769" w:rsidP="00B438D3">
      <w:pPr>
        <w:pStyle w:val="Subtitle"/>
      </w:pPr>
      <w:r w:rsidRPr="00C4114C">
        <w:t>Summary</w:t>
      </w:r>
    </w:p>
    <w:p w:rsidR="00096A1F" w:rsidRPr="00DF4D45" w:rsidRDefault="00096A1F" w:rsidP="00DF4D45">
      <w:pPr>
        <w:spacing w:after="200" w:line="276" w:lineRule="auto"/>
        <w:rPr>
          <w:rFonts w:ascii="Franklin Gothic Book" w:hAnsi="Franklin Gothic Book"/>
          <w:sz w:val="21"/>
        </w:rPr>
      </w:pPr>
      <w:r>
        <w:rPr>
          <w:rFonts w:ascii="Franklin Gothic Book" w:hAnsi="Franklin Gothic Book"/>
          <w:sz w:val="21"/>
        </w:rPr>
        <w:t>Australia’s development cooperation program in Nauru supports the objectives of a socially stable and economically resilient Nauru that has a functioning and accountable public sector; critical infrastructure; and provides quality health and education services to enable Nauru’s community to take up economic and labour mobility opportunities</w:t>
      </w:r>
      <w:r w:rsidR="00C10383">
        <w:rPr>
          <w:rFonts w:ascii="Franklin Gothic Book" w:hAnsi="Franklin Gothic Book"/>
          <w:sz w:val="21"/>
        </w:rPr>
        <w:t xml:space="preserve"> and maintain productive and resilient lifestyles.</w:t>
      </w:r>
      <w:r w:rsidR="00C16ACD">
        <w:rPr>
          <w:rFonts w:ascii="Franklin Gothic Book" w:hAnsi="Franklin Gothic Book"/>
          <w:sz w:val="21"/>
        </w:rPr>
        <w:t xml:space="preserve"> </w:t>
      </w:r>
      <w:r w:rsidR="00C10383">
        <w:rPr>
          <w:rFonts w:ascii="Franklin Gothic Book" w:hAnsi="Franklin Gothic Book"/>
          <w:sz w:val="21"/>
        </w:rPr>
        <w:t xml:space="preserve"> </w:t>
      </w:r>
      <w:r>
        <w:rPr>
          <w:rFonts w:ascii="Franklin Gothic Book" w:hAnsi="Franklin Gothic Book"/>
          <w:sz w:val="21"/>
        </w:rPr>
        <w:t>In 2015-16 Australia provided $25.2</w:t>
      </w:r>
      <w:r w:rsidRPr="00BD7984">
        <w:rPr>
          <w:rFonts w:ascii="Franklin Gothic Book" w:hAnsi="Franklin Gothic Book"/>
          <w:sz w:val="21"/>
        </w:rPr>
        <w:t xml:space="preserve"> </w:t>
      </w:r>
      <w:r>
        <w:rPr>
          <w:rFonts w:ascii="Franklin Gothic Book" w:hAnsi="Franklin Gothic Book"/>
          <w:sz w:val="21"/>
        </w:rPr>
        <w:t>million in Official Development Assistance (ODA) to Nauru – equivalent to 20 per cent of the Government of Nauru’s budget of A$128.5 million.</w:t>
      </w:r>
      <w:r w:rsidR="00DF4D45">
        <w:rPr>
          <w:rFonts w:ascii="Franklin Gothic Book" w:hAnsi="Franklin Gothic Book"/>
          <w:sz w:val="21"/>
        </w:rPr>
        <w:t xml:space="preserve"> </w:t>
      </w:r>
      <w:r w:rsidR="009A69C4">
        <w:rPr>
          <w:rFonts w:ascii="Franklin Gothic Book" w:hAnsi="Franklin Gothic Book"/>
          <w:sz w:val="21"/>
        </w:rPr>
        <w:t xml:space="preserve"> </w:t>
      </w:r>
      <w:r w:rsidR="00DF4D45">
        <w:rPr>
          <w:rFonts w:ascii="Franklin Gothic Book" w:hAnsi="Franklin Gothic Book"/>
          <w:sz w:val="21"/>
        </w:rPr>
        <w:t xml:space="preserve">Australia is Nauru’s major development partner, along with </w:t>
      </w:r>
      <w:r w:rsidR="00B33467">
        <w:rPr>
          <w:rFonts w:ascii="Franklin Gothic Book" w:hAnsi="Franklin Gothic Book"/>
          <w:sz w:val="21"/>
        </w:rPr>
        <w:t xml:space="preserve">Taiwan and </w:t>
      </w:r>
      <w:r w:rsidR="00DF4D45" w:rsidRPr="00B969D4">
        <w:rPr>
          <w:rFonts w:ascii="Franklin Gothic Book" w:hAnsi="Franklin Gothic Book"/>
          <w:sz w:val="21"/>
        </w:rPr>
        <w:t xml:space="preserve">Japan </w:t>
      </w:r>
      <w:r w:rsidR="002F0CE3">
        <w:rPr>
          <w:rFonts w:ascii="Franklin Gothic Book" w:hAnsi="Franklin Gothic Book"/>
          <w:sz w:val="21"/>
        </w:rPr>
        <w:t>at present</w:t>
      </w:r>
      <w:r w:rsidR="00DF4D45" w:rsidRPr="00B969D4">
        <w:rPr>
          <w:rFonts w:ascii="Franklin Gothic Book" w:hAnsi="Franklin Gothic Book"/>
          <w:sz w:val="21"/>
        </w:rPr>
        <w:t xml:space="preserve">. </w:t>
      </w:r>
      <w:r w:rsidR="009A69C4">
        <w:rPr>
          <w:rFonts w:ascii="Franklin Gothic Book" w:hAnsi="Franklin Gothic Book"/>
          <w:sz w:val="21"/>
        </w:rPr>
        <w:t xml:space="preserve"> </w:t>
      </w:r>
      <w:r w:rsidR="00DF4D45" w:rsidRPr="00B969D4">
        <w:rPr>
          <w:rFonts w:ascii="Franklin Gothic Book" w:hAnsi="Franklin Gothic Book"/>
          <w:sz w:val="21"/>
        </w:rPr>
        <w:t xml:space="preserve">The Asian Development Bank (ADB) and regional institutions are </w:t>
      </w:r>
      <w:r w:rsidR="009A69C4">
        <w:rPr>
          <w:rFonts w:ascii="Franklin Gothic Book" w:hAnsi="Franklin Gothic Book"/>
          <w:sz w:val="21"/>
        </w:rPr>
        <w:t>also key partners for</w:t>
      </w:r>
      <w:r w:rsidR="00DF4D45" w:rsidRPr="00B969D4">
        <w:rPr>
          <w:rFonts w:ascii="Franklin Gothic Book" w:hAnsi="Franklin Gothic Book"/>
          <w:sz w:val="21"/>
        </w:rPr>
        <w:t xml:space="preserve"> Nauru</w:t>
      </w:r>
      <w:r w:rsidR="00124A3E">
        <w:rPr>
          <w:rFonts w:ascii="Franklin Gothic Book" w:hAnsi="Franklin Gothic Book"/>
          <w:sz w:val="21"/>
        </w:rPr>
        <w:t>.</w:t>
      </w:r>
      <w:r w:rsidR="00DF4D45" w:rsidRPr="00B969D4">
        <w:rPr>
          <w:rFonts w:ascii="Franklin Gothic Book" w:hAnsi="Franklin Gothic Book"/>
          <w:sz w:val="21"/>
        </w:rPr>
        <w:t xml:space="preserve"> </w:t>
      </w:r>
      <w:r w:rsidR="00C16ACD">
        <w:rPr>
          <w:rFonts w:ascii="Franklin Gothic Book" w:hAnsi="Franklin Gothic Book"/>
          <w:sz w:val="21"/>
        </w:rPr>
        <w:t xml:space="preserve"> </w:t>
      </w:r>
      <w:r w:rsidR="00124A3E">
        <w:rPr>
          <w:rFonts w:ascii="Franklin Gothic Book" w:hAnsi="Franklin Gothic Book"/>
          <w:sz w:val="21"/>
        </w:rPr>
        <w:t>I</w:t>
      </w:r>
      <w:r w:rsidR="00B969D4" w:rsidRPr="00B969D4">
        <w:rPr>
          <w:rFonts w:ascii="Franklin Gothic Book" w:hAnsi="Franklin Gothic Book"/>
          <w:sz w:val="21"/>
        </w:rPr>
        <w:t xml:space="preserve">n April 2016, </w:t>
      </w:r>
      <w:r w:rsidR="00124A3E">
        <w:rPr>
          <w:rFonts w:ascii="Franklin Gothic Book" w:hAnsi="Franklin Gothic Book"/>
          <w:sz w:val="21"/>
        </w:rPr>
        <w:t xml:space="preserve">Nauru </w:t>
      </w:r>
      <w:r w:rsidR="00124A3E" w:rsidRPr="00B969D4">
        <w:rPr>
          <w:rFonts w:ascii="Franklin Gothic Book" w:hAnsi="Franklin Gothic Book"/>
          <w:sz w:val="21"/>
        </w:rPr>
        <w:t>bec</w:t>
      </w:r>
      <w:r w:rsidR="00124A3E">
        <w:rPr>
          <w:rFonts w:ascii="Franklin Gothic Book" w:hAnsi="Franklin Gothic Book"/>
          <w:sz w:val="21"/>
        </w:rPr>
        <w:t>a</w:t>
      </w:r>
      <w:r w:rsidR="00124A3E" w:rsidRPr="00B969D4">
        <w:rPr>
          <w:rFonts w:ascii="Franklin Gothic Book" w:hAnsi="Franklin Gothic Book"/>
          <w:sz w:val="21"/>
        </w:rPr>
        <w:t xml:space="preserve">me </w:t>
      </w:r>
      <w:r w:rsidR="00DF4D45" w:rsidRPr="00B969D4">
        <w:rPr>
          <w:rFonts w:ascii="Franklin Gothic Book" w:hAnsi="Franklin Gothic Book"/>
          <w:sz w:val="21"/>
        </w:rPr>
        <w:t xml:space="preserve">a member of </w:t>
      </w:r>
      <w:r w:rsidR="00B969D4" w:rsidRPr="00B969D4">
        <w:rPr>
          <w:rFonts w:ascii="Franklin Gothic Book" w:hAnsi="Franklin Gothic Book"/>
          <w:sz w:val="21"/>
        </w:rPr>
        <w:t xml:space="preserve">both </w:t>
      </w:r>
      <w:r w:rsidR="00DF4D45" w:rsidRPr="00B969D4">
        <w:rPr>
          <w:rFonts w:ascii="Franklin Gothic Book" w:hAnsi="Franklin Gothic Book"/>
          <w:sz w:val="21"/>
        </w:rPr>
        <w:t>the World Bank and International Monetary Fund</w:t>
      </w:r>
      <w:r w:rsidR="00001F3A">
        <w:rPr>
          <w:rFonts w:ascii="Franklin Gothic Book" w:hAnsi="Franklin Gothic Book"/>
          <w:sz w:val="21"/>
        </w:rPr>
        <w:t xml:space="preserve">, which </w:t>
      </w:r>
      <w:r w:rsidR="00912B75">
        <w:rPr>
          <w:rFonts w:ascii="Franklin Gothic Book" w:hAnsi="Franklin Gothic Book"/>
          <w:sz w:val="21"/>
        </w:rPr>
        <w:t xml:space="preserve">is expected to </w:t>
      </w:r>
      <w:r w:rsidR="00001F3A">
        <w:rPr>
          <w:rFonts w:ascii="Franklin Gothic Book" w:hAnsi="Franklin Gothic Book"/>
          <w:sz w:val="21"/>
        </w:rPr>
        <w:t xml:space="preserve">provide greater </w:t>
      </w:r>
      <w:r w:rsidR="00912B75">
        <w:rPr>
          <w:rFonts w:ascii="Franklin Gothic Book" w:hAnsi="Franklin Gothic Book"/>
          <w:sz w:val="21"/>
        </w:rPr>
        <w:t>technical assistance and financing</w:t>
      </w:r>
      <w:r w:rsidR="00001F3A">
        <w:rPr>
          <w:rFonts w:ascii="Franklin Gothic Book" w:hAnsi="Franklin Gothic Book"/>
          <w:sz w:val="21"/>
        </w:rPr>
        <w:t xml:space="preserve"> for Nauru in addressing </w:t>
      </w:r>
      <w:r w:rsidR="00001F3A" w:rsidRPr="00001F3A">
        <w:rPr>
          <w:rFonts w:ascii="Franklin Gothic Book" w:hAnsi="Franklin Gothic Book"/>
          <w:sz w:val="21"/>
        </w:rPr>
        <w:t>economic</w:t>
      </w:r>
      <w:r w:rsidR="00001F3A">
        <w:rPr>
          <w:rFonts w:ascii="Franklin Gothic Book" w:hAnsi="Franklin Gothic Book"/>
          <w:sz w:val="21"/>
        </w:rPr>
        <w:t xml:space="preserve"> growth and development challenges.</w:t>
      </w:r>
    </w:p>
    <w:p w:rsidR="005B5769" w:rsidRPr="008C2F58"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6784"/>
        <w:gridCol w:w="1157"/>
        <w:gridCol w:w="469"/>
        <w:gridCol w:w="1228"/>
      </w:tblGrid>
      <w:tr w:rsidR="005B5769" w:rsidRPr="003B0793" w:rsidTr="007A410B">
        <w:trPr>
          <w:cnfStyle w:val="000000010000" w:firstRow="0" w:lastRow="0" w:firstColumn="0" w:lastColumn="0" w:oddVBand="0" w:evenVBand="0" w:oddHBand="0" w:evenHBand="1" w:firstRowFirstColumn="0" w:firstRowLastColumn="0" w:lastRowFirstColumn="0" w:lastRowLastColumn="0"/>
          <w:trHeight w:val="651"/>
        </w:trPr>
        <w:tc>
          <w:tcPr>
            <w:tcW w:w="7004" w:type="dxa"/>
          </w:tcPr>
          <w:p w:rsidR="005B5769" w:rsidRPr="003B0793" w:rsidRDefault="005B5769" w:rsidP="00D15A00">
            <w:pPr>
              <w:pStyle w:val="TableTextColumnHeading"/>
              <w:rPr>
                <w:rFonts w:asciiTheme="minorHAnsi" w:hAnsiTheme="minorHAnsi"/>
              </w:rPr>
            </w:pPr>
            <w:r w:rsidRPr="003B0793">
              <w:rPr>
                <w:rFonts w:asciiTheme="minorHAnsi" w:hAnsiTheme="minorHAnsi"/>
                <w:noProof/>
              </w:rPr>
              <w:drawing>
                <wp:anchor distT="0" distB="0" distL="114300" distR="114300" simplePos="0" relativeHeight="251666432" behindDoc="0" locked="0" layoutInCell="1" allowOverlap="1" wp14:anchorId="18516D67" wp14:editId="06DEB7ED">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1129" w:type="dxa"/>
          </w:tcPr>
          <w:p w:rsidR="005B5769" w:rsidRPr="003B0793" w:rsidRDefault="005B5769" w:rsidP="00D15A00">
            <w:pPr>
              <w:pStyle w:val="TableTextColumnHeading"/>
              <w:rPr>
                <w:rFonts w:asciiTheme="minorHAnsi" w:hAnsiTheme="minorHAnsi"/>
              </w:rPr>
            </w:pPr>
            <w:r w:rsidRPr="003B0793">
              <w:rPr>
                <w:rFonts w:asciiTheme="minorHAnsi" w:hAnsiTheme="minorHAnsi"/>
              </w:rPr>
              <w:t>Previous Rating</w:t>
            </w:r>
          </w:p>
        </w:tc>
        <w:tc>
          <w:tcPr>
            <w:tcW w:w="451" w:type="dxa"/>
          </w:tcPr>
          <w:p w:rsidR="005B5769" w:rsidRPr="003B0793" w:rsidRDefault="005B5769" w:rsidP="00D15A00">
            <w:pPr>
              <w:pStyle w:val="TableTextColumnHeading"/>
              <w:rPr>
                <w:rFonts w:asciiTheme="minorHAnsi" w:hAnsiTheme="minorHAnsi"/>
              </w:rPr>
            </w:pPr>
          </w:p>
        </w:tc>
        <w:tc>
          <w:tcPr>
            <w:tcW w:w="1186" w:type="dxa"/>
          </w:tcPr>
          <w:p w:rsidR="005B5769" w:rsidRPr="003B0793" w:rsidRDefault="005B5769" w:rsidP="00D15A00">
            <w:pPr>
              <w:pStyle w:val="TableTextColumnHeading"/>
              <w:rPr>
                <w:rFonts w:asciiTheme="minorHAnsi" w:hAnsiTheme="minorHAnsi"/>
              </w:rPr>
            </w:pPr>
            <w:r w:rsidRPr="003B0793">
              <w:rPr>
                <w:rFonts w:asciiTheme="minorHAnsi" w:hAnsiTheme="minorHAnsi"/>
              </w:rPr>
              <w:t>Current Rating</w:t>
            </w:r>
          </w:p>
        </w:tc>
      </w:tr>
      <w:tr w:rsidR="005B5769" w:rsidRPr="003B0793" w:rsidTr="009A2FF3">
        <w:trPr>
          <w:cnfStyle w:val="000000010000" w:firstRow="0" w:lastRow="0" w:firstColumn="0" w:lastColumn="0" w:oddVBand="0" w:evenVBand="0" w:oddHBand="0" w:evenHBand="1" w:firstRowFirstColumn="0" w:firstRowLastColumn="0" w:lastRowFirstColumn="0" w:lastRowLastColumn="0"/>
        </w:trPr>
        <w:tc>
          <w:tcPr>
            <w:tcW w:w="7004" w:type="dxa"/>
          </w:tcPr>
          <w:p w:rsidR="005B5769" w:rsidRPr="003B0793" w:rsidRDefault="005B5769" w:rsidP="00D15A00">
            <w:pPr>
              <w:pStyle w:val="TableTextEntries"/>
              <w:rPr>
                <w:rFonts w:asciiTheme="minorHAnsi" w:hAnsiTheme="minorHAnsi"/>
              </w:rPr>
            </w:pPr>
            <w:r w:rsidRPr="003B0793">
              <w:rPr>
                <w:rFonts w:asciiTheme="minorHAnsi" w:hAnsiTheme="minorHAnsi"/>
              </w:rPr>
              <w:t>Objective 1</w:t>
            </w:r>
            <w:r w:rsidR="00C57CC2">
              <w:rPr>
                <w:rFonts w:asciiTheme="minorHAnsi" w:hAnsiTheme="minorHAnsi"/>
              </w:rPr>
              <w:t xml:space="preserve">    More effective Public Sector Management</w:t>
            </w:r>
          </w:p>
        </w:tc>
        <w:tc>
          <w:tcPr>
            <w:tcW w:w="1129" w:type="dxa"/>
            <w:shd w:val="clear" w:color="auto" w:fill="72AF2F"/>
            <w:noWrap/>
          </w:tcPr>
          <w:p w:rsidR="005B5769" w:rsidRPr="003B0793" w:rsidRDefault="005B5769"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451" w:type="dxa"/>
          </w:tcPr>
          <w:p w:rsidR="005B5769" w:rsidRPr="003B0793" w:rsidRDefault="005B5769" w:rsidP="00D15A00">
            <w:pPr>
              <w:pStyle w:val="TableTextEntries"/>
              <w:jc w:val="center"/>
              <w:rPr>
                <w:rFonts w:asciiTheme="minorHAnsi" w:hAnsiTheme="minorHAnsi"/>
                <w:color w:val="FFFFFF" w:themeColor="background1"/>
              </w:rPr>
            </w:pPr>
          </w:p>
        </w:tc>
        <w:tc>
          <w:tcPr>
            <w:tcW w:w="1186" w:type="dxa"/>
            <w:shd w:val="clear" w:color="auto" w:fill="72AF2F"/>
            <w:noWrap/>
          </w:tcPr>
          <w:p w:rsidR="005B5769" w:rsidRPr="003B0793" w:rsidRDefault="008642E4"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860F76" w:rsidRPr="003B0793" w:rsidTr="009A2FF3">
        <w:trPr>
          <w:cnfStyle w:val="000000010000" w:firstRow="0" w:lastRow="0" w:firstColumn="0" w:lastColumn="0" w:oddVBand="0" w:evenVBand="0" w:oddHBand="0" w:evenHBand="1" w:firstRowFirstColumn="0" w:firstRowLastColumn="0" w:lastRowFirstColumn="0" w:lastRowLastColumn="0"/>
        </w:trPr>
        <w:tc>
          <w:tcPr>
            <w:tcW w:w="7004" w:type="dxa"/>
          </w:tcPr>
          <w:p w:rsidR="00860F76" w:rsidRPr="003B0793" w:rsidRDefault="00860F76" w:rsidP="00D15A00">
            <w:pPr>
              <w:pStyle w:val="TableTextEntries"/>
              <w:rPr>
                <w:rFonts w:asciiTheme="minorHAnsi" w:hAnsiTheme="minorHAnsi"/>
              </w:rPr>
            </w:pPr>
            <w:r w:rsidRPr="003B0793">
              <w:rPr>
                <w:rFonts w:asciiTheme="minorHAnsi" w:hAnsiTheme="minorHAnsi"/>
              </w:rPr>
              <w:t>Objective 2</w:t>
            </w:r>
            <w:r>
              <w:rPr>
                <w:rFonts w:asciiTheme="minorHAnsi" w:hAnsiTheme="minorHAnsi"/>
              </w:rPr>
              <w:t xml:space="preserve">    Investing in Infrastructure</w:t>
            </w:r>
          </w:p>
        </w:tc>
        <w:tc>
          <w:tcPr>
            <w:tcW w:w="1129" w:type="dxa"/>
            <w:shd w:val="clear" w:color="auto" w:fill="E36C0A"/>
            <w:noWrap/>
          </w:tcPr>
          <w:p w:rsidR="00860F76" w:rsidRPr="003B0793" w:rsidRDefault="00860F76"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Amber</w:t>
            </w:r>
          </w:p>
        </w:tc>
        <w:tc>
          <w:tcPr>
            <w:tcW w:w="451" w:type="dxa"/>
          </w:tcPr>
          <w:p w:rsidR="00860F76" w:rsidRPr="003B0793" w:rsidRDefault="00860F76" w:rsidP="00D15A00">
            <w:pPr>
              <w:pStyle w:val="TableTextEntries"/>
              <w:jc w:val="center"/>
              <w:rPr>
                <w:rFonts w:asciiTheme="minorHAnsi" w:hAnsiTheme="minorHAnsi"/>
                <w:color w:val="FFFFFF" w:themeColor="background1"/>
              </w:rPr>
            </w:pPr>
          </w:p>
        </w:tc>
        <w:tc>
          <w:tcPr>
            <w:tcW w:w="1186" w:type="dxa"/>
            <w:shd w:val="clear" w:color="auto" w:fill="72AF2F"/>
            <w:noWrap/>
          </w:tcPr>
          <w:p w:rsidR="00860F76" w:rsidRPr="003B0793" w:rsidRDefault="00860F76"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r>
      <w:tr w:rsidR="007A410B" w:rsidRPr="003B0793" w:rsidTr="00860F76">
        <w:trPr>
          <w:cnfStyle w:val="000000010000" w:firstRow="0" w:lastRow="0" w:firstColumn="0" w:lastColumn="0" w:oddVBand="0" w:evenVBand="0" w:oddHBand="0" w:evenHBand="1" w:firstRowFirstColumn="0" w:firstRowLastColumn="0" w:lastRowFirstColumn="0" w:lastRowLastColumn="0"/>
        </w:trPr>
        <w:tc>
          <w:tcPr>
            <w:tcW w:w="7004" w:type="dxa"/>
          </w:tcPr>
          <w:p w:rsidR="007A410B" w:rsidRPr="003B0793" w:rsidRDefault="007A410B" w:rsidP="00D15A00">
            <w:pPr>
              <w:pStyle w:val="TableTextEntries"/>
              <w:rPr>
                <w:rFonts w:asciiTheme="minorHAnsi" w:hAnsiTheme="minorHAnsi"/>
              </w:rPr>
            </w:pPr>
            <w:r w:rsidRPr="003B0793">
              <w:rPr>
                <w:rFonts w:asciiTheme="minorHAnsi" w:hAnsiTheme="minorHAnsi"/>
              </w:rPr>
              <w:t>Objective 3</w:t>
            </w:r>
            <w:r w:rsidR="00C57CC2">
              <w:rPr>
                <w:rFonts w:asciiTheme="minorHAnsi" w:hAnsiTheme="minorHAnsi"/>
              </w:rPr>
              <w:t xml:space="preserve">    Supporting Human Development (health and education)</w:t>
            </w:r>
          </w:p>
        </w:tc>
        <w:tc>
          <w:tcPr>
            <w:tcW w:w="1129" w:type="dxa"/>
            <w:shd w:val="clear" w:color="auto" w:fill="E36C0A"/>
            <w:noWrap/>
          </w:tcPr>
          <w:p w:rsidR="007A410B" w:rsidRPr="003B0793" w:rsidRDefault="007A410B" w:rsidP="007A410B">
            <w:pPr>
              <w:pStyle w:val="TableTextEntries"/>
              <w:rPr>
                <w:rFonts w:asciiTheme="minorHAnsi" w:hAnsiTheme="minorHAnsi"/>
                <w:color w:val="FFFFFF" w:themeColor="background1"/>
              </w:rPr>
            </w:pPr>
            <w:r>
              <w:rPr>
                <w:rFonts w:asciiTheme="minorHAnsi" w:hAnsiTheme="minorHAnsi"/>
                <w:color w:val="FFFFFF" w:themeColor="background1"/>
              </w:rPr>
              <w:t xml:space="preserve">     Amber</w:t>
            </w:r>
          </w:p>
        </w:tc>
        <w:tc>
          <w:tcPr>
            <w:tcW w:w="451" w:type="dxa"/>
          </w:tcPr>
          <w:p w:rsidR="007A410B" w:rsidRPr="003B0793" w:rsidRDefault="007A410B" w:rsidP="00D15A00">
            <w:pPr>
              <w:pStyle w:val="TableTextEntries"/>
              <w:jc w:val="center"/>
              <w:rPr>
                <w:rFonts w:asciiTheme="minorHAnsi" w:hAnsiTheme="minorHAnsi"/>
                <w:color w:val="FFFFFF" w:themeColor="background1"/>
              </w:rPr>
            </w:pPr>
          </w:p>
        </w:tc>
        <w:tc>
          <w:tcPr>
            <w:tcW w:w="1186" w:type="dxa"/>
            <w:shd w:val="clear" w:color="auto" w:fill="FF6600"/>
            <w:noWrap/>
          </w:tcPr>
          <w:p w:rsidR="007A410B" w:rsidRPr="003B0793" w:rsidRDefault="00351B69"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bl>
    <w:p w:rsidR="005B5769" w:rsidRPr="003B0793" w:rsidRDefault="005B5769" w:rsidP="00AC2B07">
      <w:pPr>
        <w:pStyle w:val="Note"/>
      </w:pPr>
      <w:r w:rsidRPr="003B0793">
        <w:t xml:space="preserve">Note: </w:t>
      </w:r>
    </w:p>
    <w:p w:rsidR="005B5769" w:rsidRPr="003B0793" w:rsidRDefault="005B5769" w:rsidP="00AC2B07">
      <w:pPr>
        <w:pStyle w:val="Note"/>
      </w:pPr>
      <w:r w:rsidRPr="003B0793">
        <w:rPr>
          <w:color w:val="72AF2F"/>
        </w:rPr>
        <w:sym w:font="Webdings" w:char="F067"/>
      </w:r>
      <w:r w:rsidRPr="003B0793">
        <w:t> </w:t>
      </w:r>
      <w:r w:rsidRPr="003B0793">
        <w:t xml:space="preserve"> Green. Progress is as expected at this stage of implementation and it is likely that the objective will be achieved. Standard program management practices are sufficient.</w:t>
      </w:r>
    </w:p>
    <w:p w:rsidR="005B5769" w:rsidRPr="003B0793" w:rsidRDefault="005B5769" w:rsidP="00AC2B07">
      <w:pPr>
        <w:pStyle w:val="Note"/>
      </w:pPr>
      <w:r w:rsidRPr="003B0793">
        <w:rPr>
          <w:color w:val="E36C0A"/>
        </w:rPr>
        <w:sym w:font="Webdings" w:char="F067"/>
      </w:r>
      <w:r w:rsidRPr="003B0793">
        <w:t> </w:t>
      </w:r>
      <w:r w:rsidRPr="003B0793">
        <w:t xml:space="preserve"> Amber. Progress is somewhat less than expected at this stage of implementation and restorative action will be necessary if the objective is to be achieved. Close performance monitoring is recommended.</w:t>
      </w:r>
    </w:p>
    <w:p w:rsidR="005B5769" w:rsidRDefault="005B5769" w:rsidP="00AC2B07">
      <w:pPr>
        <w:pStyle w:val="Note"/>
      </w:pPr>
      <w:r w:rsidRPr="003B0793">
        <w:rPr>
          <w:color w:val="FF0000"/>
        </w:rPr>
        <w:sym w:font="Webdings" w:char="F067"/>
      </w:r>
      <w:r w:rsidRPr="003B0793">
        <w:t> </w:t>
      </w:r>
      <w:r w:rsidRPr="003B0793">
        <w:t xml:space="preserve"> Red. Progress is significantly less than expected at this stage of implementation and the objective is not likely to be met given available resources and priorities. Recasting the objective may be required.</w:t>
      </w:r>
    </w:p>
    <w:p w:rsidR="00860F76" w:rsidRPr="00860F76" w:rsidRDefault="00860F76" w:rsidP="000D5C55">
      <w:pPr>
        <w:pStyle w:val="BodyText"/>
        <w:spacing w:after="0"/>
      </w:pPr>
    </w:p>
    <w:p w:rsidR="005929D6" w:rsidRPr="000D5C55" w:rsidRDefault="00B00597" w:rsidP="000D5C55">
      <w:pPr>
        <w:spacing w:after="200" w:line="276" w:lineRule="auto"/>
        <w:rPr>
          <w:rFonts w:ascii="Franklin Gothic Book" w:hAnsi="Franklin Gothic Book"/>
          <w:sz w:val="21"/>
        </w:rPr>
      </w:pPr>
      <w:r w:rsidRPr="000D5C55">
        <w:rPr>
          <w:rFonts w:ascii="Franklin Gothic Book" w:hAnsi="Franklin Gothic Book"/>
          <w:sz w:val="21"/>
        </w:rPr>
        <w:t xml:space="preserve">The primary mechanism for public sector reform has been the ongoing provision of skilled personnel to fill senior management roles in </w:t>
      </w:r>
      <w:r w:rsidR="007B6FE5" w:rsidRPr="000D5C55">
        <w:rPr>
          <w:rFonts w:ascii="Franklin Gothic Book" w:hAnsi="Franklin Gothic Book"/>
          <w:sz w:val="21"/>
        </w:rPr>
        <w:t xml:space="preserve">the public service </w:t>
      </w:r>
      <w:r w:rsidRPr="000D5C55">
        <w:rPr>
          <w:rFonts w:ascii="Franklin Gothic Book" w:hAnsi="Franklin Gothic Book"/>
          <w:sz w:val="21"/>
        </w:rPr>
        <w:t>through the Pacific Technical Assistance Mechanism</w:t>
      </w:r>
      <w:r w:rsidR="00860F76" w:rsidRPr="000D5C55">
        <w:rPr>
          <w:rFonts w:ascii="Franklin Gothic Book" w:hAnsi="Franklin Gothic Book"/>
          <w:sz w:val="21"/>
        </w:rPr>
        <w:t xml:space="preserve"> (PACTAM)</w:t>
      </w:r>
      <w:r w:rsidRPr="000D5C55">
        <w:rPr>
          <w:rFonts w:ascii="Franklin Gothic Book" w:hAnsi="Franklin Gothic Book"/>
          <w:sz w:val="21"/>
        </w:rPr>
        <w:t>. In 2015</w:t>
      </w:r>
      <w:r w:rsidR="00211C9C">
        <w:rPr>
          <w:rFonts w:ascii="Franklin Gothic Book" w:hAnsi="Franklin Gothic Book"/>
          <w:sz w:val="21"/>
        </w:rPr>
        <w:t>-</w:t>
      </w:r>
      <w:r w:rsidRPr="000D5C55">
        <w:rPr>
          <w:rFonts w:ascii="Franklin Gothic Book" w:hAnsi="Franklin Gothic Book"/>
          <w:sz w:val="21"/>
        </w:rPr>
        <w:t>16 these roles included the Deputy Secretaries for Treasury, Finance</w:t>
      </w:r>
      <w:r w:rsidR="007B6FE5" w:rsidRPr="000D5C55">
        <w:rPr>
          <w:rFonts w:ascii="Franklin Gothic Book" w:hAnsi="Franklin Gothic Book"/>
          <w:sz w:val="21"/>
        </w:rPr>
        <w:t>,</w:t>
      </w:r>
      <w:r w:rsidRPr="000D5C55">
        <w:rPr>
          <w:rFonts w:ascii="Franklin Gothic Book" w:hAnsi="Franklin Gothic Book"/>
          <w:sz w:val="21"/>
        </w:rPr>
        <w:t xml:space="preserve"> Customs, Planning and Aid Management, a Senior Tax Adviser and a Senior Human Resource Management Adviser to the Chief Secretary of the Nauru Public Service</w:t>
      </w:r>
      <w:r w:rsidR="00860F76" w:rsidRPr="000D5C55">
        <w:rPr>
          <w:rFonts w:ascii="Franklin Gothic Book" w:hAnsi="Franklin Gothic Book"/>
          <w:sz w:val="21"/>
        </w:rPr>
        <w:t>. These advisers</w:t>
      </w:r>
      <w:r w:rsidR="00912B75" w:rsidRPr="000D5C55">
        <w:rPr>
          <w:rFonts w:ascii="Franklin Gothic Book" w:hAnsi="Franklin Gothic Book"/>
          <w:sz w:val="21"/>
        </w:rPr>
        <w:t xml:space="preserve"> </w:t>
      </w:r>
      <w:r w:rsidR="00987DE1">
        <w:rPr>
          <w:rFonts w:ascii="Franklin Gothic Book" w:hAnsi="Franklin Gothic Book"/>
          <w:sz w:val="21"/>
        </w:rPr>
        <w:t>were</w:t>
      </w:r>
      <w:r w:rsidR="00912B75" w:rsidRPr="000D5C55">
        <w:rPr>
          <w:rFonts w:ascii="Franklin Gothic Book" w:hAnsi="Franklin Gothic Book"/>
          <w:sz w:val="21"/>
        </w:rPr>
        <w:t xml:space="preserve"> </w:t>
      </w:r>
      <w:r w:rsidR="009A0D6B" w:rsidRPr="000D5C55">
        <w:rPr>
          <w:rFonts w:ascii="Franklin Gothic Book" w:hAnsi="Franklin Gothic Book"/>
          <w:sz w:val="21"/>
        </w:rPr>
        <w:t xml:space="preserve">reported by Scope Global (PACTAM Managing Contractor) to be </w:t>
      </w:r>
      <w:r w:rsidR="00CC2572" w:rsidRPr="000D5C55">
        <w:rPr>
          <w:rFonts w:ascii="Franklin Gothic Book" w:hAnsi="Franklin Gothic Book"/>
          <w:sz w:val="21"/>
        </w:rPr>
        <w:t xml:space="preserve">solidly </w:t>
      </w:r>
      <w:r w:rsidR="00912B75" w:rsidRPr="000D5C55">
        <w:rPr>
          <w:rFonts w:ascii="Franklin Gothic Book" w:hAnsi="Franklin Gothic Book"/>
          <w:sz w:val="21"/>
        </w:rPr>
        <w:t xml:space="preserve">delivering on their </w:t>
      </w:r>
      <w:r w:rsidR="00860F76" w:rsidRPr="000D5C55">
        <w:rPr>
          <w:rFonts w:ascii="Franklin Gothic Book" w:hAnsi="Franklin Gothic Book"/>
          <w:sz w:val="21"/>
        </w:rPr>
        <w:t xml:space="preserve">jointly agreed </w:t>
      </w:r>
      <w:proofErr w:type="spellStart"/>
      <w:r w:rsidR="00912B75" w:rsidRPr="000D5C55">
        <w:rPr>
          <w:rFonts w:ascii="Franklin Gothic Book" w:hAnsi="Franklin Gothic Book"/>
          <w:sz w:val="21"/>
        </w:rPr>
        <w:t>workplans</w:t>
      </w:r>
      <w:proofErr w:type="spellEnd"/>
      <w:r w:rsidR="00912B75" w:rsidRPr="000D5C55">
        <w:rPr>
          <w:rFonts w:ascii="Franklin Gothic Book" w:hAnsi="Franklin Gothic Book"/>
          <w:sz w:val="21"/>
        </w:rPr>
        <w:t>.</w:t>
      </w:r>
      <w:r w:rsidRPr="000D5C55">
        <w:rPr>
          <w:rFonts w:ascii="Franklin Gothic Book" w:hAnsi="Franklin Gothic Book"/>
          <w:sz w:val="21"/>
        </w:rPr>
        <w:t xml:space="preserve"> </w:t>
      </w:r>
      <w:r w:rsidR="009A69C4" w:rsidRPr="000D5C55">
        <w:rPr>
          <w:rFonts w:ascii="Franklin Gothic Book" w:hAnsi="Franklin Gothic Book"/>
          <w:sz w:val="21"/>
        </w:rPr>
        <w:t xml:space="preserve"> </w:t>
      </w:r>
      <w:r w:rsidR="00912B75" w:rsidRPr="000D5C55">
        <w:rPr>
          <w:rFonts w:ascii="Franklin Gothic Book" w:hAnsi="Franklin Gothic Book"/>
          <w:sz w:val="21"/>
        </w:rPr>
        <w:t xml:space="preserve">Australia and </w:t>
      </w:r>
      <w:r w:rsidR="00194096" w:rsidRPr="000D5C55">
        <w:rPr>
          <w:rFonts w:ascii="Franklin Gothic Book" w:hAnsi="Franklin Gothic Book"/>
          <w:sz w:val="21"/>
        </w:rPr>
        <w:t>other</w:t>
      </w:r>
      <w:r w:rsidR="00912B75" w:rsidRPr="000D5C55">
        <w:rPr>
          <w:rFonts w:ascii="Franklin Gothic Book" w:hAnsi="Franklin Gothic Book"/>
          <w:sz w:val="21"/>
        </w:rPr>
        <w:t xml:space="preserve"> development partners collaborated with </w:t>
      </w:r>
      <w:r w:rsidR="00D1371D" w:rsidRPr="000D5C55">
        <w:rPr>
          <w:rFonts w:ascii="Franklin Gothic Book" w:hAnsi="Franklin Gothic Book"/>
          <w:sz w:val="21"/>
        </w:rPr>
        <w:t>the Government of Nauru (</w:t>
      </w:r>
      <w:proofErr w:type="spellStart"/>
      <w:r w:rsidR="00912B75" w:rsidRPr="000D5C55">
        <w:rPr>
          <w:rFonts w:ascii="Franklin Gothic Book" w:hAnsi="Franklin Gothic Book"/>
          <w:sz w:val="21"/>
        </w:rPr>
        <w:t>G</w:t>
      </w:r>
      <w:r w:rsidR="009A69C4" w:rsidRPr="000D5C55">
        <w:rPr>
          <w:rFonts w:ascii="Franklin Gothic Book" w:hAnsi="Franklin Gothic Book"/>
          <w:sz w:val="21"/>
        </w:rPr>
        <w:t>o</w:t>
      </w:r>
      <w:r w:rsidR="00912B75" w:rsidRPr="000D5C55">
        <w:rPr>
          <w:rFonts w:ascii="Franklin Gothic Book" w:hAnsi="Franklin Gothic Book"/>
          <w:sz w:val="21"/>
        </w:rPr>
        <w:t>N</w:t>
      </w:r>
      <w:proofErr w:type="spellEnd"/>
      <w:r w:rsidR="00D1371D" w:rsidRPr="000D5C55">
        <w:rPr>
          <w:rFonts w:ascii="Franklin Gothic Book" w:hAnsi="Franklin Gothic Book"/>
          <w:sz w:val="21"/>
        </w:rPr>
        <w:t>)</w:t>
      </w:r>
      <w:r w:rsidR="00912B75" w:rsidRPr="000D5C55">
        <w:rPr>
          <w:rFonts w:ascii="Franklin Gothic Book" w:hAnsi="Franklin Gothic Book"/>
          <w:sz w:val="21"/>
        </w:rPr>
        <w:t xml:space="preserve"> to successfully establish the Nauru Intergenerational Trust Fund in early 2016</w:t>
      </w:r>
      <w:r w:rsidR="000E3C1D" w:rsidRPr="000D5C55">
        <w:rPr>
          <w:rFonts w:ascii="Franklin Gothic Book" w:hAnsi="Franklin Gothic Book"/>
          <w:sz w:val="21"/>
        </w:rPr>
        <w:t xml:space="preserve">, </w:t>
      </w:r>
      <w:r w:rsidR="00D1371D" w:rsidRPr="000D5C55">
        <w:rPr>
          <w:rFonts w:ascii="Franklin Gothic Book" w:hAnsi="Franklin Gothic Book"/>
          <w:sz w:val="21"/>
        </w:rPr>
        <w:t xml:space="preserve">to </w:t>
      </w:r>
      <w:r w:rsidR="000E3C1D" w:rsidRPr="000D5C55">
        <w:rPr>
          <w:rFonts w:ascii="Franklin Gothic Book" w:hAnsi="Franklin Gothic Book"/>
          <w:sz w:val="21"/>
        </w:rPr>
        <w:t>align Australian ODA spending</w:t>
      </w:r>
      <w:r w:rsidR="00912B75" w:rsidRPr="000D5C55">
        <w:rPr>
          <w:rFonts w:ascii="Franklin Gothic Book" w:hAnsi="Franklin Gothic Book"/>
          <w:sz w:val="21"/>
        </w:rPr>
        <w:t xml:space="preserve"> </w:t>
      </w:r>
      <w:r w:rsidR="000E3C1D" w:rsidRPr="000D5C55">
        <w:rPr>
          <w:rFonts w:ascii="Franklin Gothic Book" w:hAnsi="Franklin Gothic Book"/>
          <w:sz w:val="21"/>
        </w:rPr>
        <w:t>with national development priorities</w:t>
      </w:r>
      <w:r w:rsidR="00D1371D" w:rsidRPr="000D5C55">
        <w:rPr>
          <w:rFonts w:ascii="Franklin Gothic Book" w:hAnsi="Franklin Gothic Book"/>
          <w:sz w:val="21"/>
        </w:rPr>
        <w:t>,</w:t>
      </w:r>
      <w:r w:rsidR="000E3C1D" w:rsidRPr="000D5C55">
        <w:rPr>
          <w:rFonts w:ascii="Franklin Gothic Book" w:hAnsi="Franklin Gothic Book"/>
          <w:sz w:val="21"/>
        </w:rPr>
        <w:t xml:space="preserve"> </w:t>
      </w:r>
      <w:r w:rsidR="00912B75" w:rsidRPr="000D5C55">
        <w:rPr>
          <w:rFonts w:ascii="Franklin Gothic Book" w:hAnsi="Franklin Gothic Book"/>
          <w:sz w:val="21"/>
        </w:rPr>
        <w:t xml:space="preserve">and </w:t>
      </w:r>
      <w:r w:rsidR="00CC2572" w:rsidRPr="000D5C55">
        <w:rPr>
          <w:rFonts w:ascii="Franklin Gothic Book" w:hAnsi="Franklin Gothic Book"/>
          <w:sz w:val="21"/>
        </w:rPr>
        <w:t>support greater efficiencies in management</w:t>
      </w:r>
      <w:r w:rsidR="00912B75" w:rsidRPr="000D5C55">
        <w:rPr>
          <w:rFonts w:ascii="Franklin Gothic Book" w:hAnsi="Franklin Gothic Book"/>
          <w:sz w:val="21"/>
        </w:rPr>
        <w:t xml:space="preserve"> </w:t>
      </w:r>
      <w:r w:rsidR="00CC2572" w:rsidRPr="000D5C55">
        <w:rPr>
          <w:rFonts w:ascii="Franklin Gothic Book" w:hAnsi="Franklin Gothic Book"/>
          <w:sz w:val="21"/>
        </w:rPr>
        <w:t xml:space="preserve">of </w:t>
      </w:r>
      <w:r w:rsidR="00912B75" w:rsidRPr="000D5C55">
        <w:rPr>
          <w:rFonts w:ascii="Franklin Gothic Book" w:hAnsi="Franklin Gothic Book"/>
          <w:sz w:val="21"/>
        </w:rPr>
        <w:t>the Government’s</w:t>
      </w:r>
      <w:r w:rsidR="00B33467" w:rsidRPr="000D5C55">
        <w:rPr>
          <w:rFonts w:ascii="Franklin Gothic Book" w:hAnsi="Franklin Gothic Book"/>
          <w:sz w:val="21"/>
        </w:rPr>
        <w:t xml:space="preserve"> </w:t>
      </w:r>
      <w:r w:rsidR="00860F76" w:rsidRPr="000D5C55">
        <w:rPr>
          <w:rFonts w:ascii="Franklin Gothic Book" w:hAnsi="Franklin Gothic Book"/>
          <w:sz w:val="21"/>
        </w:rPr>
        <w:t xml:space="preserve">donor-funded </w:t>
      </w:r>
      <w:r w:rsidR="003C27C6" w:rsidRPr="000D5C55">
        <w:rPr>
          <w:rFonts w:ascii="Franklin Gothic Book" w:hAnsi="Franklin Gothic Book"/>
          <w:sz w:val="21"/>
        </w:rPr>
        <w:t>Operational Account</w:t>
      </w:r>
      <w:r w:rsidR="00912B75" w:rsidRPr="000D5C55">
        <w:rPr>
          <w:rFonts w:ascii="Franklin Gothic Book" w:hAnsi="Franklin Gothic Book"/>
          <w:sz w:val="21"/>
        </w:rPr>
        <w:t>.  The Financial Management Information System</w:t>
      </w:r>
      <w:r w:rsidR="000E3C1D" w:rsidRPr="000D5C55">
        <w:rPr>
          <w:rFonts w:ascii="Franklin Gothic Book" w:hAnsi="Franklin Gothic Book"/>
          <w:sz w:val="21"/>
        </w:rPr>
        <w:t xml:space="preserve"> also</w:t>
      </w:r>
      <w:r w:rsidR="00912B75" w:rsidRPr="000D5C55">
        <w:rPr>
          <w:rFonts w:ascii="Franklin Gothic Book" w:hAnsi="Franklin Gothic Book"/>
          <w:sz w:val="21"/>
        </w:rPr>
        <w:t xml:space="preserve"> continued to be rolled out across government departments, providing greater rigour in budget implementation and the payments system.  </w:t>
      </w:r>
    </w:p>
    <w:p w:rsidR="005929D6" w:rsidRPr="00860F76" w:rsidRDefault="00785CCF" w:rsidP="000D5C55">
      <w:pPr>
        <w:spacing w:after="200" w:line="276" w:lineRule="auto"/>
        <w:rPr>
          <w:rFonts w:ascii="Franklin Gothic Book" w:hAnsi="Franklin Gothic Book"/>
          <w:sz w:val="21"/>
        </w:rPr>
      </w:pPr>
      <w:r w:rsidRPr="000D5C55">
        <w:rPr>
          <w:rFonts w:ascii="Franklin Gothic Book" w:hAnsi="Franklin Gothic Book"/>
          <w:sz w:val="21"/>
        </w:rPr>
        <w:t>Australia-</w:t>
      </w:r>
      <w:r w:rsidR="00A435AD" w:rsidRPr="000D5C55">
        <w:rPr>
          <w:rFonts w:ascii="Franklin Gothic Book" w:hAnsi="Franklin Gothic Book"/>
          <w:sz w:val="21"/>
        </w:rPr>
        <w:t>A</w:t>
      </w:r>
      <w:r w:rsidR="00C16ACD">
        <w:rPr>
          <w:rFonts w:ascii="Franklin Gothic Book" w:hAnsi="Franklin Gothic Book"/>
          <w:sz w:val="21"/>
        </w:rPr>
        <w:t>DB</w:t>
      </w:r>
      <w:r w:rsidRPr="000D5C55">
        <w:rPr>
          <w:rFonts w:ascii="Franklin Gothic Book" w:hAnsi="Franklin Gothic Book"/>
          <w:sz w:val="21"/>
        </w:rPr>
        <w:t xml:space="preserve"> support for the Nauru Utilities Corporation</w:t>
      </w:r>
      <w:r w:rsidR="00860F76">
        <w:rPr>
          <w:rFonts w:ascii="Franklin Gothic Book" w:hAnsi="Franklin Gothic Book"/>
          <w:sz w:val="21"/>
        </w:rPr>
        <w:t xml:space="preserve"> (NUC)</w:t>
      </w:r>
      <w:r w:rsidR="003C27C6" w:rsidRPr="00860F76">
        <w:rPr>
          <w:rFonts w:ascii="Franklin Gothic Book" w:hAnsi="Franklin Gothic Book"/>
          <w:sz w:val="21"/>
        </w:rPr>
        <w:t xml:space="preserve"> through the </w:t>
      </w:r>
      <w:r w:rsidR="003C27C6" w:rsidRPr="00860F76">
        <w:rPr>
          <w:rFonts w:ascii="Franklin Gothic Book" w:hAnsi="Franklin Gothic Book"/>
          <w:i/>
          <w:sz w:val="21"/>
        </w:rPr>
        <w:t>Electricity Supply, Security and Sustainability Project</w:t>
      </w:r>
      <w:r w:rsidRPr="00860F76">
        <w:rPr>
          <w:rFonts w:ascii="Franklin Gothic Book" w:hAnsi="Franklin Gothic Book"/>
          <w:sz w:val="21"/>
        </w:rPr>
        <w:t xml:space="preserve"> is contributing towards a more reliable</w:t>
      </w:r>
      <w:r w:rsidR="009A0D6B" w:rsidRPr="00860F76">
        <w:rPr>
          <w:rFonts w:ascii="Franklin Gothic Book" w:hAnsi="Franklin Gothic Book"/>
          <w:sz w:val="21"/>
        </w:rPr>
        <w:t>, affordable</w:t>
      </w:r>
      <w:r w:rsidRPr="00860F76">
        <w:rPr>
          <w:rFonts w:ascii="Franklin Gothic Book" w:hAnsi="Franklin Gothic Book"/>
          <w:sz w:val="21"/>
        </w:rPr>
        <w:t xml:space="preserve"> and efficient power supply for the island. </w:t>
      </w:r>
      <w:r w:rsidR="00D1371D" w:rsidRPr="00860F76">
        <w:rPr>
          <w:rFonts w:ascii="Franklin Gothic Book" w:hAnsi="Franklin Gothic Book"/>
          <w:sz w:val="21"/>
        </w:rPr>
        <w:t xml:space="preserve"> </w:t>
      </w:r>
      <w:r w:rsidR="00BA3C7E" w:rsidRPr="00860F76">
        <w:rPr>
          <w:rFonts w:ascii="Franklin Gothic Book" w:hAnsi="Franklin Gothic Book"/>
          <w:sz w:val="21"/>
        </w:rPr>
        <w:t>Whil</w:t>
      </w:r>
      <w:r w:rsidR="00C16ACD">
        <w:rPr>
          <w:rFonts w:ascii="Franklin Gothic Book" w:hAnsi="Franklin Gothic Book"/>
          <w:sz w:val="21"/>
        </w:rPr>
        <w:t>e</w:t>
      </w:r>
      <w:r w:rsidR="00BA3C7E" w:rsidRPr="00860F76">
        <w:rPr>
          <w:rFonts w:ascii="Franklin Gothic Book" w:hAnsi="Franklin Gothic Book"/>
          <w:sz w:val="21"/>
        </w:rPr>
        <w:t xml:space="preserve"> the long-term economic outlook is uncertain for Nauru, much-needed </w:t>
      </w:r>
      <w:r w:rsidR="00D1371D" w:rsidRPr="00860F76">
        <w:rPr>
          <w:rFonts w:ascii="Franklin Gothic Book" w:hAnsi="Franklin Gothic Book"/>
          <w:sz w:val="21"/>
        </w:rPr>
        <w:t xml:space="preserve">improvements </w:t>
      </w:r>
      <w:r w:rsidR="00BA3C7E" w:rsidRPr="00860F76">
        <w:rPr>
          <w:rFonts w:ascii="Franklin Gothic Book" w:hAnsi="Franklin Gothic Book"/>
          <w:sz w:val="21"/>
        </w:rPr>
        <w:t>to utilities and infrastructure in the short term will create opportunit</w:t>
      </w:r>
      <w:r w:rsidR="00D1371D" w:rsidRPr="00860F76">
        <w:rPr>
          <w:rFonts w:ascii="Franklin Gothic Book" w:hAnsi="Franklin Gothic Book"/>
          <w:sz w:val="21"/>
        </w:rPr>
        <w:t>ies</w:t>
      </w:r>
      <w:r w:rsidR="00BA3C7E" w:rsidRPr="00860F76">
        <w:rPr>
          <w:rFonts w:ascii="Franklin Gothic Book" w:hAnsi="Franklin Gothic Book"/>
          <w:sz w:val="21"/>
        </w:rPr>
        <w:t xml:space="preserve"> for business development and trade.</w:t>
      </w:r>
    </w:p>
    <w:p w:rsidR="00FD2766" w:rsidRPr="00860F76" w:rsidRDefault="00FD2766" w:rsidP="00FD2766">
      <w:pPr>
        <w:spacing w:after="200" w:line="276" w:lineRule="auto"/>
        <w:rPr>
          <w:rFonts w:ascii="Franklin Gothic Book" w:hAnsi="Franklin Gothic Book"/>
          <w:sz w:val="21"/>
        </w:rPr>
      </w:pPr>
      <w:r w:rsidRPr="00860F76">
        <w:rPr>
          <w:rFonts w:ascii="Franklin Gothic Book" w:hAnsi="Franklin Gothic Book"/>
          <w:sz w:val="21"/>
        </w:rPr>
        <w:t xml:space="preserve">The Australian aid program in Nauru is delivered in an environment of significant spending on infrastructure and services by the Department of Immigration and Border Protection (DIBP). DFAT is working with DIBP and the </w:t>
      </w:r>
      <w:proofErr w:type="spellStart"/>
      <w:r w:rsidRPr="00860F76">
        <w:rPr>
          <w:rFonts w:ascii="Franklin Gothic Book" w:hAnsi="Franklin Gothic Book"/>
          <w:sz w:val="21"/>
        </w:rPr>
        <w:t>GoN</w:t>
      </w:r>
      <w:proofErr w:type="spellEnd"/>
      <w:r w:rsidRPr="00860F76">
        <w:rPr>
          <w:rFonts w:ascii="Franklin Gothic Book" w:hAnsi="Franklin Gothic Book"/>
          <w:sz w:val="21"/>
        </w:rPr>
        <w:t xml:space="preserve"> to align Australian </w:t>
      </w:r>
      <w:r w:rsidR="00D04D30">
        <w:rPr>
          <w:rFonts w:ascii="Franklin Gothic Book" w:hAnsi="Franklin Gothic Book"/>
          <w:sz w:val="21"/>
        </w:rPr>
        <w:t>G</w:t>
      </w:r>
      <w:r w:rsidRPr="00860F76">
        <w:rPr>
          <w:rFonts w:ascii="Franklin Gothic Book" w:hAnsi="Franklin Gothic Book"/>
          <w:sz w:val="21"/>
        </w:rPr>
        <w:t>overnment spending with broader Nauruan and Australian development objectives</w:t>
      </w:r>
      <w:r w:rsidR="00BE2F1F">
        <w:rPr>
          <w:rFonts w:ascii="Franklin Gothic Book" w:hAnsi="Franklin Gothic Book"/>
          <w:sz w:val="21"/>
        </w:rPr>
        <w:t xml:space="preserve"> in the education and health sectors</w:t>
      </w:r>
      <w:r w:rsidR="00550AC2">
        <w:rPr>
          <w:rFonts w:ascii="Franklin Gothic Book" w:hAnsi="Franklin Gothic Book"/>
          <w:sz w:val="21"/>
        </w:rPr>
        <w:t xml:space="preserve">.  </w:t>
      </w:r>
      <w:r w:rsidRPr="00860F76">
        <w:rPr>
          <w:rFonts w:ascii="Franklin Gothic Book" w:hAnsi="Franklin Gothic Book"/>
          <w:sz w:val="21"/>
        </w:rPr>
        <w:t xml:space="preserve"> </w:t>
      </w:r>
      <w:r>
        <w:rPr>
          <w:rFonts w:ascii="Franklin Gothic Book" w:hAnsi="Franklin Gothic Book"/>
          <w:sz w:val="21"/>
        </w:rPr>
        <w:t xml:space="preserve"> </w:t>
      </w:r>
    </w:p>
    <w:p w:rsidR="008F60CF" w:rsidRPr="00860F76" w:rsidRDefault="004D158B" w:rsidP="008F60CF">
      <w:pPr>
        <w:spacing w:after="200" w:line="276" w:lineRule="auto"/>
        <w:rPr>
          <w:rFonts w:ascii="Franklin Gothic Book" w:hAnsi="Franklin Gothic Book"/>
          <w:sz w:val="21"/>
        </w:rPr>
      </w:pPr>
      <w:r w:rsidRPr="00860F76">
        <w:rPr>
          <w:rFonts w:ascii="Franklin Gothic Book" w:hAnsi="Franklin Gothic Book"/>
          <w:sz w:val="21"/>
        </w:rPr>
        <w:lastRenderedPageBreak/>
        <w:t>In the ed</w:t>
      </w:r>
      <w:r w:rsidR="00F57038" w:rsidRPr="00860F76">
        <w:rPr>
          <w:rFonts w:ascii="Franklin Gothic Book" w:hAnsi="Franklin Gothic Book"/>
          <w:sz w:val="21"/>
        </w:rPr>
        <w:t xml:space="preserve">ucation sector, </w:t>
      </w:r>
      <w:r w:rsidR="006550D2">
        <w:rPr>
          <w:rFonts w:ascii="Franklin Gothic Book" w:hAnsi="Franklin Gothic Book"/>
          <w:sz w:val="21"/>
        </w:rPr>
        <w:t xml:space="preserve">Australia </w:t>
      </w:r>
      <w:r w:rsidR="00F57038" w:rsidRPr="00860F76">
        <w:rPr>
          <w:rFonts w:ascii="Franklin Gothic Book" w:hAnsi="Franklin Gothic Book"/>
          <w:sz w:val="21"/>
        </w:rPr>
        <w:t>provid</w:t>
      </w:r>
      <w:r w:rsidR="006550D2">
        <w:rPr>
          <w:rFonts w:ascii="Franklin Gothic Book" w:hAnsi="Franklin Gothic Book"/>
          <w:sz w:val="21"/>
        </w:rPr>
        <w:t xml:space="preserve">es </w:t>
      </w:r>
      <w:r w:rsidRPr="00860F76">
        <w:rPr>
          <w:rFonts w:ascii="Franklin Gothic Book" w:hAnsi="Franklin Gothic Book"/>
          <w:sz w:val="21"/>
        </w:rPr>
        <w:t xml:space="preserve">direct funding to the </w:t>
      </w:r>
      <w:r w:rsidR="00C16ACD">
        <w:rPr>
          <w:rFonts w:ascii="Franklin Gothic Book" w:hAnsi="Franklin Gothic Book"/>
          <w:sz w:val="21"/>
        </w:rPr>
        <w:t xml:space="preserve">Nauru </w:t>
      </w:r>
      <w:r w:rsidRPr="00860F76">
        <w:rPr>
          <w:rFonts w:ascii="Franklin Gothic Book" w:hAnsi="Franklin Gothic Book"/>
          <w:sz w:val="21"/>
        </w:rPr>
        <w:t>Department of Education</w:t>
      </w:r>
      <w:r w:rsidR="00F10153" w:rsidRPr="00860F76">
        <w:rPr>
          <w:rFonts w:ascii="Franklin Gothic Book" w:hAnsi="Franklin Gothic Book"/>
          <w:sz w:val="21"/>
        </w:rPr>
        <w:t xml:space="preserve"> </w:t>
      </w:r>
      <w:r w:rsidR="00AE41AC" w:rsidRPr="00860F76">
        <w:rPr>
          <w:rFonts w:ascii="Franklin Gothic Book" w:hAnsi="Franklin Gothic Book"/>
          <w:sz w:val="21"/>
        </w:rPr>
        <w:t xml:space="preserve">through </w:t>
      </w:r>
      <w:r w:rsidR="00AE41AC">
        <w:rPr>
          <w:rFonts w:ascii="Franklin Gothic Book" w:hAnsi="Franklin Gothic Book"/>
          <w:sz w:val="21"/>
        </w:rPr>
        <w:t>the</w:t>
      </w:r>
      <w:r w:rsidR="00AE41AC" w:rsidRPr="00860F76">
        <w:rPr>
          <w:rFonts w:ascii="Franklin Gothic Book" w:hAnsi="Franklin Gothic Book"/>
          <w:sz w:val="21"/>
        </w:rPr>
        <w:t xml:space="preserve"> Operational Account</w:t>
      </w:r>
      <w:r w:rsidR="006550D2">
        <w:rPr>
          <w:rFonts w:ascii="Franklin Gothic Book" w:hAnsi="Franklin Gothic Book"/>
          <w:sz w:val="21"/>
        </w:rPr>
        <w:t xml:space="preserve">: </w:t>
      </w:r>
      <w:r w:rsidR="00F10153" w:rsidRPr="00860F76">
        <w:rPr>
          <w:rFonts w:ascii="Franklin Gothic Book" w:hAnsi="Franklin Gothic Book"/>
          <w:sz w:val="21"/>
        </w:rPr>
        <w:t>support</w:t>
      </w:r>
      <w:r w:rsidR="006550D2">
        <w:rPr>
          <w:rFonts w:ascii="Franklin Gothic Book" w:hAnsi="Franklin Gothic Book"/>
          <w:sz w:val="21"/>
        </w:rPr>
        <w:t>ing</w:t>
      </w:r>
      <w:r w:rsidR="00F10153" w:rsidRPr="00860F76">
        <w:rPr>
          <w:rFonts w:ascii="Franklin Gothic Book" w:hAnsi="Franklin Gothic Book"/>
          <w:sz w:val="21"/>
        </w:rPr>
        <w:t xml:space="preserve"> Nauru's Education Sector Strategy to deliver education pathways that develop locally</w:t>
      </w:r>
      <w:r w:rsidR="00601E20">
        <w:rPr>
          <w:rFonts w:ascii="Franklin Gothic Book" w:hAnsi="Franklin Gothic Book"/>
          <w:sz w:val="21"/>
        </w:rPr>
        <w:t>-</w:t>
      </w:r>
      <w:r w:rsidR="00F10153" w:rsidRPr="00860F76">
        <w:rPr>
          <w:rFonts w:ascii="Franklin Gothic Book" w:hAnsi="Franklin Gothic Book"/>
          <w:sz w:val="21"/>
        </w:rPr>
        <w:t xml:space="preserve"> and regionally</w:t>
      </w:r>
      <w:r w:rsidR="00601E20">
        <w:rPr>
          <w:rFonts w:ascii="Franklin Gothic Book" w:hAnsi="Franklin Gothic Book"/>
          <w:sz w:val="21"/>
        </w:rPr>
        <w:t>-</w:t>
      </w:r>
      <w:r w:rsidR="00F10153" w:rsidRPr="00860F76">
        <w:rPr>
          <w:rFonts w:ascii="Franklin Gothic Book" w:hAnsi="Franklin Gothic Book"/>
          <w:sz w:val="21"/>
        </w:rPr>
        <w:t>relevant skills</w:t>
      </w:r>
      <w:r w:rsidR="006550D2">
        <w:rPr>
          <w:rFonts w:ascii="Franklin Gothic Book" w:hAnsi="Franklin Gothic Book"/>
          <w:sz w:val="21"/>
        </w:rPr>
        <w:t xml:space="preserve"> while addressing staffing shortages</w:t>
      </w:r>
      <w:r w:rsidRPr="00860F76">
        <w:rPr>
          <w:rFonts w:ascii="Franklin Gothic Book" w:hAnsi="Franklin Gothic Book"/>
          <w:sz w:val="21"/>
        </w:rPr>
        <w:t xml:space="preserve">. </w:t>
      </w:r>
      <w:r w:rsidR="00AE41AC">
        <w:rPr>
          <w:rFonts w:ascii="Franklin Gothic Book" w:hAnsi="Franklin Gothic Book"/>
          <w:sz w:val="21"/>
        </w:rPr>
        <w:t xml:space="preserve"> </w:t>
      </w:r>
      <w:r w:rsidR="00624358">
        <w:rPr>
          <w:rFonts w:ascii="Franklin Gothic Book" w:hAnsi="Franklin Gothic Book"/>
          <w:sz w:val="21"/>
        </w:rPr>
        <w:t xml:space="preserve">Work has been undertaken on identifying Nauruan workforce training and certification needs to be addressed through Technical Vocational Education and Training (TVET): a </w:t>
      </w:r>
      <w:r w:rsidR="00624358" w:rsidRPr="00624358">
        <w:rPr>
          <w:rFonts w:ascii="Franklin Gothic Book" w:hAnsi="Franklin Gothic Book"/>
          <w:i/>
          <w:sz w:val="21"/>
        </w:rPr>
        <w:t xml:space="preserve">TVET Strategic Plan 2015-19 </w:t>
      </w:r>
      <w:r w:rsidR="00987DE1">
        <w:rPr>
          <w:rFonts w:ascii="Franklin Gothic Book" w:hAnsi="Franklin Gothic Book"/>
          <w:sz w:val="21"/>
        </w:rPr>
        <w:t>was</w:t>
      </w:r>
      <w:r w:rsidR="00624358">
        <w:rPr>
          <w:rFonts w:ascii="Franklin Gothic Book" w:hAnsi="Franklin Gothic Book"/>
          <w:sz w:val="21"/>
        </w:rPr>
        <w:t xml:space="preserve"> finalised and </w:t>
      </w:r>
      <w:r w:rsidR="009A2FF3">
        <w:rPr>
          <w:rFonts w:ascii="Franklin Gothic Book" w:hAnsi="Franklin Gothic Book"/>
          <w:sz w:val="21"/>
        </w:rPr>
        <w:t xml:space="preserve">is </w:t>
      </w:r>
      <w:r w:rsidR="00C16ACD">
        <w:rPr>
          <w:rFonts w:ascii="Franklin Gothic Book" w:hAnsi="Franklin Gothic Book"/>
          <w:sz w:val="21"/>
        </w:rPr>
        <w:t xml:space="preserve">awaiting </w:t>
      </w:r>
      <w:proofErr w:type="spellStart"/>
      <w:r w:rsidR="00FD2766">
        <w:rPr>
          <w:rFonts w:ascii="Franklin Gothic Book" w:hAnsi="Franklin Gothic Book"/>
          <w:sz w:val="21"/>
        </w:rPr>
        <w:t>GoN</w:t>
      </w:r>
      <w:proofErr w:type="spellEnd"/>
      <w:r w:rsidR="00FD2766">
        <w:rPr>
          <w:rFonts w:ascii="Franklin Gothic Book" w:hAnsi="Franklin Gothic Book"/>
          <w:sz w:val="21"/>
        </w:rPr>
        <w:t xml:space="preserve"> </w:t>
      </w:r>
      <w:r w:rsidR="00624358">
        <w:rPr>
          <w:rFonts w:ascii="Franklin Gothic Book" w:hAnsi="Franklin Gothic Book"/>
          <w:sz w:val="21"/>
        </w:rPr>
        <w:t>endorsement</w:t>
      </w:r>
      <w:r w:rsidR="00624358" w:rsidRPr="00860F76">
        <w:rPr>
          <w:rFonts w:ascii="Franklin Gothic Book" w:hAnsi="Franklin Gothic Book"/>
          <w:sz w:val="21"/>
        </w:rPr>
        <w:t xml:space="preserve">. </w:t>
      </w:r>
      <w:r w:rsidR="009A2FF3">
        <w:rPr>
          <w:rFonts w:ascii="Franklin Gothic Book" w:hAnsi="Franklin Gothic Book"/>
          <w:sz w:val="21"/>
        </w:rPr>
        <w:t xml:space="preserve"> </w:t>
      </w:r>
      <w:r w:rsidR="008F60CF" w:rsidRPr="00860F76">
        <w:rPr>
          <w:rFonts w:ascii="Franklin Gothic Book" w:hAnsi="Franklin Gothic Book"/>
          <w:sz w:val="21"/>
        </w:rPr>
        <w:t xml:space="preserve">Policy dialogue with </w:t>
      </w:r>
      <w:proofErr w:type="spellStart"/>
      <w:r w:rsidR="008F60CF" w:rsidRPr="00860F76">
        <w:rPr>
          <w:rFonts w:ascii="Franklin Gothic Book" w:hAnsi="Franklin Gothic Book"/>
          <w:sz w:val="21"/>
        </w:rPr>
        <w:t>GoN</w:t>
      </w:r>
      <w:proofErr w:type="spellEnd"/>
      <w:r w:rsidR="008F60CF" w:rsidRPr="00860F76">
        <w:rPr>
          <w:rFonts w:ascii="Franklin Gothic Book" w:hAnsi="Franklin Gothic Book"/>
          <w:sz w:val="21"/>
        </w:rPr>
        <w:t xml:space="preserve"> will be assisted by the </w:t>
      </w:r>
      <w:r w:rsidR="008F60CF">
        <w:rPr>
          <w:rFonts w:ascii="Franklin Gothic Book" w:hAnsi="Franklin Gothic Book"/>
          <w:sz w:val="21"/>
        </w:rPr>
        <w:t>ongoing</w:t>
      </w:r>
      <w:r w:rsidR="008F60CF" w:rsidRPr="00860F76">
        <w:rPr>
          <w:rFonts w:ascii="Franklin Gothic Book" w:hAnsi="Franklin Gothic Book"/>
          <w:sz w:val="21"/>
        </w:rPr>
        <w:t xml:space="preserve"> review of Nauru’s education five-year strategic plan</w:t>
      </w:r>
      <w:r w:rsidR="008F60CF">
        <w:rPr>
          <w:rFonts w:ascii="Franklin Gothic Book" w:hAnsi="Franklin Gothic Book"/>
          <w:sz w:val="21"/>
        </w:rPr>
        <w:t xml:space="preserve"> and further work to improve the capture and use of performance </w:t>
      </w:r>
      <w:r w:rsidR="008F60CF" w:rsidRPr="00860F76">
        <w:rPr>
          <w:rFonts w:ascii="Franklin Gothic Book" w:hAnsi="Franklin Gothic Book"/>
          <w:sz w:val="21"/>
        </w:rPr>
        <w:t>data in-country.</w:t>
      </w:r>
      <w:r w:rsidR="008F60CF">
        <w:rPr>
          <w:rFonts w:ascii="Franklin Gothic Book" w:hAnsi="Franklin Gothic Book"/>
          <w:sz w:val="21"/>
        </w:rPr>
        <w:t xml:space="preserve">  </w:t>
      </w:r>
    </w:p>
    <w:p w:rsidR="00601E20" w:rsidRDefault="004D158B" w:rsidP="00601E20">
      <w:pPr>
        <w:spacing w:after="200" w:line="276" w:lineRule="auto"/>
        <w:rPr>
          <w:rFonts w:ascii="Franklin Gothic Book" w:hAnsi="Franklin Gothic Book"/>
          <w:sz w:val="21"/>
        </w:rPr>
      </w:pPr>
      <w:r w:rsidRPr="00860F76">
        <w:rPr>
          <w:rFonts w:ascii="Franklin Gothic Book" w:hAnsi="Franklin Gothic Book"/>
          <w:sz w:val="21"/>
        </w:rPr>
        <w:t xml:space="preserve">With </w:t>
      </w:r>
      <w:r w:rsidR="006550D2">
        <w:rPr>
          <w:rFonts w:ascii="Franklin Gothic Book" w:hAnsi="Franklin Gothic Book"/>
          <w:sz w:val="21"/>
        </w:rPr>
        <w:t>DFAT’s</w:t>
      </w:r>
      <w:r w:rsidRPr="00860F76">
        <w:rPr>
          <w:rFonts w:ascii="Franklin Gothic Book" w:hAnsi="Franklin Gothic Book"/>
          <w:sz w:val="21"/>
        </w:rPr>
        <w:t xml:space="preserve"> support the </w:t>
      </w:r>
      <w:proofErr w:type="spellStart"/>
      <w:r w:rsidRPr="00860F76">
        <w:rPr>
          <w:rFonts w:ascii="Franklin Gothic Book" w:hAnsi="Franklin Gothic Book"/>
          <w:sz w:val="21"/>
        </w:rPr>
        <w:t>GoN</w:t>
      </w:r>
      <w:proofErr w:type="spellEnd"/>
      <w:r w:rsidRPr="00860F76">
        <w:rPr>
          <w:rFonts w:ascii="Franklin Gothic Book" w:hAnsi="Franklin Gothic Book"/>
          <w:sz w:val="21"/>
        </w:rPr>
        <w:t xml:space="preserve"> ha</w:t>
      </w:r>
      <w:r w:rsidR="00663118" w:rsidRPr="00860F76">
        <w:rPr>
          <w:rFonts w:ascii="Franklin Gothic Book" w:hAnsi="Franklin Gothic Book"/>
          <w:sz w:val="21"/>
        </w:rPr>
        <w:t>s</w:t>
      </w:r>
      <w:r w:rsidRPr="00860F76">
        <w:rPr>
          <w:rFonts w:ascii="Franklin Gothic Book" w:hAnsi="Franklin Gothic Book"/>
          <w:sz w:val="21"/>
        </w:rPr>
        <w:t xml:space="preserve"> </w:t>
      </w:r>
      <w:r w:rsidR="00A10B6A">
        <w:rPr>
          <w:rFonts w:ascii="Franklin Gothic Book" w:hAnsi="Franklin Gothic Book"/>
          <w:sz w:val="21"/>
        </w:rPr>
        <w:t xml:space="preserve">recruited qualified regional teachers to existing </w:t>
      </w:r>
      <w:r w:rsidRPr="00860F76">
        <w:rPr>
          <w:rFonts w:ascii="Franklin Gothic Book" w:hAnsi="Franklin Gothic Book"/>
          <w:sz w:val="21"/>
        </w:rPr>
        <w:t>vacancies</w:t>
      </w:r>
      <w:r w:rsidR="00624358">
        <w:rPr>
          <w:rFonts w:ascii="Franklin Gothic Book" w:hAnsi="Franklin Gothic Book"/>
          <w:sz w:val="21"/>
        </w:rPr>
        <w:t xml:space="preserve"> a</w:t>
      </w:r>
      <w:r w:rsidRPr="00860F76">
        <w:rPr>
          <w:rFonts w:ascii="Franklin Gothic Book" w:hAnsi="Franklin Gothic Book"/>
          <w:sz w:val="21"/>
        </w:rPr>
        <w:t xml:space="preserve">nd </w:t>
      </w:r>
      <w:r w:rsidR="00A10B6A">
        <w:rPr>
          <w:rFonts w:ascii="Franklin Gothic Book" w:hAnsi="Franklin Gothic Book"/>
          <w:sz w:val="21"/>
        </w:rPr>
        <w:t xml:space="preserve">following a </w:t>
      </w:r>
      <w:r w:rsidR="00A10B6A" w:rsidRPr="00F668BD">
        <w:rPr>
          <w:rFonts w:ascii="Franklin Gothic Book" w:hAnsi="Franklin Gothic Book"/>
          <w:sz w:val="21"/>
        </w:rPr>
        <w:t xml:space="preserve">successful tender </w:t>
      </w:r>
      <w:r w:rsidR="00663118" w:rsidRPr="00F668BD">
        <w:rPr>
          <w:rFonts w:ascii="Franklin Gothic Book" w:hAnsi="Franklin Gothic Book"/>
          <w:sz w:val="21"/>
        </w:rPr>
        <w:t>is beginning</w:t>
      </w:r>
      <w:r w:rsidR="003E5445" w:rsidRPr="00F668BD">
        <w:rPr>
          <w:rFonts w:ascii="Franklin Gothic Book" w:hAnsi="Franklin Gothic Book"/>
          <w:sz w:val="21"/>
        </w:rPr>
        <w:t xml:space="preserve"> </w:t>
      </w:r>
      <w:r w:rsidRPr="00F668BD">
        <w:rPr>
          <w:rFonts w:ascii="Franklin Gothic Book" w:hAnsi="Franklin Gothic Book"/>
          <w:sz w:val="21"/>
        </w:rPr>
        <w:t xml:space="preserve">construction of </w:t>
      </w:r>
      <w:r w:rsidR="00663118" w:rsidRPr="00F668BD">
        <w:rPr>
          <w:rFonts w:ascii="Franklin Gothic Book" w:hAnsi="Franklin Gothic Book"/>
          <w:sz w:val="21"/>
        </w:rPr>
        <w:t>the final stage of the</w:t>
      </w:r>
      <w:r w:rsidRPr="00F668BD">
        <w:rPr>
          <w:rFonts w:ascii="Franklin Gothic Book" w:hAnsi="Franklin Gothic Book"/>
          <w:sz w:val="21"/>
        </w:rPr>
        <w:t xml:space="preserve"> Learning Village</w:t>
      </w:r>
      <w:r w:rsidR="00F668BD">
        <w:rPr>
          <w:rFonts w:ascii="Franklin Gothic Book" w:hAnsi="Franklin Gothic Book"/>
          <w:sz w:val="21"/>
        </w:rPr>
        <w:t xml:space="preserve">.  This </w:t>
      </w:r>
      <w:r w:rsidR="00F668BD" w:rsidRPr="00F668BD">
        <w:rPr>
          <w:rFonts w:ascii="Franklin Gothic Book" w:hAnsi="Franklin Gothic Book"/>
          <w:sz w:val="21"/>
        </w:rPr>
        <w:t>will</w:t>
      </w:r>
      <w:r w:rsidR="00F668BD">
        <w:rPr>
          <w:rFonts w:ascii="Franklin Gothic Book" w:hAnsi="Franklin Gothic Book"/>
          <w:sz w:val="21"/>
        </w:rPr>
        <w:t xml:space="preserve"> </w:t>
      </w:r>
      <w:r w:rsidR="00F668BD" w:rsidRPr="00F668BD">
        <w:rPr>
          <w:rFonts w:ascii="Franklin Gothic Book" w:hAnsi="Franklin Gothic Book"/>
          <w:sz w:val="21"/>
        </w:rPr>
        <w:t xml:space="preserve">incorporate in a single area all higher education agencies including the University of the South Pacific </w:t>
      </w:r>
      <w:r w:rsidR="00F668BD">
        <w:rPr>
          <w:rFonts w:ascii="Franklin Gothic Book" w:hAnsi="Franklin Gothic Book"/>
          <w:sz w:val="21"/>
        </w:rPr>
        <w:t>(USP) and other</w:t>
      </w:r>
      <w:r w:rsidR="0028488A" w:rsidRPr="00F668BD">
        <w:rPr>
          <w:rFonts w:ascii="Franklin Gothic Book" w:hAnsi="Franklin Gothic Book"/>
          <w:sz w:val="21"/>
        </w:rPr>
        <w:t xml:space="preserve"> academic institutions</w:t>
      </w:r>
      <w:r w:rsidR="009A0D6B" w:rsidRPr="00F668BD">
        <w:rPr>
          <w:rFonts w:ascii="Franklin Gothic Book" w:hAnsi="Franklin Gothic Book"/>
          <w:sz w:val="21"/>
        </w:rPr>
        <w:t xml:space="preserve">, </w:t>
      </w:r>
      <w:r w:rsidR="00F668BD">
        <w:rPr>
          <w:rFonts w:ascii="Franklin Gothic Book" w:hAnsi="Franklin Gothic Book"/>
          <w:sz w:val="21"/>
        </w:rPr>
        <w:t xml:space="preserve">a </w:t>
      </w:r>
      <w:r w:rsidR="009A0D6B" w:rsidRPr="00F668BD">
        <w:rPr>
          <w:rFonts w:ascii="Franklin Gothic Book" w:hAnsi="Franklin Gothic Book"/>
          <w:sz w:val="21"/>
        </w:rPr>
        <w:t xml:space="preserve">TVET centre and </w:t>
      </w:r>
      <w:r w:rsidR="00F668BD">
        <w:rPr>
          <w:rFonts w:ascii="Franklin Gothic Book" w:hAnsi="Franklin Gothic Book"/>
          <w:sz w:val="21"/>
        </w:rPr>
        <w:t xml:space="preserve">a </w:t>
      </w:r>
      <w:r w:rsidR="009A0D6B" w:rsidRPr="00F668BD">
        <w:rPr>
          <w:rFonts w:ascii="Franklin Gothic Book" w:hAnsi="Franklin Gothic Book"/>
          <w:sz w:val="21"/>
        </w:rPr>
        <w:t>community library</w:t>
      </w:r>
      <w:r w:rsidR="00624358" w:rsidRPr="00F668BD">
        <w:rPr>
          <w:rFonts w:ascii="Franklin Gothic Book" w:hAnsi="Franklin Gothic Book"/>
          <w:sz w:val="21"/>
        </w:rPr>
        <w:t>.</w:t>
      </w:r>
      <w:r w:rsidR="00F95C02" w:rsidRPr="00F668BD">
        <w:rPr>
          <w:rFonts w:ascii="Franklin Gothic Book" w:hAnsi="Franklin Gothic Book"/>
          <w:sz w:val="21"/>
        </w:rPr>
        <w:t xml:space="preserve"> </w:t>
      </w:r>
      <w:r w:rsidR="00624358" w:rsidRPr="00F668BD">
        <w:rPr>
          <w:rFonts w:ascii="Franklin Gothic Book" w:hAnsi="Franklin Gothic Book"/>
          <w:sz w:val="21"/>
        </w:rPr>
        <w:t xml:space="preserve"> </w:t>
      </w:r>
      <w:r w:rsidR="000D438D" w:rsidRPr="00F668BD">
        <w:rPr>
          <w:rFonts w:ascii="Franklin Gothic Book" w:hAnsi="Franklin Gothic Book"/>
          <w:sz w:val="21"/>
        </w:rPr>
        <w:t xml:space="preserve">A </w:t>
      </w:r>
      <w:r w:rsidR="00F95C02" w:rsidRPr="00F668BD">
        <w:rPr>
          <w:rFonts w:ascii="Franklin Gothic Book" w:hAnsi="Franklin Gothic Book"/>
          <w:sz w:val="21"/>
        </w:rPr>
        <w:t>92</w:t>
      </w:r>
      <w:r w:rsidR="000D438D" w:rsidRPr="00F668BD">
        <w:rPr>
          <w:rFonts w:ascii="Franklin Gothic Book" w:hAnsi="Franklin Gothic Book"/>
          <w:sz w:val="21"/>
        </w:rPr>
        <w:t xml:space="preserve"> per</w:t>
      </w:r>
      <w:r w:rsidR="00211C9C" w:rsidRPr="00F668BD">
        <w:rPr>
          <w:rFonts w:ascii="Franklin Gothic Book" w:hAnsi="Franklin Gothic Book"/>
          <w:sz w:val="21"/>
        </w:rPr>
        <w:t xml:space="preserve"> </w:t>
      </w:r>
      <w:r w:rsidR="000D438D" w:rsidRPr="00F668BD">
        <w:rPr>
          <w:rFonts w:ascii="Franklin Gothic Book" w:hAnsi="Franklin Gothic Book"/>
          <w:sz w:val="21"/>
        </w:rPr>
        <w:t xml:space="preserve">cent primary school enrolment rate was </w:t>
      </w:r>
      <w:r w:rsidR="00F95C02" w:rsidRPr="00F668BD">
        <w:rPr>
          <w:rFonts w:ascii="Franklin Gothic Book" w:hAnsi="Franklin Gothic Book"/>
          <w:sz w:val="21"/>
        </w:rPr>
        <w:t>reported in 2016</w:t>
      </w:r>
      <w:r w:rsidR="000D438D" w:rsidRPr="00F668BD">
        <w:rPr>
          <w:rFonts w:ascii="Franklin Gothic Book" w:hAnsi="Franklin Gothic Book"/>
          <w:sz w:val="21"/>
        </w:rPr>
        <w:t>, along with successful</w:t>
      </w:r>
      <w:r w:rsidR="000D438D" w:rsidRPr="00860F76">
        <w:rPr>
          <w:rFonts w:ascii="Franklin Gothic Book" w:hAnsi="Franklin Gothic Book"/>
          <w:sz w:val="21"/>
        </w:rPr>
        <w:t xml:space="preserve"> adoption of the Queensland Certificate of Education (QCE) as the Year 12 completion certificate, which articulates into the Australian tertiary system.</w:t>
      </w:r>
      <w:r w:rsidRPr="00860F76">
        <w:rPr>
          <w:rFonts w:ascii="Franklin Gothic Book" w:hAnsi="Franklin Gothic Book"/>
          <w:sz w:val="21"/>
        </w:rPr>
        <w:t xml:space="preserve"> </w:t>
      </w:r>
      <w:r w:rsidR="009A2FF3">
        <w:rPr>
          <w:rFonts w:ascii="Franklin Gothic Book" w:hAnsi="Franklin Gothic Book"/>
          <w:sz w:val="21"/>
        </w:rPr>
        <w:t xml:space="preserve"> </w:t>
      </w:r>
      <w:r w:rsidR="002A1149" w:rsidRPr="00860F76">
        <w:rPr>
          <w:rFonts w:ascii="Franklin Gothic Book" w:hAnsi="Franklin Gothic Book"/>
          <w:sz w:val="21"/>
        </w:rPr>
        <w:t xml:space="preserve">In 2016, Australia offered </w:t>
      </w:r>
      <w:r w:rsidR="003B6734" w:rsidRPr="00860F76">
        <w:rPr>
          <w:rFonts w:ascii="Franklin Gothic Book" w:hAnsi="Franklin Gothic Book"/>
          <w:sz w:val="21"/>
        </w:rPr>
        <w:t xml:space="preserve">14 </w:t>
      </w:r>
      <w:r w:rsidR="008F60CF">
        <w:rPr>
          <w:rFonts w:ascii="Franklin Gothic Book" w:hAnsi="Franklin Gothic Book"/>
          <w:sz w:val="21"/>
        </w:rPr>
        <w:t xml:space="preserve">new </w:t>
      </w:r>
      <w:r w:rsidR="00D67F29" w:rsidRPr="00860F76">
        <w:rPr>
          <w:rFonts w:ascii="Franklin Gothic Book" w:hAnsi="Franklin Gothic Book"/>
          <w:sz w:val="21"/>
        </w:rPr>
        <w:t xml:space="preserve">Australia Award </w:t>
      </w:r>
      <w:r w:rsidR="002A1149" w:rsidRPr="00860F76">
        <w:rPr>
          <w:rFonts w:ascii="Franklin Gothic Book" w:hAnsi="Franklin Gothic Book"/>
          <w:sz w:val="21"/>
        </w:rPr>
        <w:t xml:space="preserve">scholarships for </w:t>
      </w:r>
      <w:proofErr w:type="spellStart"/>
      <w:r w:rsidR="002A1149" w:rsidRPr="00860F76">
        <w:rPr>
          <w:rFonts w:ascii="Franklin Gothic Book" w:hAnsi="Franklin Gothic Book"/>
          <w:sz w:val="21"/>
        </w:rPr>
        <w:t>Nauruans</w:t>
      </w:r>
      <w:proofErr w:type="spellEnd"/>
      <w:r w:rsidR="003B6734" w:rsidRPr="00860F76">
        <w:rPr>
          <w:rFonts w:ascii="Franklin Gothic Book" w:hAnsi="Franklin Gothic Book"/>
          <w:sz w:val="21"/>
        </w:rPr>
        <w:t xml:space="preserve"> (</w:t>
      </w:r>
      <w:r w:rsidR="00860F76">
        <w:rPr>
          <w:rFonts w:ascii="Franklin Gothic Book" w:hAnsi="Franklin Gothic Book"/>
          <w:sz w:val="21"/>
        </w:rPr>
        <w:t>t</w:t>
      </w:r>
      <w:r w:rsidR="003B6734" w:rsidRPr="00860F76">
        <w:rPr>
          <w:rFonts w:ascii="Franklin Gothic Book" w:hAnsi="Franklin Gothic Book"/>
          <w:sz w:val="21"/>
        </w:rPr>
        <w:t>en women and four men)</w:t>
      </w:r>
      <w:r w:rsidR="002A1149" w:rsidRPr="00860F76">
        <w:rPr>
          <w:rFonts w:ascii="Franklin Gothic Book" w:hAnsi="Franklin Gothic Book"/>
          <w:sz w:val="21"/>
        </w:rPr>
        <w:t xml:space="preserve"> to study in the areas of education, health, </w:t>
      </w:r>
      <w:r w:rsidR="00133481" w:rsidRPr="00860F76">
        <w:rPr>
          <w:rFonts w:ascii="Franklin Gothic Book" w:hAnsi="Franklin Gothic Book"/>
          <w:sz w:val="21"/>
        </w:rPr>
        <w:t>environmental</w:t>
      </w:r>
      <w:r w:rsidR="002A1149" w:rsidRPr="00860F76">
        <w:rPr>
          <w:rFonts w:ascii="Franklin Gothic Book" w:hAnsi="Franklin Gothic Book"/>
          <w:sz w:val="21"/>
        </w:rPr>
        <w:t xml:space="preserve"> management, commerce</w:t>
      </w:r>
      <w:r w:rsidR="00133481" w:rsidRPr="00860F76">
        <w:rPr>
          <w:rFonts w:ascii="Franklin Gothic Book" w:hAnsi="Franklin Gothic Book"/>
          <w:sz w:val="21"/>
        </w:rPr>
        <w:t>, public policy and others</w:t>
      </w:r>
      <w:r w:rsidR="002A1149" w:rsidRPr="00860F76">
        <w:rPr>
          <w:rFonts w:ascii="Franklin Gothic Book" w:hAnsi="Franklin Gothic Book"/>
          <w:sz w:val="21"/>
        </w:rPr>
        <w:t>.</w:t>
      </w:r>
      <w:r w:rsidR="002236C3" w:rsidRPr="00860F76">
        <w:rPr>
          <w:rFonts w:ascii="Franklin Gothic Book" w:hAnsi="Franklin Gothic Book"/>
          <w:sz w:val="21"/>
        </w:rPr>
        <w:t xml:space="preserve"> </w:t>
      </w:r>
      <w:r w:rsidR="00054F5D" w:rsidRPr="00860F76">
        <w:rPr>
          <w:rFonts w:ascii="Franklin Gothic Book" w:hAnsi="Franklin Gothic Book"/>
          <w:sz w:val="21"/>
        </w:rPr>
        <w:t xml:space="preserve"> </w:t>
      </w:r>
      <w:r w:rsidR="00601E20">
        <w:rPr>
          <w:rFonts w:ascii="Franklin Gothic Book" w:hAnsi="Franklin Gothic Book"/>
          <w:sz w:val="21"/>
        </w:rPr>
        <w:t xml:space="preserve">In 2015-16 a total of 14 students were awarded Associate Degrees in </w:t>
      </w:r>
      <w:r w:rsidR="006A2664">
        <w:rPr>
          <w:rFonts w:ascii="Franklin Gothic Book" w:hAnsi="Franklin Gothic Book"/>
          <w:sz w:val="21"/>
        </w:rPr>
        <w:t xml:space="preserve">Teaching (Pacific Focus) </w:t>
      </w:r>
      <w:r w:rsidR="00601E20">
        <w:rPr>
          <w:rFonts w:ascii="Franklin Gothic Book" w:hAnsi="Franklin Gothic Book"/>
          <w:sz w:val="21"/>
        </w:rPr>
        <w:t>through a</w:t>
      </w:r>
      <w:r w:rsidR="00550AC2">
        <w:rPr>
          <w:rFonts w:ascii="Franklin Gothic Book" w:hAnsi="Franklin Gothic Book"/>
          <w:sz w:val="21"/>
        </w:rPr>
        <w:t xml:space="preserve">n </w:t>
      </w:r>
      <w:r w:rsidR="00601E20">
        <w:rPr>
          <w:rFonts w:ascii="Franklin Gothic Book" w:hAnsi="Franklin Gothic Book"/>
          <w:sz w:val="21"/>
        </w:rPr>
        <w:t>in-country program</w:t>
      </w:r>
      <w:r w:rsidR="00550AC2">
        <w:rPr>
          <w:rFonts w:ascii="Franklin Gothic Book" w:hAnsi="Franklin Gothic Book"/>
          <w:sz w:val="21"/>
        </w:rPr>
        <w:t xml:space="preserve"> offered by the University of New England (UNE)</w:t>
      </w:r>
      <w:r w:rsidR="00601E20">
        <w:rPr>
          <w:rFonts w:ascii="Franklin Gothic Book" w:hAnsi="Franklin Gothic Book"/>
          <w:sz w:val="21"/>
        </w:rPr>
        <w:t xml:space="preserve">.  </w:t>
      </w:r>
      <w:r w:rsidR="00CB3263">
        <w:rPr>
          <w:rFonts w:ascii="Franklin Gothic Book" w:hAnsi="Franklin Gothic Book"/>
          <w:sz w:val="21"/>
        </w:rPr>
        <w:t xml:space="preserve">UNE is also providing an in-country study program for a </w:t>
      </w:r>
      <w:r w:rsidR="00CB3263" w:rsidRPr="00CB3263">
        <w:rPr>
          <w:rFonts w:ascii="Franklin Gothic Book" w:hAnsi="Franklin Gothic Book"/>
          <w:sz w:val="21"/>
        </w:rPr>
        <w:t xml:space="preserve">six students </w:t>
      </w:r>
      <w:r w:rsidR="006A2664" w:rsidRPr="00CB3263">
        <w:rPr>
          <w:rFonts w:ascii="Franklin Gothic Book" w:hAnsi="Franklin Gothic Book"/>
          <w:sz w:val="21"/>
        </w:rPr>
        <w:t xml:space="preserve">towards </w:t>
      </w:r>
      <w:r w:rsidR="00601E20" w:rsidRPr="00CB3263" w:rsidDel="00586403">
        <w:rPr>
          <w:rFonts w:ascii="Franklin Gothic Book" w:hAnsi="Franklin Gothic Book"/>
          <w:sz w:val="21"/>
        </w:rPr>
        <w:t>a Diploma in Community Health and Wellbeing</w:t>
      </w:r>
      <w:r w:rsidR="006A2664" w:rsidRPr="00CB3263">
        <w:rPr>
          <w:rFonts w:ascii="Franklin Gothic Book" w:hAnsi="Franklin Gothic Book"/>
          <w:sz w:val="21"/>
        </w:rPr>
        <w:t xml:space="preserve">.  </w:t>
      </w:r>
    </w:p>
    <w:p w:rsidR="0019560E" w:rsidRDefault="00747170" w:rsidP="0019560E">
      <w:pPr>
        <w:spacing w:after="200" w:line="276" w:lineRule="auto"/>
        <w:rPr>
          <w:rFonts w:ascii="Franklin Gothic Book" w:hAnsi="Franklin Gothic Book"/>
          <w:sz w:val="21"/>
        </w:rPr>
      </w:pPr>
      <w:r>
        <w:rPr>
          <w:rFonts w:ascii="Franklin Gothic Book" w:hAnsi="Franklin Gothic Book"/>
          <w:sz w:val="21"/>
        </w:rPr>
        <w:t>In the health sector, t</w:t>
      </w:r>
      <w:r w:rsidR="002A1149" w:rsidRPr="00860F76">
        <w:rPr>
          <w:rFonts w:ascii="Franklin Gothic Book" w:hAnsi="Franklin Gothic Book"/>
          <w:sz w:val="21"/>
        </w:rPr>
        <w:t>he Nauru Ministry of Health and Medical Services</w:t>
      </w:r>
      <w:r w:rsidR="001A7FCF" w:rsidRPr="00860F76">
        <w:rPr>
          <w:rFonts w:ascii="Franklin Gothic Book" w:hAnsi="Franklin Gothic Book"/>
          <w:sz w:val="21"/>
        </w:rPr>
        <w:t xml:space="preserve"> (MHMS)</w:t>
      </w:r>
      <w:r w:rsidR="002A1149" w:rsidRPr="00860F76">
        <w:rPr>
          <w:rFonts w:ascii="Franklin Gothic Book" w:hAnsi="Franklin Gothic Book"/>
          <w:sz w:val="21"/>
        </w:rPr>
        <w:t xml:space="preserve"> </w:t>
      </w:r>
      <w:r w:rsidR="007B6FE5" w:rsidRPr="00860F76">
        <w:rPr>
          <w:rFonts w:ascii="Franklin Gothic Book" w:hAnsi="Franklin Gothic Book"/>
          <w:sz w:val="21"/>
        </w:rPr>
        <w:t>made</w:t>
      </w:r>
      <w:r w:rsidR="002A1149" w:rsidRPr="00860F76">
        <w:rPr>
          <w:rFonts w:ascii="Franklin Gothic Book" w:hAnsi="Franklin Gothic Book"/>
          <w:sz w:val="21"/>
        </w:rPr>
        <w:t xml:space="preserve"> progress in finalising the Health Information System </w:t>
      </w:r>
      <w:r w:rsidR="00054F5D" w:rsidRPr="00860F76">
        <w:rPr>
          <w:rFonts w:ascii="Franklin Gothic Book" w:hAnsi="Franklin Gothic Book"/>
          <w:sz w:val="21"/>
        </w:rPr>
        <w:t>r</w:t>
      </w:r>
      <w:r w:rsidR="002A1149" w:rsidRPr="00860F76">
        <w:rPr>
          <w:rFonts w:ascii="Franklin Gothic Book" w:hAnsi="Franklin Gothic Book"/>
          <w:sz w:val="21"/>
        </w:rPr>
        <w:t xml:space="preserve">eport, </w:t>
      </w:r>
      <w:r>
        <w:rPr>
          <w:rFonts w:ascii="Franklin Gothic Book" w:hAnsi="Franklin Gothic Book"/>
          <w:sz w:val="21"/>
        </w:rPr>
        <w:t xml:space="preserve">the </w:t>
      </w:r>
      <w:r w:rsidR="00211C9C">
        <w:rPr>
          <w:rFonts w:ascii="Franklin Gothic Book" w:hAnsi="Franklin Gothic Book"/>
          <w:sz w:val="21"/>
        </w:rPr>
        <w:t>non-communicable disease (</w:t>
      </w:r>
      <w:r w:rsidR="002A1149" w:rsidRPr="00860F76">
        <w:rPr>
          <w:rFonts w:ascii="Franklin Gothic Book" w:hAnsi="Franklin Gothic Book"/>
          <w:sz w:val="21"/>
        </w:rPr>
        <w:t>NCD</w:t>
      </w:r>
      <w:r w:rsidR="00211C9C">
        <w:rPr>
          <w:rFonts w:ascii="Franklin Gothic Book" w:hAnsi="Franklin Gothic Book"/>
          <w:sz w:val="21"/>
        </w:rPr>
        <w:t>)</w:t>
      </w:r>
      <w:r w:rsidR="002A1149" w:rsidRPr="00860F76">
        <w:rPr>
          <w:rFonts w:ascii="Franklin Gothic Book" w:hAnsi="Franklin Gothic Book"/>
          <w:sz w:val="21"/>
        </w:rPr>
        <w:t xml:space="preserve"> Strategy, </w:t>
      </w:r>
      <w:r w:rsidR="003A3BC7" w:rsidRPr="00860F76">
        <w:rPr>
          <w:rFonts w:ascii="Franklin Gothic Book" w:hAnsi="Franklin Gothic Book"/>
          <w:sz w:val="21"/>
        </w:rPr>
        <w:t>S</w:t>
      </w:r>
      <w:r w:rsidR="002A1149" w:rsidRPr="00860F76">
        <w:rPr>
          <w:rFonts w:ascii="Franklin Gothic Book" w:hAnsi="Franklin Gothic Book"/>
          <w:sz w:val="21"/>
        </w:rPr>
        <w:t xml:space="preserve">tandard </w:t>
      </w:r>
      <w:r w:rsidR="003A3BC7" w:rsidRPr="00860F76">
        <w:rPr>
          <w:rFonts w:ascii="Franklin Gothic Book" w:hAnsi="Franklin Gothic Book"/>
          <w:sz w:val="21"/>
        </w:rPr>
        <w:t>T</w:t>
      </w:r>
      <w:r w:rsidR="002A1149" w:rsidRPr="00860F76">
        <w:rPr>
          <w:rFonts w:ascii="Franklin Gothic Book" w:hAnsi="Franklin Gothic Book"/>
          <w:sz w:val="21"/>
        </w:rPr>
        <w:t xml:space="preserve">reatment guidelines and the training and recruitment </w:t>
      </w:r>
      <w:r w:rsidR="003A3BC7" w:rsidRPr="00860F76">
        <w:rPr>
          <w:rFonts w:ascii="Franklin Gothic Book" w:hAnsi="Franklin Gothic Book"/>
          <w:sz w:val="21"/>
        </w:rPr>
        <w:t>of key medical staff</w:t>
      </w:r>
      <w:r w:rsidR="00DB48EB" w:rsidRPr="00860F76">
        <w:rPr>
          <w:rFonts w:ascii="Franklin Gothic Book" w:hAnsi="Franklin Gothic Book"/>
          <w:sz w:val="21"/>
        </w:rPr>
        <w:t>, with support from</w:t>
      </w:r>
      <w:r w:rsidR="00B33467" w:rsidRPr="00860F76">
        <w:rPr>
          <w:rFonts w:ascii="Franklin Gothic Book" w:hAnsi="Franklin Gothic Book"/>
          <w:sz w:val="21"/>
        </w:rPr>
        <w:t xml:space="preserve"> three</w:t>
      </w:r>
      <w:r w:rsidR="00DB48EB" w:rsidRPr="00860F76">
        <w:rPr>
          <w:rFonts w:ascii="Franklin Gothic Book" w:hAnsi="Franklin Gothic Book"/>
          <w:sz w:val="21"/>
        </w:rPr>
        <w:t xml:space="preserve"> Australian-funded</w:t>
      </w:r>
      <w:r w:rsidR="00B33467" w:rsidRPr="00860F76">
        <w:rPr>
          <w:rFonts w:ascii="Franklin Gothic Book" w:hAnsi="Franklin Gothic Book"/>
          <w:sz w:val="21"/>
        </w:rPr>
        <w:t xml:space="preserve"> PACTAM</w:t>
      </w:r>
      <w:r w:rsidR="00DB48EB" w:rsidRPr="00860F76">
        <w:rPr>
          <w:rFonts w:ascii="Franklin Gothic Book" w:hAnsi="Franklin Gothic Book"/>
          <w:sz w:val="21"/>
        </w:rPr>
        <w:t xml:space="preserve"> advisors working within the Ministry</w:t>
      </w:r>
      <w:r w:rsidR="00211C9C">
        <w:rPr>
          <w:rFonts w:ascii="Franklin Gothic Book" w:hAnsi="Franklin Gothic Book"/>
          <w:sz w:val="21"/>
        </w:rPr>
        <w:t xml:space="preserve"> until January 2016</w:t>
      </w:r>
      <w:r w:rsidR="00DB48EB" w:rsidRPr="00860F76">
        <w:rPr>
          <w:rFonts w:ascii="Franklin Gothic Book" w:hAnsi="Franklin Gothic Book"/>
          <w:sz w:val="21"/>
        </w:rPr>
        <w:t xml:space="preserve">. </w:t>
      </w:r>
      <w:r w:rsidR="005D379F">
        <w:rPr>
          <w:rFonts w:ascii="Franklin Gothic Book" w:hAnsi="Franklin Gothic Book"/>
          <w:sz w:val="21"/>
        </w:rPr>
        <w:t>Australia</w:t>
      </w:r>
      <w:r w:rsidR="004B2F08">
        <w:rPr>
          <w:rFonts w:ascii="Franklin Gothic Book" w:hAnsi="Franklin Gothic Book"/>
          <w:sz w:val="21"/>
        </w:rPr>
        <w:t xml:space="preserve"> also</w:t>
      </w:r>
      <w:r w:rsidR="005D379F">
        <w:rPr>
          <w:rFonts w:ascii="Franklin Gothic Book" w:hAnsi="Franklin Gothic Book"/>
          <w:sz w:val="21"/>
        </w:rPr>
        <w:t xml:space="preserve"> prov</w:t>
      </w:r>
      <w:r w:rsidR="005D379F" w:rsidRPr="00EC3CE4">
        <w:rPr>
          <w:rFonts w:ascii="Franklin Gothic Book" w:hAnsi="Franklin Gothic Book"/>
          <w:sz w:val="21"/>
        </w:rPr>
        <w:t>ided $</w:t>
      </w:r>
      <w:r w:rsidR="004B2F08" w:rsidRPr="00EC3CE4">
        <w:rPr>
          <w:rFonts w:ascii="Franklin Gothic Book" w:hAnsi="Franklin Gothic Book"/>
          <w:sz w:val="21"/>
        </w:rPr>
        <w:t>2.65</w:t>
      </w:r>
      <w:r w:rsidR="005D379F" w:rsidRPr="00EC3CE4">
        <w:rPr>
          <w:rFonts w:ascii="Franklin Gothic Book" w:hAnsi="Franklin Gothic Book"/>
          <w:sz w:val="21"/>
        </w:rPr>
        <w:t>m (</w:t>
      </w:r>
      <w:r w:rsidR="00EC3CE4" w:rsidRPr="00EC3CE4">
        <w:rPr>
          <w:rFonts w:ascii="Franklin Gothic Book" w:hAnsi="Franklin Gothic Book"/>
          <w:sz w:val="21"/>
        </w:rPr>
        <w:t>19</w:t>
      </w:r>
      <w:r w:rsidR="005D379F" w:rsidRPr="00EC3CE4">
        <w:rPr>
          <w:rFonts w:ascii="Franklin Gothic Book" w:hAnsi="Franklin Gothic Book"/>
          <w:sz w:val="21"/>
        </w:rPr>
        <w:t xml:space="preserve">% of the </w:t>
      </w:r>
      <w:proofErr w:type="spellStart"/>
      <w:r w:rsidR="005D379F" w:rsidRPr="00EC3CE4">
        <w:rPr>
          <w:rFonts w:ascii="Franklin Gothic Book" w:hAnsi="Franklin Gothic Book"/>
          <w:sz w:val="21"/>
        </w:rPr>
        <w:t>GoN</w:t>
      </w:r>
      <w:proofErr w:type="spellEnd"/>
      <w:r w:rsidR="005D379F" w:rsidRPr="00EC3CE4">
        <w:rPr>
          <w:rFonts w:ascii="Franklin Gothic Book" w:hAnsi="Franklin Gothic Book"/>
          <w:sz w:val="21"/>
        </w:rPr>
        <w:t xml:space="preserve"> Health budget) in</w:t>
      </w:r>
      <w:r w:rsidR="005D379F">
        <w:rPr>
          <w:rFonts w:ascii="Franklin Gothic Book" w:hAnsi="Franklin Gothic Book"/>
          <w:sz w:val="21"/>
        </w:rPr>
        <w:t xml:space="preserve"> budget support over the 2015-16 period</w:t>
      </w:r>
      <w:r w:rsidR="00851B44">
        <w:rPr>
          <w:rFonts w:ascii="Franklin Gothic Book" w:hAnsi="Franklin Gothic Book"/>
          <w:sz w:val="21"/>
        </w:rPr>
        <w:t xml:space="preserve"> which directly assisted </w:t>
      </w:r>
      <w:proofErr w:type="spellStart"/>
      <w:r w:rsidR="00851B44">
        <w:rPr>
          <w:rFonts w:ascii="Franklin Gothic Book" w:hAnsi="Franklin Gothic Book"/>
          <w:sz w:val="21"/>
        </w:rPr>
        <w:t>GoN</w:t>
      </w:r>
      <w:proofErr w:type="spellEnd"/>
      <w:r w:rsidR="00851B44">
        <w:rPr>
          <w:rFonts w:ascii="Franklin Gothic Book" w:hAnsi="Franklin Gothic Book"/>
          <w:sz w:val="21"/>
        </w:rPr>
        <w:t xml:space="preserve"> to deliver </w:t>
      </w:r>
      <w:r w:rsidR="00851B44" w:rsidRPr="00851B44">
        <w:rPr>
          <w:rFonts w:ascii="Franklin Gothic Book" w:hAnsi="Franklin Gothic Book"/>
          <w:sz w:val="21"/>
        </w:rPr>
        <w:t xml:space="preserve">primary health and curative care through direct funding for drugs, pharmaceuticals, medical equipment and the implementation of key programs (e.g. </w:t>
      </w:r>
      <w:r w:rsidR="00851B44">
        <w:rPr>
          <w:rFonts w:ascii="Franklin Gothic Book" w:hAnsi="Franklin Gothic Book"/>
          <w:sz w:val="21"/>
        </w:rPr>
        <w:t xml:space="preserve">public health and NCD strategy), as well as </w:t>
      </w:r>
      <w:r w:rsidR="00851B44" w:rsidRPr="00851B44">
        <w:rPr>
          <w:rFonts w:ascii="Franklin Gothic Book" w:hAnsi="Franklin Gothic Book"/>
          <w:sz w:val="21"/>
        </w:rPr>
        <w:t xml:space="preserve">strengthening health system management </w:t>
      </w:r>
      <w:r w:rsidR="00851B44">
        <w:rPr>
          <w:rFonts w:ascii="Franklin Gothic Book" w:hAnsi="Franklin Gothic Book"/>
          <w:sz w:val="21"/>
        </w:rPr>
        <w:t xml:space="preserve">(including </w:t>
      </w:r>
      <w:r w:rsidR="00851B44" w:rsidRPr="00851B44">
        <w:rPr>
          <w:rFonts w:ascii="Franklin Gothic Book" w:hAnsi="Franklin Gothic Book"/>
          <w:sz w:val="21"/>
        </w:rPr>
        <w:t>budget prioritisation</w:t>
      </w:r>
      <w:r w:rsidR="00851B44">
        <w:rPr>
          <w:rFonts w:ascii="Franklin Gothic Book" w:hAnsi="Franklin Gothic Book"/>
          <w:sz w:val="21"/>
        </w:rPr>
        <w:t>)</w:t>
      </w:r>
      <w:r w:rsidR="00851B44" w:rsidRPr="00851B44">
        <w:rPr>
          <w:rFonts w:ascii="Franklin Gothic Book" w:hAnsi="Franklin Gothic Book"/>
          <w:sz w:val="21"/>
        </w:rPr>
        <w:t>, strategic planning</w:t>
      </w:r>
      <w:r w:rsidR="00851B44">
        <w:rPr>
          <w:rFonts w:ascii="Franklin Gothic Book" w:hAnsi="Franklin Gothic Book"/>
          <w:sz w:val="21"/>
        </w:rPr>
        <w:t xml:space="preserve"> and statistical reporting.</w:t>
      </w:r>
      <w:r w:rsidR="00851B44" w:rsidRPr="00851B44">
        <w:rPr>
          <w:rFonts w:ascii="Franklin Gothic Book" w:hAnsi="Franklin Gothic Book"/>
          <w:sz w:val="21"/>
        </w:rPr>
        <w:t xml:space="preserve"> </w:t>
      </w:r>
      <w:r w:rsidR="003A3BC7" w:rsidRPr="00860F76">
        <w:rPr>
          <w:rFonts w:ascii="Franklin Gothic Book" w:hAnsi="Franklin Gothic Book"/>
          <w:sz w:val="21"/>
        </w:rPr>
        <w:t xml:space="preserve">Strong donor harmonisation in the health sector has ensured aligned interests amongst donors and </w:t>
      </w:r>
      <w:r w:rsidR="00D04D30">
        <w:rPr>
          <w:rFonts w:ascii="Franklin Gothic Book" w:hAnsi="Franklin Gothic Book"/>
          <w:sz w:val="21"/>
        </w:rPr>
        <w:t>G</w:t>
      </w:r>
      <w:r w:rsidR="003A3BC7" w:rsidRPr="00860F76">
        <w:rPr>
          <w:rFonts w:ascii="Franklin Gothic Book" w:hAnsi="Franklin Gothic Book"/>
          <w:sz w:val="21"/>
        </w:rPr>
        <w:t>overnment for development programming</w:t>
      </w:r>
      <w:r w:rsidR="001A7FCF" w:rsidRPr="00860F76">
        <w:rPr>
          <w:rFonts w:ascii="Franklin Gothic Book" w:hAnsi="Franklin Gothic Book"/>
          <w:sz w:val="21"/>
        </w:rPr>
        <w:t>, although continuity of</w:t>
      </w:r>
      <w:r w:rsidR="00B33467" w:rsidRPr="00860F76">
        <w:rPr>
          <w:rFonts w:ascii="Franklin Gothic Book" w:hAnsi="Franklin Gothic Book"/>
          <w:sz w:val="21"/>
        </w:rPr>
        <w:t xml:space="preserve"> advisors and other</w:t>
      </w:r>
      <w:r w:rsidR="001A7FCF" w:rsidRPr="00860F76">
        <w:rPr>
          <w:rFonts w:ascii="Franklin Gothic Book" w:hAnsi="Franklin Gothic Book"/>
          <w:sz w:val="21"/>
        </w:rPr>
        <w:t xml:space="preserve"> key positions across MHMS has remained a challenge. </w:t>
      </w:r>
      <w:r w:rsidR="009A2FF3">
        <w:rPr>
          <w:rFonts w:ascii="Franklin Gothic Book" w:hAnsi="Franklin Gothic Book"/>
          <w:sz w:val="21"/>
        </w:rPr>
        <w:t xml:space="preserve"> </w:t>
      </w:r>
    </w:p>
    <w:p w:rsidR="002A1149" w:rsidRPr="00860F76" w:rsidRDefault="003A3BC7" w:rsidP="00AE41AC">
      <w:pPr>
        <w:spacing w:after="200" w:line="276" w:lineRule="auto"/>
        <w:rPr>
          <w:rFonts w:ascii="Franklin Gothic Book" w:hAnsi="Franklin Gothic Book"/>
          <w:sz w:val="21"/>
        </w:rPr>
      </w:pPr>
      <w:r w:rsidRPr="00860F76">
        <w:rPr>
          <w:rFonts w:ascii="Franklin Gothic Book" w:hAnsi="Franklin Gothic Book"/>
          <w:sz w:val="21"/>
        </w:rPr>
        <w:t xml:space="preserve">Phase 1 of the hospital redevelopment project is now complete with new medical and surgical wings constructed, </w:t>
      </w:r>
      <w:r w:rsidR="007B6FE5" w:rsidRPr="00860F76">
        <w:rPr>
          <w:rFonts w:ascii="Franklin Gothic Book" w:hAnsi="Franklin Gothic Book"/>
          <w:sz w:val="21"/>
        </w:rPr>
        <w:t xml:space="preserve">and </w:t>
      </w:r>
      <w:r w:rsidRPr="00860F76">
        <w:rPr>
          <w:rFonts w:ascii="Franklin Gothic Book" w:hAnsi="Franklin Gothic Book"/>
          <w:sz w:val="21"/>
        </w:rPr>
        <w:t>Phase 2 commenc</w:t>
      </w:r>
      <w:r w:rsidR="007B6FE5" w:rsidRPr="00860F76">
        <w:rPr>
          <w:rFonts w:ascii="Franklin Gothic Book" w:hAnsi="Franklin Gothic Book"/>
          <w:sz w:val="21"/>
        </w:rPr>
        <w:t>ed</w:t>
      </w:r>
      <w:r w:rsidR="003C27C6" w:rsidRPr="00860F76">
        <w:rPr>
          <w:rFonts w:ascii="Franklin Gothic Book" w:hAnsi="Franklin Gothic Book"/>
          <w:sz w:val="21"/>
        </w:rPr>
        <w:t xml:space="preserve"> </w:t>
      </w:r>
      <w:r w:rsidR="00663118" w:rsidRPr="00860F76">
        <w:rPr>
          <w:rFonts w:ascii="Franklin Gothic Book" w:hAnsi="Franklin Gothic Book"/>
          <w:sz w:val="21"/>
        </w:rPr>
        <w:t>in May 2016</w:t>
      </w:r>
      <w:r w:rsidRPr="00860F76">
        <w:rPr>
          <w:rFonts w:ascii="Franklin Gothic Book" w:hAnsi="Franklin Gothic Book"/>
          <w:sz w:val="21"/>
        </w:rPr>
        <w:t>.</w:t>
      </w:r>
      <w:r w:rsidR="004B3BA3" w:rsidRPr="00860F76">
        <w:rPr>
          <w:rFonts w:ascii="Franklin Gothic Book" w:hAnsi="Franklin Gothic Book"/>
          <w:sz w:val="21"/>
        </w:rPr>
        <w:t xml:space="preserve"> </w:t>
      </w:r>
      <w:r w:rsidRPr="00860F76">
        <w:rPr>
          <w:rFonts w:ascii="Franklin Gothic Book" w:hAnsi="Franklin Gothic Book"/>
          <w:sz w:val="21"/>
        </w:rPr>
        <w:t xml:space="preserve"> </w:t>
      </w:r>
      <w:r w:rsidR="00BE2F1F">
        <w:rPr>
          <w:rFonts w:ascii="Franklin Gothic Book" w:hAnsi="Franklin Gothic Book"/>
          <w:sz w:val="21"/>
        </w:rPr>
        <w:t xml:space="preserve">The aid program has leveraged non-ODA contributions from </w:t>
      </w:r>
      <w:r w:rsidR="00C76B97">
        <w:rPr>
          <w:rFonts w:ascii="Franklin Gothic Book" w:hAnsi="Franklin Gothic Book"/>
          <w:sz w:val="21"/>
        </w:rPr>
        <w:t xml:space="preserve">DIBP </w:t>
      </w:r>
      <w:r w:rsidR="00BE2F1F">
        <w:rPr>
          <w:rFonts w:ascii="Franklin Gothic Book" w:hAnsi="Franklin Gothic Book"/>
          <w:sz w:val="21"/>
        </w:rPr>
        <w:t xml:space="preserve">in providing enhanced health </w:t>
      </w:r>
      <w:r w:rsidR="00F668BD">
        <w:rPr>
          <w:rFonts w:ascii="Franklin Gothic Book" w:hAnsi="Franklin Gothic Book"/>
          <w:sz w:val="21"/>
        </w:rPr>
        <w:t>facilities</w:t>
      </w:r>
      <w:r w:rsidR="00BE2F1F">
        <w:rPr>
          <w:rFonts w:ascii="Franklin Gothic Book" w:hAnsi="Franklin Gothic Book"/>
          <w:sz w:val="21"/>
        </w:rPr>
        <w:t xml:space="preserve"> in Nauru in line with the </w:t>
      </w:r>
      <w:proofErr w:type="spellStart"/>
      <w:r w:rsidR="00BE2F1F">
        <w:rPr>
          <w:rFonts w:ascii="Franklin Gothic Book" w:hAnsi="Franklin Gothic Book"/>
          <w:sz w:val="21"/>
        </w:rPr>
        <w:t>GoN</w:t>
      </w:r>
      <w:proofErr w:type="spellEnd"/>
      <w:r w:rsidR="00BE2F1F">
        <w:rPr>
          <w:rFonts w:ascii="Franklin Gothic Book" w:hAnsi="Franklin Gothic Book"/>
          <w:sz w:val="21"/>
        </w:rPr>
        <w:t xml:space="preserve"> health strategy.  </w:t>
      </w:r>
      <w:r w:rsidR="00DB48EB" w:rsidRPr="00860F76">
        <w:rPr>
          <w:rFonts w:ascii="Franklin Gothic Book" w:hAnsi="Franklin Gothic Book"/>
          <w:sz w:val="21"/>
        </w:rPr>
        <w:t>Consideration of o</w:t>
      </w:r>
      <w:r w:rsidRPr="00860F76">
        <w:rPr>
          <w:rFonts w:ascii="Franklin Gothic Book" w:hAnsi="Franklin Gothic Book"/>
          <w:sz w:val="21"/>
        </w:rPr>
        <w:t>ngoing training and funding for maintenance will be a critical aspect for sustainability of</w:t>
      </w:r>
      <w:r w:rsidR="00DB48EB" w:rsidRPr="00860F76">
        <w:rPr>
          <w:rFonts w:ascii="Franklin Gothic Book" w:hAnsi="Franklin Gothic Book"/>
          <w:sz w:val="21"/>
        </w:rPr>
        <w:t xml:space="preserve"> Australia’s</w:t>
      </w:r>
      <w:r w:rsidRPr="00860F76">
        <w:rPr>
          <w:rFonts w:ascii="Franklin Gothic Book" w:hAnsi="Franklin Gothic Book"/>
          <w:sz w:val="21"/>
        </w:rPr>
        <w:t xml:space="preserve"> health programming going forward. </w:t>
      </w:r>
      <w:r w:rsidR="00B5314B" w:rsidRPr="00860F76">
        <w:rPr>
          <w:rFonts w:ascii="Franklin Gothic Book" w:hAnsi="Franklin Gothic Book"/>
          <w:sz w:val="21"/>
        </w:rPr>
        <w:t xml:space="preserve">Australia’s funding </w:t>
      </w:r>
      <w:r w:rsidR="00211C9C">
        <w:rPr>
          <w:rFonts w:ascii="Franklin Gothic Book" w:hAnsi="Franklin Gothic Book"/>
          <w:sz w:val="21"/>
        </w:rPr>
        <w:t>(</w:t>
      </w:r>
      <w:r w:rsidR="00B5314B" w:rsidRPr="00860F76">
        <w:rPr>
          <w:rFonts w:ascii="Franklin Gothic Book" w:hAnsi="Franklin Gothic Book"/>
          <w:sz w:val="21"/>
        </w:rPr>
        <w:t>for senior in-line advisors and medical supplies</w:t>
      </w:r>
      <w:r w:rsidR="00211C9C">
        <w:rPr>
          <w:rFonts w:ascii="Franklin Gothic Book" w:hAnsi="Franklin Gothic Book"/>
          <w:sz w:val="21"/>
        </w:rPr>
        <w:t>)</w:t>
      </w:r>
      <w:r w:rsidR="00B5314B" w:rsidRPr="00860F76">
        <w:rPr>
          <w:rFonts w:ascii="Franklin Gothic Book" w:hAnsi="Franklin Gothic Book"/>
          <w:sz w:val="21"/>
        </w:rPr>
        <w:t xml:space="preserve"> has also contributed to improvements in service delivery.</w:t>
      </w:r>
      <w:r w:rsidR="009A2FF3">
        <w:rPr>
          <w:rFonts w:ascii="Franklin Gothic Book" w:hAnsi="Franklin Gothic Book"/>
          <w:sz w:val="21"/>
        </w:rPr>
        <w:t xml:space="preserve"> </w:t>
      </w:r>
      <w:r w:rsidR="00B5314B" w:rsidRPr="00860F76">
        <w:rPr>
          <w:rFonts w:ascii="Franklin Gothic Book" w:hAnsi="Franklin Gothic Book"/>
          <w:sz w:val="21"/>
        </w:rPr>
        <w:t xml:space="preserve"> </w:t>
      </w:r>
      <w:r w:rsidR="005E619E">
        <w:rPr>
          <w:rFonts w:ascii="Franklin Gothic Book" w:hAnsi="Franklin Gothic Book"/>
          <w:sz w:val="21"/>
        </w:rPr>
        <w:t xml:space="preserve">While </w:t>
      </w:r>
      <w:r w:rsidR="006550D2">
        <w:rPr>
          <w:rFonts w:ascii="Franklin Gothic Book" w:hAnsi="Franklin Gothic Book"/>
          <w:sz w:val="21"/>
        </w:rPr>
        <w:t xml:space="preserve">more work needs to be done to capture </w:t>
      </w:r>
      <w:r w:rsidR="005E619E">
        <w:rPr>
          <w:rFonts w:ascii="Franklin Gothic Book" w:hAnsi="Franklin Gothic Book"/>
          <w:sz w:val="21"/>
        </w:rPr>
        <w:t>k</w:t>
      </w:r>
      <w:r w:rsidR="001A7FCF" w:rsidRPr="00860F76">
        <w:rPr>
          <w:rFonts w:ascii="Franklin Gothic Book" w:hAnsi="Franklin Gothic Book"/>
          <w:sz w:val="21"/>
        </w:rPr>
        <w:t xml:space="preserve">ey </w:t>
      </w:r>
      <w:r w:rsidR="005E619E">
        <w:rPr>
          <w:rFonts w:ascii="Franklin Gothic Book" w:hAnsi="Franklin Gothic Book"/>
          <w:sz w:val="21"/>
        </w:rPr>
        <w:t xml:space="preserve">data on </w:t>
      </w:r>
      <w:r w:rsidR="001A7FCF" w:rsidRPr="00860F76">
        <w:rPr>
          <w:rFonts w:ascii="Franklin Gothic Book" w:hAnsi="Franklin Gothic Book"/>
          <w:sz w:val="21"/>
        </w:rPr>
        <w:t>health indicators</w:t>
      </w:r>
      <w:r w:rsidR="005E619E">
        <w:rPr>
          <w:rFonts w:ascii="Franklin Gothic Book" w:hAnsi="Franklin Gothic Book"/>
          <w:sz w:val="21"/>
        </w:rPr>
        <w:t xml:space="preserve">, spot reporting suggests positive developments. </w:t>
      </w:r>
      <w:r w:rsidR="001A7FCF" w:rsidRPr="00860F76">
        <w:rPr>
          <w:rFonts w:ascii="Franklin Gothic Book" w:hAnsi="Franklin Gothic Book"/>
          <w:sz w:val="21"/>
        </w:rPr>
        <w:t xml:space="preserve"> MHMS reporting in June 2016 confirmed a</w:t>
      </w:r>
      <w:r w:rsidR="00054F5D" w:rsidRPr="00860F76">
        <w:rPr>
          <w:rFonts w:ascii="Franklin Gothic Book" w:hAnsi="Franklin Gothic Book"/>
          <w:sz w:val="21"/>
        </w:rPr>
        <w:t xml:space="preserve"> </w:t>
      </w:r>
      <w:r w:rsidR="001A7FCF" w:rsidRPr="00860F76">
        <w:rPr>
          <w:rFonts w:ascii="Franklin Gothic Book" w:hAnsi="Franklin Gothic Book"/>
          <w:sz w:val="21"/>
        </w:rPr>
        <w:t>100</w:t>
      </w:r>
      <w:r w:rsidR="00211C9C">
        <w:rPr>
          <w:rFonts w:ascii="Franklin Gothic Book" w:hAnsi="Franklin Gothic Book"/>
          <w:sz w:val="21"/>
        </w:rPr>
        <w:t xml:space="preserve"> per cent </w:t>
      </w:r>
      <w:r w:rsidR="001A7FCF" w:rsidRPr="00860F76">
        <w:rPr>
          <w:rFonts w:ascii="Franklin Gothic Book" w:hAnsi="Franklin Gothic Book"/>
          <w:sz w:val="21"/>
        </w:rPr>
        <w:t>BCG and Hep</w:t>
      </w:r>
      <w:r w:rsidR="00211C9C">
        <w:rPr>
          <w:rFonts w:ascii="Franklin Gothic Book" w:hAnsi="Franklin Gothic Book"/>
          <w:sz w:val="21"/>
        </w:rPr>
        <w:t>atitis</w:t>
      </w:r>
      <w:r w:rsidR="001A7FCF" w:rsidRPr="00860F76">
        <w:rPr>
          <w:rFonts w:ascii="Franklin Gothic Book" w:hAnsi="Franklin Gothic Book"/>
          <w:sz w:val="21"/>
        </w:rPr>
        <w:t xml:space="preserve"> B vaccination rate for new</w:t>
      </w:r>
      <w:r w:rsidR="00211C9C">
        <w:rPr>
          <w:rFonts w:ascii="Franklin Gothic Book" w:hAnsi="Franklin Gothic Book"/>
          <w:sz w:val="21"/>
        </w:rPr>
        <w:t>-</w:t>
      </w:r>
      <w:r w:rsidR="001A7FCF" w:rsidRPr="00860F76">
        <w:rPr>
          <w:rFonts w:ascii="Franklin Gothic Book" w:hAnsi="Franklin Gothic Book"/>
          <w:sz w:val="21"/>
        </w:rPr>
        <w:t>born</w:t>
      </w:r>
      <w:r w:rsidR="00211C9C">
        <w:rPr>
          <w:rFonts w:ascii="Franklin Gothic Book" w:hAnsi="Franklin Gothic Book"/>
          <w:sz w:val="21"/>
        </w:rPr>
        <w:t xml:space="preserve"> babie</w:t>
      </w:r>
      <w:r w:rsidR="001A7FCF" w:rsidRPr="00860F76">
        <w:rPr>
          <w:rFonts w:ascii="Franklin Gothic Book" w:hAnsi="Franklin Gothic Book"/>
          <w:sz w:val="21"/>
        </w:rPr>
        <w:t>s and a</w:t>
      </w:r>
      <w:r w:rsidR="00F95C02">
        <w:rPr>
          <w:rFonts w:ascii="Franklin Gothic Book" w:hAnsi="Franklin Gothic Book"/>
          <w:sz w:val="21"/>
        </w:rPr>
        <w:t xml:space="preserve"> dramatic </w:t>
      </w:r>
      <w:r w:rsidR="001A7FCF" w:rsidRPr="00860F76">
        <w:rPr>
          <w:rFonts w:ascii="Franklin Gothic Book" w:hAnsi="Franklin Gothic Book"/>
          <w:sz w:val="21"/>
        </w:rPr>
        <w:t xml:space="preserve">increase </w:t>
      </w:r>
      <w:r w:rsidR="00624358">
        <w:rPr>
          <w:rFonts w:ascii="Franklin Gothic Book" w:hAnsi="Franklin Gothic Book"/>
          <w:sz w:val="21"/>
        </w:rPr>
        <w:t>(</w:t>
      </w:r>
      <w:r w:rsidR="001A7FCF" w:rsidRPr="00860F76">
        <w:rPr>
          <w:rFonts w:ascii="Franklin Gothic Book" w:hAnsi="Franklin Gothic Book"/>
          <w:sz w:val="21"/>
        </w:rPr>
        <w:t>from 2.4</w:t>
      </w:r>
      <w:r w:rsidR="00211C9C">
        <w:rPr>
          <w:rFonts w:ascii="Franklin Gothic Book" w:hAnsi="Franklin Gothic Book"/>
          <w:sz w:val="21"/>
        </w:rPr>
        <w:t xml:space="preserve"> per cent to </w:t>
      </w:r>
      <w:r w:rsidR="001A7FCF" w:rsidRPr="00860F76">
        <w:rPr>
          <w:rFonts w:ascii="Franklin Gothic Book" w:hAnsi="Franklin Gothic Book"/>
          <w:sz w:val="21"/>
        </w:rPr>
        <w:t>80</w:t>
      </w:r>
      <w:r w:rsidR="00211C9C">
        <w:rPr>
          <w:rFonts w:ascii="Franklin Gothic Book" w:hAnsi="Franklin Gothic Book"/>
          <w:sz w:val="21"/>
        </w:rPr>
        <w:t xml:space="preserve"> per cent</w:t>
      </w:r>
      <w:r w:rsidR="00624358">
        <w:rPr>
          <w:rFonts w:ascii="Franklin Gothic Book" w:hAnsi="Franklin Gothic Book"/>
          <w:sz w:val="21"/>
        </w:rPr>
        <w:t>)</w:t>
      </w:r>
      <w:r w:rsidR="00211C9C">
        <w:rPr>
          <w:rFonts w:ascii="Franklin Gothic Book" w:hAnsi="Franklin Gothic Book"/>
          <w:sz w:val="21"/>
        </w:rPr>
        <w:t xml:space="preserve"> </w:t>
      </w:r>
      <w:r w:rsidR="001A7FCF" w:rsidRPr="00860F76">
        <w:rPr>
          <w:rFonts w:ascii="Franklin Gothic Book" w:hAnsi="Franklin Gothic Book"/>
          <w:sz w:val="21"/>
        </w:rPr>
        <w:t xml:space="preserve">over the </w:t>
      </w:r>
      <w:r w:rsidR="00054F5D" w:rsidRPr="00860F76">
        <w:rPr>
          <w:rFonts w:ascii="Franklin Gothic Book" w:hAnsi="Franklin Gothic Book"/>
          <w:sz w:val="21"/>
        </w:rPr>
        <w:t>year</w:t>
      </w:r>
      <w:r w:rsidR="001A7FCF" w:rsidRPr="00860F76">
        <w:rPr>
          <w:rFonts w:ascii="Franklin Gothic Book" w:hAnsi="Franklin Gothic Book"/>
          <w:sz w:val="21"/>
        </w:rPr>
        <w:t xml:space="preserve"> in </w:t>
      </w:r>
      <w:r w:rsidR="003546F6" w:rsidRPr="00860F76">
        <w:rPr>
          <w:rFonts w:ascii="Franklin Gothic Book" w:hAnsi="Franklin Gothic Book"/>
          <w:sz w:val="21"/>
        </w:rPr>
        <w:t xml:space="preserve">compliance with prevention </w:t>
      </w:r>
      <w:r w:rsidR="001A7FCF" w:rsidRPr="00860F76">
        <w:rPr>
          <w:rFonts w:ascii="Franklin Gothic Book" w:hAnsi="Franklin Gothic Book"/>
          <w:sz w:val="21"/>
        </w:rPr>
        <w:t>treatment for Rheumatic Heart Disease</w:t>
      </w:r>
      <w:r w:rsidR="00B5314B" w:rsidRPr="00860F76">
        <w:rPr>
          <w:rFonts w:ascii="Franklin Gothic Book" w:hAnsi="Franklin Gothic Book"/>
          <w:sz w:val="21"/>
        </w:rPr>
        <w:t xml:space="preserve">. </w:t>
      </w:r>
      <w:r w:rsidR="009A2FF3">
        <w:rPr>
          <w:rFonts w:ascii="Franklin Gothic Book" w:hAnsi="Franklin Gothic Book"/>
          <w:sz w:val="21"/>
        </w:rPr>
        <w:t xml:space="preserve"> </w:t>
      </w:r>
      <w:r w:rsidR="003546F6" w:rsidRPr="00860F76">
        <w:rPr>
          <w:rFonts w:ascii="Franklin Gothic Book" w:hAnsi="Franklin Gothic Book"/>
          <w:sz w:val="21"/>
        </w:rPr>
        <w:t>Results of a workplace NCD survey carried out between November 2015 and March 2016 are</w:t>
      </w:r>
      <w:r w:rsidR="00B3065C" w:rsidRPr="00860F76">
        <w:rPr>
          <w:rFonts w:ascii="Franklin Gothic Book" w:hAnsi="Franklin Gothic Book"/>
          <w:sz w:val="21"/>
        </w:rPr>
        <w:t xml:space="preserve"> also</w:t>
      </w:r>
      <w:r w:rsidR="003546F6" w:rsidRPr="00860F76">
        <w:rPr>
          <w:rFonts w:ascii="Franklin Gothic Book" w:hAnsi="Franklin Gothic Book"/>
          <w:sz w:val="21"/>
        </w:rPr>
        <w:t xml:space="preserve"> expected shortly. </w:t>
      </w:r>
      <w:r w:rsidR="00054F5D" w:rsidRPr="00860F76">
        <w:rPr>
          <w:rFonts w:ascii="Franklin Gothic Book" w:hAnsi="Franklin Gothic Book"/>
          <w:sz w:val="21"/>
        </w:rPr>
        <w:t xml:space="preserve"> </w:t>
      </w:r>
      <w:r w:rsidR="00B3065C" w:rsidRPr="00860F76">
        <w:rPr>
          <w:rFonts w:ascii="Franklin Gothic Book" w:hAnsi="Franklin Gothic Book"/>
          <w:sz w:val="21"/>
        </w:rPr>
        <w:t xml:space="preserve">More broadly, the introduction of a new case management framework in November 2015 </w:t>
      </w:r>
      <w:r w:rsidR="00724B8C" w:rsidRPr="00860F76">
        <w:rPr>
          <w:rFonts w:ascii="Franklin Gothic Book" w:hAnsi="Franklin Gothic Book"/>
          <w:sz w:val="21"/>
        </w:rPr>
        <w:t>allowed for</w:t>
      </w:r>
      <w:r w:rsidR="00B3065C" w:rsidRPr="00860F76">
        <w:rPr>
          <w:rFonts w:ascii="Franklin Gothic Book" w:hAnsi="Franklin Gothic Book"/>
          <w:sz w:val="21"/>
        </w:rPr>
        <w:t xml:space="preserve"> greater oversight and continuity of care for all discharged and returning patients.</w:t>
      </w:r>
    </w:p>
    <w:p w:rsidR="00747170" w:rsidRDefault="00747170" w:rsidP="00860F76">
      <w:pPr>
        <w:spacing w:after="200" w:line="276" w:lineRule="auto"/>
        <w:rPr>
          <w:rFonts w:ascii="Franklin Gothic Book" w:hAnsi="Franklin Gothic Book"/>
          <w:sz w:val="21"/>
        </w:rPr>
      </w:pPr>
      <w:r>
        <w:rPr>
          <w:rFonts w:ascii="Franklin Gothic Book" w:hAnsi="Franklin Gothic Book"/>
          <w:sz w:val="21"/>
        </w:rPr>
        <w:t xml:space="preserve">Inclusive development has been factored into designs for </w:t>
      </w:r>
      <w:r w:rsidR="002236C3" w:rsidRPr="00860F76">
        <w:rPr>
          <w:rFonts w:ascii="Franklin Gothic Book" w:hAnsi="Franklin Gothic Book"/>
          <w:sz w:val="21"/>
        </w:rPr>
        <w:t xml:space="preserve">the hospital redevelopment </w:t>
      </w:r>
      <w:r>
        <w:rPr>
          <w:rFonts w:ascii="Franklin Gothic Book" w:hAnsi="Franklin Gothic Book"/>
          <w:sz w:val="21"/>
        </w:rPr>
        <w:t xml:space="preserve">and the learning village, which provide </w:t>
      </w:r>
      <w:r w:rsidR="001B48EC" w:rsidRPr="00860F76">
        <w:rPr>
          <w:rFonts w:ascii="Franklin Gothic Book" w:hAnsi="Franklin Gothic Book"/>
          <w:sz w:val="21"/>
        </w:rPr>
        <w:t>access for people with a disability</w:t>
      </w:r>
      <w:r w:rsidR="002236C3" w:rsidRPr="00860F76">
        <w:rPr>
          <w:rFonts w:ascii="Franklin Gothic Book" w:hAnsi="Franklin Gothic Book"/>
          <w:sz w:val="21"/>
        </w:rPr>
        <w:t xml:space="preserve"> and consider </w:t>
      </w:r>
      <w:r>
        <w:rPr>
          <w:rFonts w:ascii="Franklin Gothic Book" w:hAnsi="Franklin Gothic Book"/>
          <w:sz w:val="21"/>
        </w:rPr>
        <w:t xml:space="preserve">the </w:t>
      </w:r>
      <w:r w:rsidR="002236C3" w:rsidRPr="00860F76">
        <w:rPr>
          <w:rFonts w:ascii="Franklin Gothic Book" w:hAnsi="Franklin Gothic Book"/>
          <w:sz w:val="21"/>
        </w:rPr>
        <w:t xml:space="preserve">broader </w:t>
      </w:r>
      <w:r w:rsidR="001B48EC" w:rsidRPr="00860F76">
        <w:rPr>
          <w:rFonts w:ascii="Franklin Gothic Book" w:hAnsi="Franklin Gothic Book"/>
          <w:sz w:val="21"/>
        </w:rPr>
        <w:t xml:space="preserve">needs of refugee </w:t>
      </w:r>
      <w:r w:rsidR="003C27C6" w:rsidRPr="00860F76">
        <w:rPr>
          <w:rFonts w:ascii="Franklin Gothic Book" w:hAnsi="Franklin Gothic Book"/>
          <w:sz w:val="21"/>
        </w:rPr>
        <w:t xml:space="preserve">and </w:t>
      </w:r>
      <w:r w:rsidR="001B48EC" w:rsidRPr="00860F76">
        <w:rPr>
          <w:rFonts w:ascii="Franklin Gothic Book" w:hAnsi="Franklin Gothic Book"/>
          <w:sz w:val="21"/>
        </w:rPr>
        <w:t xml:space="preserve">minority groups </w:t>
      </w:r>
      <w:r w:rsidR="002236C3" w:rsidRPr="00860F76">
        <w:rPr>
          <w:rFonts w:ascii="Franklin Gothic Book" w:hAnsi="Franklin Gothic Book"/>
          <w:sz w:val="21"/>
        </w:rPr>
        <w:t xml:space="preserve">as part of health </w:t>
      </w:r>
      <w:r>
        <w:rPr>
          <w:rFonts w:ascii="Franklin Gothic Book" w:hAnsi="Franklin Gothic Book"/>
          <w:sz w:val="21"/>
        </w:rPr>
        <w:t xml:space="preserve">and education </w:t>
      </w:r>
      <w:r w:rsidR="002236C3" w:rsidRPr="00860F76">
        <w:rPr>
          <w:rFonts w:ascii="Franklin Gothic Book" w:hAnsi="Franklin Gothic Book"/>
          <w:sz w:val="21"/>
        </w:rPr>
        <w:t>services provided to the Nauruan community.</w:t>
      </w:r>
      <w:r w:rsidR="00586403" w:rsidRPr="00860F76">
        <w:rPr>
          <w:rFonts w:ascii="Franklin Gothic Book" w:hAnsi="Franklin Gothic Book"/>
          <w:sz w:val="21"/>
        </w:rPr>
        <w:t xml:space="preserve"> </w:t>
      </w:r>
      <w:r w:rsidR="002236C3" w:rsidRPr="00860F76">
        <w:rPr>
          <w:rFonts w:ascii="Franklin Gothic Book" w:hAnsi="Franklin Gothic Book"/>
          <w:sz w:val="21"/>
        </w:rPr>
        <w:t xml:space="preserve"> </w:t>
      </w:r>
    </w:p>
    <w:p w:rsidR="008F60CF" w:rsidRDefault="00747170" w:rsidP="008F60CF">
      <w:pPr>
        <w:spacing w:after="200" w:line="276" w:lineRule="auto"/>
        <w:rPr>
          <w:rFonts w:ascii="Franklin Gothic Book" w:hAnsi="Franklin Gothic Book"/>
          <w:sz w:val="21"/>
        </w:rPr>
      </w:pPr>
      <w:r>
        <w:rPr>
          <w:rFonts w:ascii="Franklin Gothic Book" w:hAnsi="Franklin Gothic Book"/>
          <w:sz w:val="21"/>
        </w:rPr>
        <w:lastRenderedPageBreak/>
        <w:t xml:space="preserve">In terms of gender equality, </w:t>
      </w:r>
      <w:r w:rsidRPr="00860F76">
        <w:rPr>
          <w:rFonts w:ascii="Franklin Gothic Book" w:hAnsi="Franklin Gothic Book"/>
          <w:sz w:val="21"/>
        </w:rPr>
        <w:t xml:space="preserve">Australia partnered with </w:t>
      </w:r>
      <w:r w:rsidRPr="00211C9C">
        <w:rPr>
          <w:rFonts w:ascii="Franklin Gothic Book" w:hAnsi="Franklin Gothic Book"/>
          <w:sz w:val="21"/>
        </w:rPr>
        <w:t>UN</w:t>
      </w:r>
      <w:r>
        <w:rPr>
          <w:rFonts w:ascii="Franklin Gothic Book" w:hAnsi="Franklin Gothic Book"/>
          <w:sz w:val="21"/>
        </w:rPr>
        <w:t xml:space="preserve"> </w:t>
      </w:r>
      <w:r w:rsidRPr="00211C9C">
        <w:rPr>
          <w:rFonts w:ascii="Franklin Gothic Book" w:hAnsi="Franklin Gothic Book"/>
          <w:sz w:val="21"/>
        </w:rPr>
        <w:t xml:space="preserve">Women </w:t>
      </w:r>
      <w:r w:rsidRPr="00860F76">
        <w:rPr>
          <w:rFonts w:ascii="Franklin Gothic Book" w:hAnsi="Franklin Gothic Book"/>
          <w:sz w:val="21"/>
        </w:rPr>
        <w:t xml:space="preserve">to deliver Transformational Leadership training and a Practice Parliament to encourage women in leadership and support their participation in the </w:t>
      </w:r>
      <w:r w:rsidRPr="000156CF">
        <w:rPr>
          <w:rFonts w:ascii="Franklin Gothic Book" w:hAnsi="Franklin Gothic Book"/>
          <w:sz w:val="21"/>
        </w:rPr>
        <w:t xml:space="preserve">2016 Nauru elections. </w:t>
      </w:r>
      <w:r w:rsidR="00AE2202" w:rsidRPr="000156CF">
        <w:rPr>
          <w:rFonts w:ascii="Franklin Gothic Book" w:hAnsi="Franklin Gothic Book"/>
          <w:sz w:val="21"/>
        </w:rPr>
        <w:t>Key outcomes</w:t>
      </w:r>
      <w:r w:rsidR="000156CF" w:rsidRPr="000156CF">
        <w:rPr>
          <w:rFonts w:ascii="Franklin Gothic Book" w:hAnsi="Franklin Gothic Book"/>
          <w:sz w:val="21"/>
        </w:rPr>
        <w:t xml:space="preserve"> of this support</w:t>
      </w:r>
      <w:r w:rsidR="00AE2202" w:rsidRPr="000156CF">
        <w:rPr>
          <w:rFonts w:ascii="Franklin Gothic Book" w:hAnsi="Franklin Gothic Book"/>
          <w:sz w:val="21"/>
        </w:rPr>
        <w:t xml:space="preserve"> </w:t>
      </w:r>
      <w:r w:rsidR="000156CF" w:rsidRPr="000156CF">
        <w:rPr>
          <w:rFonts w:ascii="Franklin Gothic Book" w:hAnsi="Franklin Gothic Book"/>
          <w:sz w:val="21"/>
        </w:rPr>
        <w:t>included</w:t>
      </w:r>
      <w:r w:rsidR="00E91CE0">
        <w:rPr>
          <w:rFonts w:ascii="Franklin Gothic Book" w:hAnsi="Franklin Gothic Book"/>
          <w:sz w:val="21"/>
        </w:rPr>
        <w:t xml:space="preserve"> </w:t>
      </w:r>
      <w:r w:rsidR="000156CF">
        <w:rPr>
          <w:rFonts w:ascii="Franklin Gothic Book" w:hAnsi="Franklin Gothic Book"/>
          <w:sz w:val="21"/>
        </w:rPr>
        <w:t>strengthened</w:t>
      </w:r>
      <w:r w:rsidR="00AE2202" w:rsidRPr="000156CF">
        <w:rPr>
          <w:rFonts w:ascii="Franklin Gothic Book" w:hAnsi="Franklin Gothic Book"/>
          <w:sz w:val="21"/>
        </w:rPr>
        <w:t xml:space="preserve"> capacity</w:t>
      </w:r>
      <w:r w:rsidR="00E91CE0">
        <w:rPr>
          <w:rFonts w:ascii="Franklin Gothic Book" w:hAnsi="Franklin Gothic Book"/>
          <w:sz w:val="21"/>
        </w:rPr>
        <w:t xml:space="preserve"> and engagement</w:t>
      </w:r>
      <w:r w:rsidR="000156CF" w:rsidRPr="000156CF">
        <w:rPr>
          <w:rFonts w:ascii="Franklin Gothic Book" w:hAnsi="Franklin Gothic Book"/>
          <w:sz w:val="21"/>
        </w:rPr>
        <w:t xml:space="preserve"> of participants (particularly in the areas of media, networking and decision making)</w:t>
      </w:r>
      <w:r w:rsidR="00AE2202" w:rsidRPr="000156CF">
        <w:rPr>
          <w:rFonts w:ascii="Franklin Gothic Book" w:hAnsi="Franklin Gothic Book"/>
          <w:sz w:val="21"/>
        </w:rPr>
        <w:t xml:space="preserve"> to meaningfully participate in national political processes and </w:t>
      </w:r>
      <w:r w:rsidR="00E91CE0">
        <w:rPr>
          <w:rFonts w:ascii="Franklin Gothic Book" w:hAnsi="Franklin Gothic Book"/>
          <w:sz w:val="21"/>
        </w:rPr>
        <w:t>run</w:t>
      </w:r>
      <w:r w:rsidR="00AE2202" w:rsidRPr="000156CF">
        <w:rPr>
          <w:rFonts w:ascii="Franklin Gothic Book" w:hAnsi="Franklin Gothic Book"/>
          <w:sz w:val="21"/>
        </w:rPr>
        <w:t xml:space="preserve"> effective election campaigns</w:t>
      </w:r>
      <w:r w:rsidR="000156CF">
        <w:rPr>
          <w:rFonts w:ascii="Franklin Gothic Book" w:hAnsi="Franklin Gothic Book"/>
          <w:sz w:val="21"/>
        </w:rPr>
        <w:t xml:space="preserve"> which incorporate gender-sensitive approaches to </w:t>
      </w:r>
      <w:r w:rsidR="00AE2202" w:rsidRPr="000156CF">
        <w:rPr>
          <w:rFonts w:ascii="Franklin Gothic Book" w:hAnsi="Franklin Gothic Book"/>
          <w:sz w:val="21"/>
        </w:rPr>
        <w:t xml:space="preserve"> </w:t>
      </w:r>
      <w:r w:rsidR="000156CF">
        <w:rPr>
          <w:rFonts w:ascii="Franklin Gothic Book" w:hAnsi="Franklin Gothic Book"/>
          <w:sz w:val="21"/>
        </w:rPr>
        <w:t>domestic</w:t>
      </w:r>
      <w:r w:rsidR="00AE2202" w:rsidRPr="000156CF">
        <w:rPr>
          <w:rFonts w:ascii="Franklin Gothic Book" w:hAnsi="Franklin Gothic Book"/>
          <w:sz w:val="21"/>
        </w:rPr>
        <w:t xml:space="preserve"> </w:t>
      </w:r>
      <w:r w:rsidR="000156CF">
        <w:rPr>
          <w:rFonts w:ascii="Franklin Gothic Book" w:hAnsi="Franklin Gothic Book"/>
          <w:sz w:val="21"/>
        </w:rPr>
        <w:t xml:space="preserve">policy </w:t>
      </w:r>
      <w:r w:rsidR="00AE2202" w:rsidRPr="000156CF">
        <w:rPr>
          <w:rFonts w:ascii="Franklin Gothic Book" w:hAnsi="Franklin Gothic Book"/>
          <w:sz w:val="21"/>
        </w:rPr>
        <w:t xml:space="preserve">issues. </w:t>
      </w:r>
      <w:r w:rsidRPr="000156CF">
        <w:rPr>
          <w:rFonts w:ascii="Franklin Gothic Book" w:hAnsi="Franklin Gothic Book"/>
          <w:sz w:val="21"/>
        </w:rPr>
        <w:t>DFAT</w:t>
      </w:r>
      <w:r>
        <w:rPr>
          <w:rFonts w:ascii="Franklin Gothic Book" w:hAnsi="Franklin Gothic Book"/>
          <w:sz w:val="21"/>
        </w:rPr>
        <w:t xml:space="preserve"> has been negotiating with MHMS on </w:t>
      </w:r>
      <w:r w:rsidR="006A51D3" w:rsidRPr="00860F76">
        <w:rPr>
          <w:rFonts w:ascii="Franklin Gothic Book" w:hAnsi="Franklin Gothic Book"/>
          <w:sz w:val="21"/>
        </w:rPr>
        <w:t>Terms of Reference</w:t>
      </w:r>
      <w:r w:rsidR="002236C3" w:rsidRPr="00860F76">
        <w:rPr>
          <w:rFonts w:ascii="Franklin Gothic Book" w:hAnsi="Franklin Gothic Book"/>
          <w:sz w:val="21"/>
        </w:rPr>
        <w:t xml:space="preserve"> </w:t>
      </w:r>
      <w:r w:rsidR="006A51D3" w:rsidRPr="00860F76">
        <w:rPr>
          <w:rFonts w:ascii="Franklin Gothic Book" w:hAnsi="Franklin Gothic Book"/>
          <w:sz w:val="21"/>
        </w:rPr>
        <w:t xml:space="preserve">for </w:t>
      </w:r>
      <w:r w:rsidR="00B33467" w:rsidRPr="00860F76">
        <w:rPr>
          <w:rFonts w:ascii="Franklin Gothic Book" w:hAnsi="Franklin Gothic Book"/>
          <w:sz w:val="21"/>
        </w:rPr>
        <w:t>a replacement</w:t>
      </w:r>
      <w:r w:rsidR="002236C3" w:rsidRPr="00860F76">
        <w:rPr>
          <w:rFonts w:ascii="Franklin Gothic Book" w:hAnsi="Franklin Gothic Book"/>
          <w:sz w:val="21"/>
        </w:rPr>
        <w:t xml:space="preserve"> gender-based violence</w:t>
      </w:r>
      <w:r w:rsidR="00D30701" w:rsidRPr="00860F76">
        <w:rPr>
          <w:rFonts w:ascii="Franklin Gothic Book" w:hAnsi="Franklin Gothic Book"/>
          <w:sz w:val="21"/>
        </w:rPr>
        <w:t>/child protection specialist</w:t>
      </w:r>
      <w:r w:rsidR="00601E20">
        <w:rPr>
          <w:rFonts w:ascii="Franklin Gothic Book" w:hAnsi="Franklin Gothic Book"/>
          <w:sz w:val="21"/>
        </w:rPr>
        <w:t xml:space="preserve"> to </w:t>
      </w:r>
      <w:r w:rsidR="00D30701" w:rsidRPr="00860F76">
        <w:rPr>
          <w:rFonts w:ascii="Franklin Gothic Book" w:hAnsi="Franklin Gothic Book"/>
          <w:sz w:val="21"/>
        </w:rPr>
        <w:t>support the development of</w:t>
      </w:r>
      <w:r w:rsidR="006A51D3" w:rsidRPr="00860F76">
        <w:rPr>
          <w:rFonts w:ascii="Franklin Gothic Book" w:hAnsi="Franklin Gothic Book"/>
          <w:sz w:val="21"/>
        </w:rPr>
        <w:t xml:space="preserve"> more effective</w:t>
      </w:r>
      <w:r w:rsidR="00D30701" w:rsidRPr="00860F76">
        <w:rPr>
          <w:rFonts w:ascii="Franklin Gothic Book" w:hAnsi="Franklin Gothic Book"/>
          <w:sz w:val="21"/>
        </w:rPr>
        <w:t xml:space="preserve"> gender</w:t>
      </w:r>
      <w:r w:rsidR="006A51D3" w:rsidRPr="00860F76">
        <w:rPr>
          <w:rFonts w:ascii="Franklin Gothic Book" w:hAnsi="Franklin Gothic Book"/>
          <w:sz w:val="21"/>
        </w:rPr>
        <w:t>-</w:t>
      </w:r>
      <w:r w:rsidR="00D30701" w:rsidRPr="00860F76">
        <w:rPr>
          <w:rFonts w:ascii="Franklin Gothic Book" w:hAnsi="Franklin Gothic Book"/>
          <w:sz w:val="21"/>
        </w:rPr>
        <w:t>engagement strategies</w:t>
      </w:r>
      <w:r w:rsidR="00133481" w:rsidRPr="00860F76">
        <w:rPr>
          <w:rFonts w:ascii="Franklin Gothic Book" w:hAnsi="Franklin Gothic Book"/>
          <w:sz w:val="21"/>
        </w:rPr>
        <w:t xml:space="preserve"> </w:t>
      </w:r>
      <w:r w:rsidR="001D126A" w:rsidRPr="00860F76">
        <w:rPr>
          <w:rFonts w:ascii="Franklin Gothic Book" w:hAnsi="Franklin Gothic Book"/>
          <w:sz w:val="21"/>
        </w:rPr>
        <w:t>and improved response and referral by the health sector to instances of family and sexual violence</w:t>
      </w:r>
      <w:r w:rsidR="00D30701" w:rsidRPr="00860F76">
        <w:rPr>
          <w:rFonts w:ascii="Franklin Gothic Book" w:hAnsi="Franklin Gothic Book"/>
          <w:sz w:val="21"/>
        </w:rPr>
        <w:t>.</w:t>
      </w:r>
      <w:r w:rsidR="00DD544D" w:rsidRPr="00860F76">
        <w:rPr>
          <w:rFonts w:ascii="Franklin Gothic Book" w:hAnsi="Franklin Gothic Book"/>
          <w:sz w:val="21"/>
        </w:rPr>
        <w:t xml:space="preserve"> </w:t>
      </w:r>
      <w:r w:rsidR="00054F5D" w:rsidRPr="00860F76">
        <w:rPr>
          <w:rFonts w:ascii="Franklin Gothic Book" w:hAnsi="Franklin Gothic Book"/>
          <w:sz w:val="21"/>
        </w:rPr>
        <w:t xml:space="preserve"> </w:t>
      </w:r>
      <w:r w:rsidR="008F60CF">
        <w:rPr>
          <w:rFonts w:ascii="Franklin Gothic Book" w:hAnsi="Franklin Gothic Book"/>
          <w:sz w:val="21"/>
        </w:rPr>
        <w:t xml:space="preserve">The </w:t>
      </w:r>
      <w:r w:rsidR="008F60CF" w:rsidRPr="00CB3263">
        <w:rPr>
          <w:rFonts w:ascii="Franklin Gothic Book" w:hAnsi="Franklin Gothic Book"/>
          <w:sz w:val="21"/>
        </w:rPr>
        <w:t xml:space="preserve">UNE Community Health and Wellbeing students </w:t>
      </w:r>
      <w:r w:rsidR="00CB3263">
        <w:rPr>
          <w:rFonts w:ascii="Franklin Gothic Book" w:hAnsi="Franklin Gothic Book"/>
          <w:sz w:val="21"/>
        </w:rPr>
        <w:t xml:space="preserve">are </w:t>
      </w:r>
      <w:r w:rsidR="008F60CF" w:rsidRPr="00CB3263">
        <w:rPr>
          <w:rFonts w:ascii="Franklin Gothic Book" w:hAnsi="Franklin Gothic Book"/>
          <w:sz w:val="21"/>
        </w:rPr>
        <w:t>increas</w:t>
      </w:r>
      <w:r w:rsidR="00CB3263">
        <w:rPr>
          <w:rFonts w:ascii="Franklin Gothic Book" w:hAnsi="Franklin Gothic Book"/>
          <w:sz w:val="21"/>
        </w:rPr>
        <w:t>ing</w:t>
      </w:r>
      <w:r w:rsidR="008F60CF" w:rsidRPr="00CB3263">
        <w:rPr>
          <w:rFonts w:ascii="Franklin Gothic Book" w:hAnsi="Franklin Gothic Book"/>
          <w:sz w:val="21"/>
        </w:rPr>
        <w:t xml:space="preserve"> </w:t>
      </w:r>
      <w:r w:rsidR="008F60CF" w:rsidRPr="00CB3263" w:rsidDel="00586403">
        <w:rPr>
          <w:rFonts w:ascii="Franklin Gothic Book" w:hAnsi="Franklin Gothic Book"/>
          <w:sz w:val="21"/>
        </w:rPr>
        <w:t>local capacity to respond to domestic violence</w:t>
      </w:r>
      <w:r w:rsidR="00CB3263" w:rsidRPr="00CB3263">
        <w:rPr>
          <w:rFonts w:ascii="Franklin Gothic Book" w:hAnsi="Franklin Gothic Book"/>
          <w:sz w:val="21"/>
        </w:rPr>
        <w:t xml:space="preserve"> and </w:t>
      </w:r>
      <w:r w:rsidR="008F60CF" w:rsidRPr="00CB3263" w:rsidDel="00586403">
        <w:rPr>
          <w:rFonts w:ascii="Franklin Gothic Book" w:hAnsi="Franklin Gothic Book"/>
          <w:sz w:val="21"/>
        </w:rPr>
        <w:t xml:space="preserve">gender issues </w:t>
      </w:r>
      <w:r w:rsidR="00CB3263">
        <w:rPr>
          <w:rFonts w:ascii="Franklin Gothic Book" w:hAnsi="Franklin Gothic Book"/>
          <w:sz w:val="21"/>
        </w:rPr>
        <w:t xml:space="preserve">by providing </w:t>
      </w:r>
      <w:r w:rsidR="008F60CF" w:rsidRPr="00CB3263" w:rsidDel="00586403">
        <w:rPr>
          <w:rFonts w:ascii="Franklin Gothic Book" w:hAnsi="Franklin Gothic Book"/>
          <w:sz w:val="21"/>
        </w:rPr>
        <w:t>local counselling and community services.</w:t>
      </w:r>
      <w:r w:rsidR="008F60CF">
        <w:rPr>
          <w:rFonts w:ascii="Franklin Gothic Book" w:hAnsi="Franklin Gothic Book"/>
          <w:sz w:val="21"/>
        </w:rPr>
        <w:t xml:space="preserve"> </w:t>
      </w:r>
      <w:r w:rsidR="008F60CF" w:rsidRPr="00860F76">
        <w:rPr>
          <w:rFonts w:ascii="Franklin Gothic Book" w:hAnsi="Franklin Gothic Book"/>
          <w:sz w:val="21"/>
        </w:rPr>
        <w:t xml:space="preserve"> </w:t>
      </w:r>
    </w:p>
    <w:p w:rsidR="009A2FF3" w:rsidRDefault="008F6E82" w:rsidP="00860F76">
      <w:pPr>
        <w:spacing w:after="200" w:line="276" w:lineRule="auto"/>
        <w:rPr>
          <w:rFonts w:ascii="Franklin Gothic Book" w:hAnsi="Franklin Gothic Book"/>
          <w:sz w:val="21"/>
        </w:rPr>
      </w:pPr>
      <w:r w:rsidRPr="00860F76">
        <w:rPr>
          <w:rFonts w:ascii="Franklin Gothic Book" w:hAnsi="Franklin Gothic Book"/>
          <w:sz w:val="21"/>
        </w:rPr>
        <w:t>In the domestic security sector, the Australian Federal Police continued to implement t</w:t>
      </w:r>
      <w:r w:rsidR="003C27C6" w:rsidRPr="00860F76">
        <w:rPr>
          <w:rFonts w:ascii="Franklin Gothic Book" w:hAnsi="Franklin Gothic Book"/>
          <w:sz w:val="21"/>
        </w:rPr>
        <w:t>he Nauru Police Force Police Capacity Program (NPFPCP)</w:t>
      </w:r>
      <w:r w:rsidRPr="00860F76">
        <w:rPr>
          <w:rFonts w:ascii="Franklin Gothic Book" w:hAnsi="Franklin Gothic Book"/>
          <w:sz w:val="21"/>
        </w:rPr>
        <w:t>, which</w:t>
      </w:r>
      <w:r w:rsidR="003C27C6" w:rsidRPr="00860F76">
        <w:rPr>
          <w:rFonts w:ascii="Franklin Gothic Book" w:hAnsi="Franklin Gothic Book"/>
          <w:sz w:val="21"/>
        </w:rPr>
        <w:t xml:space="preserve"> ha</w:t>
      </w:r>
      <w:r w:rsidR="00F07A2F" w:rsidRPr="00860F76">
        <w:rPr>
          <w:rFonts w:ascii="Franklin Gothic Book" w:hAnsi="Franklin Gothic Book"/>
          <w:sz w:val="21"/>
        </w:rPr>
        <w:t>s</w:t>
      </w:r>
      <w:r w:rsidR="003C27C6" w:rsidRPr="00860F76">
        <w:rPr>
          <w:rFonts w:ascii="Franklin Gothic Book" w:hAnsi="Franklin Gothic Book"/>
          <w:sz w:val="21"/>
        </w:rPr>
        <w:t xml:space="preserve"> supported the development and implementation of effective governance systems, training and the provision of critical policing resources. </w:t>
      </w:r>
      <w:r w:rsidR="00054F5D" w:rsidRPr="00860F76">
        <w:rPr>
          <w:rFonts w:ascii="Franklin Gothic Book" w:hAnsi="Franklin Gothic Book"/>
          <w:sz w:val="21"/>
        </w:rPr>
        <w:t xml:space="preserve"> </w:t>
      </w:r>
      <w:r w:rsidR="00F07A2F" w:rsidRPr="00860F76">
        <w:rPr>
          <w:rFonts w:ascii="Franklin Gothic Book" w:hAnsi="Franklin Gothic Book"/>
          <w:sz w:val="21"/>
        </w:rPr>
        <w:t>Sep</w:t>
      </w:r>
      <w:r w:rsidRPr="00860F76">
        <w:rPr>
          <w:rFonts w:ascii="Franklin Gothic Book" w:hAnsi="Franklin Gothic Book"/>
          <w:sz w:val="21"/>
        </w:rPr>
        <w:t>a</w:t>
      </w:r>
      <w:r w:rsidR="00F07A2F" w:rsidRPr="00860F76">
        <w:rPr>
          <w:rFonts w:ascii="Franklin Gothic Book" w:hAnsi="Franklin Gothic Book"/>
          <w:sz w:val="21"/>
        </w:rPr>
        <w:t xml:space="preserve">rately, under the Pacific Police Development Program, </w:t>
      </w:r>
      <w:r w:rsidR="00054F5D" w:rsidRPr="00860F76">
        <w:rPr>
          <w:rFonts w:ascii="Franklin Gothic Book" w:hAnsi="Franklin Gothic Book"/>
          <w:sz w:val="21"/>
        </w:rPr>
        <w:t xml:space="preserve">Australia’s </w:t>
      </w:r>
      <w:r w:rsidR="00F07A2F" w:rsidRPr="00860F76">
        <w:rPr>
          <w:rFonts w:ascii="Franklin Gothic Book" w:hAnsi="Franklin Gothic Book"/>
          <w:sz w:val="21"/>
        </w:rPr>
        <w:t>Attorney-General’s Department work</w:t>
      </w:r>
      <w:r w:rsidR="007B6FE5" w:rsidRPr="00860F76">
        <w:rPr>
          <w:rFonts w:ascii="Franklin Gothic Book" w:hAnsi="Franklin Gothic Book"/>
          <w:sz w:val="21"/>
        </w:rPr>
        <w:t>ed</w:t>
      </w:r>
      <w:r w:rsidR="00F07A2F" w:rsidRPr="00860F76">
        <w:rPr>
          <w:rFonts w:ascii="Franklin Gothic Book" w:hAnsi="Franklin Gothic Book"/>
          <w:sz w:val="21"/>
        </w:rPr>
        <w:t xml:space="preserve"> with Nauru’s Department of Justice and Border Control to </w:t>
      </w:r>
      <w:r w:rsidR="00054F5D" w:rsidRPr="00860F76">
        <w:rPr>
          <w:rFonts w:ascii="Franklin Gothic Book" w:hAnsi="Franklin Gothic Book"/>
          <w:sz w:val="21"/>
        </w:rPr>
        <w:t>replace</w:t>
      </w:r>
      <w:r w:rsidR="00F07A2F" w:rsidRPr="00860F76">
        <w:rPr>
          <w:rFonts w:ascii="Franklin Gothic Book" w:hAnsi="Franklin Gothic Book"/>
          <w:sz w:val="21"/>
        </w:rPr>
        <w:t xml:space="preserve"> the Nauru Criminal Code of 1899</w:t>
      </w:r>
      <w:r w:rsidR="00054F5D" w:rsidRPr="00860F76">
        <w:rPr>
          <w:rFonts w:ascii="Franklin Gothic Book" w:hAnsi="Franklin Gothic Book"/>
          <w:sz w:val="21"/>
        </w:rPr>
        <w:t xml:space="preserve"> with the </w:t>
      </w:r>
      <w:r w:rsidR="00054F5D" w:rsidRPr="00624358">
        <w:rPr>
          <w:rFonts w:ascii="Franklin Gothic Book" w:hAnsi="Franklin Gothic Book"/>
          <w:i/>
          <w:sz w:val="21"/>
        </w:rPr>
        <w:t>Crimes Act 2016</w:t>
      </w:r>
      <w:r w:rsidR="00154EEB" w:rsidRPr="00860F76">
        <w:rPr>
          <w:rFonts w:ascii="Franklin Gothic Book" w:hAnsi="Franklin Gothic Book"/>
          <w:sz w:val="21"/>
        </w:rPr>
        <w:t>,</w:t>
      </w:r>
      <w:r w:rsidR="007B6FE5" w:rsidRPr="00860F76">
        <w:rPr>
          <w:rFonts w:ascii="Franklin Gothic Book" w:hAnsi="Franklin Gothic Book"/>
          <w:sz w:val="21"/>
        </w:rPr>
        <w:t xml:space="preserve"> and </w:t>
      </w:r>
      <w:r w:rsidR="009A2FF3">
        <w:rPr>
          <w:rFonts w:ascii="Franklin Gothic Book" w:hAnsi="Franklin Gothic Book"/>
          <w:sz w:val="21"/>
        </w:rPr>
        <w:t xml:space="preserve">introduce </w:t>
      </w:r>
      <w:r w:rsidR="007B6FE5" w:rsidRPr="00860F76">
        <w:rPr>
          <w:rFonts w:ascii="Franklin Gothic Book" w:hAnsi="Franklin Gothic Book"/>
          <w:sz w:val="21"/>
        </w:rPr>
        <w:t>mental health legislation</w:t>
      </w:r>
      <w:r w:rsidR="00F07A2F" w:rsidRPr="00860F76">
        <w:rPr>
          <w:rFonts w:ascii="Franklin Gothic Book" w:hAnsi="Franklin Gothic Book"/>
          <w:sz w:val="21"/>
        </w:rPr>
        <w:t>.</w:t>
      </w:r>
      <w:r w:rsidR="009A2FF3">
        <w:rPr>
          <w:rFonts w:ascii="Franklin Gothic Book" w:hAnsi="Franklin Gothic Book"/>
          <w:sz w:val="21"/>
        </w:rPr>
        <w:t xml:space="preserve"> </w:t>
      </w:r>
      <w:r w:rsidR="00F07A2F" w:rsidRPr="00860F76">
        <w:rPr>
          <w:rFonts w:ascii="Franklin Gothic Book" w:hAnsi="Franklin Gothic Book"/>
          <w:sz w:val="21"/>
        </w:rPr>
        <w:t xml:space="preserve"> </w:t>
      </w:r>
    </w:p>
    <w:p w:rsidR="00630BCD" w:rsidRDefault="00630BCD" w:rsidP="00630BCD">
      <w:pPr>
        <w:spacing w:after="200" w:line="276" w:lineRule="auto"/>
        <w:rPr>
          <w:rFonts w:ascii="Franklin Gothic Book" w:hAnsi="Franklin Gothic Book"/>
          <w:sz w:val="21"/>
        </w:rPr>
      </w:pPr>
      <w:r>
        <w:rPr>
          <w:rFonts w:ascii="Franklin Gothic Book" w:hAnsi="Franklin Gothic Book"/>
          <w:sz w:val="21"/>
        </w:rPr>
        <w:t>Nauru also enacted n</w:t>
      </w:r>
      <w:r w:rsidRPr="00860F76">
        <w:rPr>
          <w:rFonts w:ascii="Franklin Gothic Book" w:hAnsi="Franklin Gothic Book"/>
          <w:sz w:val="21"/>
        </w:rPr>
        <w:t>ew child protection legislation (</w:t>
      </w:r>
      <w:r w:rsidRPr="00624358">
        <w:rPr>
          <w:rFonts w:ascii="Franklin Gothic Book" w:hAnsi="Franklin Gothic Book"/>
          <w:i/>
          <w:sz w:val="21"/>
        </w:rPr>
        <w:t>Child Protection and Welfare Act 2016</w:t>
      </w:r>
      <w:r w:rsidRPr="00860F76">
        <w:rPr>
          <w:rFonts w:ascii="Franklin Gothic Book" w:hAnsi="Franklin Gothic Book"/>
          <w:sz w:val="21"/>
        </w:rPr>
        <w:t>)</w:t>
      </w:r>
      <w:r>
        <w:rPr>
          <w:rFonts w:ascii="Franklin Gothic Book" w:hAnsi="Franklin Gothic Book"/>
          <w:sz w:val="21"/>
        </w:rPr>
        <w:t xml:space="preserve"> in 2015-16,  drawing on complementary regional assistance funding under the</w:t>
      </w:r>
      <w:r w:rsidRPr="00860F76">
        <w:rPr>
          <w:rFonts w:ascii="Franklin Gothic Book" w:hAnsi="Franklin Gothic Book"/>
          <w:sz w:val="21"/>
        </w:rPr>
        <w:t xml:space="preserve"> UNICEF-Pacific Child Protection Programme ($7</w:t>
      </w:r>
      <w:r>
        <w:rPr>
          <w:rFonts w:ascii="Franklin Gothic Book" w:hAnsi="Franklin Gothic Book"/>
          <w:sz w:val="21"/>
        </w:rPr>
        <w:t xml:space="preserve"> </w:t>
      </w:r>
      <w:r w:rsidRPr="00860F76">
        <w:rPr>
          <w:rFonts w:ascii="Franklin Gothic Book" w:hAnsi="Franklin Gothic Book"/>
          <w:sz w:val="21"/>
        </w:rPr>
        <w:t xml:space="preserve">million for the Pacific region </w:t>
      </w:r>
      <w:r>
        <w:rPr>
          <w:rFonts w:ascii="Franklin Gothic Book" w:hAnsi="Franklin Gothic Book"/>
          <w:sz w:val="21"/>
        </w:rPr>
        <w:t xml:space="preserve">over </w:t>
      </w:r>
      <w:r w:rsidRPr="00860F76">
        <w:rPr>
          <w:rFonts w:ascii="Franklin Gothic Book" w:hAnsi="Franklin Gothic Book"/>
          <w:sz w:val="21"/>
        </w:rPr>
        <w:t>2014</w:t>
      </w:r>
      <w:r>
        <w:rPr>
          <w:rFonts w:ascii="Franklin Gothic Book" w:hAnsi="Franklin Gothic Book"/>
          <w:sz w:val="21"/>
        </w:rPr>
        <w:t>-</w:t>
      </w:r>
      <w:r w:rsidRPr="00860F76">
        <w:rPr>
          <w:rFonts w:ascii="Franklin Gothic Book" w:hAnsi="Franklin Gothic Book"/>
          <w:sz w:val="21"/>
        </w:rPr>
        <w:t>17)</w:t>
      </w:r>
      <w:r>
        <w:rPr>
          <w:rFonts w:ascii="Franklin Gothic Book" w:hAnsi="Franklin Gothic Book"/>
          <w:sz w:val="21"/>
        </w:rPr>
        <w:t xml:space="preserve">.  </w:t>
      </w:r>
      <w:r w:rsidRPr="00860F76">
        <w:rPr>
          <w:rFonts w:ascii="Franklin Gothic Book" w:hAnsi="Franklin Gothic Book"/>
          <w:sz w:val="21"/>
        </w:rPr>
        <w:t xml:space="preserve"> </w:t>
      </w:r>
    </w:p>
    <w:p w:rsidR="005B5769" w:rsidRPr="00630BCD" w:rsidRDefault="005929D6" w:rsidP="00630BCD">
      <w:pPr>
        <w:spacing w:after="200" w:line="276" w:lineRule="auto"/>
        <w:rPr>
          <w:rFonts w:ascii="Franklin Gothic Book" w:hAnsi="Franklin Gothic Book"/>
          <w:sz w:val="21"/>
        </w:rPr>
      </w:pPr>
      <w:r>
        <w:rPr>
          <w:rFonts w:asciiTheme="majorHAnsi" w:eastAsiaTheme="majorEastAsia" w:hAnsiTheme="majorHAnsi" w:cstheme="majorBidi"/>
          <w:caps/>
          <w:sz w:val="36"/>
          <w:szCs w:val="26"/>
        </w:rPr>
        <w:br w:type="page"/>
      </w:r>
      <w:r w:rsidR="005B5769" w:rsidRPr="008C2F58">
        <w:rPr>
          <w:rFonts w:asciiTheme="majorHAnsi" w:eastAsiaTheme="majorEastAsia" w:hAnsiTheme="majorHAnsi" w:cstheme="majorBidi"/>
          <w:caps/>
          <w:sz w:val="36"/>
          <w:szCs w:val="26"/>
        </w:rPr>
        <w:lastRenderedPageBreak/>
        <w:t>Progress towards Performance Benchmarks in 2015</w:t>
      </w:r>
      <w:r w:rsidR="00B438D3" w:rsidRPr="008C2F58">
        <w:rPr>
          <w:rFonts w:asciiTheme="majorHAnsi" w:eastAsiaTheme="majorEastAsia" w:hAnsiTheme="majorHAnsi" w:cstheme="majorBidi"/>
          <w:caps/>
          <w:sz w:val="36"/>
          <w:szCs w:val="26"/>
        </w:rPr>
        <w:noBreakHyphen/>
      </w:r>
      <w:r w:rsidR="005B5769" w:rsidRPr="008C2F58">
        <w:rPr>
          <w:rFonts w:asciiTheme="majorHAnsi" w:eastAsiaTheme="majorEastAsia" w:hAnsiTheme="majorHAnsi" w:cstheme="majorBidi"/>
          <w:caps/>
          <w:sz w:val="36"/>
          <w:szCs w:val="26"/>
        </w:rPr>
        <w:t>16</w:t>
      </w:r>
    </w:p>
    <w:tbl>
      <w:tblPr>
        <w:tblStyle w:val="DFATTable"/>
        <w:tblW w:w="4875" w:type="pct"/>
        <w:tblLook w:val="04A0" w:firstRow="1" w:lastRow="0" w:firstColumn="1" w:lastColumn="0" w:noHBand="0" w:noVBand="1"/>
      </w:tblPr>
      <w:tblGrid>
        <w:gridCol w:w="1509"/>
        <w:gridCol w:w="2203"/>
        <w:gridCol w:w="970"/>
        <w:gridCol w:w="4715"/>
      </w:tblGrid>
      <w:tr w:rsidR="005B5769" w:rsidRPr="00C4114C" w:rsidTr="004C0E1C">
        <w:trPr>
          <w:tblHeader/>
        </w:trPr>
        <w:tc>
          <w:tcPr>
            <w:tcW w:w="803" w:type="pct"/>
            <w:tcMar>
              <w:top w:w="57" w:type="dxa"/>
              <w:bottom w:w="57" w:type="dxa"/>
            </w:tcMar>
          </w:tcPr>
          <w:p w:rsidR="005B5769" w:rsidRPr="003B0793" w:rsidRDefault="005B5769" w:rsidP="00D15A00">
            <w:pPr>
              <w:pStyle w:val="TableHeading1"/>
              <w:keepNext/>
              <w:rPr>
                <w:rFonts w:asciiTheme="minorHAnsi" w:hAnsiTheme="minorHAnsi"/>
              </w:rPr>
            </w:pPr>
            <w:r w:rsidRPr="003B0793">
              <w:rPr>
                <w:rFonts w:asciiTheme="minorHAnsi" w:hAnsiTheme="minorHAnsi"/>
              </w:rPr>
              <w:t>Aid objective</w:t>
            </w:r>
          </w:p>
        </w:tc>
        <w:tc>
          <w:tcPr>
            <w:tcW w:w="1172" w:type="pct"/>
          </w:tcPr>
          <w:p w:rsidR="005B5769" w:rsidRPr="003B0793" w:rsidRDefault="005B5769" w:rsidP="00D15A00">
            <w:pPr>
              <w:pStyle w:val="TableHeading1"/>
              <w:keepNext/>
              <w:rPr>
                <w:rFonts w:asciiTheme="minorHAnsi" w:hAnsiTheme="minorHAnsi"/>
              </w:rPr>
            </w:pPr>
            <w:r w:rsidRPr="003B0793">
              <w:rPr>
                <w:rFonts w:asciiTheme="minorHAnsi" w:hAnsiTheme="minorHAnsi"/>
              </w:rPr>
              <w:t xml:space="preserve">2015-16 benchmark </w:t>
            </w:r>
          </w:p>
        </w:tc>
        <w:tc>
          <w:tcPr>
            <w:tcW w:w="516" w:type="pct"/>
            <w:tcBorders>
              <w:bottom w:val="nil"/>
            </w:tcBorders>
          </w:tcPr>
          <w:p w:rsidR="005B5769" w:rsidRPr="003B0793" w:rsidRDefault="005B5769" w:rsidP="003B0793">
            <w:pPr>
              <w:pStyle w:val="TableHeading1"/>
              <w:keepNext/>
              <w:jc w:val="center"/>
              <w:rPr>
                <w:rFonts w:asciiTheme="minorHAnsi" w:hAnsiTheme="minorHAnsi"/>
              </w:rPr>
            </w:pPr>
            <w:r w:rsidRPr="003B0793">
              <w:rPr>
                <w:rFonts w:asciiTheme="minorHAnsi" w:hAnsiTheme="minorHAnsi"/>
              </w:rPr>
              <w:t>Rating</w:t>
            </w:r>
          </w:p>
        </w:tc>
        <w:tc>
          <w:tcPr>
            <w:tcW w:w="2509" w:type="pct"/>
          </w:tcPr>
          <w:p w:rsidR="005B5769" w:rsidRPr="003B0793" w:rsidRDefault="005B5769" w:rsidP="003B0793">
            <w:pPr>
              <w:pStyle w:val="TableHeading1"/>
              <w:keepNext/>
              <w:jc w:val="center"/>
              <w:rPr>
                <w:rFonts w:asciiTheme="minorHAnsi" w:hAnsiTheme="minorHAnsi"/>
              </w:rPr>
            </w:pPr>
            <w:r w:rsidRPr="003B0793">
              <w:rPr>
                <w:rFonts w:asciiTheme="minorHAnsi" w:hAnsiTheme="minorHAnsi"/>
              </w:rPr>
              <w:t>Progress in 2015-16</w:t>
            </w:r>
          </w:p>
        </w:tc>
      </w:tr>
      <w:tr w:rsidR="004C0E1C" w:rsidRPr="00C4114C" w:rsidTr="004C0E1C">
        <w:trPr>
          <w:trHeight w:val="1177"/>
        </w:trPr>
        <w:tc>
          <w:tcPr>
            <w:tcW w:w="803" w:type="pct"/>
            <w:vMerge w:val="restart"/>
            <w:tcMar>
              <w:top w:w="57" w:type="dxa"/>
              <w:bottom w:w="57" w:type="dxa"/>
            </w:tcMar>
          </w:tcPr>
          <w:p w:rsidR="0058435A" w:rsidRDefault="0058435A" w:rsidP="00D15A00">
            <w:pPr>
              <w:pStyle w:val="TableTextEntries"/>
              <w:keepNext/>
              <w:rPr>
                <w:rFonts w:asciiTheme="minorHAnsi" w:hAnsiTheme="minorHAnsi"/>
              </w:rPr>
            </w:pPr>
            <w:r>
              <w:rPr>
                <w:rFonts w:asciiTheme="minorHAnsi" w:hAnsiTheme="minorHAnsi"/>
              </w:rPr>
              <w:t>Strengthened provision of education and health services</w:t>
            </w:r>
          </w:p>
        </w:tc>
        <w:tc>
          <w:tcPr>
            <w:tcW w:w="1172" w:type="pct"/>
          </w:tcPr>
          <w:p w:rsidR="0058435A" w:rsidRDefault="0058435A" w:rsidP="0058435A">
            <w:pPr>
              <w:pStyle w:val="TableTextEntries"/>
              <w:keepNext/>
              <w:rPr>
                <w:rFonts w:asciiTheme="minorHAnsi" w:hAnsiTheme="minorHAnsi"/>
              </w:rPr>
            </w:pPr>
            <w:r>
              <w:rPr>
                <w:rFonts w:asciiTheme="minorHAnsi" w:hAnsiTheme="minorHAnsi"/>
              </w:rPr>
              <w:t>Budget support for education and health is paid before April of the financial year</w:t>
            </w:r>
          </w:p>
        </w:tc>
        <w:tc>
          <w:tcPr>
            <w:tcW w:w="516" w:type="pct"/>
            <w:tcBorders>
              <w:top w:val="nil"/>
              <w:bottom w:val="nil"/>
            </w:tcBorders>
            <w:shd w:val="clear" w:color="auto" w:fill="F7AA32"/>
          </w:tcPr>
          <w:p w:rsidR="0058435A" w:rsidRDefault="0058435A" w:rsidP="0058435A">
            <w:pPr>
              <w:pStyle w:val="TableTextEntries"/>
              <w:keepNext/>
              <w:jc w:val="center"/>
              <w:rPr>
                <w:rFonts w:asciiTheme="minorHAnsi" w:hAnsiTheme="minorHAnsi"/>
                <w:color w:val="FFFFFF" w:themeColor="background1"/>
              </w:rPr>
            </w:pPr>
            <w:r>
              <w:rPr>
                <w:rFonts w:asciiTheme="minorHAnsi" w:hAnsiTheme="minorHAnsi"/>
                <w:color w:val="FFFFFF" w:themeColor="background1"/>
              </w:rPr>
              <w:t>Partly Achieved</w:t>
            </w:r>
          </w:p>
        </w:tc>
        <w:tc>
          <w:tcPr>
            <w:tcW w:w="2509" w:type="pct"/>
          </w:tcPr>
          <w:p w:rsidR="0058435A" w:rsidRDefault="0058435A" w:rsidP="0058435A">
            <w:pPr>
              <w:pStyle w:val="TableTextEntries"/>
              <w:keepNext/>
              <w:rPr>
                <w:rFonts w:asciiTheme="minorHAnsi" w:hAnsiTheme="minorHAnsi"/>
              </w:rPr>
            </w:pPr>
            <w:r>
              <w:rPr>
                <w:rFonts w:asciiTheme="minorHAnsi" w:hAnsiTheme="minorHAnsi"/>
              </w:rPr>
              <w:t xml:space="preserve">This benchmark seeks to establish reliable flows of funds for health and education activities. </w:t>
            </w:r>
            <w:r w:rsidR="009A2FF3">
              <w:rPr>
                <w:rFonts w:asciiTheme="minorHAnsi" w:hAnsiTheme="minorHAnsi"/>
              </w:rPr>
              <w:t xml:space="preserve"> </w:t>
            </w:r>
            <w:r>
              <w:rPr>
                <w:rFonts w:asciiTheme="minorHAnsi" w:hAnsiTheme="minorHAnsi"/>
              </w:rPr>
              <w:t>Annual budget support payments for the Education and Health Sectors were finalised in early June 2016, with the first tranche payments made in April 2016.</w:t>
            </w:r>
          </w:p>
        </w:tc>
      </w:tr>
      <w:tr w:rsidR="004C0E1C" w:rsidRPr="00C4114C" w:rsidTr="004C0E1C">
        <w:trPr>
          <w:trHeight w:val="1906"/>
        </w:trPr>
        <w:tc>
          <w:tcPr>
            <w:tcW w:w="803" w:type="pct"/>
            <w:vMerge/>
            <w:tcMar>
              <w:top w:w="57" w:type="dxa"/>
              <w:bottom w:w="57" w:type="dxa"/>
            </w:tcMar>
          </w:tcPr>
          <w:p w:rsidR="0058435A" w:rsidRPr="003B0793" w:rsidRDefault="0058435A" w:rsidP="00D15A00">
            <w:pPr>
              <w:pStyle w:val="TableTextEntries"/>
              <w:keepNext/>
              <w:rPr>
                <w:rFonts w:asciiTheme="minorHAnsi" w:hAnsiTheme="minorHAnsi"/>
              </w:rPr>
            </w:pPr>
          </w:p>
        </w:tc>
        <w:tc>
          <w:tcPr>
            <w:tcW w:w="1172" w:type="pct"/>
          </w:tcPr>
          <w:p w:rsidR="0058435A" w:rsidRPr="003B0793" w:rsidRDefault="0058435A" w:rsidP="0058435A">
            <w:pPr>
              <w:pStyle w:val="TableTextEntries"/>
              <w:keepNext/>
              <w:rPr>
                <w:rFonts w:asciiTheme="minorHAnsi" w:hAnsiTheme="minorHAnsi"/>
              </w:rPr>
            </w:pPr>
            <w:r>
              <w:rPr>
                <w:rFonts w:asciiTheme="minorHAnsi" w:hAnsiTheme="minorHAnsi"/>
              </w:rPr>
              <w:t xml:space="preserve">Provision of technical assistance that assists </w:t>
            </w:r>
            <w:proofErr w:type="spellStart"/>
            <w:r>
              <w:rPr>
                <w:rFonts w:asciiTheme="minorHAnsi" w:hAnsiTheme="minorHAnsi"/>
              </w:rPr>
              <w:t>GoN</w:t>
            </w:r>
            <w:proofErr w:type="spellEnd"/>
            <w:r>
              <w:rPr>
                <w:rFonts w:asciiTheme="minorHAnsi" w:hAnsiTheme="minorHAnsi"/>
              </w:rPr>
              <w:t xml:space="preserve"> to deliver and implement health and education services</w:t>
            </w:r>
          </w:p>
        </w:tc>
        <w:tc>
          <w:tcPr>
            <w:tcW w:w="516" w:type="pct"/>
            <w:tcBorders>
              <w:top w:val="nil"/>
            </w:tcBorders>
            <w:shd w:val="clear" w:color="auto" w:fill="92D050"/>
          </w:tcPr>
          <w:p w:rsidR="0058435A" w:rsidRPr="003B0793" w:rsidRDefault="0058435A"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509" w:type="pct"/>
          </w:tcPr>
          <w:p w:rsidR="0058435A" w:rsidRPr="003B0793" w:rsidRDefault="0058435A" w:rsidP="00022A70">
            <w:pPr>
              <w:pStyle w:val="TableTextEntries"/>
              <w:keepNext/>
              <w:rPr>
                <w:rFonts w:asciiTheme="minorHAnsi" w:hAnsiTheme="minorHAnsi"/>
              </w:rPr>
            </w:pPr>
            <w:r>
              <w:rPr>
                <w:rFonts w:asciiTheme="minorHAnsi" w:hAnsiTheme="minorHAnsi"/>
              </w:rPr>
              <w:t xml:space="preserve">A PACTAM advisor is in place and delivering on their agreed </w:t>
            </w:r>
            <w:proofErr w:type="spellStart"/>
            <w:r>
              <w:rPr>
                <w:rFonts w:asciiTheme="minorHAnsi" w:hAnsiTheme="minorHAnsi"/>
              </w:rPr>
              <w:t>workplan</w:t>
            </w:r>
            <w:proofErr w:type="spellEnd"/>
            <w:r>
              <w:rPr>
                <w:rFonts w:asciiTheme="minorHAnsi" w:hAnsiTheme="minorHAnsi"/>
              </w:rPr>
              <w:t xml:space="preserve"> for the health sector, with a highly positive performance review reported by Scope Global </w:t>
            </w:r>
            <w:r w:rsidRPr="009D6024">
              <w:rPr>
                <w:rFonts w:asciiTheme="minorHAnsi" w:hAnsiTheme="minorHAnsi"/>
              </w:rPr>
              <w:t xml:space="preserve">in </w:t>
            </w:r>
            <w:r w:rsidRPr="00EA7E24">
              <w:rPr>
                <w:rFonts w:asciiTheme="minorHAnsi" w:hAnsiTheme="minorHAnsi"/>
              </w:rPr>
              <w:t>November 2015</w:t>
            </w:r>
            <w:r>
              <w:rPr>
                <w:rFonts w:asciiTheme="minorHAnsi" w:hAnsiTheme="minorHAnsi"/>
              </w:rPr>
              <w:t xml:space="preserve">. </w:t>
            </w:r>
            <w:r w:rsidR="009A2FF3">
              <w:rPr>
                <w:rFonts w:asciiTheme="minorHAnsi" w:hAnsiTheme="minorHAnsi"/>
              </w:rPr>
              <w:t xml:space="preserve"> </w:t>
            </w:r>
            <w:r>
              <w:rPr>
                <w:rFonts w:asciiTheme="minorHAnsi" w:hAnsiTheme="minorHAnsi"/>
              </w:rPr>
              <w:t xml:space="preserve">Another position has been vacant since January 2016 pending a review of the health sector and advisory support needs. </w:t>
            </w:r>
            <w:r w:rsidR="009A2FF3">
              <w:rPr>
                <w:rFonts w:asciiTheme="minorHAnsi" w:hAnsiTheme="minorHAnsi"/>
              </w:rPr>
              <w:t xml:space="preserve"> </w:t>
            </w:r>
            <w:r>
              <w:rPr>
                <w:rFonts w:asciiTheme="minorHAnsi" w:hAnsiTheme="minorHAnsi"/>
              </w:rPr>
              <w:t>The Gender-Based Violence advisor position has also been vacant since January but is being recruited for September 2016.</w:t>
            </w:r>
            <w:r w:rsidR="009A2FF3">
              <w:rPr>
                <w:rFonts w:asciiTheme="minorHAnsi" w:hAnsiTheme="minorHAnsi"/>
              </w:rPr>
              <w:t xml:space="preserve"> </w:t>
            </w:r>
            <w:r>
              <w:rPr>
                <w:rFonts w:asciiTheme="minorHAnsi" w:hAnsiTheme="minorHAnsi"/>
              </w:rPr>
              <w:t xml:space="preserve"> While PACTAM advisors are not currently utilised in education, sectoral funding and related assistance has supported salaries of teachers and other qualified personnel. </w:t>
            </w:r>
          </w:p>
        </w:tc>
      </w:tr>
      <w:tr w:rsidR="0058435A" w:rsidRPr="00C4114C" w:rsidTr="004C0E1C">
        <w:trPr>
          <w:trHeight w:val="1386"/>
        </w:trPr>
        <w:tc>
          <w:tcPr>
            <w:tcW w:w="803" w:type="pct"/>
            <w:vMerge w:val="restart"/>
            <w:tcMar>
              <w:top w:w="57" w:type="dxa"/>
              <w:bottom w:w="57" w:type="dxa"/>
            </w:tcMar>
          </w:tcPr>
          <w:p w:rsidR="0058435A" w:rsidRDefault="0058435A" w:rsidP="00D15A00">
            <w:pPr>
              <w:pStyle w:val="TableTextEntries"/>
              <w:keepNext/>
              <w:rPr>
                <w:rFonts w:asciiTheme="minorHAnsi" w:hAnsiTheme="minorHAnsi"/>
              </w:rPr>
            </w:pPr>
            <w:r>
              <w:rPr>
                <w:rFonts w:asciiTheme="minorHAnsi" w:hAnsiTheme="minorHAnsi"/>
              </w:rPr>
              <w:t>Strengthened governance and Public Service capability</w:t>
            </w:r>
          </w:p>
        </w:tc>
        <w:tc>
          <w:tcPr>
            <w:tcW w:w="1172" w:type="pct"/>
          </w:tcPr>
          <w:p w:rsidR="0058435A" w:rsidRDefault="0058435A" w:rsidP="0058435A">
            <w:pPr>
              <w:pStyle w:val="TableTextEntries"/>
              <w:keepNext/>
              <w:rPr>
                <w:rFonts w:asciiTheme="minorHAnsi" w:hAnsiTheme="minorHAnsi"/>
              </w:rPr>
            </w:pPr>
            <w:r>
              <w:rPr>
                <w:rFonts w:asciiTheme="minorHAnsi" w:hAnsiTheme="minorHAnsi"/>
              </w:rPr>
              <w:t>Provision of relevant technical assistance that contribute to strengthening Nauru’s finance management and economic governance decision making</w:t>
            </w:r>
          </w:p>
        </w:tc>
        <w:tc>
          <w:tcPr>
            <w:tcW w:w="516" w:type="pct"/>
            <w:shd w:val="clear" w:color="auto" w:fill="92D050"/>
          </w:tcPr>
          <w:p w:rsidR="0058435A" w:rsidRDefault="0058435A"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509" w:type="pct"/>
          </w:tcPr>
          <w:p w:rsidR="0058435A" w:rsidRPr="0058435A" w:rsidRDefault="0058435A" w:rsidP="0058435A">
            <w:pPr>
              <w:pStyle w:val="TableTextEntries"/>
              <w:keepNext/>
              <w:rPr>
                <w:rFonts w:asciiTheme="minorHAnsi" w:hAnsiTheme="minorHAnsi"/>
              </w:rPr>
            </w:pPr>
            <w:r>
              <w:rPr>
                <w:rFonts w:asciiTheme="minorHAnsi" w:hAnsiTheme="minorHAnsi"/>
              </w:rPr>
              <w:t xml:space="preserve">PACTAM advisors are in place and delivering on their agreed </w:t>
            </w:r>
            <w:proofErr w:type="spellStart"/>
            <w:r>
              <w:rPr>
                <w:rFonts w:asciiTheme="minorHAnsi" w:hAnsiTheme="minorHAnsi"/>
              </w:rPr>
              <w:t>workplans</w:t>
            </w:r>
            <w:proofErr w:type="spellEnd"/>
            <w:r>
              <w:rPr>
                <w:rFonts w:asciiTheme="minorHAnsi" w:hAnsiTheme="minorHAnsi"/>
              </w:rPr>
              <w:t xml:space="preserve">. </w:t>
            </w:r>
            <w:r w:rsidR="009A2FF3">
              <w:rPr>
                <w:rFonts w:asciiTheme="minorHAnsi" w:hAnsiTheme="minorHAnsi"/>
              </w:rPr>
              <w:t xml:space="preserve"> </w:t>
            </w:r>
            <w:r>
              <w:rPr>
                <w:rFonts w:asciiTheme="minorHAnsi" w:hAnsiTheme="minorHAnsi"/>
              </w:rPr>
              <w:t>Performance reviews undertaken by Scope Global in November</w:t>
            </w:r>
            <w:r w:rsidRPr="00F57038">
              <w:rPr>
                <w:rFonts w:asciiTheme="minorHAnsi" w:hAnsiTheme="minorHAnsi"/>
              </w:rPr>
              <w:t xml:space="preserve"> 2015</w:t>
            </w:r>
            <w:r>
              <w:rPr>
                <w:rFonts w:asciiTheme="minorHAnsi" w:hAnsiTheme="minorHAnsi"/>
              </w:rPr>
              <w:t xml:space="preserve"> were highly positive. </w:t>
            </w:r>
          </w:p>
        </w:tc>
      </w:tr>
      <w:tr w:rsidR="0058435A" w:rsidRPr="00C4114C" w:rsidTr="004C0E1C">
        <w:trPr>
          <w:trHeight w:val="815"/>
        </w:trPr>
        <w:tc>
          <w:tcPr>
            <w:tcW w:w="803" w:type="pct"/>
            <w:vMerge/>
            <w:tcMar>
              <w:top w:w="57" w:type="dxa"/>
              <w:bottom w:w="57" w:type="dxa"/>
            </w:tcMar>
          </w:tcPr>
          <w:p w:rsidR="0058435A" w:rsidRPr="003B0793" w:rsidRDefault="0058435A" w:rsidP="00D15A00">
            <w:pPr>
              <w:pStyle w:val="TableTextEntries"/>
              <w:keepNext/>
              <w:rPr>
                <w:rFonts w:asciiTheme="minorHAnsi" w:hAnsiTheme="minorHAnsi"/>
              </w:rPr>
            </w:pPr>
          </w:p>
        </w:tc>
        <w:tc>
          <w:tcPr>
            <w:tcW w:w="1172" w:type="pct"/>
          </w:tcPr>
          <w:p w:rsidR="0058435A" w:rsidRPr="003B0793" w:rsidRDefault="0058435A" w:rsidP="006A2664">
            <w:pPr>
              <w:pStyle w:val="TableTextEntries"/>
              <w:keepNext/>
              <w:rPr>
                <w:rFonts w:asciiTheme="minorHAnsi" w:hAnsiTheme="minorHAnsi"/>
              </w:rPr>
            </w:pPr>
            <w:r>
              <w:rPr>
                <w:rFonts w:asciiTheme="minorHAnsi" w:hAnsiTheme="minorHAnsi"/>
              </w:rPr>
              <w:t xml:space="preserve">Conduct biannual </w:t>
            </w:r>
            <w:r w:rsidR="006A2664">
              <w:rPr>
                <w:rFonts w:asciiTheme="minorHAnsi" w:hAnsiTheme="minorHAnsi"/>
              </w:rPr>
              <w:t>“</w:t>
            </w:r>
            <w:r>
              <w:rPr>
                <w:rFonts w:asciiTheme="minorHAnsi" w:hAnsiTheme="minorHAnsi"/>
              </w:rPr>
              <w:t>audits</w:t>
            </w:r>
            <w:r w:rsidR="00F95C02">
              <w:rPr>
                <w:rFonts w:asciiTheme="minorHAnsi" w:hAnsiTheme="minorHAnsi"/>
              </w:rPr>
              <w:t>”</w:t>
            </w:r>
            <w:r>
              <w:rPr>
                <w:rFonts w:asciiTheme="minorHAnsi" w:hAnsiTheme="minorHAnsi"/>
              </w:rPr>
              <w:t xml:space="preserve"> of the operational account to assist </w:t>
            </w:r>
            <w:proofErr w:type="spellStart"/>
            <w:r>
              <w:rPr>
                <w:rFonts w:asciiTheme="minorHAnsi" w:hAnsiTheme="minorHAnsi"/>
              </w:rPr>
              <w:t>GoN</w:t>
            </w:r>
            <w:proofErr w:type="spellEnd"/>
            <w:r>
              <w:rPr>
                <w:rFonts w:asciiTheme="minorHAnsi" w:hAnsiTheme="minorHAnsi"/>
              </w:rPr>
              <w:t xml:space="preserve"> in managing</w:t>
            </w:r>
            <w:r w:rsidR="008E4D36">
              <w:rPr>
                <w:rFonts w:asciiTheme="minorHAnsi" w:hAnsiTheme="minorHAnsi"/>
              </w:rPr>
              <w:t xml:space="preserve"> targeted budget support</w:t>
            </w:r>
          </w:p>
        </w:tc>
        <w:tc>
          <w:tcPr>
            <w:tcW w:w="516" w:type="pct"/>
            <w:shd w:val="clear" w:color="auto" w:fill="92D050"/>
          </w:tcPr>
          <w:p w:rsidR="0058435A" w:rsidRPr="00E246BD" w:rsidRDefault="0058435A"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509" w:type="pct"/>
          </w:tcPr>
          <w:p w:rsidR="0058435A" w:rsidRPr="00F57038" w:rsidRDefault="0058435A" w:rsidP="00B4069A">
            <w:pPr>
              <w:pStyle w:val="TableTextEntries"/>
              <w:keepNext/>
              <w:rPr>
                <w:rFonts w:asciiTheme="minorHAnsi" w:hAnsiTheme="minorHAnsi"/>
              </w:rPr>
            </w:pPr>
            <w:r>
              <w:rPr>
                <w:rFonts w:asciiTheme="minorHAnsi" w:hAnsiTheme="minorHAnsi"/>
              </w:rPr>
              <w:t>A review of the Operational Account was undertaken by Stirling International in August 2015</w:t>
            </w:r>
            <w:r w:rsidR="00F95C02">
              <w:rPr>
                <w:rFonts w:asciiTheme="minorHAnsi" w:hAnsiTheme="minorHAnsi"/>
              </w:rPr>
              <w:t xml:space="preserve">.  DFAT and </w:t>
            </w:r>
            <w:proofErr w:type="spellStart"/>
            <w:r w:rsidR="00F95C02">
              <w:rPr>
                <w:rFonts w:asciiTheme="minorHAnsi" w:hAnsiTheme="minorHAnsi"/>
              </w:rPr>
              <w:t>GoN</w:t>
            </w:r>
            <w:proofErr w:type="spellEnd"/>
            <w:r w:rsidR="00F95C02">
              <w:rPr>
                <w:rFonts w:asciiTheme="minorHAnsi" w:hAnsiTheme="minorHAnsi"/>
              </w:rPr>
              <w:t xml:space="preserve"> subsequently undertook a </w:t>
            </w:r>
            <w:proofErr w:type="spellStart"/>
            <w:r w:rsidR="00F95C02">
              <w:rPr>
                <w:rFonts w:asciiTheme="minorHAnsi" w:hAnsiTheme="minorHAnsi"/>
              </w:rPr>
              <w:t>cleanup</w:t>
            </w:r>
            <w:proofErr w:type="spellEnd"/>
            <w:r w:rsidR="00F95C02">
              <w:rPr>
                <w:rFonts w:asciiTheme="minorHAnsi" w:hAnsiTheme="minorHAnsi"/>
              </w:rPr>
              <w:t xml:space="preserve"> which reallocated unexpended funds from completed projects</w:t>
            </w:r>
            <w:r w:rsidR="00146AEE">
              <w:rPr>
                <w:rFonts w:asciiTheme="minorHAnsi" w:hAnsiTheme="minorHAnsi"/>
              </w:rPr>
              <w:t xml:space="preserve"> and rectified incorrect payments</w:t>
            </w:r>
            <w:r w:rsidR="00F95C02">
              <w:rPr>
                <w:rFonts w:asciiTheme="minorHAnsi" w:hAnsiTheme="minorHAnsi"/>
              </w:rPr>
              <w:t xml:space="preserve">.  DFAT </w:t>
            </w:r>
            <w:r w:rsidR="006A2664">
              <w:rPr>
                <w:rFonts w:asciiTheme="minorHAnsi" w:hAnsiTheme="minorHAnsi"/>
              </w:rPr>
              <w:t xml:space="preserve">has </w:t>
            </w:r>
            <w:r w:rsidR="00F95C02">
              <w:rPr>
                <w:rFonts w:asciiTheme="minorHAnsi" w:hAnsiTheme="minorHAnsi"/>
              </w:rPr>
              <w:t xml:space="preserve">commissioned a further series of biannual </w:t>
            </w:r>
            <w:r w:rsidR="00F95C02" w:rsidRPr="006930B9">
              <w:rPr>
                <w:rFonts w:asciiTheme="minorHAnsi" w:hAnsiTheme="minorHAnsi"/>
              </w:rPr>
              <w:t xml:space="preserve">reviews </w:t>
            </w:r>
            <w:r w:rsidR="006A2664" w:rsidRPr="006930B9">
              <w:rPr>
                <w:rFonts w:asciiTheme="minorHAnsi" w:hAnsiTheme="minorHAnsi"/>
              </w:rPr>
              <w:t xml:space="preserve">which now include a maturity assessment and roadmap </w:t>
            </w:r>
            <w:r w:rsidR="00F95C02" w:rsidRPr="006930B9">
              <w:rPr>
                <w:rFonts w:asciiTheme="minorHAnsi" w:hAnsiTheme="minorHAnsi"/>
              </w:rPr>
              <w:t>for change</w:t>
            </w:r>
            <w:r w:rsidR="006A2664" w:rsidRPr="006930B9">
              <w:rPr>
                <w:rFonts w:asciiTheme="minorHAnsi" w:hAnsiTheme="minorHAnsi"/>
              </w:rPr>
              <w:t xml:space="preserve">.  </w:t>
            </w:r>
            <w:r w:rsidR="00B4069A" w:rsidRPr="006930B9">
              <w:rPr>
                <w:rFonts w:asciiTheme="minorHAnsi" w:hAnsiTheme="minorHAnsi"/>
              </w:rPr>
              <w:t xml:space="preserve">These will assist </w:t>
            </w:r>
            <w:proofErr w:type="spellStart"/>
            <w:r w:rsidR="00B4069A" w:rsidRPr="006930B9">
              <w:rPr>
                <w:rFonts w:asciiTheme="minorHAnsi" w:hAnsiTheme="minorHAnsi"/>
              </w:rPr>
              <w:t>GoN</w:t>
            </w:r>
            <w:proofErr w:type="spellEnd"/>
            <w:r w:rsidR="00B4069A" w:rsidRPr="006930B9">
              <w:rPr>
                <w:rFonts w:asciiTheme="minorHAnsi" w:hAnsiTheme="minorHAnsi"/>
              </w:rPr>
              <w:t xml:space="preserve"> in managing </w:t>
            </w:r>
            <w:r w:rsidR="00B4069A" w:rsidRPr="006930B9">
              <w:rPr>
                <w:rFonts w:asciiTheme="minorHAnsi" w:hAnsiTheme="minorHAnsi" w:cs="Arial"/>
              </w:rPr>
              <w:t xml:space="preserve">business process improvements and subsequently enhance the control environment leading to better accountability and transparency.  </w:t>
            </w:r>
            <w:r w:rsidR="006A2664" w:rsidRPr="006930B9">
              <w:rPr>
                <w:rFonts w:asciiTheme="minorHAnsi" w:hAnsiTheme="minorHAnsi"/>
              </w:rPr>
              <w:t xml:space="preserve">The most recent biannual review was </w:t>
            </w:r>
            <w:r w:rsidRPr="006930B9">
              <w:rPr>
                <w:rFonts w:asciiTheme="minorHAnsi" w:hAnsiTheme="minorHAnsi"/>
              </w:rPr>
              <w:t xml:space="preserve">conducted in May 2016 by </w:t>
            </w:r>
            <w:proofErr w:type="spellStart"/>
            <w:r w:rsidRPr="006930B9">
              <w:rPr>
                <w:rFonts w:asciiTheme="minorHAnsi" w:hAnsiTheme="minorHAnsi"/>
              </w:rPr>
              <w:t>Stantons</w:t>
            </w:r>
            <w:proofErr w:type="spellEnd"/>
            <w:r w:rsidRPr="006930B9">
              <w:rPr>
                <w:rFonts w:asciiTheme="minorHAnsi" w:hAnsiTheme="minorHAnsi"/>
              </w:rPr>
              <w:t xml:space="preserve"> International</w:t>
            </w:r>
            <w:r w:rsidRPr="00F57038">
              <w:rPr>
                <w:rFonts w:asciiTheme="minorHAnsi" w:hAnsiTheme="minorHAnsi"/>
              </w:rPr>
              <w:t xml:space="preserve">. </w:t>
            </w:r>
          </w:p>
        </w:tc>
      </w:tr>
      <w:tr w:rsidR="0058435A" w:rsidRPr="00C4114C" w:rsidTr="004C0E1C">
        <w:trPr>
          <w:trHeight w:val="913"/>
        </w:trPr>
        <w:tc>
          <w:tcPr>
            <w:tcW w:w="803" w:type="pct"/>
            <w:vMerge/>
            <w:tcMar>
              <w:top w:w="57" w:type="dxa"/>
              <w:bottom w:w="57" w:type="dxa"/>
            </w:tcMar>
          </w:tcPr>
          <w:p w:rsidR="0058435A" w:rsidRDefault="0058435A" w:rsidP="00D15A00">
            <w:pPr>
              <w:pStyle w:val="TableTextEntries"/>
              <w:keepNext/>
              <w:rPr>
                <w:rFonts w:asciiTheme="minorHAnsi" w:hAnsiTheme="minorHAnsi"/>
              </w:rPr>
            </w:pPr>
          </w:p>
        </w:tc>
        <w:tc>
          <w:tcPr>
            <w:tcW w:w="1172" w:type="pct"/>
          </w:tcPr>
          <w:p w:rsidR="0058435A" w:rsidRDefault="0058435A" w:rsidP="00D15A00">
            <w:pPr>
              <w:pStyle w:val="TableTextEntries"/>
              <w:keepNext/>
              <w:rPr>
                <w:rFonts w:asciiTheme="minorHAnsi" w:hAnsiTheme="minorHAnsi"/>
              </w:rPr>
            </w:pPr>
            <w:r>
              <w:rPr>
                <w:rFonts w:asciiTheme="minorHAnsi" w:hAnsiTheme="minorHAnsi"/>
              </w:rPr>
              <w:t>Conduct an Assessment of National Systems (ANS) review</w:t>
            </w:r>
          </w:p>
        </w:tc>
        <w:tc>
          <w:tcPr>
            <w:tcW w:w="516" w:type="pct"/>
            <w:tcBorders>
              <w:top w:val="nil"/>
              <w:bottom w:val="nil"/>
            </w:tcBorders>
            <w:shd w:val="clear" w:color="auto" w:fill="FF0000"/>
          </w:tcPr>
          <w:p w:rsidR="0058435A" w:rsidRDefault="0058435A"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Not Achieved</w:t>
            </w:r>
          </w:p>
        </w:tc>
        <w:tc>
          <w:tcPr>
            <w:tcW w:w="2509" w:type="pct"/>
          </w:tcPr>
          <w:p w:rsidR="0058435A" w:rsidRDefault="0058435A" w:rsidP="007F23D8">
            <w:pPr>
              <w:pStyle w:val="TableTextEntries"/>
              <w:keepNext/>
              <w:rPr>
                <w:rFonts w:asciiTheme="minorHAnsi" w:hAnsiTheme="minorHAnsi"/>
              </w:rPr>
            </w:pPr>
            <w:r w:rsidRPr="00F57038">
              <w:rPr>
                <w:rFonts w:asciiTheme="minorHAnsi" w:hAnsiTheme="minorHAnsi"/>
              </w:rPr>
              <w:t>The A</w:t>
            </w:r>
            <w:r>
              <w:rPr>
                <w:rFonts w:asciiTheme="minorHAnsi" w:hAnsiTheme="minorHAnsi"/>
              </w:rPr>
              <w:t>NS</w:t>
            </w:r>
            <w:r w:rsidRPr="00F57038">
              <w:rPr>
                <w:rFonts w:asciiTheme="minorHAnsi" w:hAnsiTheme="minorHAnsi"/>
              </w:rPr>
              <w:t xml:space="preserve"> review </w:t>
            </w:r>
            <w:r>
              <w:rPr>
                <w:rFonts w:asciiTheme="minorHAnsi" w:hAnsiTheme="minorHAnsi"/>
              </w:rPr>
              <w:t>was</w:t>
            </w:r>
            <w:r w:rsidRPr="00F57038">
              <w:rPr>
                <w:rFonts w:asciiTheme="minorHAnsi" w:hAnsiTheme="minorHAnsi"/>
              </w:rPr>
              <w:t xml:space="preserve"> postponed due to</w:t>
            </w:r>
            <w:r>
              <w:rPr>
                <w:rFonts w:asciiTheme="minorHAnsi" w:hAnsiTheme="minorHAnsi"/>
              </w:rPr>
              <w:t xml:space="preserve"> the mid-year</w:t>
            </w:r>
            <w:r w:rsidRPr="00F57038">
              <w:rPr>
                <w:rFonts w:asciiTheme="minorHAnsi" w:hAnsiTheme="minorHAnsi"/>
              </w:rPr>
              <w:t xml:space="preserve"> </w:t>
            </w:r>
            <w:r>
              <w:rPr>
                <w:rFonts w:asciiTheme="minorHAnsi" w:hAnsiTheme="minorHAnsi"/>
              </w:rPr>
              <w:t>Nauruan elections</w:t>
            </w:r>
            <w:r w:rsidR="007F23D8">
              <w:rPr>
                <w:rFonts w:asciiTheme="minorHAnsi" w:hAnsiTheme="minorHAnsi"/>
              </w:rPr>
              <w:t>.  It commenced in August 2016</w:t>
            </w:r>
            <w:r>
              <w:rPr>
                <w:rFonts w:asciiTheme="minorHAnsi" w:hAnsiTheme="minorHAnsi"/>
              </w:rPr>
              <w:t>.</w:t>
            </w:r>
            <w:r w:rsidR="007F23D8">
              <w:rPr>
                <w:rFonts w:asciiTheme="minorHAnsi" w:hAnsiTheme="minorHAnsi"/>
              </w:rPr>
              <w:t xml:space="preserve">   </w:t>
            </w:r>
          </w:p>
        </w:tc>
      </w:tr>
      <w:tr w:rsidR="004C0E1C" w:rsidRPr="00C4114C" w:rsidTr="009A2FF3">
        <w:trPr>
          <w:trHeight w:val="701"/>
        </w:trPr>
        <w:tc>
          <w:tcPr>
            <w:tcW w:w="803" w:type="pct"/>
            <w:vMerge w:val="restart"/>
            <w:tcMar>
              <w:top w:w="57" w:type="dxa"/>
              <w:bottom w:w="57" w:type="dxa"/>
            </w:tcMar>
          </w:tcPr>
          <w:p w:rsidR="004C0E1C" w:rsidRDefault="004C0E1C" w:rsidP="00D15A00">
            <w:pPr>
              <w:pStyle w:val="TableTextEntries"/>
              <w:keepNext/>
              <w:rPr>
                <w:rFonts w:asciiTheme="minorHAnsi" w:hAnsiTheme="minorHAnsi"/>
              </w:rPr>
            </w:pPr>
            <w:r>
              <w:rPr>
                <w:rFonts w:asciiTheme="minorHAnsi" w:hAnsiTheme="minorHAnsi"/>
              </w:rPr>
              <w:t>Enhanced economic infrastructure</w:t>
            </w:r>
          </w:p>
        </w:tc>
        <w:tc>
          <w:tcPr>
            <w:tcW w:w="1172" w:type="pct"/>
          </w:tcPr>
          <w:p w:rsidR="004C0E1C" w:rsidRDefault="004C0E1C" w:rsidP="004C0E1C">
            <w:pPr>
              <w:pStyle w:val="TableTextEntries"/>
              <w:keepNext/>
              <w:rPr>
                <w:rFonts w:asciiTheme="minorHAnsi" w:hAnsiTheme="minorHAnsi"/>
              </w:rPr>
            </w:pPr>
            <w:r>
              <w:rPr>
                <w:rFonts w:asciiTheme="minorHAnsi" w:hAnsiTheme="minorHAnsi"/>
              </w:rPr>
              <w:t>Stage one of hospital redevelopment completed by February 2016</w:t>
            </w:r>
          </w:p>
        </w:tc>
        <w:tc>
          <w:tcPr>
            <w:tcW w:w="516" w:type="pct"/>
            <w:tcBorders>
              <w:top w:val="nil"/>
              <w:bottom w:val="nil"/>
            </w:tcBorders>
            <w:shd w:val="clear" w:color="auto" w:fill="92D050"/>
          </w:tcPr>
          <w:p w:rsidR="004C0E1C" w:rsidRPr="0058435A" w:rsidRDefault="004C0E1C"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509" w:type="pct"/>
          </w:tcPr>
          <w:p w:rsidR="004C0E1C" w:rsidRDefault="004C0E1C" w:rsidP="004C0E1C">
            <w:pPr>
              <w:pStyle w:val="TableTextEntries"/>
              <w:keepNext/>
              <w:rPr>
                <w:rFonts w:asciiTheme="minorHAnsi" w:hAnsiTheme="minorHAnsi"/>
              </w:rPr>
            </w:pPr>
            <w:r>
              <w:rPr>
                <w:rFonts w:asciiTheme="minorHAnsi" w:hAnsiTheme="minorHAnsi"/>
              </w:rPr>
              <w:t xml:space="preserve">Stage one construction of the hospital redevelopment project was finalised in February 2016. </w:t>
            </w:r>
          </w:p>
        </w:tc>
      </w:tr>
      <w:tr w:rsidR="004C0E1C" w:rsidRPr="00C4114C" w:rsidTr="004C0E1C">
        <w:trPr>
          <w:trHeight w:val="815"/>
        </w:trPr>
        <w:tc>
          <w:tcPr>
            <w:tcW w:w="803" w:type="pct"/>
            <w:vMerge/>
            <w:tcMar>
              <w:top w:w="57" w:type="dxa"/>
              <w:bottom w:w="57" w:type="dxa"/>
            </w:tcMar>
          </w:tcPr>
          <w:p w:rsidR="004C0E1C" w:rsidRPr="003B0793" w:rsidRDefault="004C0E1C" w:rsidP="00D15A00">
            <w:pPr>
              <w:pStyle w:val="TableTextEntries"/>
              <w:keepNext/>
              <w:rPr>
                <w:rFonts w:asciiTheme="minorHAnsi" w:hAnsiTheme="minorHAnsi"/>
              </w:rPr>
            </w:pPr>
          </w:p>
        </w:tc>
        <w:tc>
          <w:tcPr>
            <w:tcW w:w="1172" w:type="pct"/>
          </w:tcPr>
          <w:p w:rsidR="004C0E1C" w:rsidRPr="003B0793" w:rsidRDefault="004C0E1C" w:rsidP="00420DDD">
            <w:pPr>
              <w:pStyle w:val="TableTextEntries"/>
              <w:keepNext/>
              <w:rPr>
                <w:rFonts w:asciiTheme="minorHAnsi" w:hAnsiTheme="minorHAnsi"/>
              </w:rPr>
            </w:pPr>
            <w:r>
              <w:rPr>
                <w:rFonts w:asciiTheme="minorHAnsi" w:hAnsiTheme="minorHAnsi"/>
              </w:rPr>
              <w:t>New generator for NUC procured through ADB</w:t>
            </w:r>
            <w:r w:rsidRPr="003B0793">
              <w:rPr>
                <w:rFonts w:asciiTheme="minorHAnsi" w:hAnsiTheme="minorHAnsi"/>
              </w:rPr>
              <w:t xml:space="preserve"> </w:t>
            </w:r>
          </w:p>
        </w:tc>
        <w:tc>
          <w:tcPr>
            <w:tcW w:w="516" w:type="pct"/>
            <w:tcBorders>
              <w:top w:val="nil"/>
              <w:bottom w:val="single" w:sz="12" w:space="0" w:color="auto"/>
            </w:tcBorders>
            <w:shd w:val="clear" w:color="auto" w:fill="FF9900"/>
          </w:tcPr>
          <w:p w:rsidR="004C0E1C" w:rsidRDefault="004C0E1C" w:rsidP="004C0E1C">
            <w:pPr>
              <w:pStyle w:val="TableTextEntries"/>
              <w:keepNext/>
              <w:jc w:val="center"/>
              <w:rPr>
                <w:rFonts w:asciiTheme="minorHAnsi" w:hAnsiTheme="minorHAnsi"/>
                <w:color w:val="FFFFFF" w:themeColor="background1"/>
              </w:rPr>
            </w:pPr>
            <w:r>
              <w:rPr>
                <w:rFonts w:asciiTheme="minorHAnsi" w:hAnsiTheme="minorHAnsi"/>
                <w:color w:val="FFFFFF" w:themeColor="background1"/>
              </w:rPr>
              <w:t>Partly Achieved</w:t>
            </w:r>
          </w:p>
        </w:tc>
        <w:tc>
          <w:tcPr>
            <w:tcW w:w="2509" w:type="pct"/>
          </w:tcPr>
          <w:p w:rsidR="004C0E1C" w:rsidRPr="003B0793" w:rsidRDefault="004C0E1C" w:rsidP="004C0E1C">
            <w:pPr>
              <w:pStyle w:val="TableTextEntries"/>
              <w:keepNext/>
              <w:rPr>
                <w:rFonts w:asciiTheme="minorHAnsi" w:hAnsiTheme="minorHAnsi"/>
              </w:rPr>
            </w:pPr>
            <w:r>
              <w:rPr>
                <w:rFonts w:asciiTheme="minorHAnsi" w:hAnsiTheme="minorHAnsi"/>
              </w:rPr>
              <w:t>The new generator for NUC has been successfully tendered by ADB.</w:t>
            </w:r>
            <w:r w:rsidR="009A2FF3">
              <w:rPr>
                <w:rFonts w:asciiTheme="minorHAnsi" w:hAnsiTheme="minorHAnsi"/>
              </w:rPr>
              <w:t xml:space="preserve"> </w:t>
            </w:r>
            <w:r>
              <w:rPr>
                <w:rFonts w:asciiTheme="minorHAnsi" w:hAnsiTheme="minorHAnsi"/>
              </w:rPr>
              <w:t xml:space="preserve"> It is </w:t>
            </w:r>
            <w:r w:rsidRPr="00681935">
              <w:rPr>
                <w:rFonts w:asciiTheme="minorHAnsi" w:hAnsiTheme="minorHAnsi"/>
              </w:rPr>
              <w:t>expected to be shipped and installed by August 2017, once</w:t>
            </w:r>
            <w:r>
              <w:rPr>
                <w:rFonts w:asciiTheme="minorHAnsi" w:hAnsiTheme="minorHAnsi"/>
              </w:rPr>
              <w:t xml:space="preserve"> NUC refurbishment has been completed. </w:t>
            </w:r>
          </w:p>
        </w:tc>
      </w:tr>
    </w:tbl>
    <w:p w:rsidR="005B5769" w:rsidRDefault="005B5769" w:rsidP="005B5769">
      <w:pPr>
        <w:pStyle w:val="ListBullet"/>
        <w:tabs>
          <w:tab w:val="clear" w:pos="284"/>
        </w:tabs>
        <w:rPr>
          <w:rFonts w:ascii="Helvetica" w:hAnsi="Helvetica" w:cs="Arial"/>
          <w:color w:val="007FAD"/>
          <w:spacing w:val="-10"/>
          <w:kern w:val="28"/>
          <w:sz w:val="28"/>
          <w:szCs w:val="28"/>
        </w:rPr>
      </w:pPr>
    </w:p>
    <w:p w:rsidR="00015316" w:rsidRDefault="004B7F47" w:rsidP="005B5769">
      <w:pPr>
        <w:spacing w:after="120" w:line="280" w:lineRule="exact"/>
        <w:rPr>
          <w:sz w:val="21"/>
        </w:rPr>
      </w:pPr>
      <w:r>
        <w:rPr>
          <w:sz w:val="21"/>
        </w:rPr>
        <w:t xml:space="preserve">Australia proposes the following performance benchmarks to assess progress towards the strategic objectives over the life of the </w:t>
      </w:r>
      <w:hyperlink r:id="rId16" w:history="1">
        <w:r w:rsidR="0019560E" w:rsidRPr="00EC41E8">
          <w:rPr>
            <w:rStyle w:val="Hyperlink"/>
            <w:rFonts w:cstheme="minorBidi"/>
            <w:sz w:val="21"/>
          </w:rPr>
          <w:t>Nauru Aid Investment Plan 2015-16 to 2018-19.</w:t>
        </w:r>
      </w:hyperlink>
      <w:r>
        <w:rPr>
          <w:sz w:val="21"/>
        </w:rPr>
        <w:t xml:space="preserve">. </w:t>
      </w:r>
      <w:r w:rsidR="002C07BA">
        <w:rPr>
          <w:sz w:val="21"/>
        </w:rPr>
        <w:t xml:space="preserve"> </w:t>
      </w:r>
      <w:r>
        <w:rPr>
          <w:sz w:val="21"/>
        </w:rPr>
        <w:t xml:space="preserve">Australia will report on progress against these benchmarks through annual Aid Program Performance Reports (APPRs). </w:t>
      </w:r>
      <w:r w:rsidR="002C07BA">
        <w:rPr>
          <w:sz w:val="21"/>
        </w:rPr>
        <w:t xml:space="preserve"> </w:t>
      </w:r>
      <w:r>
        <w:rPr>
          <w:sz w:val="21"/>
        </w:rPr>
        <w:t xml:space="preserve">Future year performance benchmarks will be determined following the review and analysis of APPRs. </w:t>
      </w:r>
    </w:p>
    <w:p w:rsidR="001D0A71" w:rsidRDefault="001D0A71">
      <w:pPr>
        <w:suppressAutoHyphens w:val="0"/>
        <w:spacing w:before="0" w:after="120" w:line="440" w:lineRule="atLeast"/>
      </w:pPr>
      <w:r>
        <w:br w:type="page"/>
      </w:r>
    </w:p>
    <w:p w:rsidR="005B5769" w:rsidRPr="008C2F58" w:rsidRDefault="009C7FE6" w:rsidP="005B5769">
      <w:pPr>
        <w:pStyle w:val="Caption"/>
        <w:rPr>
          <w:sz w:val="24"/>
        </w:rPr>
      </w:pPr>
      <w:r>
        <w:rPr>
          <w:sz w:val="24"/>
        </w:rPr>
        <w:lastRenderedPageBreak/>
        <w:t>Performance Benchmarks 2016-17</w:t>
      </w:r>
    </w:p>
    <w:tbl>
      <w:tblPr>
        <w:tblStyle w:val="DFATTable"/>
        <w:tblW w:w="5521" w:type="pct"/>
        <w:tblLook w:val="04A0" w:firstRow="1" w:lastRow="0" w:firstColumn="1" w:lastColumn="0" w:noHBand="0" w:noVBand="1"/>
      </w:tblPr>
      <w:tblGrid>
        <w:gridCol w:w="1628"/>
        <w:gridCol w:w="562"/>
        <w:gridCol w:w="5551"/>
        <w:gridCol w:w="222"/>
        <w:gridCol w:w="113"/>
        <w:gridCol w:w="222"/>
        <w:gridCol w:w="13"/>
        <w:gridCol w:w="222"/>
        <w:gridCol w:w="378"/>
        <w:gridCol w:w="452"/>
        <w:gridCol w:w="110"/>
        <w:gridCol w:w="606"/>
        <w:gridCol w:w="563"/>
      </w:tblGrid>
      <w:tr w:rsidR="001E4A65" w:rsidTr="001E4A65">
        <w:trPr>
          <w:trHeight w:val="325"/>
        </w:trPr>
        <w:tc>
          <w:tcPr>
            <w:tcW w:w="1031" w:type="pct"/>
            <w:gridSpan w:val="2"/>
            <w:tcBorders>
              <w:top w:val="single" w:sz="12" w:space="0" w:color="auto"/>
              <w:left w:val="nil"/>
              <w:bottom w:val="nil"/>
              <w:right w:val="nil"/>
            </w:tcBorders>
          </w:tcPr>
          <w:p w:rsidR="003B0793" w:rsidRPr="003B0793" w:rsidRDefault="003B0793" w:rsidP="00D15A00">
            <w:pPr>
              <w:pStyle w:val="TableHeading1"/>
              <w:rPr>
                <w:rFonts w:asciiTheme="minorHAnsi" w:hAnsiTheme="minorHAnsi"/>
              </w:rPr>
            </w:pPr>
          </w:p>
        </w:tc>
        <w:tc>
          <w:tcPr>
            <w:tcW w:w="2874" w:type="pct"/>
            <w:gridSpan w:val="5"/>
            <w:tcBorders>
              <w:top w:val="single" w:sz="12" w:space="0" w:color="auto"/>
              <w:left w:val="nil"/>
              <w:bottom w:val="nil"/>
              <w:right w:val="nil"/>
            </w:tcBorders>
          </w:tcPr>
          <w:p w:rsidR="003B0793" w:rsidRPr="003B0793" w:rsidRDefault="003B0793" w:rsidP="00D15A00">
            <w:pPr>
              <w:pStyle w:val="TableHeading1"/>
              <w:rPr>
                <w:rFonts w:asciiTheme="minorHAnsi" w:hAnsiTheme="minorHAnsi"/>
              </w:rPr>
            </w:pPr>
          </w:p>
        </w:tc>
        <w:tc>
          <w:tcPr>
            <w:tcW w:w="102" w:type="pct"/>
            <w:tcBorders>
              <w:top w:val="single" w:sz="12" w:space="0" w:color="auto"/>
              <w:left w:val="nil"/>
              <w:bottom w:val="nil"/>
              <w:right w:val="nil"/>
            </w:tcBorders>
            <w:hideMark/>
          </w:tcPr>
          <w:p w:rsidR="003B0793" w:rsidRPr="003B0793" w:rsidRDefault="003B0793" w:rsidP="003B0793">
            <w:pPr>
              <w:pStyle w:val="TableHeading1"/>
              <w:jc w:val="center"/>
              <w:rPr>
                <w:rFonts w:asciiTheme="minorHAnsi" w:hAnsiTheme="minorHAnsi"/>
              </w:rPr>
            </w:pPr>
          </w:p>
        </w:tc>
        <w:tc>
          <w:tcPr>
            <w:tcW w:w="443" w:type="pct"/>
            <w:gridSpan w:val="3"/>
            <w:tcBorders>
              <w:top w:val="single" w:sz="12" w:space="0" w:color="auto"/>
              <w:left w:val="nil"/>
              <w:bottom w:val="nil"/>
              <w:right w:val="nil"/>
            </w:tcBorders>
          </w:tcPr>
          <w:p w:rsidR="003B0793" w:rsidRPr="003B0793" w:rsidRDefault="003B0793" w:rsidP="003B0793">
            <w:pPr>
              <w:pStyle w:val="TableHeading1"/>
              <w:jc w:val="center"/>
              <w:rPr>
                <w:rFonts w:asciiTheme="minorHAnsi" w:hAnsiTheme="minorHAnsi"/>
              </w:rPr>
            </w:pPr>
          </w:p>
        </w:tc>
        <w:tc>
          <w:tcPr>
            <w:tcW w:w="550" w:type="pct"/>
            <w:gridSpan w:val="2"/>
            <w:tcBorders>
              <w:top w:val="single" w:sz="12" w:space="0" w:color="auto"/>
              <w:left w:val="nil"/>
              <w:bottom w:val="nil"/>
              <w:right w:val="nil"/>
            </w:tcBorders>
          </w:tcPr>
          <w:p w:rsidR="003B0793" w:rsidRPr="003B0793" w:rsidRDefault="003B0793" w:rsidP="003B0793">
            <w:pPr>
              <w:pStyle w:val="TableHeading1"/>
              <w:jc w:val="center"/>
              <w:rPr>
                <w:rFonts w:asciiTheme="minorHAnsi" w:hAnsiTheme="minorHAnsi"/>
              </w:rPr>
            </w:pPr>
          </w:p>
        </w:tc>
      </w:tr>
      <w:tr w:rsidR="001E4A65" w:rsidRPr="0005613F" w:rsidTr="001E4A65">
        <w:trPr>
          <w:gridAfter w:val="10"/>
          <w:wAfter w:w="1360" w:type="pct"/>
          <w:trHeight w:val="417"/>
        </w:trPr>
        <w:tc>
          <w:tcPr>
            <w:tcW w:w="766" w:type="pct"/>
            <w:tcBorders>
              <w:top w:val="nil"/>
              <w:left w:val="nil"/>
              <w:bottom w:val="nil"/>
              <w:right w:val="nil"/>
            </w:tcBorders>
            <w:hideMark/>
          </w:tcPr>
          <w:p w:rsidR="003B0793" w:rsidRPr="0005613F" w:rsidRDefault="00633956" w:rsidP="00633956">
            <w:pPr>
              <w:pStyle w:val="TableHeading1"/>
              <w:rPr>
                <w:rFonts w:asciiTheme="minorHAnsi" w:hAnsiTheme="minorHAnsi"/>
                <w:i/>
                <w:color w:val="808080" w:themeColor="background1" w:themeShade="80"/>
              </w:rPr>
            </w:pPr>
            <w:r w:rsidRPr="0005613F">
              <w:rPr>
                <w:rFonts w:asciiTheme="minorHAnsi" w:hAnsiTheme="minorHAnsi"/>
              </w:rPr>
              <w:t>Strengthened provision of education and health services</w:t>
            </w:r>
          </w:p>
        </w:tc>
        <w:tc>
          <w:tcPr>
            <w:tcW w:w="2874" w:type="pct"/>
            <w:gridSpan w:val="2"/>
            <w:tcBorders>
              <w:top w:val="nil"/>
              <w:left w:val="nil"/>
              <w:bottom w:val="nil"/>
            </w:tcBorders>
            <w:hideMark/>
          </w:tcPr>
          <w:p w:rsidR="00633956" w:rsidRPr="0005613F" w:rsidRDefault="00220C3A" w:rsidP="009C7FE6">
            <w:pPr>
              <w:pStyle w:val="TableTextEntries"/>
              <w:keepNext/>
              <w:numPr>
                <w:ilvl w:val="0"/>
                <w:numId w:val="37"/>
              </w:numPr>
              <w:rPr>
                <w:rFonts w:asciiTheme="minorHAnsi" w:hAnsiTheme="minorHAnsi"/>
              </w:rPr>
            </w:pPr>
            <w:r w:rsidRPr="0005613F">
              <w:rPr>
                <w:rFonts w:asciiTheme="minorHAnsi" w:hAnsiTheme="minorHAnsi"/>
              </w:rPr>
              <w:t xml:space="preserve">Amount and timing of budget support for education and health is negotiated with </w:t>
            </w:r>
            <w:proofErr w:type="spellStart"/>
            <w:r w:rsidR="007F23D8" w:rsidRPr="0005613F">
              <w:rPr>
                <w:rFonts w:asciiTheme="minorHAnsi" w:hAnsiTheme="minorHAnsi"/>
              </w:rPr>
              <w:t>GoN</w:t>
            </w:r>
            <w:proofErr w:type="spellEnd"/>
            <w:r w:rsidR="007F23D8" w:rsidRPr="0005613F">
              <w:rPr>
                <w:rFonts w:asciiTheme="minorHAnsi" w:hAnsiTheme="minorHAnsi"/>
              </w:rPr>
              <w:t xml:space="preserve"> </w:t>
            </w:r>
            <w:r w:rsidRPr="0005613F">
              <w:rPr>
                <w:rFonts w:asciiTheme="minorHAnsi" w:hAnsiTheme="minorHAnsi"/>
              </w:rPr>
              <w:t>by 3</w:t>
            </w:r>
            <w:r w:rsidR="007F23D8" w:rsidRPr="0005613F">
              <w:rPr>
                <w:rFonts w:asciiTheme="minorHAnsi" w:hAnsiTheme="minorHAnsi"/>
              </w:rPr>
              <w:t>0 September</w:t>
            </w:r>
            <w:r w:rsidRPr="0005613F">
              <w:rPr>
                <w:rFonts w:asciiTheme="minorHAnsi" w:hAnsiTheme="minorHAnsi"/>
              </w:rPr>
              <w:t xml:space="preserve"> 2016.  Payment of budget support made according to agreed times across the financial year</w:t>
            </w:r>
          </w:p>
          <w:p w:rsidR="008348A0" w:rsidRPr="0005613F" w:rsidRDefault="008348A0" w:rsidP="008348A0">
            <w:pPr>
              <w:pStyle w:val="TableTextEntries"/>
              <w:keepNext/>
              <w:numPr>
                <w:ilvl w:val="0"/>
                <w:numId w:val="37"/>
              </w:numPr>
              <w:rPr>
                <w:rFonts w:asciiTheme="minorHAnsi" w:hAnsiTheme="minorHAnsi"/>
              </w:rPr>
            </w:pPr>
            <w:r w:rsidRPr="0005613F">
              <w:rPr>
                <w:rFonts w:asciiTheme="minorHAnsi" w:hAnsiTheme="minorHAnsi"/>
              </w:rPr>
              <w:t>Conduct a rapid “diagnostic” of the health sector in 2016 to help map out key issues, opportunities and recommend options for priority actions</w:t>
            </w:r>
          </w:p>
          <w:p w:rsidR="003B0793" w:rsidRPr="0005613F" w:rsidRDefault="00633956" w:rsidP="008348A0">
            <w:pPr>
              <w:pStyle w:val="TableTextEntries"/>
              <w:keepNext/>
              <w:numPr>
                <w:ilvl w:val="0"/>
                <w:numId w:val="37"/>
              </w:numPr>
              <w:rPr>
                <w:rFonts w:asciiTheme="minorHAnsi" w:hAnsiTheme="minorHAnsi"/>
                <w:i/>
              </w:rPr>
            </w:pPr>
            <w:r w:rsidRPr="0005613F">
              <w:rPr>
                <w:rFonts w:asciiTheme="minorHAnsi" w:hAnsiTheme="minorHAnsi"/>
              </w:rPr>
              <w:t xml:space="preserve">Provision of technical assistance that assists </w:t>
            </w:r>
            <w:proofErr w:type="spellStart"/>
            <w:r w:rsidRPr="0005613F">
              <w:rPr>
                <w:rFonts w:asciiTheme="minorHAnsi" w:hAnsiTheme="minorHAnsi"/>
              </w:rPr>
              <w:t>GoN</w:t>
            </w:r>
            <w:proofErr w:type="spellEnd"/>
            <w:r w:rsidRPr="0005613F">
              <w:rPr>
                <w:rFonts w:asciiTheme="minorHAnsi" w:hAnsiTheme="minorHAnsi"/>
              </w:rPr>
              <w:t xml:space="preserve"> to deliver and implement</w:t>
            </w:r>
            <w:r w:rsidR="008348A0" w:rsidRPr="0005613F">
              <w:rPr>
                <w:rFonts w:asciiTheme="minorHAnsi" w:hAnsiTheme="minorHAnsi"/>
              </w:rPr>
              <w:t xml:space="preserve"> health and education services </w:t>
            </w:r>
          </w:p>
        </w:tc>
      </w:tr>
      <w:tr w:rsidR="001E4A65" w:rsidRPr="0005613F" w:rsidTr="001E4A65">
        <w:trPr>
          <w:gridAfter w:val="1"/>
          <w:wAfter w:w="265" w:type="pct"/>
          <w:trHeight w:val="1478"/>
        </w:trPr>
        <w:tc>
          <w:tcPr>
            <w:tcW w:w="766" w:type="pct"/>
            <w:tcBorders>
              <w:top w:val="nil"/>
              <w:left w:val="nil"/>
              <w:bottom w:val="nil"/>
              <w:right w:val="nil"/>
            </w:tcBorders>
            <w:hideMark/>
          </w:tcPr>
          <w:p w:rsidR="003B0793" w:rsidRPr="0005613F" w:rsidRDefault="00633956" w:rsidP="008A5EC8">
            <w:pPr>
              <w:spacing w:after="120"/>
              <w:rPr>
                <w:rFonts w:asciiTheme="minorHAnsi" w:hAnsiTheme="minorHAnsi"/>
                <w:b/>
                <w:color w:val="auto"/>
                <w:szCs w:val="20"/>
                <w:lang w:eastAsia="en-US"/>
              </w:rPr>
            </w:pPr>
            <w:r w:rsidRPr="0005613F">
              <w:rPr>
                <w:rFonts w:asciiTheme="minorHAnsi" w:hAnsiTheme="minorHAnsi"/>
                <w:b/>
                <w:color w:val="auto"/>
                <w:szCs w:val="20"/>
                <w:lang w:eastAsia="en-US"/>
              </w:rPr>
              <w:t>Strengthened governance and Public Service capability</w:t>
            </w:r>
          </w:p>
        </w:tc>
        <w:tc>
          <w:tcPr>
            <w:tcW w:w="2874" w:type="pct"/>
            <w:gridSpan w:val="2"/>
            <w:tcBorders>
              <w:top w:val="nil"/>
              <w:left w:val="nil"/>
              <w:bottom w:val="nil"/>
              <w:right w:val="nil"/>
            </w:tcBorders>
            <w:hideMark/>
          </w:tcPr>
          <w:p w:rsidR="009C7FE6" w:rsidRPr="0005613F" w:rsidRDefault="009C7FE6" w:rsidP="009C7FE6">
            <w:pPr>
              <w:pStyle w:val="TableTextEntries"/>
              <w:keepNext/>
              <w:numPr>
                <w:ilvl w:val="0"/>
                <w:numId w:val="37"/>
              </w:numPr>
              <w:rPr>
                <w:rFonts w:asciiTheme="minorHAnsi" w:hAnsiTheme="minorHAnsi"/>
              </w:rPr>
            </w:pPr>
            <w:r w:rsidRPr="0005613F">
              <w:rPr>
                <w:rFonts w:asciiTheme="minorHAnsi" w:hAnsiTheme="minorHAnsi"/>
              </w:rPr>
              <w:t>Provision of relevant technical assistance that contribute</w:t>
            </w:r>
            <w:r w:rsidR="00223DF7" w:rsidRPr="0005613F">
              <w:rPr>
                <w:rFonts w:asciiTheme="minorHAnsi" w:hAnsiTheme="minorHAnsi"/>
              </w:rPr>
              <w:t>s</w:t>
            </w:r>
            <w:r w:rsidRPr="0005613F">
              <w:rPr>
                <w:rFonts w:asciiTheme="minorHAnsi" w:hAnsiTheme="minorHAnsi"/>
              </w:rPr>
              <w:t xml:space="preserve"> to strengthening Nauru’s financ</w:t>
            </w:r>
            <w:r w:rsidR="00811382" w:rsidRPr="0005613F">
              <w:rPr>
                <w:rFonts w:asciiTheme="minorHAnsi" w:hAnsiTheme="minorHAnsi"/>
              </w:rPr>
              <w:t xml:space="preserve">ial </w:t>
            </w:r>
            <w:r w:rsidRPr="0005613F">
              <w:rPr>
                <w:rFonts w:asciiTheme="minorHAnsi" w:hAnsiTheme="minorHAnsi"/>
              </w:rPr>
              <w:t>management and economic governance decision making</w:t>
            </w:r>
          </w:p>
          <w:p w:rsidR="00B4069A" w:rsidRPr="0005613F" w:rsidRDefault="009C7FE6" w:rsidP="009C7FE6">
            <w:pPr>
              <w:pStyle w:val="TableTextEntries"/>
              <w:keepNext/>
              <w:numPr>
                <w:ilvl w:val="0"/>
                <w:numId w:val="37"/>
              </w:numPr>
              <w:rPr>
                <w:rFonts w:asciiTheme="minorHAnsi" w:hAnsiTheme="minorHAnsi"/>
              </w:rPr>
            </w:pPr>
            <w:r w:rsidRPr="0005613F">
              <w:rPr>
                <w:rFonts w:asciiTheme="minorHAnsi" w:hAnsiTheme="minorHAnsi"/>
              </w:rPr>
              <w:t xml:space="preserve">Conduct biannual </w:t>
            </w:r>
            <w:r w:rsidR="006A2664" w:rsidRPr="0005613F">
              <w:rPr>
                <w:rFonts w:asciiTheme="minorHAnsi" w:hAnsiTheme="minorHAnsi"/>
              </w:rPr>
              <w:t xml:space="preserve">reviews of the operational account </w:t>
            </w:r>
            <w:r w:rsidR="00B4069A" w:rsidRPr="0005613F">
              <w:rPr>
                <w:rFonts w:asciiTheme="minorHAnsi" w:hAnsiTheme="minorHAnsi"/>
              </w:rPr>
              <w:t>to provide assurance that expenditure is appropriate; key controls are effective; and to drive business improvement</w:t>
            </w:r>
          </w:p>
          <w:p w:rsidR="009C7FE6" w:rsidRPr="0005613F" w:rsidRDefault="009C7FE6" w:rsidP="002C07BA">
            <w:pPr>
              <w:pStyle w:val="ListParagraph"/>
              <w:numPr>
                <w:ilvl w:val="0"/>
                <w:numId w:val="37"/>
              </w:numPr>
              <w:spacing w:before="40" w:after="40"/>
              <w:ind w:left="714" w:hanging="357"/>
              <w:contextualSpacing w:val="0"/>
              <w:rPr>
                <w:i/>
                <w:color w:val="auto"/>
                <w:szCs w:val="20"/>
                <w:lang w:eastAsia="en-US"/>
              </w:rPr>
            </w:pPr>
            <w:r w:rsidRPr="0005613F">
              <w:rPr>
                <w:rFonts w:asciiTheme="minorHAnsi" w:hAnsiTheme="minorHAnsi"/>
                <w:color w:val="auto"/>
              </w:rPr>
              <w:t>Conduct an A</w:t>
            </w:r>
            <w:r w:rsidR="00811382" w:rsidRPr="0005613F">
              <w:rPr>
                <w:rFonts w:asciiTheme="minorHAnsi" w:hAnsiTheme="minorHAnsi"/>
                <w:color w:val="auto"/>
              </w:rPr>
              <w:t>NS</w:t>
            </w:r>
            <w:r w:rsidRPr="0005613F">
              <w:rPr>
                <w:rFonts w:asciiTheme="minorHAnsi" w:hAnsiTheme="minorHAnsi"/>
                <w:color w:val="auto"/>
              </w:rPr>
              <w:t xml:space="preserve"> review</w:t>
            </w:r>
            <w:r w:rsidR="001E4A65" w:rsidRPr="0005613F">
              <w:rPr>
                <w:rFonts w:asciiTheme="minorHAnsi" w:hAnsiTheme="minorHAnsi"/>
                <w:color w:val="auto"/>
              </w:rPr>
              <w:t xml:space="preserve"> in Aug</w:t>
            </w:r>
            <w:r w:rsidR="00811382" w:rsidRPr="0005613F">
              <w:rPr>
                <w:rFonts w:asciiTheme="minorHAnsi" w:hAnsiTheme="minorHAnsi"/>
                <w:color w:val="auto"/>
              </w:rPr>
              <w:t>ust</w:t>
            </w:r>
            <w:r w:rsidR="001E4A65" w:rsidRPr="0005613F">
              <w:rPr>
                <w:rFonts w:asciiTheme="minorHAnsi" w:hAnsiTheme="minorHAnsi"/>
                <w:color w:val="auto"/>
              </w:rPr>
              <w:t xml:space="preserve"> 2016</w:t>
            </w:r>
          </w:p>
          <w:p w:rsidR="002C07BA" w:rsidRPr="0005613F" w:rsidRDefault="002C07BA" w:rsidP="00811382">
            <w:pPr>
              <w:pStyle w:val="ListParagraph"/>
              <w:numPr>
                <w:ilvl w:val="0"/>
                <w:numId w:val="37"/>
              </w:numPr>
              <w:spacing w:before="40" w:after="120"/>
              <w:ind w:left="714" w:hanging="357"/>
              <w:contextualSpacing w:val="0"/>
              <w:rPr>
                <w:i/>
                <w:color w:val="auto"/>
                <w:szCs w:val="20"/>
                <w:lang w:eastAsia="en-US"/>
              </w:rPr>
            </w:pPr>
            <w:r w:rsidRPr="0005613F">
              <w:rPr>
                <w:rFonts w:asciiTheme="minorHAnsi" w:hAnsiTheme="minorHAnsi"/>
                <w:color w:val="auto"/>
              </w:rPr>
              <w:t xml:space="preserve">Tender for a </w:t>
            </w:r>
            <w:proofErr w:type="spellStart"/>
            <w:r w:rsidRPr="0005613F">
              <w:rPr>
                <w:rFonts w:asciiTheme="minorHAnsi" w:hAnsiTheme="minorHAnsi"/>
                <w:color w:val="auto"/>
              </w:rPr>
              <w:t>G</w:t>
            </w:r>
            <w:r w:rsidR="00811382" w:rsidRPr="0005613F">
              <w:rPr>
                <w:rFonts w:asciiTheme="minorHAnsi" w:hAnsiTheme="minorHAnsi"/>
                <w:color w:val="auto"/>
              </w:rPr>
              <w:t>o</w:t>
            </w:r>
            <w:r w:rsidRPr="0005613F">
              <w:rPr>
                <w:rFonts w:asciiTheme="minorHAnsi" w:hAnsiTheme="minorHAnsi"/>
                <w:color w:val="auto"/>
              </w:rPr>
              <w:t>N</w:t>
            </w:r>
            <w:proofErr w:type="spellEnd"/>
            <w:r w:rsidRPr="0005613F">
              <w:rPr>
                <w:rFonts w:asciiTheme="minorHAnsi" w:hAnsiTheme="minorHAnsi"/>
                <w:color w:val="auto"/>
              </w:rPr>
              <w:t xml:space="preserve"> Independent Procurement Agent</w:t>
            </w:r>
            <w:r w:rsidR="00193992" w:rsidRPr="0005613F">
              <w:rPr>
                <w:rFonts w:asciiTheme="minorHAnsi" w:hAnsiTheme="minorHAnsi"/>
                <w:color w:val="auto"/>
              </w:rPr>
              <w:t xml:space="preserve"> (IPA)</w:t>
            </w:r>
          </w:p>
        </w:tc>
        <w:tc>
          <w:tcPr>
            <w:tcW w:w="102" w:type="pct"/>
            <w:tcBorders>
              <w:top w:val="nil"/>
              <w:left w:val="nil"/>
              <w:bottom w:val="nil"/>
              <w:right w:val="nil"/>
            </w:tcBorders>
          </w:tcPr>
          <w:p w:rsidR="003B0793" w:rsidRPr="0005613F" w:rsidRDefault="003B0793" w:rsidP="003B0793">
            <w:pPr>
              <w:jc w:val="center"/>
              <w:rPr>
                <w:rFonts w:asciiTheme="minorHAnsi" w:hAnsiTheme="minorHAnsi"/>
                <w:i/>
                <w:color w:val="808080" w:themeColor="background1" w:themeShade="80"/>
                <w:szCs w:val="20"/>
                <w:lang w:eastAsia="en-US"/>
              </w:rPr>
            </w:pPr>
          </w:p>
        </w:tc>
        <w:tc>
          <w:tcPr>
            <w:tcW w:w="443" w:type="pct"/>
            <w:gridSpan w:val="5"/>
            <w:tcBorders>
              <w:top w:val="nil"/>
              <w:left w:val="nil"/>
              <w:bottom w:val="nil"/>
              <w:right w:val="nil"/>
            </w:tcBorders>
          </w:tcPr>
          <w:p w:rsidR="003B0793" w:rsidRPr="0005613F" w:rsidRDefault="003B0793" w:rsidP="003B0793">
            <w:pPr>
              <w:jc w:val="center"/>
              <w:rPr>
                <w:rFonts w:asciiTheme="minorHAnsi" w:hAnsiTheme="minorHAnsi"/>
                <w:i/>
                <w:color w:val="808080" w:themeColor="background1" w:themeShade="80"/>
                <w:szCs w:val="20"/>
                <w:lang w:eastAsia="en-US"/>
              </w:rPr>
            </w:pPr>
          </w:p>
        </w:tc>
        <w:tc>
          <w:tcPr>
            <w:tcW w:w="550" w:type="pct"/>
            <w:gridSpan w:val="3"/>
            <w:tcBorders>
              <w:top w:val="nil"/>
              <w:left w:val="nil"/>
              <w:bottom w:val="nil"/>
              <w:right w:val="nil"/>
            </w:tcBorders>
          </w:tcPr>
          <w:p w:rsidR="003B0793" w:rsidRPr="0005613F" w:rsidRDefault="003B0793" w:rsidP="003B0793">
            <w:pPr>
              <w:jc w:val="center"/>
              <w:rPr>
                <w:rFonts w:asciiTheme="minorHAnsi" w:hAnsiTheme="minorHAnsi"/>
                <w:i/>
                <w:color w:val="808080" w:themeColor="background1" w:themeShade="80"/>
                <w:szCs w:val="20"/>
                <w:lang w:eastAsia="en-US"/>
              </w:rPr>
            </w:pPr>
          </w:p>
        </w:tc>
      </w:tr>
      <w:tr w:rsidR="001E4A65" w:rsidRPr="0005613F" w:rsidTr="008348A0">
        <w:trPr>
          <w:trHeight w:val="602"/>
        </w:trPr>
        <w:tc>
          <w:tcPr>
            <w:tcW w:w="766" w:type="pct"/>
            <w:tcBorders>
              <w:top w:val="nil"/>
              <w:left w:val="nil"/>
              <w:bottom w:val="nil"/>
              <w:right w:val="nil"/>
            </w:tcBorders>
            <w:hideMark/>
          </w:tcPr>
          <w:p w:rsidR="002C07BA" w:rsidRPr="0005613F" w:rsidRDefault="00633956" w:rsidP="008348A0">
            <w:pPr>
              <w:pStyle w:val="TableTextEntries"/>
              <w:rPr>
                <w:rFonts w:asciiTheme="minorHAnsi" w:hAnsiTheme="minorHAnsi"/>
                <w:b/>
              </w:rPr>
            </w:pPr>
            <w:r w:rsidRPr="0005613F">
              <w:rPr>
                <w:rFonts w:asciiTheme="minorHAnsi" w:hAnsiTheme="minorHAnsi"/>
                <w:b/>
              </w:rPr>
              <w:t xml:space="preserve">Enhanced economic infrastructure </w:t>
            </w:r>
          </w:p>
        </w:tc>
        <w:tc>
          <w:tcPr>
            <w:tcW w:w="3030" w:type="pct"/>
            <w:gridSpan w:val="4"/>
            <w:tcBorders>
              <w:top w:val="nil"/>
              <w:left w:val="nil"/>
              <w:bottom w:val="nil"/>
              <w:right w:val="nil"/>
            </w:tcBorders>
          </w:tcPr>
          <w:p w:rsidR="009C7FE6" w:rsidRPr="0005613F" w:rsidRDefault="009C7FE6" w:rsidP="002C07BA">
            <w:pPr>
              <w:pStyle w:val="TableTextEntries"/>
              <w:keepNext/>
              <w:numPr>
                <w:ilvl w:val="0"/>
                <w:numId w:val="38"/>
              </w:numPr>
              <w:ind w:left="714" w:hanging="357"/>
              <w:rPr>
                <w:rFonts w:asciiTheme="minorHAnsi" w:hAnsiTheme="minorHAnsi"/>
              </w:rPr>
            </w:pPr>
            <w:r w:rsidRPr="0005613F">
              <w:rPr>
                <w:rFonts w:asciiTheme="minorHAnsi" w:hAnsiTheme="minorHAnsi"/>
              </w:rPr>
              <w:t xml:space="preserve">Stage two of hospital redevelopment completed by </w:t>
            </w:r>
            <w:r w:rsidR="00220C3A" w:rsidRPr="0005613F">
              <w:rPr>
                <w:rFonts w:asciiTheme="minorHAnsi" w:hAnsiTheme="minorHAnsi"/>
              </w:rPr>
              <w:t xml:space="preserve">February </w:t>
            </w:r>
            <w:r w:rsidR="008A5EC8" w:rsidRPr="0005613F">
              <w:rPr>
                <w:rFonts w:asciiTheme="minorHAnsi" w:hAnsiTheme="minorHAnsi"/>
              </w:rPr>
              <w:t>2017</w:t>
            </w:r>
          </w:p>
          <w:p w:rsidR="001A5875" w:rsidRPr="0005613F" w:rsidRDefault="009C7FE6" w:rsidP="00811382">
            <w:pPr>
              <w:pStyle w:val="ListParagraph"/>
              <w:numPr>
                <w:ilvl w:val="0"/>
                <w:numId w:val="38"/>
              </w:numPr>
              <w:spacing w:before="40" w:after="120"/>
              <w:ind w:left="714" w:hanging="357"/>
              <w:contextualSpacing w:val="0"/>
              <w:rPr>
                <w:rFonts w:asciiTheme="minorHAnsi" w:hAnsiTheme="minorHAnsi"/>
                <w:i/>
                <w:color w:val="auto"/>
                <w:szCs w:val="20"/>
                <w:lang w:eastAsia="en-US"/>
              </w:rPr>
            </w:pPr>
            <w:r w:rsidRPr="0005613F">
              <w:rPr>
                <w:rFonts w:asciiTheme="minorHAnsi" w:hAnsiTheme="minorHAnsi"/>
                <w:color w:val="auto"/>
              </w:rPr>
              <w:t>New generator</w:t>
            </w:r>
            <w:r w:rsidR="008A5EC8" w:rsidRPr="0005613F">
              <w:rPr>
                <w:rFonts w:asciiTheme="minorHAnsi" w:hAnsiTheme="minorHAnsi"/>
                <w:color w:val="auto"/>
              </w:rPr>
              <w:t>s</w:t>
            </w:r>
            <w:r w:rsidRPr="0005613F">
              <w:rPr>
                <w:rFonts w:asciiTheme="minorHAnsi" w:hAnsiTheme="minorHAnsi"/>
                <w:color w:val="auto"/>
              </w:rPr>
              <w:t xml:space="preserve"> </w:t>
            </w:r>
            <w:r w:rsidR="00512C5B" w:rsidRPr="0005613F">
              <w:rPr>
                <w:rFonts w:asciiTheme="minorHAnsi" w:hAnsiTheme="minorHAnsi"/>
                <w:color w:val="auto"/>
              </w:rPr>
              <w:t>delivered</w:t>
            </w:r>
            <w:r w:rsidR="000D438D" w:rsidRPr="0005613F">
              <w:rPr>
                <w:rFonts w:asciiTheme="minorHAnsi" w:hAnsiTheme="minorHAnsi"/>
                <w:color w:val="auto"/>
              </w:rPr>
              <w:t xml:space="preserve"> to NUC</w:t>
            </w:r>
            <w:r w:rsidR="00512C5B" w:rsidRPr="0005613F">
              <w:rPr>
                <w:rFonts w:asciiTheme="minorHAnsi" w:hAnsiTheme="minorHAnsi"/>
                <w:color w:val="auto"/>
              </w:rPr>
              <w:t xml:space="preserve"> </w:t>
            </w:r>
            <w:r w:rsidR="000D438D" w:rsidRPr="0005613F">
              <w:rPr>
                <w:rFonts w:asciiTheme="minorHAnsi" w:hAnsiTheme="minorHAnsi"/>
                <w:color w:val="auto"/>
              </w:rPr>
              <w:t>(</w:t>
            </w:r>
            <w:r w:rsidRPr="0005613F">
              <w:rPr>
                <w:rFonts w:asciiTheme="minorHAnsi" w:hAnsiTheme="minorHAnsi"/>
                <w:color w:val="auto"/>
              </w:rPr>
              <w:t>through ADB</w:t>
            </w:r>
            <w:r w:rsidR="000D438D" w:rsidRPr="0005613F">
              <w:rPr>
                <w:rFonts w:asciiTheme="minorHAnsi" w:hAnsiTheme="minorHAnsi"/>
                <w:color w:val="auto"/>
              </w:rPr>
              <w:t>)</w:t>
            </w:r>
            <w:r w:rsidR="008A5EC8" w:rsidRPr="0005613F">
              <w:rPr>
                <w:rFonts w:asciiTheme="minorHAnsi" w:hAnsiTheme="minorHAnsi"/>
                <w:color w:val="auto"/>
              </w:rPr>
              <w:t xml:space="preserve"> by </w:t>
            </w:r>
            <w:r w:rsidR="000D438D" w:rsidRPr="0005613F">
              <w:rPr>
                <w:rFonts w:asciiTheme="minorHAnsi" w:hAnsiTheme="minorHAnsi"/>
                <w:color w:val="auto"/>
              </w:rPr>
              <w:t>March</w:t>
            </w:r>
            <w:r w:rsidR="00512C5B" w:rsidRPr="0005613F">
              <w:rPr>
                <w:rFonts w:asciiTheme="minorHAnsi" w:hAnsiTheme="minorHAnsi"/>
                <w:color w:val="auto"/>
              </w:rPr>
              <w:t xml:space="preserve"> </w:t>
            </w:r>
            <w:r w:rsidR="008A5EC8" w:rsidRPr="0005613F">
              <w:rPr>
                <w:rFonts w:asciiTheme="minorHAnsi" w:hAnsiTheme="minorHAnsi"/>
                <w:color w:val="auto"/>
              </w:rPr>
              <w:t>2017</w:t>
            </w:r>
            <w:r w:rsidR="000D438D" w:rsidRPr="0005613F">
              <w:rPr>
                <w:rFonts w:asciiTheme="minorHAnsi" w:hAnsiTheme="minorHAnsi"/>
                <w:color w:val="auto"/>
              </w:rPr>
              <w:t xml:space="preserve">, for installation </w:t>
            </w:r>
            <w:r w:rsidR="00811382" w:rsidRPr="0005613F">
              <w:rPr>
                <w:rFonts w:asciiTheme="minorHAnsi" w:hAnsiTheme="minorHAnsi"/>
                <w:color w:val="auto"/>
              </w:rPr>
              <w:t>by August 2017</w:t>
            </w:r>
          </w:p>
        </w:tc>
        <w:tc>
          <w:tcPr>
            <w:tcW w:w="102" w:type="pct"/>
            <w:tcBorders>
              <w:top w:val="nil"/>
              <w:left w:val="nil"/>
              <w:bottom w:val="nil"/>
              <w:right w:val="nil"/>
            </w:tcBorders>
          </w:tcPr>
          <w:p w:rsidR="003B0793" w:rsidRPr="0005613F" w:rsidRDefault="003B0793" w:rsidP="003B0793">
            <w:pPr>
              <w:spacing w:after="120"/>
              <w:jc w:val="center"/>
              <w:rPr>
                <w:rFonts w:asciiTheme="minorHAnsi" w:hAnsiTheme="minorHAnsi"/>
                <w:i/>
                <w:color w:val="808080" w:themeColor="background1" w:themeShade="80"/>
                <w:szCs w:val="20"/>
                <w:lang w:eastAsia="en-US"/>
              </w:rPr>
            </w:pPr>
          </w:p>
        </w:tc>
        <w:tc>
          <w:tcPr>
            <w:tcW w:w="500" w:type="pct"/>
            <w:gridSpan w:val="4"/>
            <w:tcBorders>
              <w:top w:val="nil"/>
              <w:left w:val="nil"/>
              <w:bottom w:val="nil"/>
              <w:right w:val="nil"/>
            </w:tcBorders>
          </w:tcPr>
          <w:p w:rsidR="003B0793" w:rsidRPr="0005613F" w:rsidRDefault="003B0793" w:rsidP="003B0793">
            <w:pPr>
              <w:spacing w:after="120"/>
              <w:jc w:val="center"/>
              <w:rPr>
                <w:rFonts w:asciiTheme="minorHAnsi" w:hAnsiTheme="minorHAnsi"/>
                <w:i/>
                <w:color w:val="808080" w:themeColor="background1" w:themeShade="80"/>
                <w:szCs w:val="20"/>
                <w:lang w:eastAsia="en-US"/>
              </w:rPr>
            </w:pPr>
          </w:p>
        </w:tc>
        <w:tc>
          <w:tcPr>
            <w:tcW w:w="602" w:type="pct"/>
            <w:gridSpan w:val="3"/>
            <w:tcBorders>
              <w:top w:val="nil"/>
              <w:left w:val="nil"/>
              <w:bottom w:val="nil"/>
              <w:right w:val="nil"/>
            </w:tcBorders>
          </w:tcPr>
          <w:p w:rsidR="00D67F29" w:rsidRPr="0005613F" w:rsidRDefault="00D67F29" w:rsidP="00D67F29">
            <w:pPr>
              <w:spacing w:after="120"/>
              <w:jc w:val="center"/>
              <w:rPr>
                <w:rFonts w:asciiTheme="minorHAnsi" w:hAnsiTheme="minorHAnsi"/>
                <w:i/>
                <w:color w:val="808080" w:themeColor="background1" w:themeShade="80"/>
                <w:szCs w:val="20"/>
                <w:lang w:eastAsia="en-US"/>
              </w:rPr>
            </w:pPr>
          </w:p>
        </w:tc>
      </w:tr>
      <w:tr w:rsidR="008348A0" w:rsidRPr="0005613F" w:rsidTr="001E4A65">
        <w:trPr>
          <w:trHeight w:val="602"/>
        </w:trPr>
        <w:tc>
          <w:tcPr>
            <w:tcW w:w="766" w:type="pct"/>
            <w:tcBorders>
              <w:top w:val="nil"/>
              <w:left w:val="nil"/>
              <w:bottom w:val="single" w:sz="12" w:space="0" w:color="auto"/>
              <w:right w:val="nil"/>
            </w:tcBorders>
          </w:tcPr>
          <w:p w:rsidR="008348A0" w:rsidRPr="0005613F" w:rsidRDefault="008348A0" w:rsidP="00D67F29">
            <w:pPr>
              <w:pStyle w:val="TableTextEntries"/>
              <w:rPr>
                <w:rFonts w:asciiTheme="minorHAnsi" w:hAnsiTheme="minorHAnsi"/>
                <w:b/>
              </w:rPr>
            </w:pPr>
            <w:r w:rsidRPr="0005613F">
              <w:rPr>
                <w:rFonts w:asciiTheme="minorHAnsi" w:hAnsiTheme="minorHAnsi"/>
                <w:b/>
              </w:rPr>
              <w:t>Portfolio adequately addresses gender equality considerations</w:t>
            </w:r>
          </w:p>
        </w:tc>
        <w:tc>
          <w:tcPr>
            <w:tcW w:w="3030" w:type="pct"/>
            <w:gridSpan w:val="4"/>
            <w:tcBorders>
              <w:top w:val="nil"/>
              <w:left w:val="nil"/>
              <w:bottom w:val="single" w:sz="12" w:space="0" w:color="auto"/>
              <w:right w:val="nil"/>
            </w:tcBorders>
          </w:tcPr>
          <w:p w:rsidR="008348A0" w:rsidRPr="0005613F" w:rsidRDefault="008348A0" w:rsidP="007F23D8">
            <w:pPr>
              <w:pStyle w:val="TableTextEntries"/>
              <w:keepNext/>
              <w:numPr>
                <w:ilvl w:val="0"/>
                <w:numId w:val="38"/>
              </w:numPr>
              <w:ind w:left="714" w:hanging="357"/>
              <w:rPr>
                <w:rFonts w:asciiTheme="minorHAnsi" w:hAnsiTheme="minorHAnsi"/>
              </w:rPr>
            </w:pPr>
            <w:r w:rsidRPr="0005613F">
              <w:rPr>
                <w:rFonts w:asciiTheme="minorHAnsi" w:hAnsiTheme="minorHAnsi"/>
                <w:szCs w:val="20"/>
                <w:lang w:eastAsia="en-US"/>
              </w:rPr>
              <w:t xml:space="preserve">80 per cent of </w:t>
            </w:r>
            <w:r w:rsidR="007F23D8" w:rsidRPr="0005613F">
              <w:rPr>
                <w:rFonts w:asciiTheme="minorHAnsi" w:hAnsiTheme="minorHAnsi"/>
                <w:szCs w:val="20"/>
                <w:lang w:eastAsia="en-US"/>
              </w:rPr>
              <w:t xml:space="preserve">activities </w:t>
            </w:r>
            <w:r w:rsidRPr="0005613F">
              <w:rPr>
                <w:rFonts w:asciiTheme="minorHAnsi" w:hAnsiTheme="minorHAnsi"/>
                <w:szCs w:val="20"/>
                <w:lang w:eastAsia="en-US"/>
              </w:rPr>
              <w:t>adequately address gender issues</w:t>
            </w:r>
            <w:r w:rsidR="007F23D8" w:rsidRPr="0005613F">
              <w:rPr>
                <w:rFonts w:asciiTheme="minorHAnsi" w:hAnsiTheme="minorHAnsi"/>
                <w:szCs w:val="20"/>
                <w:lang w:eastAsia="en-US"/>
              </w:rPr>
              <w:t xml:space="preserve"> (across Nauru’s four major investments in public sector management, infrastructure, health and education)</w:t>
            </w:r>
          </w:p>
        </w:tc>
        <w:tc>
          <w:tcPr>
            <w:tcW w:w="102" w:type="pct"/>
            <w:tcBorders>
              <w:top w:val="nil"/>
              <w:left w:val="nil"/>
              <w:bottom w:val="single" w:sz="12" w:space="0" w:color="auto"/>
              <w:right w:val="nil"/>
            </w:tcBorders>
          </w:tcPr>
          <w:p w:rsidR="008348A0" w:rsidRPr="0005613F" w:rsidRDefault="008348A0" w:rsidP="003B0793">
            <w:pPr>
              <w:spacing w:after="120"/>
              <w:jc w:val="center"/>
              <w:rPr>
                <w:i/>
                <w:color w:val="808080" w:themeColor="background1" w:themeShade="80"/>
                <w:szCs w:val="20"/>
              </w:rPr>
            </w:pPr>
          </w:p>
        </w:tc>
        <w:tc>
          <w:tcPr>
            <w:tcW w:w="500" w:type="pct"/>
            <w:gridSpan w:val="4"/>
            <w:tcBorders>
              <w:top w:val="nil"/>
              <w:left w:val="nil"/>
              <w:bottom w:val="single" w:sz="12" w:space="0" w:color="auto"/>
              <w:right w:val="nil"/>
            </w:tcBorders>
          </w:tcPr>
          <w:p w:rsidR="008348A0" w:rsidRPr="0005613F" w:rsidRDefault="008348A0" w:rsidP="003B0793">
            <w:pPr>
              <w:spacing w:after="120"/>
              <w:jc w:val="center"/>
              <w:rPr>
                <w:i/>
                <w:color w:val="808080" w:themeColor="background1" w:themeShade="80"/>
                <w:szCs w:val="20"/>
              </w:rPr>
            </w:pPr>
          </w:p>
        </w:tc>
        <w:tc>
          <w:tcPr>
            <w:tcW w:w="602" w:type="pct"/>
            <w:gridSpan w:val="3"/>
            <w:tcBorders>
              <w:top w:val="nil"/>
              <w:left w:val="nil"/>
              <w:bottom w:val="single" w:sz="12" w:space="0" w:color="auto"/>
              <w:right w:val="nil"/>
            </w:tcBorders>
          </w:tcPr>
          <w:p w:rsidR="008348A0" w:rsidRPr="0005613F" w:rsidRDefault="008348A0" w:rsidP="00D67F29">
            <w:pPr>
              <w:spacing w:after="120"/>
              <w:jc w:val="center"/>
              <w:rPr>
                <w:i/>
                <w:color w:val="808080" w:themeColor="background1" w:themeShade="80"/>
                <w:szCs w:val="20"/>
              </w:rPr>
            </w:pPr>
          </w:p>
        </w:tc>
      </w:tr>
    </w:tbl>
    <w:p w:rsidR="005B5769" w:rsidRPr="0005613F" w:rsidRDefault="005B5769" w:rsidP="005B5769">
      <w:pPr>
        <w:pStyle w:val="BodyText"/>
      </w:pPr>
    </w:p>
    <w:p w:rsidR="005B5769" w:rsidRPr="0005613F"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5613F">
        <w:rPr>
          <w:rFonts w:asciiTheme="majorHAnsi" w:eastAsiaTheme="majorEastAsia" w:hAnsiTheme="majorHAnsi" w:cstheme="majorBidi"/>
          <w:caps/>
          <w:color w:val="495965" w:themeColor="text2"/>
          <w:sz w:val="38"/>
          <w:szCs w:val="26"/>
          <w:lang w:val="en-GB" w:eastAsia="en-US"/>
        </w:rPr>
        <w:t>Mutual Obligations</w:t>
      </w:r>
    </w:p>
    <w:p w:rsidR="004B7F47" w:rsidRPr="0005613F" w:rsidRDefault="004B7F47" w:rsidP="009A2FF3">
      <w:pPr>
        <w:spacing w:after="200" w:line="276" w:lineRule="auto"/>
        <w:rPr>
          <w:rFonts w:ascii="Franklin Gothic Book" w:hAnsi="Franklin Gothic Book"/>
          <w:sz w:val="21"/>
        </w:rPr>
      </w:pPr>
      <w:r w:rsidRPr="0005613F">
        <w:rPr>
          <w:rFonts w:ascii="Franklin Gothic Book" w:hAnsi="Franklin Gothic Book"/>
          <w:sz w:val="21"/>
        </w:rPr>
        <w:t xml:space="preserve">Australia continues to deliver effective and predictable development assistance in line with the Government of Nauru’s National Sustainable Development Strategy and sector strategies. </w:t>
      </w:r>
      <w:r w:rsidR="0004765D" w:rsidRPr="0005613F">
        <w:rPr>
          <w:rFonts w:ascii="Franklin Gothic Book" w:hAnsi="Franklin Gothic Book"/>
          <w:sz w:val="21"/>
        </w:rPr>
        <w:t xml:space="preserve"> </w:t>
      </w:r>
      <w:r w:rsidRPr="0005613F">
        <w:rPr>
          <w:rFonts w:ascii="Franklin Gothic Book" w:hAnsi="Franklin Gothic Book"/>
          <w:sz w:val="21"/>
        </w:rPr>
        <w:t>As highlighted in the 2015 APPR, the Government of Nauru has continued to increase its expenditure in education</w:t>
      </w:r>
      <w:r w:rsidR="002D613D" w:rsidRPr="0005613F">
        <w:rPr>
          <w:rFonts w:ascii="Franklin Gothic Book" w:hAnsi="Franklin Gothic Book"/>
          <w:sz w:val="21"/>
        </w:rPr>
        <w:t xml:space="preserve"> and </w:t>
      </w:r>
      <w:r w:rsidRPr="0005613F">
        <w:rPr>
          <w:rFonts w:ascii="Franklin Gothic Book" w:hAnsi="Franklin Gothic Book"/>
          <w:sz w:val="21"/>
        </w:rPr>
        <w:t>health</w:t>
      </w:r>
      <w:r w:rsidR="002D613D" w:rsidRPr="0005613F">
        <w:rPr>
          <w:rFonts w:ascii="Franklin Gothic Book" w:hAnsi="Franklin Gothic Book"/>
          <w:sz w:val="21"/>
        </w:rPr>
        <w:t xml:space="preserve">, however </w:t>
      </w:r>
      <w:r w:rsidR="0004765D" w:rsidRPr="0005613F">
        <w:rPr>
          <w:rFonts w:ascii="Franklin Gothic Book" w:hAnsi="Franklin Gothic Book"/>
          <w:sz w:val="21"/>
        </w:rPr>
        <w:t>planning and resourcing</w:t>
      </w:r>
      <w:r w:rsidR="002D613D" w:rsidRPr="0005613F">
        <w:rPr>
          <w:rFonts w:ascii="Franklin Gothic Book" w:hAnsi="Franklin Gothic Book"/>
          <w:sz w:val="21"/>
        </w:rPr>
        <w:t xml:space="preserve"> for infrastructure maintenance </w:t>
      </w:r>
      <w:r w:rsidR="0004765D" w:rsidRPr="0005613F">
        <w:rPr>
          <w:rFonts w:ascii="Franklin Gothic Book" w:hAnsi="Franklin Gothic Book"/>
          <w:sz w:val="21"/>
        </w:rPr>
        <w:t>requires more attention</w:t>
      </w:r>
      <w:r w:rsidR="002D613D" w:rsidRPr="0005613F">
        <w:rPr>
          <w:rFonts w:ascii="Franklin Gothic Book" w:hAnsi="Franklin Gothic Book"/>
          <w:sz w:val="21"/>
        </w:rPr>
        <w:t xml:space="preserve">. </w:t>
      </w:r>
    </w:p>
    <w:p w:rsidR="00462CCF" w:rsidRPr="0005613F" w:rsidRDefault="00462CCF" w:rsidP="009A2FF3">
      <w:pPr>
        <w:spacing w:after="200" w:line="276" w:lineRule="auto"/>
        <w:rPr>
          <w:rFonts w:ascii="Franklin Gothic Book" w:hAnsi="Franklin Gothic Book"/>
          <w:sz w:val="21"/>
        </w:rPr>
      </w:pPr>
      <w:r w:rsidRPr="0005613F">
        <w:rPr>
          <w:rFonts w:ascii="Franklin Gothic Book" w:hAnsi="Franklin Gothic Book"/>
          <w:sz w:val="21"/>
        </w:rPr>
        <w:t xml:space="preserve">The </w:t>
      </w:r>
      <w:r w:rsidR="00D04D30" w:rsidRPr="0005613F">
        <w:rPr>
          <w:rFonts w:ascii="Franklin Gothic Book" w:hAnsi="Franklin Gothic Book"/>
          <w:sz w:val="21"/>
        </w:rPr>
        <w:t>G</w:t>
      </w:r>
      <w:r w:rsidRPr="0005613F">
        <w:rPr>
          <w:rFonts w:ascii="Franklin Gothic Book" w:hAnsi="Franklin Gothic Book"/>
          <w:sz w:val="21"/>
        </w:rPr>
        <w:t xml:space="preserve">overnments of Australia and Nauru have jointly committed to improving Nauru’s procurement and financial systems to ensure that </w:t>
      </w:r>
      <w:proofErr w:type="spellStart"/>
      <w:r w:rsidR="0004765D" w:rsidRPr="0005613F">
        <w:rPr>
          <w:rFonts w:ascii="Franklin Gothic Book" w:hAnsi="Franklin Gothic Book"/>
          <w:sz w:val="21"/>
        </w:rPr>
        <w:t>GoN</w:t>
      </w:r>
      <w:proofErr w:type="spellEnd"/>
      <w:r w:rsidR="0004765D" w:rsidRPr="0005613F">
        <w:rPr>
          <w:rFonts w:ascii="Franklin Gothic Book" w:hAnsi="Franklin Gothic Book"/>
          <w:sz w:val="21"/>
        </w:rPr>
        <w:t xml:space="preserve"> and development partner </w:t>
      </w:r>
      <w:r w:rsidRPr="0005613F">
        <w:rPr>
          <w:rFonts w:ascii="Franklin Gothic Book" w:hAnsi="Franklin Gothic Book"/>
          <w:sz w:val="21"/>
        </w:rPr>
        <w:t>funds are disbursed effectively, efficiently, economically and ethically, and provide the greatest possible value for money.</w:t>
      </w:r>
      <w:r w:rsidR="002C07BA" w:rsidRPr="0005613F">
        <w:rPr>
          <w:rFonts w:ascii="Franklin Gothic Book" w:hAnsi="Franklin Gothic Book"/>
          <w:sz w:val="21"/>
        </w:rPr>
        <w:t xml:space="preserve"> </w:t>
      </w:r>
      <w:r w:rsidRPr="0005613F">
        <w:rPr>
          <w:rFonts w:ascii="Franklin Gothic Book" w:hAnsi="Franklin Gothic Book"/>
          <w:sz w:val="21"/>
        </w:rPr>
        <w:t xml:space="preserve"> A zero-tolerance approach to fraudulent and corrupt actions against Australia’s development program with Nauru is also maintained.</w:t>
      </w:r>
      <w:r w:rsidR="0004765D" w:rsidRPr="0005613F">
        <w:rPr>
          <w:rFonts w:ascii="Franklin Gothic Book" w:hAnsi="Franklin Gothic Book"/>
          <w:sz w:val="21"/>
        </w:rPr>
        <w:t xml:space="preserve">  </w:t>
      </w:r>
      <w:r w:rsidR="00811382" w:rsidRPr="0005613F">
        <w:rPr>
          <w:rFonts w:ascii="Franklin Gothic Book" w:hAnsi="Franklin Gothic Book"/>
          <w:sz w:val="21"/>
        </w:rPr>
        <w:t xml:space="preserve">An </w:t>
      </w:r>
      <w:r w:rsidR="0004765D" w:rsidRPr="0005613F">
        <w:rPr>
          <w:rFonts w:ascii="Franklin Gothic Book" w:hAnsi="Franklin Gothic Book"/>
          <w:sz w:val="21"/>
        </w:rPr>
        <w:t>instance of possible fraud within one activity is being jointly addressed</w:t>
      </w:r>
      <w:r w:rsidR="00811382" w:rsidRPr="0005613F">
        <w:rPr>
          <w:rFonts w:ascii="Franklin Gothic Book" w:hAnsi="Franklin Gothic Book"/>
          <w:sz w:val="21"/>
        </w:rPr>
        <w:t>; and another case has been favourably resolved</w:t>
      </w:r>
      <w:r w:rsidR="0004765D" w:rsidRPr="0005613F">
        <w:rPr>
          <w:rFonts w:ascii="Franklin Gothic Book" w:hAnsi="Franklin Gothic Book"/>
          <w:sz w:val="21"/>
        </w:rPr>
        <w:t>.</w:t>
      </w:r>
      <w:r w:rsidR="002C07BA" w:rsidRPr="0005613F">
        <w:rPr>
          <w:rFonts w:ascii="Franklin Gothic Book" w:hAnsi="Franklin Gothic Book"/>
          <w:sz w:val="21"/>
        </w:rPr>
        <w:t xml:space="preserve">  A new, interim Independent Procurement Agent </w:t>
      </w:r>
      <w:r w:rsidR="00811382" w:rsidRPr="0005613F">
        <w:rPr>
          <w:rFonts w:ascii="Franklin Gothic Book" w:hAnsi="Franklin Gothic Book"/>
          <w:sz w:val="21"/>
        </w:rPr>
        <w:t xml:space="preserve">(IPA) </w:t>
      </w:r>
      <w:r w:rsidR="002C07BA" w:rsidRPr="0005613F">
        <w:rPr>
          <w:rFonts w:ascii="Franklin Gothic Book" w:hAnsi="Franklin Gothic Book"/>
          <w:sz w:val="21"/>
        </w:rPr>
        <w:t>has been appointed and has been building capacity in the public service for better procurement planning and execution.</w:t>
      </w:r>
      <w:r w:rsidR="00811382" w:rsidRPr="0005613F">
        <w:rPr>
          <w:rFonts w:ascii="Franklin Gothic Book" w:hAnsi="Franklin Gothic Book"/>
          <w:sz w:val="21"/>
        </w:rPr>
        <w:t xml:space="preserve">  An open tender for the IPA is still required. </w:t>
      </w:r>
    </w:p>
    <w:p w:rsidR="00133481" w:rsidRPr="009A2FF3" w:rsidRDefault="00133481" w:rsidP="009A2FF3">
      <w:pPr>
        <w:spacing w:after="200" w:line="276" w:lineRule="auto"/>
        <w:rPr>
          <w:rFonts w:ascii="Franklin Gothic Book" w:hAnsi="Franklin Gothic Book"/>
          <w:sz w:val="21"/>
        </w:rPr>
      </w:pPr>
      <w:r w:rsidRPr="0005613F">
        <w:rPr>
          <w:rFonts w:ascii="Franklin Gothic Book" w:hAnsi="Franklin Gothic Book"/>
          <w:sz w:val="21"/>
        </w:rPr>
        <w:t xml:space="preserve">Nauru remains active </w:t>
      </w:r>
      <w:r w:rsidR="004C04A0" w:rsidRPr="0005613F">
        <w:rPr>
          <w:rFonts w:ascii="Franklin Gothic Book" w:hAnsi="Franklin Gothic Book"/>
          <w:sz w:val="21"/>
        </w:rPr>
        <w:t xml:space="preserve">in regional and global climate change discussions </w:t>
      </w:r>
      <w:r w:rsidR="00176C25" w:rsidRPr="0005613F">
        <w:rPr>
          <w:rFonts w:ascii="Franklin Gothic Book" w:hAnsi="Franklin Gothic Book"/>
          <w:sz w:val="21"/>
        </w:rPr>
        <w:t>–</w:t>
      </w:r>
      <w:r w:rsidRPr="0005613F">
        <w:rPr>
          <w:rFonts w:ascii="Franklin Gothic Book" w:hAnsi="Franklin Gothic Book"/>
          <w:sz w:val="21"/>
        </w:rPr>
        <w:t xml:space="preserve"> as an island nation that experiences drought and is regularly affected by strong winds and sea swells.</w:t>
      </w:r>
      <w:r w:rsidR="001A5875" w:rsidRPr="0005613F">
        <w:rPr>
          <w:rFonts w:ascii="Franklin Gothic Book" w:hAnsi="Franklin Gothic Book"/>
          <w:sz w:val="21"/>
        </w:rPr>
        <w:t xml:space="preserve"> </w:t>
      </w:r>
      <w:r w:rsidRPr="0005613F">
        <w:rPr>
          <w:rFonts w:ascii="Franklin Gothic Book" w:hAnsi="Franklin Gothic Book"/>
          <w:sz w:val="21"/>
        </w:rPr>
        <w:t xml:space="preserve"> Nauru is also involved in PACER Plus discussions with Australia</w:t>
      </w:r>
      <w:r w:rsidR="004C04A0" w:rsidRPr="0005613F">
        <w:rPr>
          <w:rFonts w:ascii="Franklin Gothic Book" w:hAnsi="Franklin Gothic Book"/>
          <w:sz w:val="21"/>
        </w:rPr>
        <w:t xml:space="preserve"> and partners</w:t>
      </w:r>
      <w:r w:rsidRPr="0005613F">
        <w:rPr>
          <w:rFonts w:ascii="Franklin Gothic Book" w:hAnsi="Franklin Gothic Book"/>
          <w:sz w:val="21"/>
        </w:rPr>
        <w:t xml:space="preserve"> </w:t>
      </w:r>
      <w:r w:rsidR="004C04A0" w:rsidRPr="0005613F">
        <w:rPr>
          <w:rFonts w:ascii="Franklin Gothic Book" w:hAnsi="Franklin Gothic Book"/>
          <w:sz w:val="21"/>
        </w:rPr>
        <w:t xml:space="preserve">around </w:t>
      </w:r>
      <w:r w:rsidRPr="0005613F">
        <w:rPr>
          <w:rFonts w:ascii="Franklin Gothic Book" w:hAnsi="Franklin Gothic Book"/>
          <w:sz w:val="21"/>
        </w:rPr>
        <w:t>the legal text</w:t>
      </w:r>
      <w:r w:rsidR="004C04A0" w:rsidRPr="0005613F">
        <w:rPr>
          <w:rFonts w:ascii="Franklin Gothic Book" w:hAnsi="Franklin Gothic Book"/>
          <w:sz w:val="21"/>
        </w:rPr>
        <w:t xml:space="preserve"> of the agreement</w:t>
      </w:r>
      <w:r w:rsidRPr="0005613F">
        <w:rPr>
          <w:rFonts w:ascii="Franklin Gothic Book" w:hAnsi="Franklin Gothic Book"/>
          <w:sz w:val="21"/>
        </w:rPr>
        <w:t xml:space="preserve"> and market access</w:t>
      </w:r>
      <w:r w:rsidR="004C04A0" w:rsidRPr="0005613F">
        <w:rPr>
          <w:rFonts w:ascii="Franklin Gothic Book" w:hAnsi="Franklin Gothic Book"/>
          <w:sz w:val="21"/>
        </w:rPr>
        <w:t xml:space="preserve"> opportunities, expected to conclude in 2016</w:t>
      </w:r>
      <w:r w:rsidRPr="0005613F">
        <w:rPr>
          <w:rFonts w:ascii="Franklin Gothic Book" w:hAnsi="Franklin Gothic Book"/>
          <w:sz w:val="21"/>
        </w:rPr>
        <w:t xml:space="preserve">. </w:t>
      </w:r>
      <w:r w:rsidR="001A5875" w:rsidRPr="0005613F">
        <w:rPr>
          <w:rFonts w:ascii="Franklin Gothic Book" w:hAnsi="Franklin Gothic Book"/>
          <w:sz w:val="21"/>
        </w:rPr>
        <w:t xml:space="preserve"> </w:t>
      </w:r>
      <w:r w:rsidRPr="0005613F">
        <w:rPr>
          <w:rFonts w:ascii="Franklin Gothic Book" w:hAnsi="Franklin Gothic Book"/>
          <w:sz w:val="21"/>
        </w:rPr>
        <w:t xml:space="preserve">Australia </w:t>
      </w:r>
      <w:r w:rsidR="001A5875" w:rsidRPr="0005613F">
        <w:rPr>
          <w:rFonts w:ascii="Franklin Gothic Book" w:hAnsi="Franklin Gothic Book"/>
          <w:sz w:val="21"/>
        </w:rPr>
        <w:t xml:space="preserve">and </w:t>
      </w:r>
      <w:proofErr w:type="spellStart"/>
      <w:r w:rsidR="001A5875" w:rsidRPr="0005613F">
        <w:rPr>
          <w:rFonts w:ascii="Franklin Gothic Book" w:hAnsi="Franklin Gothic Book"/>
          <w:sz w:val="21"/>
        </w:rPr>
        <w:t>GoN</w:t>
      </w:r>
      <w:proofErr w:type="spellEnd"/>
      <w:r w:rsidR="00AC2B07" w:rsidRPr="0005613F">
        <w:rPr>
          <w:rFonts w:ascii="Franklin Gothic Book" w:hAnsi="Franklin Gothic Book"/>
          <w:sz w:val="21"/>
        </w:rPr>
        <w:t xml:space="preserve"> </w:t>
      </w:r>
      <w:r w:rsidR="001A5875" w:rsidRPr="0005613F">
        <w:rPr>
          <w:rFonts w:ascii="Franklin Gothic Book" w:hAnsi="Franklin Gothic Book"/>
          <w:sz w:val="21"/>
        </w:rPr>
        <w:t xml:space="preserve">have </w:t>
      </w:r>
      <w:r w:rsidRPr="0005613F">
        <w:rPr>
          <w:rFonts w:ascii="Franklin Gothic Book" w:hAnsi="Franklin Gothic Book"/>
          <w:sz w:val="21"/>
        </w:rPr>
        <w:t>active</w:t>
      </w:r>
      <w:r w:rsidR="000E66E9" w:rsidRPr="0005613F">
        <w:rPr>
          <w:rFonts w:ascii="Franklin Gothic Book" w:hAnsi="Franklin Gothic Book"/>
          <w:sz w:val="21"/>
        </w:rPr>
        <w:t>ly promoted the Seasonal Worker</w:t>
      </w:r>
      <w:r w:rsidRPr="0005613F">
        <w:rPr>
          <w:rFonts w:ascii="Franklin Gothic Book" w:hAnsi="Franklin Gothic Book"/>
          <w:sz w:val="21"/>
        </w:rPr>
        <w:t xml:space="preserve"> Program for Nauru but with limited uptake at this point in time, due to almost full employment </w:t>
      </w:r>
      <w:r w:rsidR="0004765D" w:rsidRPr="0005613F">
        <w:rPr>
          <w:rFonts w:ascii="Franklin Gothic Book" w:hAnsi="Franklin Gothic Book"/>
          <w:sz w:val="21"/>
        </w:rPr>
        <w:t>in Nauru</w:t>
      </w:r>
      <w:r w:rsidRPr="0005613F">
        <w:rPr>
          <w:rFonts w:ascii="Franklin Gothic Book" w:hAnsi="Franklin Gothic Book"/>
          <w:sz w:val="21"/>
        </w:rPr>
        <w:t>.</w:t>
      </w:r>
      <w:r w:rsidRPr="009A2FF3">
        <w:rPr>
          <w:rFonts w:ascii="Franklin Gothic Book" w:hAnsi="Franklin Gothic Book"/>
          <w:sz w:val="21"/>
        </w:rPr>
        <w:t xml:space="preserve"> </w:t>
      </w:r>
    </w:p>
    <w:p w:rsidR="005B5769" w:rsidRPr="00015316" w:rsidRDefault="005B5769" w:rsidP="009A2FF3">
      <w:pPr>
        <w:pStyle w:val="ListBullet"/>
        <w:keepNex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Program Quality</w:t>
      </w:r>
    </w:p>
    <w:p w:rsidR="00462CCF" w:rsidRDefault="00462CCF" w:rsidP="005B5769">
      <w:pPr>
        <w:spacing w:after="200" w:line="276" w:lineRule="auto"/>
        <w:rPr>
          <w:rFonts w:ascii="Franklin Gothic Book" w:hAnsi="Franklin Gothic Book"/>
          <w:sz w:val="21"/>
        </w:rPr>
      </w:pPr>
      <w:r w:rsidRPr="009A2FF3">
        <w:rPr>
          <w:rFonts w:ascii="Franklin Gothic Book" w:hAnsi="Franklin Gothic Book"/>
          <w:sz w:val="21"/>
        </w:rPr>
        <w:t>Aid Quality Check</w:t>
      </w:r>
      <w:r>
        <w:rPr>
          <w:rFonts w:ascii="Franklin Gothic Book" w:hAnsi="Franklin Gothic Book"/>
          <w:sz w:val="21"/>
        </w:rPr>
        <w:t xml:space="preserve"> ratings for 2015-16 were </w:t>
      </w:r>
      <w:r w:rsidR="00571B84">
        <w:rPr>
          <w:rFonts w:ascii="Franklin Gothic Book" w:hAnsi="Franklin Gothic Book"/>
          <w:sz w:val="21"/>
        </w:rPr>
        <w:t>generally</w:t>
      </w:r>
      <w:r>
        <w:rPr>
          <w:rFonts w:ascii="Franklin Gothic Book" w:hAnsi="Franklin Gothic Book"/>
          <w:sz w:val="21"/>
        </w:rPr>
        <w:t xml:space="preserve"> improved over </w:t>
      </w:r>
      <w:r w:rsidR="006930B9">
        <w:rPr>
          <w:rFonts w:ascii="Franklin Gothic Book" w:hAnsi="Franklin Gothic Book"/>
          <w:sz w:val="21"/>
        </w:rPr>
        <w:t xml:space="preserve">2014-15 </w:t>
      </w:r>
      <w:r>
        <w:rPr>
          <w:rFonts w:ascii="Franklin Gothic Book" w:hAnsi="Franklin Gothic Book"/>
          <w:sz w:val="21"/>
        </w:rPr>
        <w:t xml:space="preserve">quality </w:t>
      </w:r>
      <w:r w:rsidRPr="00462CCF">
        <w:rPr>
          <w:rFonts w:ascii="Franklin Gothic Book" w:hAnsi="Franklin Gothic Book"/>
          <w:sz w:val="21"/>
        </w:rPr>
        <w:t>ratings</w:t>
      </w:r>
      <w:r>
        <w:rPr>
          <w:rFonts w:ascii="Franklin Gothic Book" w:hAnsi="Franklin Gothic Book"/>
          <w:sz w:val="21"/>
        </w:rPr>
        <w:t xml:space="preserve">, with further progress on key education and health initiatives </w:t>
      </w:r>
      <w:r w:rsidR="00571B84">
        <w:rPr>
          <w:rFonts w:ascii="Franklin Gothic Book" w:hAnsi="Franklin Gothic Book"/>
          <w:sz w:val="21"/>
        </w:rPr>
        <w:t xml:space="preserve">realised. </w:t>
      </w:r>
      <w:r w:rsidR="006930B9">
        <w:rPr>
          <w:rFonts w:ascii="Franklin Gothic Book" w:hAnsi="Franklin Gothic Book"/>
          <w:sz w:val="21"/>
        </w:rPr>
        <w:t xml:space="preserve"> As </w:t>
      </w:r>
      <w:r>
        <w:rPr>
          <w:rFonts w:ascii="Franklin Gothic Book" w:hAnsi="Franklin Gothic Book"/>
          <w:sz w:val="21"/>
        </w:rPr>
        <w:t xml:space="preserve">key delivery partner for most of Australia’s </w:t>
      </w:r>
      <w:r w:rsidR="00571B84">
        <w:rPr>
          <w:rFonts w:ascii="Franklin Gothic Book" w:hAnsi="Franklin Gothic Book"/>
          <w:sz w:val="21"/>
        </w:rPr>
        <w:t>development cooperation program</w:t>
      </w:r>
      <w:r w:rsidR="006930B9">
        <w:rPr>
          <w:rFonts w:ascii="Franklin Gothic Book" w:hAnsi="Franklin Gothic Book"/>
          <w:sz w:val="21"/>
        </w:rPr>
        <w:t xml:space="preserve">, the </w:t>
      </w:r>
      <w:proofErr w:type="spellStart"/>
      <w:r w:rsidR="006930B9">
        <w:rPr>
          <w:rFonts w:ascii="Franklin Gothic Book" w:hAnsi="Franklin Gothic Book"/>
          <w:sz w:val="21"/>
        </w:rPr>
        <w:t>GoN</w:t>
      </w:r>
      <w:proofErr w:type="spellEnd"/>
      <w:r w:rsidR="006930B9">
        <w:rPr>
          <w:rFonts w:ascii="Franklin Gothic Book" w:hAnsi="Franklin Gothic Book"/>
          <w:sz w:val="21"/>
        </w:rPr>
        <w:t xml:space="preserve"> </w:t>
      </w:r>
      <w:r w:rsidR="00571B84">
        <w:rPr>
          <w:rFonts w:ascii="Franklin Gothic Book" w:hAnsi="Franklin Gothic Book"/>
          <w:sz w:val="21"/>
        </w:rPr>
        <w:t>remained engaged in the implementation detail of Australia’s development assistance.</w:t>
      </w:r>
    </w:p>
    <w:p w:rsidR="000314EE" w:rsidRPr="009A2FF3" w:rsidRDefault="007C3817" w:rsidP="000314EE">
      <w:pPr>
        <w:spacing w:after="200" w:line="276" w:lineRule="auto"/>
        <w:rPr>
          <w:rFonts w:ascii="Franklin Gothic Book" w:hAnsi="Franklin Gothic Book"/>
          <w:sz w:val="21"/>
        </w:rPr>
      </w:pPr>
      <w:r w:rsidRPr="009A2FF3">
        <w:rPr>
          <w:rFonts w:ascii="Franklin Gothic Book" w:hAnsi="Franklin Gothic Book"/>
          <w:sz w:val="21"/>
        </w:rPr>
        <w:t>As development partner</w:t>
      </w:r>
      <w:r w:rsidR="00B302D9" w:rsidRPr="009A2FF3">
        <w:rPr>
          <w:rFonts w:ascii="Franklin Gothic Book" w:hAnsi="Franklin Gothic Book"/>
          <w:sz w:val="21"/>
        </w:rPr>
        <w:t>s</w:t>
      </w:r>
      <w:r w:rsidRPr="009A2FF3">
        <w:rPr>
          <w:rFonts w:ascii="Franklin Gothic Book" w:hAnsi="Franklin Gothic Book"/>
          <w:sz w:val="21"/>
        </w:rPr>
        <w:t>, the Governments of Australia and Nauru both acknowledge education</w:t>
      </w:r>
      <w:r w:rsidR="00B302D9" w:rsidRPr="009A2FF3">
        <w:rPr>
          <w:rFonts w:ascii="Franklin Gothic Book" w:hAnsi="Franklin Gothic Book"/>
          <w:sz w:val="21"/>
        </w:rPr>
        <w:t>, health and public financial management</w:t>
      </w:r>
      <w:r w:rsidRPr="009A2FF3">
        <w:rPr>
          <w:rFonts w:ascii="Franklin Gothic Book" w:hAnsi="Franklin Gothic Book"/>
          <w:sz w:val="21"/>
        </w:rPr>
        <w:t xml:space="preserve"> as priority sector</w:t>
      </w:r>
      <w:r w:rsidR="00B302D9" w:rsidRPr="009A2FF3">
        <w:rPr>
          <w:rFonts w:ascii="Franklin Gothic Book" w:hAnsi="Franklin Gothic Book"/>
          <w:sz w:val="21"/>
        </w:rPr>
        <w:t>s for development cooperation and remain</w:t>
      </w:r>
      <w:r w:rsidRPr="009A2FF3">
        <w:rPr>
          <w:rFonts w:ascii="Franklin Gothic Book" w:hAnsi="Franklin Gothic Book"/>
          <w:sz w:val="21"/>
        </w:rPr>
        <w:t xml:space="preserve"> </w:t>
      </w:r>
      <w:r w:rsidR="00211C9C" w:rsidRPr="009A2FF3">
        <w:rPr>
          <w:rFonts w:ascii="Franklin Gothic Book" w:hAnsi="Franklin Gothic Book"/>
          <w:sz w:val="21"/>
        </w:rPr>
        <w:t>committed</w:t>
      </w:r>
      <w:r w:rsidR="00DD7087" w:rsidRPr="009A2FF3">
        <w:rPr>
          <w:rFonts w:ascii="Franklin Gothic Book" w:hAnsi="Franklin Gothic Book"/>
          <w:sz w:val="21"/>
        </w:rPr>
        <w:t xml:space="preserve"> to</w:t>
      </w:r>
      <w:r w:rsidR="00B302D9" w:rsidRPr="009A2FF3">
        <w:rPr>
          <w:rFonts w:ascii="Franklin Gothic Book" w:hAnsi="Franklin Gothic Book"/>
          <w:sz w:val="21"/>
        </w:rPr>
        <w:t xml:space="preserve"> further </w:t>
      </w:r>
      <w:r w:rsidRPr="009A2FF3">
        <w:rPr>
          <w:rFonts w:ascii="Franklin Gothic Book" w:hAnsi="Franklin Gothic Book"/>
          <w:sz w:val="21"/>
        </w:rPr>
        <w:t xml:space="preserve">reform. </w:t>
      </w:r>
      <w:r w:rsidR="00B302D9" w:rsidRPr="009A2FF3">
        <w:rPr>
          <w:rFonts w:ascii="Franklin Gothic Book" w:hAnsi="Franklin Gothic Book"/>
          <w:sz w:val="21"/>
        </w:rPr>
        <w:t>Australia’s support</w:t>
      </w:r>
      <w:r w:rsidRPr="009A2FF3">
        <w:rPr>
          <w:rFonts w:ascii="Franklin Gothic Book" w:hAnsi="Franklin Gothic Book"/>
          <w:sz w:val="21"/>
        </w:rPr>
        <w:t xml:space="preserve"> is well aligned with existing national policies on sustainability, </w:t>
      </w:r>
      <w:r w:rsidR="00B302D9" w:rsidRPr="009A2FF3">
        <w:rPr>
          <w:rFonts w:ascii="Franklin Gothic Book" w:hAnsi="Franklin Gothic Book"/>
          <w:sz w:val="21"/>
        </w:rPr>
        <w:t>sectoral</w:t>
      </w:r>
      <w:r w:rsidRPr="009A2FF3">
        <w:rPr>
          <w:rFonts w:ascii="Franklin Gothic Book" w:hAnsi="Franklin Gothic Book"/>
          <w:sz w:val="21"/>
        </w:rPr>
        <w:t xml:space="preserve"> strateg</w:t>
      </w:r>
      <w:r w:rsidR="00B302D9" w:rsidRPr="009A2FF3">
        <w:rPr>
          <w:rFonts w:ascii="Franklin Gothic Book" w:hAnsi="Franklin Gothic Book"/>
          <w:sz w:val="21"/>
        </w:rPr>
        <w:t>ies</w:t>
      </w:r>
      <w:r w:rsidRPr="009A2FF3">
        <w:rPr>
          <w:rFonts w:ascii="Franklin Gothic Book" w:hAnsi="Franklin Gothic Book"/>
          <w:sz w:val="21"/>
        </w:rPr>
        <w:t xml:space="preserve"> and various </w:t>
      </w:r>
      <w:r w:rsidR="0019560E">
        <w:rPr>
          <w:rFonts w:ascii="Franklin Gothic Book" w:hAnsi="Franklin Gothic Book"/>
          <w:sz w:val="21"/>
        </w:rPr>
        <w:t xml:space="preserve">UN </w:t>
      </w:r>
      <w:r w:rsidR="0019560E" w:rsidRPr="00F668BD">
        <w:rPr>
          <w:rFonts w:ascii="Franklin Gothic Book" w:hAnsi="Franklin Gothic Book"/>
          <w:sz w:val="21"/>
        </w:rPr>
        <w:t xml:space="preserve">Millennium Development Goal / Sustainable Development Goal </w:t>
      </w:r>
      <w:r w:rsidRPr="00F668BD">
        <w:rPr>
          <w:rFonts w:ascii="Franklin Gothic Book" w:hAnsi="Franklin Gothic Book"/>
          <w:sz w:val="21"/>
        </w:rPr>
        <w:t>indicators</w:t>
      </w:r>
      <w:r w:rsidRPr="009A2FF3">
        <w:rPr>
          <w:rFonts w:ascii="Franklin Gothic Book" w:hAnsi="Franklin Gothic Book"/>
          <w:sz w:val="21"/>
        </w:rPr>
        <w:t>.</w:t>
      </w:r>
      <w:r w:rsidR="000314EE" w:rsidRPr="009A2FF3">
        <w:rPr>
          <w:rFonts w:ascii="Franklin Gothic Book" w:hAnsi="Franklin Gothic Book"/>
          <w:sz w:val="21"/>
        </w:rPr>
        <w:t xml:space="preserve"> </w:t>
      </w:r>
      <w:r w:rsidR="00DD7087" w:rsidRPr="009A2FF3">
        <w:rPr>
          <w:rFonts w:ascii="Franklin Gothic Book" w:hAnsi="Franklin Gothic Book"/>
          <w:sz w:val="21"/>
        </w:rPr>
        <w:t xml:space="preserve"> </w:t>
      </w:r>
      <w:r w:rsidR="00EC7E06" w:rsidRPr="009A2FF3">
        <w:rPr>
          <w:rFonts w:ascii="Franklin Gothic Book" w:hAnsi="Franklin Gothic Book"/>
          <w:sz w:val="21"/>
        </w:rPr>
        <w:t>S</w:t>
      </w:r>
      <w:r w:rsidR="005B46E9" w:rsidRPr="009A2FF3">
        <w:rPr>
          <w:rFonts w:ascii="Franklin Gothic Book" w:hAnsi="Franklin Gothic Book"/>
          <w:sz w:val="21"/>
        </w:rPr>
        <w:t xml:space="preserve">trengthening of </w:t>
      </w:r>
      <w:r w:rsidR="00EC7E06" w:rsidRPr="009A2FF3">
        <w:rPr>
          <w:rFonts w:ascii="Franklin Gothic Book" w:hAnsi="Franklin Gothic Book"/>
          <w:sz w:val="21"/>
        </w:rPr>
        <w:t xml:space="preserve">monitoring and evaluation </w:t>
      </w:r>
      <w:r w:rsidR="005B46E9" w:rsidRPr="009A2FF3">
        <w:rPr>
          <w:rFonts w:ascii="Franklin Gothic Book" w:hAnsi="Franklin Gothic Book"/>
          <w:sz w:val="21"/>
        </w:rPr>
        <w:t>systems and capacity</w:t>
      </w:r>
      <w:r w:rsidR="000314EE" w:rsidRPr="009A2FF3">
        <w:rPr>
          <w:rFonts w:ascii="Franklin Gothic Book" w:hAnsi="Franklin Gothic Book"/>
          <w:sz w:val="21"/>
        </w:rPr>
        <w:t xml:space="preserve"> will be a focus of </w:t>
      </w:r>
      <w:r w:rsidR="005B46E9" w:rsidRPr="009A2FF3">
        <w:rPr>
          <w:rFonts w:ascii="Franklin Gothic Book" w:hAnsi="Franklin Gothic Book"/>
          <w:sz w:val="21"/>
        </w:rPr>
        <w:t xml:space="preserve">DFAT programming going forward </w:t>
      </w:r>
      <w:r w:rsidR="000314EE" w:rsidRPr="009A2FF3">
        <w:rPr>
          <w:rFonts w:ascii="Franklin Gothic Book" w:hAnsi="Franklin Gothic Book"/>
          <w:sz w:val="21"/>
        </w:rPr>
        <w:t>to allow for improved consistency of reporting on key</w:t>
      </w:r>
      <w:r w:rsidR="005B46E9" w:rsidRPr="009A2FF3">
        <w:rPr>
          <w:rFonts w:ascii="Franklin Gothic Book" w:hAnsi="Franklin Gothic Book"/>
          <w:sz w:val="21"/>
        </w:rPr>
        <w:t xml:space="preserve"> development</w:t>
      </w:r>
      <w:r w:rsidR="000314EE" w:rsidRPr="009A2FF3">
        <w:rPr>
          <w:rFonts w:ascii="Franklin Gothic Book" w:hAnsi="Franklin Gothic Book"/>
          <w:sz w:val="21"/>
        </w:rPr>
        <w:t xml:space="preserve"> statistics and outcomes.</w:t>
      </w:r>
    </w:p>
    <w:p w:rsidR="00B302D9" w:rsidRPr="009A2FF3" w:rsidRDefault="00B302D9" w:rsidP="00B302D9">
      <w:pPr>
        <w:spacing w:after="200" w:line="276" w:lineRule="auto"/>
        <w:rPr>
          <w:rFonts w:ascii="Franklin Gothic Book" w:hAnsi="Franklin Gothic Book"/>
          <w:sz w:val="21"/>
        </w:rPr>
      </w:pPr>
      <w:r w:rsidRPr="009A2FF3">
        <w:rPr>
          <w:rFonts w:ascii="Franklin Gothic Book" w:hAnsi="Franklin Gothic Book"/>
          <w:sz w:val="21"/>
        </w:rPr>
        <w:t>Significant improvements on progress</w:t>
      </w:r>
      <w:r w:rsidR="00EF4D5F">
        <w:rPr>
          <w:rFonts w:ascii="Franklin Gothic Book" w:hAnsi="Franklin Gothic Book"/>
          <w:sz w:val="21"/>
        </w:rPr>
        <w:t xml:space="preserve"> against strategic objectives</w:t>
      </w:r>
      <w:r w:rsidR="000314EE" w:rsidRPr="009A2FF3">
        <w:rPr>
          <w:rFonts w:ascii="Franklin Gothic Book" w:hAnsi="Franklin Gothic Book"/>
          <w:sz w:val="21"/>
        </w:rPr>
        <w:t xml:space="preserve">, particularly </w:t>
      </w:r>
      <w:r w:rsidRPr="009A2FF3">
        <w:rPr>
          <w:rFonts w:ascii="Franklin Gothic Book" w:hAnsi="Franklin Gothic Book"/>
          <w:sz w:val="21"/>
        </w:rPr>
        <w:t>in the health sector (including strategy, management and infrastructure development)</w:t>
      </w:r>
      <w:r w:rsidR="000314EE" w:rsidRPr="009A2FF3">
        <w:rPr>
          <w:rFonts w:ascii="Franklin Gothic Book" w:hAnsi="Franklin Gothic Book"/>
          <w:sz w:val="21"/>
        </w:rPr>
        <w:t>,</w:t>
      </w:r>
      <w:r w:rsidRPr="009A2FF3">
        <w:rPr>
          <w:rFonts w:ascii="Franklin Gothic Book" w:hAnsi="Franklin Gothic Book"/>
          <w:sz w:val="21"/>
        </w:rPr>
        <w:t xml:space="preserve"> have been documented above</w:t>
      </w:r>
      <w:r w:rsidR="00EF4D5F">
        <w:rPr>
          <w:rFonts w:ascii="Franklin Gothic Book" w:hAnsi="Franklin Gothic Book"/>
          <w:sz w:val="21"/>
        </w:rPr>
        <w:t>.</w:t>
      </w:r>
      <w:r w:rsidRPr="009A2FF3">
        <w:rPr>
          <w:rFonts w:ascii="Franklin Gothic Book" w:hAnsi="Franklin Gothic Book"/>
          <w:sz w:val="21"/>
        </w:rPr>
        <w:t xml:space="preserve"> </w:t>
      </w:r>
      <w:r w:rsidR="00EF4D5F">
        <w:rPr>
          <w:rFonts w:ascii="Franklin Gothic Book" w:hAnsi="Franklin Gothic Book"/>
          <w:sz w:val="21"/>
        </w:rPr>
        <w:t xml:space="preserve"> C</w:t>
      </w:r>
      <w:r w:rsidR="00EF4D5F" w:rsidRPr="009A2FF3">
        <w:rPr>
          <w:rFonts w:ascii="Franklin Gothic Book" w:hAnsi="Franklin Gothic Book"/>
          <w:sz w:val="21"/>
        </w:rPr>
        <w:t xml:space="preserve">onsideration </w:t>
      </w:r>
      <w:r w:rsidRPr="009A2FF3">
        <w:rPr>
          <w:rFonts w:ascii="Franklin Gothic Book" w:hAnsi="Franklin Gothic Book"/>
          <w:sz w:val="21"/>
        </w:rPr>
        <w:t xml:space="preserve">by all investment stakeholders regarding the management of corporate systems, training and infrastructure maintenance </w:t>
      </w:r>
      <w:r w:rsidR="00EF4D5F">
        <w:rPr>
          <w:rFonts w:ascii="Franklin Gothic Book" w:hAnsi="Franklin Gothic Book"/>
          <w:sz w:val="21"/>
        </w:rPr>
        <w:t>will be</w:t>
      </w:r>
      <w:r w:rsidR="00EF4D5F" w:rsidRPr="009A2FF3">
        <w:rPr>
          <w:rFonts w:ascii="Franklin Gothic Book" w:hAnsi="Franklin Gothic Book"/>
          <w:sz w:val="21"/>
        </w:rPr>
        <w:t xml:space="preserve"> </w:t>
      </w:r>
      <w:r w:rsidRPr="009A2FF3">
        <w:rPr>
          <w:rFonts w:ascii="Franklin Gothic Book" w:hAnsi="Franklin Gothic Book"/>
          <w:sz w:val="21"/>
        </w:rPr>
        <w:t xml:space="preserve">critical to sustain outcomes through forward years. </w:t>
      </w:r>
    </w:p>
    <w:p w:rsidR="00F60054" w:rsidRPr="009A2FF3" w:rsidRDefault="00945104" w:rsidP="00462CCF">
      <w:pPr>
        <w:spacing w:after="200" w:line="276" w:lineRule="auto"/>
        <w:rPr>
          <w:rFonts w:ascii="Franklin Gothic Book" w:hAnsi="Franklin Gothic Book"/>
          <w:sz w:val="21"/>
        </w:rPr>
      </w:pPr>
      <w:r w:rsidRPr="009A2FF3">
        <w:rPr>
          <w:rFonts w:ascii="Franklin Gothic Book" w:hAnsi="Franklin Gothic Book"/>
          <w:sz w:val="21"/>
        </w:rPr>
        <w:t>Given the</w:t>
      </w:r>
      <w:r w:rsidR="00EF4D5F">
        <w:rPr>
          <w:rFonts w:ascii="Franklin Gothic Book" w:hAnsi="Franklin Gothic Book"/>
          <w:sz w:val="21"/>
        </w:rPr>
        <w:t xml:space="preserve"> positive</w:t>
      </w:r>
      <w:r w:rsidRPr="009A2FF3">
        <w:rPr>
          <w:rFonts w:ascii="Franklin Gothic Book" w:hAnsi="Franklin Gothic Book"/>
          <w:sz w:val="21"/>
        </w:rPr>
        <w:t xml:space="preserve"> impact of the</w:t>
      </w:r>
      <w:r w:rsidR="00B302D9" w:rsidRPr="009A2FF3">
        <w:rPr>
          <w:rFonts w:ascii="Franklin Gothic Book" w:hAnsi="Franklin Gothic Book"/>
          <w:sz w:val="21"/>
        </w:rPr>
        <w:t xml:space="preserve"> various PACTAM</w:t>
      </w:r>
      <w:r w:rsidRPr="009A2FF3">
        <w:rPr>
          <w:rFonts w:ascii="Franklin Gothic Book" w:hAnsi="Franklin Gothic Book"/>
          <w:sz w:val="21"/>
        </w:rPr>
        <w:t xml:space="preserve"> Advisers</w:t>
      </w:r>
      <w:r w:rsidR="000314EE" w:rsidRPr="009A2FF3">
        <w:rPr>
          <w:rFonts w:ascii="Franklin Gothic Book" w:hAnsi="Franklin Gothic Book"/>
          <w:sz w:val="21"/>
        </w:rPr>
        <w:t xml:space="preserve"> across a range of sectors</w:t>
      </w:r>
      <w:r w:rsidR="00B302D9" w:rsidRPr="009A2FF3">
        <w:rPr>
          <w:rFonts w:ascii="Franklin Gothic Book" w:hAnsi="Franklin Gothic Book"/>
          <w:sz w:val="21"/>
        </w:rPr>
        <w:t xml:space="preserve"> </w:t>
      </w:r>
      <w:r w:rsidRPr="009A2FF3">
        <w:rPr>
          <w:rFonts w:ascii="Franklin Gothic Book" w:hAnsi="Franklin Gothic Book"/>
          <w:sz w:val="21"/>
        </w:rPr>
        <w:t>and their</w:t>
      </w:r>
      <w:r w:rsidR="000314EE" w:rsidRPr="009A2FF3">
        <w:rPr>
          <w:rFonts w:ascii="Franklin Gothic Book" w:hAnsi="Franklin Gothic Book"/>
          <w:sz w:val="21"/>
        </w:rPr>
        <w:t xml:space="preserve"> low</w:t>
      </w:r>
      <w:r w:rsidRPr="009A2FF3">
        <w:rPr>
          <w:rFonts w:ascii="Franklin Gothic Book" w:hAnsi="Franklin Gothic Book"/>
          <w:sz w:val="21"/>
        </w:rPr>
        <w:t xml:space="preserve"> </w:t>
      </w:r>
      <w:r w:rsidR="000314EE" w:rsidRPr="009A2FF3">
        <w:rPr>
          <w:rFonts w:ascii="Franklin Gothic Book" w:hAnsi="Franklin Gothic Book"/>
          <w:sz w:val="21"/>
        </w:rPr>
        <w:t xml:space="preserve">proportion of bilateral </w:t>
      </w:r>
      <w:r w:rsidRPr="009A2FF3">
        <w:rPr>
          <w:rFonts w:ascii="Franklin Gothic Book" w:hAnsi="Franklin Gothic Book"/>
          <w:sz w:val="21"/>
        </w:rPr>
        <w:t xml:space="preserve">budget </w:t>
      </w:r>
      <w:r w:rsidR="000314EE" w:rsidRPr="009A2FF3">
        <w:rPr>
          <w:rFonts w:ascii="Franklin Gothic Book" w:hAnsi="Franklin Gothic Book"/>
          <w:sz w:val="21"/>
        </w:rPr>
        <w:t>(just over</w:t>
      </w:r>
      <w:r w:rsidRPr="009A2FF3">
        <w:rPr>
          <w:rFonts w:ascii="Franklin Gothic Book" w:hAnsi="Franklin Gothic Book"/>
          <w:sz w:val="21"/>
        </w:rPr>
        <w:t xml:space="preserve"> five per cent of the </w:t>
      </w:r>
      <w:r w:rsidR="000314EE" w:rsidRPr="009A2FF3">
        <w:rPr>
          <w:rFonts w:ascii="Franklin Gothic Book" w:hAnsi="Franklin Gothic Book"/>
          <w:sz w:val="21"/>
        </w:rPr>
        <w:t>program)</w:t>
      </w:r>
      <w:r w:rsidRPr="009A2FF3">
        <w:rPr>
          <w:rFonts w:ascii="Franklin Gothic Book" w:hAnsi="Franklin Gothic Book"/>
          <w:sz w:val="21"/>
        </w:rPr>
        <w:t>, the efficiency and value for money o</w:t>
      </w:r>
      <w:r w:rsidR="00B302D9" w:rsidRPr="009A2FF3">
        <w:rPr>
          <w:rFonts w:ascii="Franklin Gothic Book" w:hAnsi="Franklin Gothic Book"/>
          <w:sz w:val="21"/>
        </w:rPr>
        <w:t xml:space="preserve">f </w:t>
      </w:r>
      <w:r w:rsidR="000314EE" w:rsidRPr="009A2FF3">
        <w:rPr>
          <w:rFonts w:ascii="Franklin Gothic Book" w:hAnsi="Franklin Gothic Book"/>
          <w:sz w:val="21"/>
        </w:rPr>
        <w:t>Australia’s technical assistance</w:t>
      </w:r>
      <w:r w:rsidR="00EF4D5F">
        <w:rPr>
          <w:rFonts w:ascii="Franklin Gothic Book" w:hAnsi="Franklin Gothic Book"/>
          <w:sz w:val="21"/>
        </w:rPr>
        <w:t xml:space="preserve"> </w:t>
      </w:r>
      <w:r w:rsidR="00B302D9" w:rsidRPr="009A2FF3">
        <w:rPr>
          <w:rFonts w:ascii="Franklin Gothic Book" w:hAnsi="Franklin Gothic Book"/>
          <w:sz w:val="21"/>
        </w:rPr>
        <w:t>is quite high</w:t>
      </w:r>
      <w:r w:rsidR="000314EE" w:rsidRPr="009A2FF3">
        <w:rPr>
          <w:rFonts w:ascii="Franklin Gothic Book" w:hAnsi="Franklin Gothic Book"/>
          <w:sz w:val="21"/>
        </w:rPr>
        <w:t>.</w:t>
      </w:r>
      <w:r w:rsidR="00DD7087" w:rsidRPr="009A2FF3">
        <w:rPr>
          <w:rFonts w:ascii="Franklin Gothic Book" w:hAnsi="Franklin Gothic Book"/>
          <w:sz w:val="21"/>
        </w:rPr>
        <w:t xml:space="preserve"> </w:t>
      </w:r>
      <w:r w:rsidR="000314EE" w:rsidRPr="009A2FF3">
        <w:rPr>
          <w:rFonts w:ascii="Franklin Gothic Book" w:hAnsi="Franklin Gothic Book"/>
          <w:sz w:val="21"/>
        </w:rPr>
        <w:t xml:space="preserve"> This mechanism </w:t>
      </w:r>
      <w:r w:rsidR="00EF4D5F">
        <w:rPr>
          <w:rFonts w:ascii="Franklin Gothic Book" w:hAnsi="Franklin Gothic Book"/>
          <w:sz w:val="21"/>
        </w:rPr>
        <w:t xml:space="preserve">for providing technical assistance </w:t>
      </w:r>
      <w:r w:rsidR="000314EE" w:rsidRPr="009A2FF3">
        <w:rPr>
          <w:rFonts w:ascii="Franklin Gothic Book" w:hAnsi="Franklin Gothic Book"/>
          <w:sz w:val="21"/>
        </w:rPr>
        <w:t xml:space="preserve">has also reduced </w:t>
      </w:r>
      <w:r w:rsidR="00B302D9" w:rsidRPr="009A2FF3">
        <w:rPr>
          <w:rFonts w:ascii="Franklin Gothic Book" w:hAnsi="Franklin Gothic Book"/>
          <w:sz w:val="21"/>
        </w:rPr>
        <w:t xml:space="preserve">administrative complexity for both </w:t>
      </w:r>
      <w:proofErr w:type="spellStart"/>
      <w:r w:rsidR="00B302D9" w:rsidRPr="009A2FF3">
        <w:rPr>
          <w:rFonts w:ascii="Franklin Gothic Book" w:hAnsi="Franklin Gothic Book"/>
          <w:sz w:val="21"/>
        </w:rPr>
        <w:t>G</w:t>
      </w:r>
      <w:r w:rsidR="00811382" w:rsidRPr="009A2FF3">
        <w:rPr>
          <w:rFonts w:ascii="Franklin Gothic Book" w:hAnsi="Franklin Gothic Book"/>
          <w:sz w:val="21"/>
        </w:rPr>
        <w:t>o</w:t>
      </w:r>
      <w:r w:rsidR="00B302D9" w:rsidRPr="009A2FF3">
        <w:rPr>
          <w:rFonts w:ascii="Franklin Gothic Book" w:hAnsi="Franklin Gothic Book"/>
          <w:sz w:val="21"/>
        </w:rPr>
        <w:t>N</w:t>
      </w:r>
      <w:proofErr w:type="spellEnd"/>
      <w:r w:rsidR="00B302D9" w:rsidRPr="009A2FF3">
        <w:rPr>
          <w:rFonts w:ascii="Franklin Gothic Book" w:hAnsi="Franklin Gothic Book"/>
          <w:sz w:val="21"/>
        </w:rPr>
        <w:t xml:space="preserve"> and DFAT.</w:t>
      </w:r>
      <w:r w:rsidRPr="009A2FF3">
        <w:rPr>
          <w:rFonts w:ascii="Franklin Gothic Book" w:hAnsi="Franklin Gothic Book"/>
          <w:sz w:val="21"/>
        </w:rPr>
        <w:t xml:space="preserve"> </w:t>
      </w:r>
      <w:r w:rsidR="00DD7087" w:rsidRPr="009A2FF3">
        <w:rPr>
          <w:rFonts w:ascii="Franklin Gothic Book" w:hAnsi="Franklin Gothic Book"/>
          <w:sz w:val="21"/>
        </w:rPr>
        <w:t xml:space="preserve"> </w:t>
      </w:r>
      <w:r w:rsidR="00EC7E06" w:rsidRPr="009A2FF3">
        <w:rPr>
          <w:rFonts w:ascii="Franklin Gothic Book" w:hAnsi="Franklin Gothic Book"/>
          <w:sz w:val="21"/>
        </w:rPr>
        <w:t xml:space="preserve">The five Advisers in the Ministry of Finance have contributed markedly to stability and reform within the sector, including with budget </w:t>
      </w:r>
      <w:r w:rsidR="00F60054" w:rsidRPr="009A2FF3">
        <w:rPr>
          <w:rFonts w:ascii="Franklin Gothic Book" w:hAnsi="Franklin Gothic Book"/>
          <w:sz w:val="21"/>
        </w:rPr>
        <w:t xml:space="preserve">preparation and </w:t>
      </w:r>
      <w:r w:rsidR="00EC7E06" w:rsidRPr="009A2FF3">
        <w:rPr>
          <w:rFonts w:ascii="Franklin Gothic Book" w:hAnsi="Franklin Gothic Book"/>
          <w:sz w:val="21"/>
        </w:rPr>
        <w:t xml:space="preserve">execution, </w:t>
      </w:r>
      <w:r w:rsidR="00F60054" w:rsidRPr="009A2FF3">
        <w:rPr>
          <w:rFonts w:ascii="Franklin Gothic Book" w:hAnsi="Franklin Gothic Book"/>
          <w:sz w:val="21"/>
        </w:rPr>
        <w:t xml:space="preserve">key </w:t>
      </w:r>
      <w:r w:rsidR="00811382" w:rsidRPr="009A2FF3">
        <w:rPr>
          <w:rFonts w:ascii="Franklin Gothic Book" w:hAnsi="Franklin Gothic Book"/>
          <w:sz w:val="21"/>
        </w:rPr>
        <w:t xml:space="preserve">revenue </w:t>
      </w:r>
      <w:r w:rsidR="00F60054" w:rsidRPr="009A2FF3">
        <w:rPr>
          <w:rFonts w:ascii="Franklin Gothic Book" w:hAnsi="Franklin Gothic Book"/>
          <w:sz w:val="21"/>
        </w:rPr>
        <w:t xml:space="preserve">measures such as </w:t>
      </w:r>
      <w:r w:rsidR="00EC7E06" w:rsidRPr="009A2FF3">
        <w:rPr>
          <w:rFonts w:ascii="Franklin Gothic Book" w:hAnsi="Franklin Gothic Book"/>
          <w:sz w:val="21"/>
        </w:rPr>
        <w:t>customs reform and</w:t>
      </w:r>
      <w:r w:rsidR="00F60054" w:rsidRPr="009A2FF3">
        <w:rPr>
          <w:rFonts w:ascii="Franklin Gothic Book" w:hAnsi="Franklin Gothic Book"/>
          <w:sz w:val="21"/>
        </w:rPr>
        <w:t xml:space="preserve"> </w:t>
      </w:r>
      <w:r w:rsidR="00EC7E06" w:rsidRPr="009A2FF3">
        <w:rPr>
          <w:rFonts w:ascii="Franklin Gothic Book" w:hAnsi="Franklin Gothic Book"/>
          <w:sz w:val="21"/>
        </w:rPr>
        <w:t xml:space="preserve">implementation of the new tax system, </w:t>
      </w:r>
      <w:r w:rsidR="00F60054" w:rsidRPr="009A2FF3">
        <w:rPr>
          <w:rFonts w:ascii="Franklin Gothic Book" w:hAnsi="Franklin Gothic Book"/>
          <w:sz w:val="21"/>
        </w:rPr>
        <w:t xml:space="preserve">national sustainability through </w:t>
      </w:r>
      <w:r w:rsidR="00EC7E06" w:rsidRPr="009A2FF3">
        <w:rPr>
          <w:rFonts w:ascii="Franklin Gothic Book" w:hAnsi="Franklin Gothic Book"/>
          <w:sz w:val="21"/>
        </w:rPr>
        <w:t xml:space="preserve">establishment of the new Nauru Intergenerational Trust Fund and management of donor programs.  </w:t>
      </w:r>
    </w:p>
    <w:p w:rsidR="00193992" w:rsidRPr="009A2FF3" w:rsidRDefault="00902BF4" w:rsidP="00193992">
      <w:pPr>
        <w:spacing w:after="200" w:line="276" w:lineRule="auto"/>
        <w:rPr>
          <w:rFonts w:ascii="Franklin Gothic Book" w:hAnsi="Franklin Gothic Book"/>
          <w:sz w:val="21"/>
        </w:rPr>
      </w:pPr>
      <w:r w:rsidRPr="009A2FF3">
        <w:rPr>
          <w:rFonts w:ascii="Franklin Gothic Book" w:hAnsi="Franklin Gothic Book"/>
          <w:sz w:val="21"/>
        </w:rPr>
        <w:t xml:space="preserve">Gender </w:t>
      </w:r>
      <w:r w:rsidR="00193992">
        <w:rPr>
          <w:rFonts w:ascii="Franklin Gothic Book" w:hAnsi="Franklin Gothic Book"/>
          <w:sz w:val="21"/>
        </w:rPr>
        <w:t>and other cross-cutting issues are being progressively integrated into programming</w:t>
      </w:r>
      <w:r w:rsidR="00176C25">
        <w:rPr>
          <w:rFonts w:ascii="Franklin Gothic Book" w:hAnsi="Franklin Gothic Book"/>
          <w:sz w:val="21"/>
        </w:rPr>
        <w:t xml:space="preserve"> as a matter of good practice</w:t>
      </w:r>
      <w:r w:rsidR="00193992">
        <w:rPr>
          <w:rFonts w:ascii="Franklin Gothic Book" w:hAnsi="Franklin Gothic Book"/>
          <w:sz w:val="21"/>
        </w:rPr>
        <w:t xml:space="preserve">.  </w:t>
      </w:r>
      <w:r w:rsidR="00D50F16">
        <w:rPr>
          <w:rFonts w:ascii="Franklin Gothic Book" w:hAnsi="Franklin Gothic Book"/>
          <w:sz w:val="21"/>
        </w:rPr>
        <w:t xml:space="preserve">While </w:t>
      </w:r>
      <w:r w:rsidR="00193992" w:rsidRPr="009A2FF3">
        <w:rPr>
          <w:rFonts w:ascii="Franklin Gothic Book" w:hAnsi="Franklin Gothic Book"/>
          <w:sz w:val="21"/>
        </w:rPr>
        <w:t xml:space="preserve">gender equality principles have been integrated into </w:t>
      </w:r>
      <w:r w:rsidR="00D50F16">
        <w:rPr>
          <w:rFonts w:ascii="Franklin Gothic Book" w:hAnsi="Franklin Gothic Book"/>
          <w:sz w:val="21"/>
        </w:rPr>
        <w:t xml:space="preserve">health and education </w:t>
      </w:r>
      <w:r w:rsidR="00193992" w:rsidRPr="009A2FF3">
        <w:rPr>
          <w:rFonts w:ascii="Franklin Gothic Book" w:hAnsi="Franklin Gothic Book"/>
          <w:sz w:val="21"/>
        </w:rPr>
        <w:t xml:space="preserve">policy frameworks and stakeholder training, </w:t>
      </w:r>
      <w:r w:rsidR="006930B9">
        <w:rPr>
          <w:rFonts w:ascii="Franklin Gothic Book" w:hAnsi="Franklin Gothic Book"/>
          <w:sz w:val="21"/>
        </w:rPr>
        <w:t xml:space="preserve">it remains a weakness in the public sector reform investment and </w:t>
      </w:r>
      <w:r w:rsidR="00D50F16">
        <w:rPr>
          <w:rFonts w:ascii="Franklin Gothic Book" w:hAnsi="Franklin Gothic Book"/>
          <w:sz w:val="21"/>
        </w:rPr>
        <w:t xml:space="preserve">more work needs to be done to ensure gender </w:t>
      </w:r>
      <w:r w:rsidR="00D50F16" w:rsidRPr="009A2FF3">
        <w:rPr>
          <w:rFonts w:ascii="Franklin Gothic Book" w:hAnsi="Franklin Gothic Book"/>
          <w:sz w:val="21"/>
        </w:rPr>
        <w:t xml:space="preserve">equality </w:t>
      </w:r>
      <w:r w:rsidR="00D50F16">
        <w:rPr>
          <w:rFonts w:ascii="Franklin Gothic Book" w:hAnsi="Franklin Gothic Book"/>
          <w:sz w:val="21"/>
        </w:rPr>
        <w:t xml:space="preserve">is mainstreamed into all engagements.  </w:t>
      </w:r>
      <w:r w:rsidR="00193992" w:rsidRPr="009A2FF3">
        <w:rPr>
          <w:rFonts w:ascii="Franklin Gothic Book" w:hAnsi="Franklin Gothic Book"/>
          <w:sz w:val="21"/>
        </w:rPr>
        <w:t xml:space="preserve">A similar approach to integration of disability and climate considerations into development efforts is </w:t>
      </w:r>
      <w:r w:rsidR="00193992">
        <w:rPr>
          <w:rFonts w:ascii="Franklin Gothic Book" w:hAnsi="Franklin Gothic Book"/>
          <w:sz w:val="21"/>
        </w:rPr>
        <w:t>underway</w:t>
      </w:r>
      <w:r w:rsidR="00193992" w:rsidRPr="009A2FF3">
        <w:rPr>
          <w:rFonts w:ascii="Franklin Gothic Book" w:hAnsi="Franklin Gothic Book"/>
          <w:sz w:val="21"/>
        </w:rPr>
        <w:t xml:space="preserve">.  </w:t>
      </w:r>
    </w:p>
    <w:p w:rsidR="00176C25" w:rsidRDefault="00462CCF" w:rsidP="00462CCF">
      <w:pPr>
        <w:spacing w:after="200" w:line="276" w:lineRule="auto"/>
        <w:rPr>
          <w:rFonts w:ascii="Franklin Gothic Book" w:hAnsi="Franklin Gothic Book"/>
          <w:sz w:val="21"/>
        </w:rPr>
      </w:pPr>
      <w:r w:rsidRPr="009A2FF3">
        <w:rPr>
          <w:rFonts w:ascii="Franklin Gothic Book" w:hAnsi="Franklin Gothic Book"/>
          <w:sz w:val="21"/>
        </w:rPr>
        <w:t>DFAT continue</w:t>
      </w:r>
      <w:r w:rsidR="00176C25">
        <w:rPr>
          <w:rFonts w:ascii="Franklin Gothic Book" w:hAnsi="Franklin Gothic Book"/>
          <w:sz w:val="21"/>
        </w:rPr>
        <w:t>s</w:t>
      </w:r>
      <w:r w:rsidRPr="009A2FF3">
        <w:rPr>
          <w:rFonts w:ascii="Franklin Gothic Book" w:hAnsi="Franklin Gothic Book"/>
          <w:sz w:val="21"/>
        </w:rPr>
        <w:t xml:space="preserve"> to undertake regular </w:t>
      </w:r>
      <w:r w:rsidR="00176C25">
        <w:rPr>
          <w:rFonts w:ascii="Franklin Gothic Book" w:hAnsi="Franklin Gothic Book"/>
          <w:sz w:val="21"/>
        </w:rPr>
        <w:t xml:space="preserve">independent </w:t>
      </w:r>
      <w:r w:rsidRPr="009A2FF3">
        <w:rPr>
          <w:rFonts w:ascii="Franklin Gothic Book" w:hAnsi="Franklin Gothic Book"/>
          <w:sz w:val="21"/>
        </w:rPr>
        <w:t>reviews of transactions made through the Operational Account</w:t>
      </w:r>
      <w:r w:rsidR="00902BF4" w:rsidRPr="009A2FF3">
        <w:rPr>
          <w:rFonts w:ascii="Franklin Gothic Book" w:hAnsi="Franklin Gothic Book"/>
          <w:sz w:val="21"/>
        </w:rPr>
        <w:t xml:space="preserve"> and in February </w:t>
      </w:r>
      <w:r w:rsidR="00F60054" w:rsidRPr="009A2FF3">
        <w:rPr>
          <w:rFonts w:ascii="Franklin Gothic Book" w:hAnsi="Franklin Gothic Book"/>
          <w:sz w:val="21"/>
        </w:rPr>
        <w:t xml:space="preserve">2016 </w:t>
      </w:r>
      <w:r w:rsidR="00902BF4" w:rsidRPr="009A2FF3">
        <w:rPr>
          <w:rFonts w:ascii="Franklin Gothic Book" w:hAnsi="Franklin Gothic Book"/>
          <w:sz w:val="21"/>
        </w:rPr>
        <w:t xml:space="preserve">completed </w:t>
      </w:r>
      <w:r w:rsidR="00176C25" w:rsidRPr="00176C25">
        <w:rPr>
          <w:rFonts w:ascii="Franklin Gothic Book" w:hAnsi="Franklin Gothic Book"/>
          <w:sz w:val="21"/>
        </w:rPr>
        <w:t xml:space="preserve">a </w:t>
      </w:r>
      <w:proofErr w:type="spellStart"/>
      <w:r w:rsidR="00176C25" w:rsidRPr="00176C25">
        <w:rPr>
          <w:rFonts w:ascii="Franklin Gothic Book" w:hAnsi="Franklin Gothic Book"/>
          <w:sz w:val="21"/>
        </w:rPr>
        <w:t>cleanup</w:t>
      </w:r>
      <w:proofErr w:type="spellEnd"/>
      <w:r w:rsidR="00176C25" w:rsidRPr="00176C25">
        <w:rPr>
          <w:rFonts w:ascii="Franklin Gothic Book" w:hAnsi="Franklin Gothic Book"/>
          <w:sz w:val="21"/>
        </w:rPr>
        <w:t xml:space="preserve"> which reallocated unexpended funds from completed projects and rectified incorrect payments</w:t>
      </w:r>
      <w:r w:rsidR="00902BF4" w:rsidRPr="009A2FF3">
        <w:rPr>
          <w:rFonts w:ascii="Franklin Gothic Book" w:hAnsi="Franklin Gothic Book"/>
          <w:sz w:val="21"/>
        </w:rPr>
        <w:t xml:space="preserve">.  </w:t>
      </w:r>
      <w:r w:rsidR="00176C25">
        <w:rPr>
          <w:rFonts w:ascii="Franklin Gothic Book" w:hAnsi="Franklin Gothic Book"/>
          <w:sz w:val="21"/>
        </w:rPr>
        <w:t xml:space="preserve">The result is greater </w:t>
      </w:r>
      <w:r w:rsidR="005D4EEA">
        <w:rPr>
          <w:rFonts w:ascii="Franklin Gothic Book" w:hAnsi="Franklin Gothic Book"/>
          <w:sz w:val="21"/>
        </w:rPr>
        <w:t xml:space="preserve">transparency and more effective use of bilateral program funds.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Management Responses</w:t>
      </w:r>
    </w:p>
    <w:p w:rsidR="009F5488" w:rsidRPr="00F60054" w:rsidRDefault="0014133A" w:rsidP="00F60054">
      <w:pPr>
        <w:spacing w:after="200" w:line="276" w:lineRule="auto"/>
        <w:rPr>
          <w:rFonts w:ascii="Franklin Gothic Book" w:hAnsi="Franklin Gothic Book"/>
          <w:sz w:val="21"/>
          <w:szCs w:val="21"/>
        </w:rPr>
      </w:pPr>
      <w:r w:rsidRPr="00F60054">
        <w:rPr>
          <w:rFonts w:ascii="Franklin Gothic Book" w:hAnsi="Franklin Gothic Book"/>
          <w:sz w:val="21"/>
          <w:szCs w:val="21"/>
        </w:rPr>
        <w:t xml:space="preserve">The </w:t>
      </w:r>
      <w:r w:rsidRPr="00F60054">
        <w:rPr>
          <w:rFonts w:ascii="Franklin Gothic Book" w:hAnsi="Franklin Gothic Book"/>
          <w:i/>
          <w:sz w:val="21"/>
          <w:szCs w:val="21"/>
        </w:rPr>
        <w:t>Aid Quality Checks</w:t>
      </w:r>
      <w:r w:rsidRPr="00F60054">
        <w:rPr>
          <w:rFonts w:ascii="Franklin Gothic Book" w:hAnsi="Franklin Gothic Book"/>
          <w:sz w:val="21"/>
          <w:szCs w:val="21"/>
        </w:rPr>
        <w:t xml:space="preserve"> for 2015-16 found that most of the management responses from the 2014-15 APPR had been achieved or partially achieved.  Some had been postponed for particular reasons and remain actions to be addressed and are included in the following.  </w:t>
      </w:r>
    </w:p>
    <w:p w:rsidR="009F5488" w:rsidRPr="00F60054" w:rsidRDefault="000D1D10" w:rsidP="00F60054">
      <w:pPr>
        <w:spacing w:after="200" w:line="276" w:lineRule="auto"/>
        <w:rPr>
          <w:rFonts w:ascii="Franklin Gothic Book" w:hAnsi="Franklin Gothic Book"/>
          <w:sz w:val="21"/>
          <w:szCs w:val="21"/>
        </w:rPr>
      </w:pPr>
      <w:r w:rsidRPr="00F60054">
        <w:rPr>
          <w:rFonts w:ascii="Franklin Gothic Book" w:hAnsi="Franklin Gothic Book"/>
          <w:sz w:val="21"/>
          <w:szCs w:val="21"/>
        </w:rPr>
        <w:t>In 2016-17 management and oversight of Australia’s development cooperation program will increasing</w:t>
      </w:r>
      <w:r w:rsidR="0014133A" w:rsidRPr="00F60054">
        <w:rPr>
          <w:rFonts w:ascii="Franklin Gothic Book" w:hAnsi="Franklin Gothic Book"/>
          <w:sz w:val="21"/>
          <w:szCs w:val="21"/>
        </w:rPr>
        <w:t>ly</w:t>
      </w:r>
      <w:r w:rsidRPr="00F60054">
        <w:rPr>
          <w:rFonts w:ascii="Franklin Gothic Book" w:hAnsi="Franklin Gothic Book"/>
          <w:sz w:val="21"/>
          <w:szCs w:val="21"/>
        </w:rPr>
        <w:t xml:space="preserve"> move</w:t>
      </w:r>
      <w:r w:rsidR="00DD7087" w:rsidRPr="00F60054">
        <w:rPr>
          <w:rFonts w:ascii="Franklin Gothic Book" w:hAnsi="Franklin Gothic Book"/>
          <w:sz w:val="21"/>
          <w:szCs w:val="21"/>
        </w:rPr>
        <w:t xml:space="preserve"> from Canberra</w:t>
      </w:r>
      <w:r w:rsidRPr="00F60054">
        <w:rPr>
          <w:rFonts w:ascii="Franklin Gothic Book" w:hAnsi="Franklin Gothic Book"/>
          <w:sz w:val="21"/>
          <w:szCs w:val="21"/>
        </w:rPr>
        <w:t xml:space="preserve"> to the Australian High Commission in Nauru.  </w:t>
      </w:r>
      <w:r w:rsidR="001A5875" w:rsidRPr="00F60054">
        <w:rPr>
          <w:rFonts w:ascii="Franklin Gothic Book" w:hAnsi="Franklin Gothic Book"/>
          <w:sz w:val="21"/>
          <w:szCs w:val="21"/>
        </w:rPr>
        <w:t>Additional staff will be recruited to enable th</w:t>
      </w:r>
      <w:r w:rsidRPr="00F60054">
        <w:rPr>
          <w:rFonts w:ascii="Franklin Gothic Book" w:hAnsi="Franklin Gothic Book"/>
          <w:sz w:val="21"/>
          <w:szCs w:val="21"/>
        </w:rPr>
        <w:t>is</w:t>
      </w:r>
      <w:r w:rsidR="001A5875" w:rsidRPr="00F60054">
        <w:rPr>
          <w:rFonts w:ascii="Franklin Gothic Book" w:hAnsi="Franklin Gothic Book"/>
          <w:sz w:val="21"/>
          <w:szCs w:val="21"/>
        </w:rPr>
        <w:t xml:space="preserve"> devolution of management </w:t>
      </w:r>
      <w:r w:rsidRPr="00F60054">
        <w:rPr>
          <w:rFonts w:ascii="Franklin Gothic Book" w:hAnsi="Franklin Gothic Book"/>
          <w:sz w:val="21"/>
          <w:szCs w:val="21"/>
        </w:rPr>
        <w:t>which</w:t>
      </w:r>
      <w:r w:rsidR="001A5875" w:rsidRPr="00F60054">
        <w:rPr>
          <w:rFonts w:ascii="Franklin Gothic Book" w:hAnsi="Franklin Gothic Book"/>
          <w:sz w:val="21"/>
          <w:szCs w:val="21"/>
        </w:rPr>
        <w:t xml:space="preserve"> </w:t>
      </w:r>
      <w:r w:rsidR="002A15D2" w:rsidRPr="00F60054">
        <w:rPr>
          <w:rFonts w:ascii="Franklin Gothic Book" w:hAnsi="Franklin Gothic Book"/>
          <w:sz w:val="21"/>
          <w:szCs w:val="21"/>
        </w:rPr>
        <w:t xml:space="preserve">will improve engagement and policy dialogue, </w:t>
      </w:r>
      <w:r w:rsidR="00DD7087" w:rsidRPr="00F60054">
        <w:rPr>
          <w:rFonts w:ascii="Franklin Gothic Book" w:hAnsi="Franklin Gothic Book"/>
          <w:sz w:val="21"/>
          <w:szCs w:val="21"/>
        </w:rPr>
        <w:t xml:space="preserve">and </w:t>
      </w:r>
      <w:r w:rsidR="001A5875" w:rsidRPr="00F60054">
        <w:rPr>
          <w:rFonts w:ascii="Franklin Gothic Book" w:hAnsi="Franklin Gothic Book"/>
          <w:sz w:val="21"/>
          <w:szCs w:val="21"/>
        </w:rPr>
        <w:t>bring decision making and quality assurance</w:t>
      </w:r>
      <w:r w:rsidRPr="00F60054">
        <w:rPr>
          <w:rFonts w:ascii="Franklin Gothic Book" w:hAnsi="Franklin Gothic Book"/>
          <w:sz w:val="21"/>
          <w:szCs w:val="21"/>
        </w:rPr>
        <w:t xml:space="preserve"> closer to program implementation in Nauru</w:t>
      </w:r>
      <w:r w:rsidR="002A15D2" w:rsidRPr="00F60054">
        <w:rPr>
          <w:rFonts w:ascii="Franklin Gothic Book" w:hAnsi="Franklin Gothic Book"/>
          <w:sz w:val="21"/>
          <w:szCs w:val="21"/>
        </w:rPr>
        <w:t xml:space="preserve">. This </w:t>
      </w:r>
      <w:r w:rsidR="007B61CC" w:rsidRPr="00F60054">
        <w:rPr>
          <w:rFonts w:ascii="Franklin Gothic Book" w:hAnsi="Franklin Gothic Book"/>
          <w:sz w:val="21"/>
          <w:szCs w:val="21"/>
        </w:rPr>
        <w:t>is being implemented through the establishment of</w:t>
      </w:r>
      <w:r w:rsidR="002A15D2" w:rsidRPr="00F60054">
        <w:rPr>
          <w:rFonts w:ascii="Franklin Gothic Book" w:hAnsi="Franklin Gothic Book"/>
          <w:sz w:val="21"/>
          <w:szCs w:val="21"/>
        </w:rPr>
        <w:t xml:space="preserve"> a long term Second Secretary (Development) position and the recruitment of additional locally engaged staff, including </w:t>
      </w:r>
      <w:r w:rsidR="007B61CC" w:rsidRPr="00F60054">
        <w:rPr>
          <w:rFonts w:ascii="Franklin Gothic Book" w:hAnsi="Franklin Gothic Book"/>
          <w:sz w:val="21"/>
          <w:szCs w:val="21"/>
        </w:rPr>
        <w:t>program managers</w:t>
      </w:r>
      <w:r w:rsidR="002A15D2" w:rsidRPr="00F60054">
        <w:rPr>
          <w:rFonts w:ascii="Franklin Gothic Book" w:hAnsi="Franklin Gothic Book"/>
          <w:sz w:val="21"/>
          <w:szCs w:val="21"/>
        </w:rPr>
        <w:t xml:space="preserve"> for education</w:t>
      </w:r>
      <w:r w:rsidR="007B61CC" w:rsidRPr="00F60054">
        <w:rPr>
          <w:rFonts w:ascii="Franklin Gothic Book" w:hAnsi="Franklin Gothic Book"/>
          <w:sz w:val="21"/>
          <w:szCs w:val="21"/>
        </w:rPr>
        <w:t xml:space="preserve">, health and infrastructure </w:t>
      </w:r>
      <w:r w:rsidR="007B61CC" w:rsidRPr="00F60054">
        <w:rPr>
          <w:rFonts w:ascii="Franklin Gothic Book" w:hAnsi="Franklin Gothic Book"/>
          <w:sz w:val="21"/>
          <w:szCs w:val="21"/>
        </w:rPr>
        <w:lastRenderedPageBreak/>
        <w:t>investments</w:t>
      </w:r>
      <w:r w:rsidR="002A15D2" w:rsidRPr="00F60054">
        <w:rPr>
          <w:rFonts w:ascii="Franklin Gothic Book" w:hAnsi="Franklin Gothic Book"/>
          <w:sz w:val="21"/>
          <w:szCs w:val="21"/>
        </w:rPr>
        <w:t xml:space="preserve">. </w:t>
      </w:r>
      <w:r w:rsidR="009A2FF3">
        <w:rPr>
          <w:rFonts w:ascii="Franklin Gothic Book" w:hAnsi="Franklin Gothic Book"/>
          <w:sz w:val="21"/>
          <w:szCs w:val="21"/>
        </w:rPr>
        <w:t xml:space="preserve"> </w:t>
      </w:r>
      <w:r w:rsidR="002A15D2" w:rsidRPr="00F60054">
        <w:rPr>
          <w:rFonts w:ascii="Franklin Gothic Book" w:hAnsi="Franklin Gothic Book"/>
          <w:sz w:val="21"/>
          <w:szCs w:val="21"/>
        </w:rPr>
        <w:t xml:space="preserve">This will also help institute a </w:t>
      </w:r>
      <w:r w:rsidRPr="00F60054">
        <w:rPr>
          <w:rFonts w:ascii="Franklin Gothic Book" w:hAnsi="Franklin Gothic Book"/>
          <w:sz w:val="21"/>
          <w:szCs w:val="21"/>
        </w:rPr>
        <w:t xml:space="preserve">stronger </w:t>
      </w:r>
      <w:r w:rsidR="002A15D2" w:rsidRPr="00F60054">
        <w:rPr>
          <w:rFonts w:ascii="Franklin Gothic Book" w:hAnsi="Franklin Gothic Book"/>
          <w:sz w:val="21"/>
          <w:szCs w:val="21"/>
        </w:rPr>
        <w:t>performance and monitoring regime.</w:t>
      </w:r>
      <w:r w:rsidR="00DD7087" w:rsidRPr="00F60054">
        <w:rPr>
          <w:rFonts w:ascii="Franklin Gothic Book" w:hAnsi="Franklin Gothic Book"/>
          <w:sz w:val="21"/>
          <w:szCs w:val="21"/>
        </w:rPr>
        <w:t xml:space="preserve"> </w:t>
      </w:r>
      <w:r w:rsidR="002A15D2" w:rsidRPr="00F60054">
        <w:rPr>
          <w:rFonts w:ascii="Franklin Gothic Book" w:hAnsi="Franklin Gothic Book"/>
          <w:sz w:val="21"/>
          <w:szCs w:val="21"/>
        </w:rPr>
        <w:t xml:space="preserve"> A devolution plan </w:t>
      </w:r>
      <w:r w:rsidR="00512C5B" w:rsidRPr="00F60054">
        <w:rPr>
          <w:rFonts w:ascii="Franklin Gothic Book" w:hAnsi="Franklin Gothic Book"/>
          <w:sz w:val="21"/>
          <w:szCs w:val="21"/>
        </w:rPr>
        <w:t xml:space="preserve">has been </w:t>
      </w:r>
      <w:r w:rsidRPr="00F60054">
        <w:rPr>
          <w:rFonts w:ascii="Franklin Gothic Book" w:hAnsi="Franklin Gothic Book"/>
          <w:sz w:val="21"/>
          <w:szCs w:val="21"/>
        </w:rPr>
        <w:t>prepared</w:t>
      </w:r>
      <w:r w:rsidR="002A15D2" w:rsidRPr="00F60054">
        <w:rPr>
          <w:rFonts w:ascii="Franklin Gothic Book" w:hAnsi="Franklin Gothic Book"/>
          <w:sz w:val="21"/>
          <w:szCs w:val="21"/>
        </w:rPr>
        <w:t>.</w:t>
      </w:r>
    </w:p>
    <w:p w:rsidR="002A15D2" w:rsidRPr="00F60054" w:rsidRDefault="002A15D2" w:rsidP="00F60054">
      <w:pPr>
        <w:spacing w:after="200" w:line="276" w:lineRule="auto"/>
        <w:rPr>
          <w:rFonts w:ascii="Franklin Gothic Book" w:hAnsi="Franklin Gothic Book"/>
          <w:sz w:val="21"/>
          <w:szCs w:val="21"/>
        </w:rPr>
      </w:pPr>
      <w:r w:rsidRPr="00F60054">
        <w:rPr>
          <w:rFonts w:ascii="Franklin Gothic Book" w:hAnsi="Franklin Gothic Book"/>
          <w:sz w:val="21"/>
          <w:szCs w:val="21"/>
        </w:rPr>
        <w:t xml:space="preserve">In the </w:t>
      </w:r>
      <w:r w:rsidR="000A0B07">
        <w:rPr>
          <w:rFonts w:ascii="Franklin Gothic Book" w:hAnsi="Franklin Gothic Book"/>
          <w:sz w:val="21"/>
          <w:szCs w:val="21"/>
        </w:rPr>
        <w:t>e</w:t>
      </w:r>
      <w:r w:rsidRPr="00F60054">
        <w:rPr>
          <w:rFonts w:ascii="Franklin Gothic Book" w:hAnsi="Franklin Gothic Book"/>
          <w:sz w:val="21"/>
          <w:szCs w:val="21"/>
        </w:rPr>
        <w:t xml:space="preserve">ducation </w:t>
      </w:r>
      <w:r w:rsidR="006741AF">
        <w:rPr>
          <w:rFonts w:ascii="Franklin Gothic Book" w:hAnsi="Franklin Gothic Book"/>
          <w:sz w:val="21"/>
          <w:szCs w:val="21"/>
        </w:rPr>
        <w:t>s</w:t>
      </w:r>
      <w:r w:rsidRPr="00F60054">
        <w:rPr>
          <w:rFonts w:ascii="Franklin Gothic Book" w:hAnsi="Franklin Gothic Book"/>
          <w:sz w:val="21"/>
          <w:szCs w:val="21"/>
        </w:rPr>
        <w:t xml:space="preserve">ector, </w:t>
      </w:r>
      <w:r w:rsidR="008E4D36">
        <w:rPr>
          <w:rFonts w:ascii="Franklin Gothic Book" w:hAnsi="Franklin Gothic Book"/>
          <w:sz w:val="21"/>
          <w:szCs w:val="21"/>
        </w:rPr>
        <w:t xml:space="preserve">we will work with the </w:t>
      </w:r>
      <w:proofErr w:type="spellStart"/>
      <w:r w:rsidR="008E4D36">
        <w:rPr>
          <w:rFonts w:ascii="Franklin Gothic Book" w:hAnsi="Franklin Gothic Book"/>
          <w:sz w:val="21"/>
          <w:szCs w:val="21"/>
        </w:rPr>
        <w:t>GoN</w:t>
      </w:r>
      <w:proofErr w:type="spellEnd"/>
      <w:r w:rsidR="008E4D36">
        <w:rPr>
          <w:rFonts w:ascii="Franklin Gothic Book" w:hAnsi="Franklin Gothic Book"/>
          <w:sz w:val="21"/>
          <w:szCs w:val="21"/>
        </w:rPr>
        <w:t xml:space="preserve"> to identify key skill gaps as we move from a supply-driven to a more sharply-focussed and demand-driven scholarship program.  Current </w:t>
      </w:r>
      <w:r w:rsidRPr="00F60054">
        <w:rPr>
          <w:rFonts w:ascii="Franklin Gothic Book" w:hAnsi="Franklin Gothic Book"/>
          <w:sz w:val="21"/>
          <w:szCs w:val="21"/>
        </w:rPr>
        <w:t xml:space="preserve">short-comings in </w:t>
      </w:r>
      <w:r w:rsidR="000D1D10" w:rsidRPr="00F60054">
        <w:rPr>
          <w:rFonts w:ascii="Franklin Gothic Book" w:hAnsi="Franklin Gothic Book"/>
          <w:sz w:val="21"/>
          <w:szCs w:val="21"/>
        </w:rPr>
        <w:t>monitoring and evaluation</w:t>
      </w:r>
      <w:r w:rsidRPr="00F60054">
        <w:rPr>
          <w:rFonts w:ascii="Franklin Gothic Book" w:hAnsi="Franklin Gothic Book"/>
          <w:sz w:val="21"/>
          <w:szCs w:val="21"/>
        </w:rPr>
        <w:t xml:space="preserve"> will be addressed by </w:t>
      </w:r>
      <w:r w:rsidR="00B71307" w:rsidRPr="00F60054">
        <w:rPr>
          <w:rFonts w:ascii="Franklin Gothic Book" w:hAnsi="Franklin Gothic Book"/>
          <w:sz w:val="21"/>
          <w:szCs w:val="21"/>
        </w:rPr>
        <w:t xml:space="preserve">supporting </w:t>
      </w:r>
      <w:r w:rsidR="007B61CC" w:rsidRPr="00F60054">
        <w:rPr>
          <w:rFonts w:ascii="Franklin Gothic Book" w:hAnsi="Franklin Gothic Book"/>
          <w:sz w:val="21"/>
          <w:szCs w:val="21"/>
        </w:rPr>
        <w:t>the Department of Education</w:t>
      </w:r>
      <w:r w:rsidRPr="00F60054">
        <w:rPr>
          <w:rFonts w:ascii="Franklin Gothic Book" w:hAnsi="Franklin Gothic Book"/>
          <w:sz w:val="21"/>
          <w:szCs w:val="21"/>
        </w:rPr>
        <w:t xml:space="preserve"> to </w:t>
      </w:r>
      <w:r w:rsidR="00512C5B" w:rsidRPr="00F60054">
        <w:rPr>
          <w:rFonts w:ascii="Franklin Gothic Book" w:hAnsi="Franklin Gothic Book"/>
          <w:sz w:val="21"/>
          <w:szCs w:val="21"/>
        </w:rPr>
        <w:t xml:space="preserve">implement </w:t>
      </w:r>
      <w:r w:rsidRPr="00F60054">
        <w:rPr>
          <w:rFonts w:ascii="Franklin Gothic Book" w:hAnsi="Franklin Gothic Book"/>
          <w:sz w:val="21"/>
          <w:szCs w:val="21"/>
        </w:rPr>
        <w:t>their Performance Assessment Framework (PAF)</w:t>
      </w:r>
      <w:r w:rsidR="00B71307" w:rsidRPr="00F60054">
        <w:rPr>
          <w:rFonts w:ascii="Franklin Gothic Book" w:hAnsi="Franklin Gothic Book"/>
          <w:sz w:val="21"/>
          <w:szCs w:val="21"/>
        </w:rPr>
        <w:t>, through the provision of funding and technical advice</w:t>
      </w:r>
      <w:r w:rsidRPr="00F60054">
        <w:rPr>
          <w:rFonts w:ascii="Franklin Gothic Book" w:hAnsi="Franklin Gothic Book"/>
          <w:sz w:val="21"/>
          <w:szCs w:val="21"/>
        </w:rPr>
        <w:t xml:space="preserve">. </w:t>
      </w:r>
      <w:r w:rsidR="000D1D10" w:rsidRPr="00F60054">
        <w:rPr>
          <w:rFonts w:ascii="Franklin Gothic Book" w:hAnsi="Franklin Gothic Book"/>
          <w:sz w:val="21"/>
          <w:szCs w:val="21"/>
        </w:rPr>
        <w:t xml:space="preserve"> DFAT </w:t>
      </w:r>
      <w:r w:rsidRPr="00F60054">
        <w:rPr>
          <w:rFonts w:ascii="Franklin Gothic Book" w:hAnsi="Franklin Gothic Book"/>
          <w:sz w:val="21"/>
          <w:szCs w:val="21"/>
        </w:rPr>
        <w:t>will also</w:t>
      </w:r>
      <w:r w:rsidR="007B61CC" w:rsidRPr="00F60054">
        <w:rPr>
          <w:rFonts w:ascii="Franklin Gothic Book" w:hAnsi="Franklin Gothic Book"/>
          <w:sz w:val="21"/>
          <w:szCs w:val="21"/>
        </w:rPr>
        <w:t xml:space="preserve"> </w:t>
      </w:r>
      <w:r w:rsidRPr="00F60054">
        <w:rPr>
          <w:rFonts w:ascii="Franklin Gothic Book" w:hAnsi="Franklin Gothic Book"/>
          <w:sz w:val="21"/>
          <w:szCs w:val="21"/>
        </w:rPr>
        <w:t xml:space="preserve">prepare a </w:t>
      </w:r>
      <w:r w:rsidR="007B61CC" w:rsidRPr="00F60054">
        <w:rPr>
          <w:rFonts w:ascii="Franklin Gothic Book" w:hAnsi="Franklin Gothic Book"/>
          <w:sz w:val="21"/>
          <w:szCs w:val="21"/>
        </w:rPr>
        <w:t>separate PAF</w:t>
      </w:r>
      <w:r w:rsidRPr="00F60054">
        <w:rPr>
          <w:rFonts w:ascii="Franklin Gothic Book" w:hAnsi="Franklin Gothic Book"/>
          <w:sz w:val="21"/>
          <w:szCs w:val="21"/>
        </w:rPr>
        <w:t xml:space="preserve"> for the </w:t>
      </w:r>
      <w:r w:rsidR="000D1D10" w:rsidRPr="00F60054">
        <w:rPr>
          <w:rFonts w:ascii="Franklin Gothic Book" w:hAnsi="Franklin Gothic Book"/>
          <w:sz w:val="21"/>
          <w:szCs w:val="21"/>
        </w:rPr>
        <w:t xml:space="preserve">development cooperation </w:t>
      </w:r>
      <w:r w:rsidRPr="00F60054">
        <w:rPr>
          <w:rFonts w:ascii="Franklin Gothic Book" w:hAnsi="Franklin Gothic Book"/>
          <w:sz w:val="21"/>
          <w:szCs w:val="21"/>
        </w:rPr>
        <w:t xml:space="preserve">program in </w:t>
      </w:r>
      <w:r w:rsidR="007B61CC" w:rsidRPr="00F60054">
        <w:rPr>
          <w:rFonts w:ascii="Franklin Gothic Book" w:hAnsi="Franklin Gothic Book"/>
          <w:sz w:val="21"/>
          <w:szCs w:val="21"/>
        </w:rPr>
        <w:t>2016</w:t>
      </w:r>
      <w:r w:rsidR="00211C9C" w:rsidRPr="00F60054">
        <w:rPr>
          <w:rFonts w:ascii="Franklin Gothic Book" w:hAnsi="Franklin Gothic Book"/>
          <w:sz w:val="21"/>
          <w:szCs w:val="21"/>
        </w:rPr>
        <w:t>-</w:t>
      </w:r>
      <w:r w:rsidR="007B61CC" w:rsidRPr="00F60054">
        <w:rPr>
          <w:rFonts w:ascii="Franklin Gothic Book" w:hAnsi="Franklin Gothic Book"/>
          <w:sz w:val="21"/>
          <w:szCs w:val="21"/>
        </w:rPr>
        <w:t>17</w:t>
      </w:r>
      <w:r w:rsidRPr="00F60054">
        <w:rPr>
          <w:rFonts w:ascii="Franklin Gothic Book" w:hAnsi="Franklin Gothic Book"/>
          <w:sz w:val="21"/>
          <w:szCs w:val="21"/>
        </w:rPr>
        <w:t xml:space="preserve">.  We will </w:t>
      </w:r>
      <w:r w:rsidR="007B61CC" w:rsidRPr="00F60054">
        <w:rPr>
          <w:rFonts w:ascii="Franklin Gothic Book" w:hAnsi="Franklin Gothic Book"/>
          <w:sz w:val="21"/>
          <w:szCs w:val="21"/>
        </w:rPr>
        <w:t>further</w:t>
      </w:r>
      <w:r w:rsidRPr="00F60054">
        <w:rPr>
          <w:rFonts w:ascii="Franklin Gothic Book" w:hAnsi="Franklin Gothic Book"/>
          <w:sz w:val="21"/>
          <w:szCs w:val="21"/>
        </w:rPr>
        <w:t xml:space="preserve"> incorporate a </w:t>
      </w:r>
      <w:r w:rsidR="007B61CC" w:rsidRPr="00F60054">
        <w:rPr>
          <w:rFonts w:ascii="Franklin Gothic Book" w:hAnsi="Franklin Gothic Book"/>
          <w:sz w:val="21"/>
          <w:szCs w:val="21"/>
        </w:rPr>
        <w:t>more comprehensive</w:t>
      </w:r>
      <w:r w:rsidRPr="00F60054">
        <w:rPr>
          <w:rFonts w:ascii="Franklin Gothic Book" w:hAnsi="Franklin Gothic Book"/>
          <w:sz w:val="21"/>
          <w:szCs w:val="21"/>
        </w:rPr>
        <w:t xml:space="preserve"> framework for </w:t>
      </w:r>
      <w:r w:rsidR="000D1D10" w:rsidRPr="00F60054">
        <w:rPr>
          <w:rFonts w:ascii="Franklin Gothic Book" w:hAnsi="Franklin Gothic Book"/>
          <w:sz w:val="21"/>
          <w:szCs w:val="21"/>
        </w:rPr>
        <w:t xml:space="preserve">climate change and gender </w:t>
      </w:r>
      <w:r w:rsidR="007B61CC" w:rsidRPr="00F60054">
        <w:rPr>
          <w:rFonts w:ascii="Franklin Gothic Book" w:hAnsi="Franklin Gothic Book"/>
          <w:sz w:val="21"/>
          <w:szCs w:val="21"/>
        </w:rPr>
        <w:t>inclusiv</w:t>
      </w:r>
      <w:r w:rsidR="00FF787F" w:rsidRPr="00F60054">
        <w:rPr>
          <w:rFonts w:ascii="Franklin Gothic Book" w:hAnsi="Franklin Gothic Book"/>
          <w:sz w:val="21"/>
          <w:szCs w:val="21"/>
        </w:rPr>
        <w:t>e</w:t>
      </w:r>
      <w:r w:rsidR="007B61CC" w:rsidRPr="00F60054">
        <w:rPr>
          <w:rFonts w:ascii="Franklin Gothic Book" w:hAnsi="Franklin Gothic Book"/>
          <w:sz w:val="21"/>
          <w:szCs w:val="21"/>
        </w:rPr>
        <w:t>ness</w:t>
      </w:r>
      <w:r w:rsidRPr="00F60054">
        <w:rPr>
          <w:rFonts w:ascii="Franklin Gothic Book" w:hAnsi="Franklin Gothic Book"/>
          <w:sz w:val="21"/>
          <w:szCs w:val="21"/>
        </w:rPr>
        <w:t xml:space="preserve">, especially in our public sector initiative, and identify </w:t>
      </w:r>
      <w:r w:rsidR="006741AF">
        <w:rPr>
          <w:rFonts w:ascii="Franklin Gothic Book" w:hAnsi="Franklin Gothic Book"/>
          <w:sz w:val="21"/>
          <w:szCs w:val="21"/>
        </w:rPr>
        <w:t xml:space="preserve">further </w:t>
      </w:r>
      <w:r w:rsidRPr="00F60054">
        <w:rPr>
          <w:rFonts w:ascii="Franklin Gothic Book" w:hAnsi="Franklin Gothic Book"/>
          <w:sz w:val="21"/>
          <w:szCs w:val="21"/>
        </w:rPr>
        <w:t xml:space="preserve">opportunities to </w:t>
      </w:r>
      <w:r w:rsidR="00DD7087" w:rsidRPr="00F60054">
        <w:rPr>
          <w:rFonts w:ascii="Franklin Gothic Book" w:hAnsi="Franklin Gothic Book"/>
          <w:sz w:val="21"/>
          <w:szCs w:val="21"/>
        </w:rPr>
        <w:t>integrate climate and</w:t>
      </w:r>
      <w:r w:rsidR="007B61CC" w:rsidRPr="00F60054">
        <w:rPr>
          <w:rFonts w:ascii="Franklin Gothic Book" w:hAnsi="Franklin Gothic Book"/>
          <w:sz w:val="21"/>
          <w:szCs w:val="21"/>
        </w:rPr>
        <w:t xml:space="preserve"> </w:t>
      </w:r>
      <w:r w:rsidRPr="00F60054">
        <w:rPr>
          <w:rFonts w:ascii="Franklin Gothic Book" w:hAnsi="Franklin Gothic Book"/>
          <w:sz w:val="21"/>
          <w:szCs w:val="21"/>
        </w:rPr>
        <w:t xml:space="preserve">gender </w:t>
      </w:r>
      <w:r w:rsidR="007B61CC" w:rsidRPr="00F60054">
        <w:rPr>
          <w:rFonts w:ascii="Franklin Gothic Book" w:hAnsi="Franklin Gothic Book"/>
          <w:sz w:val="21"/>
          <w:szCs w:val="21"/>
        </w:rPr>
        <w:t xml:space="preserve">inequality issues </w:t>
      </w:r>
      <w:r w:rsidRPr="00F60054">
        <w:rPr>
          <w:rFonts w:ascii="Franklin Gothic Book" w:hAnsi="Franklin Gothic Book"/>
          <w:sz w:val="21"/>
          <w:szCs w:val="21"/>
        </w:rPr>
        <w:t>across the program.</w:t>
      </w:r>
    </w:p>
    <w:p w:rsidR="006741AF" w:rsidRDefault="000A0B07" w:rsidP="00F60054">
      <w:pPr>
        <w:spacing w:after="200" w:line="276" w:lineRule="auto"/>
        <w:rPr>
          <w:rFonts w:ascii="Franklin Gothic Book" w:hAnsi="Franklin Gothic Book"/>
          <w:sz w:val="21"/>
          <w:szCs w:val="21"/>
        </w:rPr>
      </w:pPr>
      <w:r>
        <w:rPr>
          <w:rFonts w:ascii="Franklin Gothic Book" w:hAnsi="Franklin Gothic Book"/>
          <w:sz w:val="21"/>
          <w:szCs w:val="21"/>
        </w:rPr>
        <w:t xml:space="preserve">In the health sector, we </w:t>
      </w:r>
      <w:r w:rsidR="002A15D2" w:rsidRPr="00F60054">
        <w:rPr>
          <w:rFonts w:ascii="Franklin Gothic Book" w:hAnsi="Franklin Gothic Book"/>
          <w:sz w:val="21"/>
          <w:szCs w:val="21"/>
        </w:rPr>
        <w:t>will</w:t>
      </w:r>
      <w:r w:rsidR="007B61CC" w:rsidRPr="00F60054">
        <w:rPr>
          <w:rFonts w:ascii="Franklin Gothic Book" w:hAnsi="Franklin Gothic Book"/>
          <w:sz w:val="21"/>
          <w:szCs w:val="21"/>
        </w:rPr>
        <w:t xml:space="preserve"> </w:t>
      </w:r>
      <w:r w:rsidR="00EF4D5F">
        <w:rPr>
          <w:rFonts w:ascii="Franklin Gothic Book" w:hAnsi="Franklin Gothic Book"/>
          <w:sz w:val="21"/>
          <w:szCs w:val="21"/>
        </w:rPr>
        <w:t xml:space="preserve">continue to </w:t>
      </w:r>
      <w:r w:rsidR="002A15D2" w:rsidRPr="00F60054">
        <w:rPr>
          <w:rFonts w:ascii="Franklin Gothic Book" w:hAnsi="Franklin Gothic Book"/>
          <w:sz w:val="21"/>
          <w:szCs w:val="21"/>
        </w:rPr>
        <w:t xml:space="preserve">support </w:t>
      </w:r>
      <w:r>
        <w:rPr>
          <w:rFonts w:ascii="Franklin Gothic Book" w:hAnsi="Franklin Gothic Book"/>
          <w:sz w:val="21"/>
          <w:szCs w:val="21"/>
        </w:rPr>
        <w:t xml:space="preserve">development of hospital infrastructure while ensuring a focus on </w:t>
      </w:r>
      <w:r w:rsidR="002A15D2" w:rsidRPr="00F60054">
        <w:rPr>
          <w:rFonts w:ascii="Franklin Gothic Book" w:hAnsi="Franklin Gothic Book"/>
          <w:sz w:val="21"/>
          <w:szCs w:val="21"/>
        </w:rPr>
        <w:t xml:space="preserve">public health/NCDs, health information management and statistics, and senior management strengthening. </w:t>
      </w:r>
      <w:r w:rsidR="000D1D10" w:rsidRPr="00F60054">
        <w:rPr>
          <w:rFonts w:ascii="Franklin Gothic Book" w:hAnsi="Franklin Gothic Book"/>
          <w:sz w:val="21"/>
          <w:szCs w:val="21"/>
        </w:rPr>
        <w:t xml:space="preserve"> </w:t>
      </w:r>
      <w:r w:rsidR="002A15D2" w:rsidRPr="00F60054">
        <w:rPr>
          <w:rFonts w:ascii="Franklin Gothic Book" w:hAnsi="Franklin Gothic Book"/>
          <w:sz w:val="21"/>
          <w:szCs w:val="21"/>
        </w:rPr>
        <w:t>This will be done</w:t>
      </w:r>
      <w:r w:rsidR="00DD7087" w:rsidRPr="00F60054">
        <w:rPr>
          <w:rFonts w:ascii="Franklin Gothic Book" w:hAnsi="Franklin Gothic Book"/>
          <w:sz w:val="21"/>
          <w:szCs w:val="21"/>
        </w:rPr>
        <w:t xml:space="preserve">, inter </w:t>
      </w:r>
      <w:r w:rsidR="00DD7087" w:rsidRPr="0005613F">
        <w:rPr>
          <w:rFonts w:ascii="Franklin Gothic Book" w:hAnsi="Franklin Gothic Book"/>
          <w:sz w:val="21"/>
          <w:szCs w:val="21"/>
        </w:rPr>
        <w:t>alia,</w:t>
      </w:r>
      <w:r w:rsidR="002A15D2" w:rsidRPr="0005613F">
        <w:rPr>
          <w:rFonts w:ascii="Franklin Gothic Book" w:hAnsi="Franklin Gothic Book"/>
          <w:sz w:val="21"/>
          <w:szCs w:val="21"/>
        </w:rPr>
        <w:t xml:space="preserve"> by conducting a rapid “diagnostic” of the program</w:t>
      </w:r>
      <w:r w:rsidR="00B16B9B" w:rsidRPr="0005613F">
        <w:rPr>
          <w:rFonts w:ascii="Franklin Gothic Book" w:hAnsi="Franklin Gothic Book"/>
          <w:sz w:val="21"/>
          <w:szCs w:val="21"/>
        </w:rPr>
        <w:t xml:space="preserve"> in 2016</w:t>
      </w:r>
      <w:r w:rsidR="002A15D2" w:rsidRPr="0005613F">
        <w:rPr>
          <w:rFonts w:ascii="Franklin Gothic Book" w:hAnsi="Franklin Gothic Book"/>
          <w:sz w:val="21"/>
          <w:szCs w:val="21"/>
        </w:rPr>
        <w:t xml:space="preserve"> to</w:t>
      </w:r>
      <w:r w:rsidR="002A15D2" w:rsidRPr="00F60054">
        <w:rPr>
          <w:rFonts w:ascii="Franklin Gothic Book" w:hAnsi="Franklin Gothic Book"/>
          <w:sz w:val="21"/>
          <w:szCs w:val="21"/>
        </w:rPr>
        <w:t xml:space="preserve"> help map out the key issues, opportunities and recommending options for the next </w:t>
      </w:r>
      <w:r w:rsidR="00211C9C" w:rsidRPr="00F60054">
        <w:rPr>
          <w:rFonts w:ascii="Franklin Gothic Book" w:hAnsi="Franklin Gothic Book"/>
          <w:sz w:val="21"/>
          <w:szCs w:val="21"/>
        </w:rPr>
        <w:t xml:space="preserve">two to three </w:t>
      </w:r>
      <w:r w:rsidR="002A15D2" w:rsidRPr="00F60054">
        <w:rPr>
          <w:rFonts w:ascii="Franklin Gothic Book" w:hAnsi="Franklin Gothic Book"/>
          <w:sz w:val="21"/>
          <w:szCs w:val="21"/>
        </w:rPr>
        <w:t>years</w:t>
      </w:r>
      <w:r w:rsidR="00B71307" w:rsidRPr="00F60054">
        <w:rPr>
          <w:rFonts w:ascii="Franklin Gothic Book" w:hAnsi="Franklin Gothic Book"/>
          <w:sz w:val="21"/>
          <w:szCs w:val="21"/>
        </w:rPr>
        <w:t xml:space="preserve"> – including more robust protocols for communication,  planning, training and maintenance. </w:t>
      </w:r>
      <w:r w:rsidR="006741AF">
        <w:rPr>
          <w:rFonts w:ascii="Franklin Gothic Book" w:hAnsi="Franklin Gothic Book"/>
          <w:sz w:val="21"/>
          <w:szCs w:val="21"/>
        </w:rPr>
        <w:t xml:space="preserve"> </w:t>
      </w:r>
    </w:p>
    <w:p w:rsidR="002A15D2" w:rsidRPr="00F60054" w:rsidRDefault="001E4A65" w:rsidP="00F60054">
      <w:pPr>
        <w:spacing w:after="200" w:line="276" w:lineRule="auto"/>
        <w:rPr>
          <w:rFonts w:ascii="Franklin Gothic Book" w:hAnsi="Franklin Gothic Book"/>
          <w:sz w:val="21"/>
          <w:szCs w:val="21"/>
        </w:rPr>
      </w:pPr>
      <w:r w:rsidRPr="00F60054">
        <w:rPr>
          <w:rFonts w:ascii="Franklin Gothic Book" w:hAnsi="Franklin Gothic Book"/>
          <w:sz w:val="21"/>
          <w:szCs w:val="21"/>
        </w:rPr>
        <w:t xml:space="preserve">DFAT will continue to work with </w:t>
      </w:r>
      <w:proofErr w:type="spellStart"/>
      <w:r w:rsidRPr="00F60054">
        <w:rPr>
          <w:rFonts w:ascii="Franklin Gothic Book" w:hAnsi="Franklin Gothic Book"/>
          <w:sz w:val="21"/>
          <w:szCs w:val="21"/>
        </w:rPr>
        <w:t>GoN</w:t>
      </w:r>
      <w:proofErr w:type="spellEnd"/>
      <w:r w:rsidRPr="00F60054">
        <w:rPr>
          <w:rFonts w:ascii="Franklin Gothic Book" w:hAnsi="Franklin Gothic Book"/>
          <w:sz w:val="21"/>
          <w:szCs w:val="21"/>
        </w:rPr>
        <w:t xml:space="preserve"> to address implementation issues with </w:t>
      </w:r>
      <w:r w:rsidR="006741AF">
        <w:rPr>
          <w:rFonts w:ascii="Franklin Gothic Book" w:hAnsi="Franklin Gothic Book"/>
          <w:sz w:val="21"/>
          <w:szCs w:val="21"/>
        </w:rPr>
        <w:t xml:space="preserve">the </w:t>
      </w:r>
      <w:r w:rsidRPr="00F60054">
        <w:rPr>
          <w:rFonts w:ascii="Franklin Gothic Book" w:hAnsi="Franklin Gothic Book"/>
          <w:sz w:val="21"/>
          <w:szCs w:val="21"/>
        </w:rPr>
        <w:t>Household Water Tanks project in order to achieve a satisfactory outcome</w:t>
      </w:r>
      <w:r w:rsidR="006741AF">
        <w:rPr>
          <w:rFonts w:ascii="Franklin Gothic Book" w:hAnsi="Franklin Gothic Book"/>
          <w:sz w:val="21"/>
          <w:szCs w:val="21"/>
        </w:rPr>
        <w:t xml:space="preserve"> for this climate change investment</w:t>
      </w:r>
      <w:r w:rsidRPr="00F60054">
        <w:rPr>
          <w:rFonts w:ascii="Franklin Gothic Book" w:hAnsi="Franklin Gothic Book"/>
          <w:sz w:val="21"/>
          <w:szCs w:val="21"/>
        </w:rPr>
        <w:t>.</w:t>
      </w:r>
      <w:r w:rsidR="006741AF">
        <w:rPr>
          <w:rFonts w:ascii="Franklin Gothic Book" w:hAnsi="Franklin Gothic Book"/>
          <w:sz w:val="21"/>
          <w:szCs w:val="21"/>
        </w:rPr>
        <w:t xml:space="preserve">  </w:t>
      </w: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211C9C">
          <w:pgSz w:w="11906" w:h="16838" w:code="9"/>
          <w:pgMar w:top="1811" w:right="1134" w:bottom="1418" w:left="1134" w:header="1565" w:footer="567" w:gutter="0"/>
          <w:cols w:space="397"/>
          <w:titlePg/>
          <w:docGrid w:linePitch="360"/>
        </w:sectPr>
      </w:pPr>
    </w:p>
    <w:p w:rsidR="00AF1B85" w:rsidRPr="00A8197B" w:rsidRDefault="00AF1B85" w:rsidP="005E606B">
      <w:pPr>
        <w:pStyle w:val="Subtitle"/>
      </w:pPr>
      <w:r w:rsidRPr="00A8197B">
        <w:lastRenderedPageBreak/>
        <w:t>Annex A - Progress in Addressing Ma</w:t>
      </w:r>
      <w:bookmarkStart w:id="0" w:name="_GoBack"/>
      <w:bookmarkEnd w:id="0"/>
      <w:r w:rsidRPr="00A8197B">
        <w:t>nagement Responses</w:t>
      </w:r>
    </w:p>
    <w:p w:rsidR="00AF1B85" w:rsidRPr="00C61187" w:rsidRDefault="00AF1B85" w:rsidP="00A8197B">
      <w:r w:rsidRPr="00C61187">
        <w:t>Describe progress made against management responses in 2014-15 report</w:t>
      </w:r>
    </w:p>
    <w:tbl>
      <w:tblPr>
        <w:tblStyle w:val="APPR"/>
        <w:tblpPr w:leftFromText="180" w:rightFromText="180" w:vertAnchor="text" w:tblpY="1"/>
        <w:tblW w:w="5000" w:type="pct"/>
        <w:tblLayout w:type="fixed"/>
        <w:tblLook w:val="0000" w:firstRow="0" w:lastRow="0" w:firstColumn="0" w:lastColumn="0" w:noHBand="0" w:noVBand="0"/>
      </w:tblPr>
      <w:tblGrid>
        <w:gridCol w:w="6327"/>
        <w:gridCol w:w="970"/>
        <w:gridCol w:w="6738"/>
      </w:tblGrid>
      <w:tr w:rsidR="00AF1B85" w:rsidRPr="003B0793" w:rsidTr="001D0A71">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Management responses</w:t>
            </w:r>
            <w:r w:rsidR="004F7236">
              <w:rPr>
                <w:rFonts w:asciiTheme="minorHAnsi" w:eastAsia="Times New Roman" w:hAnsiTheme="minorHAnsi"/>
                <w:b/>
                <w:iCs/>
                <w:szCs w:val="17"/>
                <w:lang w:eastAsia="en-US"/>
              </w:rPr>
              <w:t xml:space="preserve"> identified in 2014-15 APPR</w:t>
            </w:r>
          </w:p>
        </w:tc>
        <w:tc>
          <w:tcPr>
            <w:tcW w:w="957"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829" w:type="dxa"/>
          </w:tcPr>
          <w:p w:rsidR="00AF1B85" w:rsidRPr="003B0793" w:rsidRDefault="004F7236" w:rsidP="00D15A00">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Progress made  in 2015-16</w:t>
            </w:r>
          </w:p>
        </w:tc>
      </w:tr>
      <w:tr w:rsidR="00AF1B85" w:rsidRPr="003B0793" w:rsidTr="00F60054">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C16ACD" w:rsidRDefault="00656667" w:rsidP="00C16ACD">
            <w:pPr>
              <w:pStyle w:val="TableTextEntries"/>
              <w:keepNext/>
              <w:rPr>
                <w:rFonts w:asciiTheme="minorHAnsi" w:hAnsiTheme="minorHAnsi"/>
              </w:rPr>
            </w:pPr>
            <w:r w:rsidRPr="00C16ACD">
              <w:rPr>
                <w:rFonts w:asciiTheme="minorHAnsi" w:hAnsiTheme="minorHAnsi"/>
              </w:rPr>
              <w:t>Conduct a review of the Assessment of National Systems by mid-2016</w:t>
            </w:r>
          </w:p>
        </w:tc>
        <w:tc>
          <w:tcPr>
            <w:tcW w:w="957" w:type="dxa"/>
            <w:shd w:val="clear" w:color="auto" w:fill="FF0000"/>
          </w:tcPr>
          <w:p w:rsidR="00AF1B85" w:rsidRPr="003B0793" w:rsidRDefault="001D0A71"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Not </w:t>
            </w:r>
            <w:r w:rsidR="00AF1B85" w:rsidRPr="003B0793">
              <w:rPr>
                <w:rFonts w:asciiTheme="minorHAnsi" w:eastAsia="Times New Roman" w:hAnsiTheme="minorHAnsi"/>
                <w:iCs/>
                <w:color w:val="FFFFFF" w:themeColor="background1"/>
                <w:szCs w:val="17"/>
                <w:lang w:eastAsia="en-US"/>
              </w:rPr>
              <w:t>Achieved</w:t>
            </w:r>
          </w:p>
        </w:tc>
        <w:tc>
          <w:tcPr>
            <w:tcW w:w="6829" w:type="dxa"/>
          </w:tcPr>
          <w:p w:rsidR="00AF1B85" w:rsidRPr="00C16ACD" w:rsidRDefault="002A15D2" w:rsidP="00C16ACD">
            <w:pPr>
              <w:pStyle w:val="TableTextEntries"/>
              <w:keepNext/>
              <w:rPr>
                <w:rFonts w:asciiTheme="minorHAnsi" w:hAnsiTheme="minorHAnsi"/>
              </w:rPr>
            </w:pPr>
            <w:r w:rsidRPr="00F57038">
              <w:rPr>
                <w:rFonts w:asciiTheme="minorHAnsi" w:hAnsiTheme="minorHAnsi"/>
              </w:rPr>
              <w:t xml:space="preserve">The Assessment of National Systems review </w:t>
            </w:r>
            <w:r w:rsidR="004F7236">
              <w:rPr>
                <w:rFonts w:asciiTheme="minorHAnsi" w:hAnsiTheme="minorHAnsi"/>
              </w:rPr>
              <w:t xml:space="preserve">was </w:t>
            </w:r>
            <w:r w:rsidRPr="00F57038">
              <w:rPr>
                <w:rFonts w:asciiTheme="minorHAnsi" w:hAnsiTheme="minorHAnsi"/>
              </w:rPr>
              <w:t xml:space="preserve">postponed until </w:t>
            </w:r>
            <w:r w:rsidR="002D613D">
              <w:rPr>
                <w:rFonts w:asciiTheme="minorHAnsi" w:hAnsiTheme="minorHAnsi"/>
              </w:rPr>
              <w:t xml:space="preserve">August </w:t>
            </w:r>
            <w:r w:rsidRPr="00F57038">
              <w:rPr>
                <w:rFonts w:asciiTheme="minorHAnsi" w:hAnsiTheme="minorHAnsi"/>
              </w:rPr>
              <w:t xml:space="preserve">2016 due to </w:t>
            </w:r>
            <w:r w:rsidR="002D613D">
              <w:rPr>
                <w:rFonts w:asciiTheme="minorHAnsi" w:hAnsiTheme="minorHAnsi"/>
              </w:rPr>
              <w:t>mid-year national elections in Nauru.</w:t>
            </w:r>
          </w:p>
        </w:tc>
      </w:tr>
      <w:tr w:rsidR="00AF1B85" w:rsidRPr="003B0793" w:rsidTr="00EA7E24">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C16ACD" w:rsidRDefault="00656667" w:rsidP="00C16ACD">
            <w:pPr>
              <w:pStyle w:val="TableTextEntries"/>
              <w:keepNext/>
              <w:rPr>
                <w:rFonts w:asciiTheme="minorHAnsi" w:hAnsiTheme="minorHAnsi"/>
              </w:rPr>
            </w:pPr>
            <w:r w:rsidRPr="00C16ACD">
              <w:rPr>
                <w:rFonts w:asciiTheme="minorHAnsi" w:hAnsiTheme="minorHAnsi"/>
              </w:rPr>
              <w:t>Contract out a detailed ‘clean-up’ of the Operational Account in October 2015</w:t>
            </w:r>
          </w:p>
        </w:tc>
        <w:tc>
          <w:tcPr>
            <w:tcW w:w="957" w:type="dxa"/>
            <w:shd w:val="clear" w:color="auto" w:fill="99CC00"/>
          </w:tcPr>
          <w:p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r w:rsidRPr="003B0793">
              <w:rPr>
                <w:rFonts w:eastAsia="Times New Roman"/>
                <w:iCs/>
                <w:color w:val="FFFFFF" w:themeColor="background1"/>
                <w:szCs w:val="17"/>
              </w:rPr>
              <w:fldChar w:fldCharType="begin"/>
            </w:r>
            <w:r w:rsidRPr="003B0793">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3B0793">
              <w:rPr>
                <w:rFonts w:eastAsia="Times New Roman"/>
                <w:iCs/>
                <w:color w:val="FFFFFF" w:themeColor="background1"/>
                <w:szCs w:val="17"/>
              </w:rPr>
              <w:fldChar w:fldCharType="end"/>
            </w:r>
          </w:p>
        </w:tc>
        <w:tc>
          <w:tcPr>
            <w:tcW w:w="6829" w:type="dxa"/>
          </w:tcPr>
          <w:p w:rsidR="00AF1B85" w:rsidRPr="002A15D2" w:rsidRDefault="00FF787F" w:rsidP="000A0B07">
            <w:pPr>
              <w:pStyle w:val="TableTextEntries"/>
              <w:keepNext/>
              <w:rPr>
                <w:rFonts w:asciiTheme="minorHAnsi" w:hAnsiTheme="minorHAnsi"/>
              </w:rPr>
            </w:pPr>
            <w:r>
              <w:rPr>
                <w:rFonts w:asciiTheme="minorHAnsi" w:hAnsiTheme="minorHAnsi"/>
              </w:rPr>
              <w:t xml:space="preserve">A </w:t>
            </w:r>
            <w:proofErr w:type="spellStart"/>
            <w:r>
              <w:rPr>
                <w:rFonts w:asciiTheme="minorHAnsi" w:hAnsiTheme="minorHAnsi"/>
              </w:rPr>
              <w:t>cleanup</w:t>
            </w:r>
            <w:proofErr w:type="spellEnd"/>
            <w:r>
              <w:rPr>
                <w:rFonts w:asciiTheme="minorHAnsi" w:hAnsiTheme="minorHAnsi"/>
              </w:rPr>
              <w:t xml:space="preserve"> of the Operational Account was undertaken by Stirling International in August 2015 followed by an independent </w:t>
            </w:r>
            <w:r w:rsidR="000A0B07">
              <w:rPr>
                <w:rFonts w:asciiTheme="minorHAnsi" w:hAnsiTheme="minorHAnsi"/>
              </w:rPr>
              <w:t xml:space="preserve">review </w:t>
            </w:r>
            <w:r>
              <w:rPr>
                <w:rFonts w:asciiTheme="minorHAnsi" w:hAnsiTheme="minorHAnsi"/>
              </w:rPr>
              <w:t xml:space="preserve">of the account </w:t>
            </w:r>
            <w:r w:rsidRPr="00F57038">
              <w:rPr>
                <w:rFonts w:asciiTheme="minorHAnsi" w:hAnsiTheme="minorHAnsi"/>
              </w:rPr>
              <w:t>conducted in</w:t>
            </w:r>
            <w:r>
              <w:rPr>
                <w:rFonts w:asciiTheme="minorHAnsi" w:hAnsiTheme="minorHAnsi"/>
              </w:rPr>
              <w:t xml:space="preserve"> </w:t>
            </w:r>
            <w:r w:rsidRPr="00F57038">
              <w:rPr>
                <w:rFonts w:asciiTheme="minorHAnsi" w:hAnsiTheme="minorHAnsi"/>
              </w:rPr>
              <w:t>May 2016</w:t>
            </w:r>
            <w:r>
              <w:rPr>
                <w:rFonts w:asciiTheme="minorHAnsi" w:hAnsiTheme="minorHAnsi"/>
              </w:rPr>
              <w:t xml:space="preserve"> by </w:t>
            </w:r>
            <w:proofErr w:type="spellStart"/>
            <w:r>
              <w:rPr>
                <w:rFonts w:asciiTheme="minorHAnsi" w:hAnsiTheme="minorHAnsi"/>
              </w:rPr>
              <w:t>Stantons</w:t>
            </w:r>
            <w:proofErr w:type="spellEnd"/>
            <w:r>
              <w:rPr>
                <w:rFonts w:asciiTheme="minorHAnsi" w:hAnsiTheme="minorHAnsi"/>
              </w:rPr>
              <w:t xml:space="preserve"> International</w:t>
            </w:r>
            <w:r w:rsidR="000A0B07">
              <w:rPr>
                <w:rFonts w:asciiTheme="minorHAnsi" w:hAnsiTheme="minorHAnsi"/>
              </w:rPr>
              <w:t>.</w:t>
            </w:r>
            <w:r>
              <w:rPr>
                <w:rFonts w:asciiTheme="minorHAnsi" w:hAnsiTheme="minorHAnsi"/>
              </w:rPr>
              <w:t xml:space="preserve">  </w:t>
            </w:r>
            <w:r w:rsidRPr="00C16ACD">
              <w:rPr>
                <w:rFonts w:asciiTheme="minorHAnsi" w:hAnsiTheme="minorHAnsi"/>
              </w:rPr>
              <w:t xml:space="preserve"> </w:t>
            </w:r>
            <w:r w:rsidR="00223DF7" w:rsidRPr="00C16ACD">
              <w:rPr>
                <w:rFonts w:asciiTheme="minorHAnsi" w:hAnsiTheme="minorHAnsi"/>
              </w:rPr>
              <w:t>The</w:t>
            </w:r>
            <w:r w:rsidRPr="00C16ACD">
              <w:rPr>
                <w:rFonts w:asciiTheme="minorHAnsi" w:hAnsiTheme="minorHAnsi"/>
              </w:rPr>
              <w:t xml:space="preserve"> Go</w:t>
            </w:r>
            <w:r w:rsidR="00223DF7" w:rsidRPr="00C16ACD">
              <w:rPr>
                <w:rFonts w:asciiTheme="minorHAnsi" w:hAnsiTheme="minorHAnsi"/>
              </w:rPr>
              <w:t xml:space="preserve">vernment of </w:t>
            </w:r>
            <w:r w:rsidRPr="00C16ACD">
              <w:rPr>
                <w:rFonts w:asciiTheme="minorHAnsi" w:hAnsiTheme="minorHAnsi"/>
              </w:rPr>
              <w:t>N</w:t>
            </w:r>
            <w:r w:rsidR="00223DF7" w:rsidRPr="00C16ACD">
              <w:rPr>
                <w:rFonts w:asciiTheme="minorHAnsi" w:hAnsiTheme="minorHAnsi"/>
              </w:rPr>
              <w:t>auru</w:t>
            </w:r>
            <w:r w:rsidRPr="00C16ACD">
              <w:rPr>
                <w:rFonts w:asciiTheme="minorHAnsi" w:hAnsiTheme="minorHAnsi"/>
              </w:rPr>
              <w:t xml:space="preserve"> confirm</w:t>
            </w:r>
            <w:r w:rsidR="00223DF7" w:rsidRPr="00C16ACD">
              <w:rPr>
                <w:rFonts w:asciiTheme="minorHAnsi" w:hAnsiTheme="minorHAnsi"/>
              </w:rPr>
              <w:t>ed</w:t>
            </w:r>
            <w:r w:rsidRPr="00C16ACD">
              <w:rPr>
                <w:rFonts w:asciiTheme="minorHAnsi" w:hAnsiTheme="minorHAnsi"/>
              </w:rPr>
              <w:t xml:space="preserve"> the clean-up </w:t>
            </w:r>
            <w:r w:rsidR="00223DF7" w:rsidRPr="00C16ACD">
              <w:rPr>
                <w:rFonts w:asciiTheme="minorHAnsi" w:hAnsiTheme="minorHAnsi"/>
              </w:rPr>
              <w:t xml:space="preserve">of the Operational Account </w:t>
            </w:r>
            <w:r w:rsidRPr="00C16ACD">
              <w:rPr>
                <w:rFonts w:asciiTheme="minorHAnsi" w:hAnsiTheme="minorHAnsi"/>
              </w:rPr>
              <w:t xml:space="preserve">and reallocation of </w:t>
            </w:r>
            <w:r w:rsidR="00C16ACD">
              <w:rPr>
                <w:rFonts w:asciiTheme="minorHAnsi" w:hAnsiTheme="minorHAnsi"/>
              </w:rPr>
              <w:t xml:space="preserve">old activities </w:t>
            </w:r>
            <w:r w:rsidRPr="00C16ACD">
              <w:rPr>
                <w:rFonts w:asciiTheme="minorHAnsi" w:hAnsiTheme="minorHAnsi"/>
              </w:rPr>
              <w:t>with a positive balance and netting o</w:t>
            </w:r>
            <w:r w:rsidR="00B30B17" w:rsidRPr="00C16ACD">
              <w:rPr>
                <w:rFonts w:asciiTheme="minorHAnsi" w:hAnsiTheme="minorHAnsi"/>
              </w:rPr>
              <w:t>f</w:t>
            </w:r>
            <w:r w:rsidRPr="00C16ACD">
              <w:rPr>
                <w:rFonts w:asciiTheme="minorHAnsi" w:hAnsiTheme="minorHAnsi"/>
              </w:rPr>
              <w:t xml:space="preserve"> projects with a negative balance on 1 June 2016.</w:t>
            </w:r>
          </w:p>
        </w:tc>
      </w:tr>
      <w:tr w:rsidR="00F431B3" w:rsidRPr="003B0793" w:rsidTr="00F60054">
        <w:trPr>
          <w:cnfStyle w:val="000000010000" w:firstRow="0" w:lastRow="0" w:firstColumn="0" w:lastColumn="0" w:oddVBand="0" w:evenVBand="0" w:oddHBand="0" w:evenHBand="1" w:firstRowFirstColumn="0" w:firstRowLastColumn="0" w:lastRowFirstColumn="0" w:lastRowLastColumn="0"/>
          <w:trHeight w:val="846"/>
        </w:trPr>
        <w:tc>
          <w:tcPr>
            <w:tcW w:w="6409" w:type="dxa"/>
          </w:tcPr>
          <w:p w:rsidR="00F431B3" w:rsidRPr="00C16ACD" w:rsidRDefault="00F431B3" w:rsidP="00C16ACD">
            <w:pPr>
              <w:pStyle w:val="TableTextEntries"/>
              <w:keepNext/>
              <w:rPr>
                <w:rFonts w:asciiTheme="minorHAnsi" w:hAnsiTheme="minorHAnsi"/>
              </w:rPr>
            </w:pPr>
            <w:r w:rsidRPr="00C16ACD">
              <w:rPr>
                <w:rFonts w:asciiTheme="minorHAnsi" w:hAnsiTheme="minorHAnsi"/>
              </w:rPr>
              <w:t>Provide additional technical support to address implementation issues with the Household Water Tanks project</w:t>
            </w:r>
          </w:p>
        </w:tc>
        <w:tc>
          <w:tcPr>
            <w:tcW w:w="957" w:type="dxa"/>
            <w:shd w:val="clear" w:color="auto" w:fill="FF9900"/>
          </w:tcPr>
          <w:p w:rsidR="00F431B3" w:rsidRPr="003B0793" w:rsidRDefault="00F431B3"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Pr="003B0793">
              <w:rPr>
                <w:rFonts w:asciiTheme="minorHAnsi" w:eastAsia="Times New Roman" w:hAnsiTheme="minorHAnsi"/>
                <w:iCs/>
                <w:color w:val="FFFFFF" w:themeColor="background1"/>
                <w:szCs w:val="17"/>
                <w:lang w:eastAsia="en-US"/>
              </w:rPr>
              <w:t>Achieved</w:t>
            </w:r>
          </w:p>
        </w:tc>
        <w:tc>
          <w:tcPr>
            <w:tcW w:w="6829" w:type="dxa"/>
          </w:tcPr>
          <w:p w:rsidR="00986560" w:rsidRPr="00C16ACD" w:rsidRDefault="00223DF7" w:rsidP="003134A1">
            <w:pPr>
              <w:pStyle w:val="TableTextEntries"/>
              <w:keepNext/>
              <w:rPr>
                <w:rFonts w:asciiTheme="minorHAnsi" w:hAnsiTheme="minorHAnsi"/>
              </w:rPr>
            </w:pPr>
            <w:r>
              <w:rPr>
                <w:rFonts w:asciiTheme="minorHAnsi" w:hAnsiTheme="minorHAnsi"/>
              </w:rPr>
              <w:t>Implementation of this project remains slow. The Government of Nauru reports that 105 out of 200</w:t>
            </w:r>
            <w:r w:rsidR="00D857E5">
              <w:rPr>
                <w:rFonts w:asciiTheme="minorHAnsi" w:hAnsiTheme="minorHAnsi"/>
              </w:rPr>
              <w:t xml:space="preserve"> tank bases </w:t>
            </w:r>
            <w:r>
              <w:rPr>
                <w:rFonts w:asciiTheme="minorHAnsi" w:hAnsiTheme="minorHAnsi"/>
              </w:rPr>
              <w:t>have been constructed. DFAT is working with the Government of Nauru to</w:t>
            </w:r>
            <w:r w:rsidR="00F431B3">
              <w:rPr>
                <w:rFonts w:asciiTheme="minorHAnsi" w:hAnsiTheme="minorHAnsi"/>
              </w:rPr>
              <w:t xml:space="preserve"> resolve implementation issues</w:t>
            </w:r>
            <w:r w:rsidR="0019560E">
              <w:rPr>
                <w:rFonts w:asciiTheme="minorHAnsi" w:hAnsiTheme="minorHAnsi"/>
              </w:rPr>
              <w:t>.</w:t>
            </w:r>
            <w:r w:rsidR="00F431B3">
              <w:rPr>
                <w:rFonts w:asciiTheme="minorHAnsi" w:hAnsiTheme="minorHAnsi"/>
              </w:rPr>
              <w:t xml:space="preserve"> </w:t>
            </w:r>
            <w:r w:rsidR="003134A1">
              <w:rPr>
                <w:rFonts w:asciiTheme="minorHAnsi" w:hAnsiTheme="minorHAnsi"/>
              </w:rPr>
              <w:t xml:space="preserve">  </w:t>
            </w:r>
          </w:p>
        </w:tc>
      </w:tr>
      <w:tr w:rsidR="00F431B3" w:rsidRPr="003B0793" w:rsidTr="00F431B3">
        <w:trPr>
          <w:cnfStyle w:val="000000010000" w:firstRow="0" w:lastRow="0" w:firstColumn="0" w:lastColumn="0" w:oddVBand="0" w:evenVBand="0" w:oddHBand="0" w:evenHBand="1" w:firstRowFirstColumn="0" w:firstRowLastColumn="0" w:lastRowFirstColumn="0" w:lastRowLastColumn="0"/>
          <w:trHeight w:val="451"/>
        </w:trPr>
        <w:tc>
          <w:tcPr>
            <w:tcW w:w="6409" w:type="dxa"/>
          </w:tcPr>
          <w:p w:rsidR="00F431B3" w:rsidRPr="00C16ACD" w:rsidRDefault="00C16ACD" w:rsidP="00C16ACD">
            <w:pPr>
              <w:pStyle w:val="TableTextEntries"/>
              <w:keepNext/>
              <w:rPr>
                <w:rFonts w:asciiTheme="minorHAnsi" w:hAnsiTheme="minorHAnsi"/>
              </w:rPr>
            </w:pPr>
            <w:r w:rsidRPr="00C16ACD">
              <w:rPr>
                <w:rFonts w:asciiTheme="minorHAnsi" w:hAnsiTheme="minorHAnsi"/>
              </w:rPr>
              <w:t>Recruit a new Deputy Secretary for Planning and Development in the Ministry of Finance through PACTAM</w:t>
            </w:r>
          </w:p>
        </w:tc>
        <w:tc>
          <w:tcPr>
            <w:tcW w:w="957" w:type="dxa"/>
            <w:shd w:val="clear" w:color="auto" w:fill="72AF2F"/>
          </w:tcPr>
          <w:p w:rsidR="00F431B3" w:rsidRPr="00F60054" w:rsidRDefault="00F431B3" w:rsidP="00F60054">
            <w:pPr>
              <w:keepLines/>
              <w:spacing w:before="40" w:after="40" w:line="200" w:lineRule="atLeast"/>
              <w:jc w:val="center"/>
              <w:rPr>
                <w:rFonts w:asciiTheme="minorHAnsi" w:eastAsia="Times New Roman" w:hAnsiTheme="minorHAnsi"/>
                <w:iCs/>
                <w:color w:val="FFFFFF" w:themeColor="background1"/>
                <w:szCs w:val="17"/>
                <w:lang w:eastAsia="en-US"/>
              </w:rPr>
            </w:pPr>
            <w:r w:rsidRPr="00F60054">
              <w:rPr>
                <w:rFonts w:asciiTheme="minorHAnsi" w:eastAsia="Times New Roman" w:hAnsiTheme="minorHAnsi"/>
                <w:iCs/>
                <w:color w:val="FFFFFF" w:themeColor="background1"/>
                <w:szCs w:val="17"/>
                <w:lang w:eastAsia="en-US"/>
              </w:rPr>
              <w:t>Achieved</w:t>
            </w:r>
          </w:p>
        </w:tc>
        <w:tc>
          <w:tcPr>
            <w:tcW w:w="6829" w:type="dxa"/>
          </w:tcPr>
          <w:p w:rsidR="00F431B3" w:rsidRPr="00C16ACD" w:rsidRDefault="00C16ACD" w:rsidP="00C16ACD">
            <w:pPr>
              <w:pStyle w:val="TableTextEntries"/>
              <w:keepNext/>
              <w:rPr>
                <w:rFonts w:asciiTheme="minorHAnsi" w:hAnsiTheme="minorHAnsi"/>
              </w:rPr>
            </w:pPr>
            <w:r w:rsidRPr="00986560">
              <w:rPr>
                <w:rFonts w:asciiTheme="minorHAnsi" w:hAnsiTheme="minorHAnsi"/>
              </w:rPr>
              <w:t xml:space="preserve">A new Deputy Secretary for Planning and </w:t>
            </w:r>
            <w:r>
              <w:rPr>
                <w:rFonts w:asciiTheme="minorHAnsi" w:hAnsiTheme="minorHAnsi"/>
              </w:rPr>
              <w:t>Aid Management</w:t>
            </w:r>
            <w:r w:rsidRPr="00986560">
              <w:rPr>
                <w:rFonts w:asciiTheme="minorHAnsi" w:hAnsiTheme="minorHAnsi"/>
              </w:rPr>
              <w:t xml:space="preserve"> was recruited and commenced in </w:t>
            </w:r>
            <w:r>
              <w:rPr>
                <w:rFonts w:asciiTheme="minorHAnsi" w:hAnsiTheme="minorHAnsi"/>
              </w:rPr>
              <w:t xml:space="preserve">November </w:t>
            </w:r>
            <w:r w:rsidRPr="00986560">
              <w:rPr>
                <w:rFonts w:asciiTheme="minorHAnsi" w:hAnsiTheme="minorHAnsi"/>
              </w:rPr>
              <w:t>201</w:t>
            </w:r>
            <w:r>
              <w:rPr>
                <w:rFonts w:asciiTheme="minorHAnsi" w:hAnsiTheme="minorHAnsi"/>
              </w:rPr>
              <w:t>5</w:t>
            </w:r>
          </w:p>
        </w:tc>
      </w:tr>
      <w:tr w:rsidR="00F60054" w:rsidRPr="003B0793" w:rsidTr="00F60054">
        <w:trPr>
          <w:cnfStyle w:val="000000010000" w:firstRow="0" w:lastRow="0" w:firstColumn="0" w:lastColumn="0" w:oddVBand="0" w:evenVBand="0" w:oddHBand="0" w:evenHBand="1" w:firstRowFirstColumn="0" w:firstRowLastColumn="0" w:lastRowFirstColumn="0" w:lastRowLastColumn="0"/>
          <w:trHeight w:val="451"/>
        </w:trPr>
        <w:tc>
          <w:tcPr>
            <w:tcW w:w="6409" w:type="dxa"/>
          </w:tcPr>
          <w:p w:rsidR="00F60054" w:rsidRPr="00C16ACD" w:rsidRDefault="00C16ACD" w:rsidP="00C16ACD">
            <w:pPr>
              <w:pStyle w:val="TableTextEntries"/>
              <w:keepNext/>
              <w:rPr>
                <w:rFonts w:asciiTheme="minorHAnsi" w:hAnsiTheme="minorHAnsi"/>
              </w:rPr>
            </w:pPr>
            <w:r w:rsidRPr="00C16ACD">
              <w:rPr>
                <w:rFonts w:asciiTheme="minorHAnsi" w:hAnsiTheme="minorHAnsi"/>
              </w:rPr>
              <w:t>The Government of Nauru, with DFAT’s assistance, to issue an international tender for a new procurement agent</w:t>
            </w:r>
          </w:p>
        </w:tc>
        <w:tc>
          <w:tcPr>
            <w:tcW w:w="957" w:type="dxa"/>
            <w:shd w:val="clear" w:color="auto" w:fill="FF0000"/>
          </w:tcPr>
          <w:p w:rsidR="00F60054" w:rsidRPr="003B0793" w:rsidRDefault="00F60054" w:rsidP="00F60054">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Not achieved</w:t>
            </w:r>
          </w:p>
        </w:tc>
        <w:tc>
          <w:tcPr>
            <w:tcW w:w="6829" w:type="dxa"/>
          </w:tcPr>
          <w:p w:rsidR="00F60054" w:rsidRPr="00C16ACD" w:rsidRDefault="00C16ACD" w:rsidP="00C16ACD">
            <w:pPr>
              <w:pStyle w:val="TableTextEntries"/>
              <w:keepNext/>
              <w:rPr>
                <w:rFonts w:asciiTheme="minorHAnsi" w:hAnsiTheme="minorHAnsi"/>
              </w:rPr>
            </w:pPr>
            <w:proofErr w:type="spellStart"/>
            <w:r w:rsidRPr="00AC2B07">
              <w:rPr>
                <w:rFonts w:asciiTheme="minorHAnsi" w:hAnsiTheme="minorHAnsi"/>
              </w:rPr>
              <w:t>Pacifix</w:t>
            </w:r>
            <w:proofErr w:type="spellEnd"/>
            <w:r w:rsidRPr="00AC2B07">
              <w:rPr>
                <w:rFonts w:asciiTheme="minorHAnsi" w:hAnsiTheme="minorHAnsi"/>
              </w:rPr>
              <w:t xml:space="preserve"> Australia Pty Ltd continues to provide interim support while the requirements for a procurement agent are considered by the Government of Nauru</w:t>
            </w:r>
            <w:r w:rsidRPr="00C16ACD">
              <w:rPr>
                <w:rFonts w:asciiTheme="minorHAnsi" w:hAnsiTheme="minorHAnsi"/>
              </w:rPr>
              <w:t>.</w:t>
            </w:r>
          </w:p>
        </w:tc>
      </w:tr>
      <w:tr w:rsidR="00AF1B85" w:rsidRPr="003B0793" w:rsidTr="00F60054">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C16ACD" w:rsidRDefault="00F431B3" w:rsidP="00C16ACD">
            <w:pPr>
              <w:pStyle w:val="TableTextEntries"/>
              <w:keepNext/>
              <w:rPr>
                <w:rFonts w:asciiTheme="minorHAnsi" w:hAnsiTheme="minorHAnsi"/>
              </w:rPr>
            </w:pPr>
            <w:r w:rsidRPr="00C16ACD">
              <w:rPr>
                <w:rFonts w:asciiTheme="minorHAnsi" w:hAnsiTheme="minorHAnsi"/>
              </w:rPr>
              <w:t>A Performance Assessment Framework to be developed by early 2016.</w:t>
            </w:r>
          </w:p>
        </w:tc>
        <w:tc>
          <w:tcPr>
            <w:tcW w:w="957" w:type="dxa"/>
            <w:tcBorders>
              <w:bottom w:val="single" w:sz="12" w:space="0" w:color="000000" w:themeColor="text1"/>
            </w:tcBorders>
            <w:shd w:val="clear" w:color="auto" w:fill="FF0000"/>
          </w:tcPr>
          <w:p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Not achieved</w:t>
            </w:r>
          </w:p>
        </w:tc>
        <w:tc>
          <w:tcPr>
            <w:tcW w:w="6829" w:type="dxa"/>
          </w:tcPr>
          <w:p w:rsidR="00AF1B85" w:rsidRPr="00C16ACD" w:rsidRDefault="00F431B3" w:rsidP="00C16ACD">
            <w:pPr>
              <w:pStyle w:val="TableTextEntries"/>
              <w:keepNext/>
              <w:rPr>
                <w:rFonts w:asciiTheme="minorHAnsi" w:hAnsiTheme="minorHAnsi"/>
              </w:rPr>
            </w:pPr>
            <w:r w:rsidRPr="00986560">
              <w:rPr>
                <w:rFonts w:asciiTheme="minorHAnsi" w:hAnsiTheme="minorHAnsi"/>
              </w:rPr>
              <w:t xml:space="preserve">Due to capacity constraints and changeover of staffing at Post, a Performance Assessment Framework for the development </w:t>
            </w:r>
            <w:r w:rsidR="00B30B17">
              <w:rPr>
                <w:rFonts w:asciiTheme="minorHAnsi" w:hAnsiTheme="minorHAnsi"/>
              </w:rPr>
              <w:t xml:space="preserve">cooperation </w:t>
            </w:r>
            <w:r w:rsidRPr="00986560">
              <w:rPr>
                <w:rFonts w:asciiTheme="minorHAnsi" w:hAnsiTheme="minorHAnsi"/>
              </w:rPr>
              <w:t xml:space="preserve">program </w:t>
            </w:r>
            <w:r w:rsidR="00D857E5">
              <w:rPr>
                <w:rFonts w:asciiTheme="minorHAnsi" w:hAnsiTheme="minorHAnsi"/>
              </w:rPr>
              <w:t>has not be</w:t>
            </w:r>
            <w:r w:rsidR="00B30B17">
              <w:rPr>
                <w:rFonts w:asciiTheme="minorHAnsi" w:hAnsiTheme="minorHAnsi"/>
              </w:rPr>
              <w:t>en</w:t>
            </w:r>
            <w:r w:rsidR="00D857E5">
              <w:rPr>
                <w:rFonts w:asciiTheme="minorHAnsi" w:hAnsiTheme="minorHAnsi"/>
              </w:rPr>
              <w:t xml:space="preserve"> progressed</w:t>
            </w:r>
            <w:r w:rsidRPr="00986560">
              <w:rPr>
                <w:rFonts w:asciiTheme="minorHAnsi" w:hAnsiTheme="minorHAnsi"/>
              </w:rPr>
              <w:t>.</w:t>
            </w:r>
            <w:r w:rsidRPr="00C16ACD">
              <w:rPr>
                <w:rFonts w:asciiTheme="minorHAnsi" w:hAnsiTheme="minorHAnsi"/>
              </w:rPr>
              <w:t xml:space="preserve"> </w:t>
            </w:r>
          </w:p>
        </w:tc>
      </w:tr>
    </w:tbl>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Achieved.  Significant progress has been made in addressing the issue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Partly achieved.  Some progress has been made in addressing the issue, but the issue has not been resolved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C57CC2">
          <w:headerReference w:type="first" r:id="rId17"/>
          <w:pgSz w:w="16838" w:h="11906" w:orient="landscape" w:code="9"/>
          <w:pgMar w:top="1134" w:right="1952" w:bottom="1134" w:left="851" w:header="1107" w:footer="567" w:gutter="0"/>
          <w:cols w:space="397"/>
          <w:titlePg/>
          <w:docGrid w:linePitch="360"/>
        </w:sectPr>
      </w:pPr>
    </w:p>
    <w:p w:rsidR="005E606B" w:rsidRPr="00A8197B" w:rsidRDefault="005E606B" w:rsidP="00A8197B">
      <w:pPr>
        <w:pStyle w:val="Subtitle"/>
      </w:pPr>
      <w:r w:rsidRPr="00A8197B">
        <w:lastRenderedPageBreak/>
        <w:t xml:space="preserve">Annex </w:t>
      </w:r>
      <w:r w:rsidR="009E4107">
        <w:t>B</w:t>
      </w:r>
      <w:r w:rsidR="009E4107" w:rsidRPr="00A8197B">
        <w:t xml:space="preserve"> </w:t>
      </w:r>
      <w:r w:rsidRPr="00A8197B">
        <w:t>-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w:t>
      </w:r>
      <w:r w:rsidR="00C16ACD">
        <w:t xml:space="preserve">s and the prior year (2015) </w:t>
      </w:r>
      <w:r>
        <w:t>AQC ratings</w:t>
      </w:r>
      <w:r w:rsidRPr="00C61187">
        <w:t>.</w:t>
      </w:r>
    </w:p>
    <w:tbl>
      <w:tblPr>
        <w:tblStyle w:val="APPR"/>
        <w:tblW w:w="5000" w:type="pct"/>
        <w:tblLook w:val="0000" w:firstRow="0" w:lastRow="0" w:firstColumn="0" w:lastColumn="0" w:noHBand="0" w:noVBand="0"/>
      </w:tblPr>
      <w:tblGrid>
        <w:gridCol w:w="1773"/>
        <w:gridCol w:w="1284"/>
        <w:gridCol w:w="821"/>
        <w:gridCol w:w="825"/>
        <w:gridCol w:w="819"/>
        <w:gridCol w:w="825"/>
        <w:gridCol w:w="819"/>
        <w:gridCol w:w="825"/>
        <w:gridCol w:w="819"/>
        <w:gridCol w:w="828"/>
      </w:tblGrid>
      <w:tr w:rsidR="005E606B" w:rsidRPr="00C61187" w:rsidTr="00FB48CB">
        <w:trPr>
          <w:cnfStyle w:val="000000010000" w:firstRow="0" w:lastRow="0" w:firstColumn="0" w:lastColumn="0" w:oddVBand="0" w:evenVBand="0" w:oddHBand="0" w:evenHBand="1" w:firstRowFirstColumn="0" w:firstRowLastColumn="0" w:lastRowFirstColumn="0" w:lastRowLastColumn="0"/>
          <w:trHeight w:val="1413"/>
        </w:trPr>
        <w:tc>
          <w:tcPr>
            <w:tcW w:w="900" w:type="pct"/>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8480" behindDoc="0" locked="0" layoutInCell="1" allowOverlap="1" wp14:anchorId="2942B8B8" wp14:editId="7FB53877">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year on year</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8"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5E606B"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05613F" w:rsidRDefault="00FB48C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Nauru Infrastructure and Services (INI949)</w:t>
            </w:r>
          </w:p>
        </w:tc>
        <w:tc>
          <w:tcPr>
            <w:tcW w:w="652" w:type="pct"/>
            <w:vMerge w:val="restart"/>
          </w:tcPr>
          <w:p w:rsidR="005E606B" w:rsidRPr="0005613F" w:rsidRDefault="005E606B" w:rsidP="00D15A00">
            <w:pPr>
              <w:autoSpaceDE w:val="0"/>
              <w:autoSpaceDN w:val="0"/>
              <w:adjustRightInd w:val="0"/>
              <w:rPr>
                <w:rFonts w:asciiTheme="minorHAnsi" w:hAnsiTheme="minorHAnsi" w:cs="Franklin Gothic Book"/>
                <w:color w:val="000000"/>
                <w:szCs w:val="17"/>
              </w:rPr>
            </w:pPr>
            <w:r w:rsidRPr="0005613F">
              <w:rPr>
                <w:rFonts w:asciiTheme="minorHAnsi" w:hAnsiTheme="minorHAnsi" w:cs="Franklin Gothic Book"/>
                <w:color w:val="000000"/>
                <w:szCs w:val="17"/>
              </w:rPr>
              <w:t>$</w:t>
            </w:r>
            <w:r w:rsidR="00CC6AED" w:rsidRPr="0005613F">
              <w:rPr>
                <w:rFonts w:asciiTheme="minorHAnsi" w:hAnsiTheme="minorHAnsi" w:cs="Franklin Gothic Book"/>
                <w:color w:val="000000"/>
                <w:szCs w:val="17"/>
              </w:rPr>
              <w:t>45</w:t>
            </w:r>
            <w:r w:rsidR="006F6B03" w:rsidRPr="0005613F">
              <w:rPr>
                <w:rFonts w:asciiTheme="minorHAnsi" w:hAnsiTheme="minorHAnsi" w:cs="Franklin Gothic Book"/>
                <w:color w:val="000000"/>
                <w:szCs w:val="17"/>
              </w:rPr>
              <w:t>.</w:t>
            </w:r>
            <w:r w:rsidR="00CC6AED" w:rsidRPr="0005613F">
              <w:rPr>
                <w:rFonts w:asciiTheme="minorHAnsi" w:hAnsiTheme="minorHAnsi" w:cs="Franklin Gothic Book"/>
                <w:color w:val="000000"/>
                <w:szCs w:val="17"/>
              </w:rPr>
              <w:t>85</w:t>
            </w:r>
            <w:r w:rsidRPr="0005613F">
              <w:rPr>
                <w:rFonts w:asciiTheme="minorHAnsi" w:hAnsiTheme="minorHAnsi" w:cs="Franklin Gothic Book"/>
                <w:color w:val="000000"/>
                <w:szCs w:val="17"/>
              </w:rPr>
              <w:t xml:space="preserve">m </w:t>
            </w:r>
          </w:p>
          <w:p w:rsidR="005E606B" w:rsidRPr="0005613F" w:rsidRDefault="005E606B" w:rsidP="006F6B03">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w:t>
            </w:r>
            <w:r w:rsidR="006F6B03" w:rsidRPr="0005613F">
              <w:rPr>
                <w:rFonts w:asciiTheme="minorHAnsi" w:eastAsia="Times New Roman" w:hAnsiTheme="minorHAnsi"/>
                <w:iCs/>
                <w:szCs w:val="17"/>
                <w:lang w:eastAsia="en-US"/>
              </w:rPr>
              <w:t>09</w:t>
            </w:r>
            <w:r w:rsidRPr="0005613F">
              <w:rPr>
                <w:rFonts w:asciiTheme="minorHAnsi" w:eastAsia="Times New Roman" w:hAnsiTheme="minorHAnsi"/>
                <w:iCs/>
                <w:szCs w:val="17"/>
                <w:lang w:eastAsia="en-US"/>
              </w:rPr>
              <w:t>-1</w:t>
            </w:r>
            <w:r w:rsidR="006F6B03" w:rsidRPr="0005613F">
              <w:rPr>
                <w:rFonts w:asciiTheme="minorHAnsi" w:eastAsia="Times New Roman" w:hAnsiTheme="minorHAnsi"/>
                <w:iCs/>
                <w:szCs w:val="17"/>
                <w:lang w:eastAsia="en-US"/>
              </w:rPr>
              <w:t>8</w:t>
            </w:r>
            <w:r w:rsidRPr="0005613F">
              <w:rPr>
                <w:rFonts w:asciiTheme="minorHAnsi" w:eastAsia="Times New Roman" w:hAnsiTheme="minorHAnsi"/>
                <w:iCs/>
                <w:szCs w:val="17"/>
                <w:lang w:eastAsia="en-US"/>
              </w:rPr>
              <w:t xml:space="preserve"> </w:t>
            </w:r>
          </w:p>
        </w:tc>
        <w:tc>
          <w:tcPr>
            <w:tcW w:w="412" w:type="pct"/>
          </w:tcPr>
          <w:p w:rsidR="005E606B" w:rsidRPr="0005613F" w:rsidRDefault="005E606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2016 AQC</w:t>
            </w:r>
          </w:p>
        </w:tc>
        <w:tc>
          <w:tcPr>
            <w:tcW w:w="414" w:type="pct"/>
            <w:shd w:val="clear" w:color="auto" w:fill="92D050"/>
            <w:noWrap/>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1" w:type="pct"/>
            <w:shd w:val="clear" w:color="auto" w:fill="FFFF00"/>
            <w:noWrap/>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c>
          <w:tcPr>
            <w:tcW w:w="414" w:type="pct"/>
            <w:shd w:val="clear" w:color="auto" w:fill="FFC000"/>
            <w:noWrap/>
          </w:tcPr>
          <w:p w:rsidR="005E606B" w:rsidRPr="003B0793" w:rsidRDefault="006F6B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FF00"/>
            <w:noWrap/>
          </w:tcPr>
          <w:p w:rsidR="005E606B" w:rsidRPr="003B0793" w:rsidRDefault="006F6B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C000"/>
            <w:noWrap/>
          </w:tcPr>
          <w:p w:rsidR="005E606B" w:rsidRPr="003B0793" w:rsidRDefault="006F6B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FF00"/>
            <w:noWrap/>
          </w:tcPr>
          <w:p w:rsidR="005E606B" w:rsidRPr="003B0793" w:rsidRDefault="006F6B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6F6B03"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2015 AQC</w:t>
            </w:r>
          </w:p>
        </w:tc>
        <w:tc>
          <w:tcPr>
            <w:tcW w:w="414"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bottom w:val="single" w:sz="4" w:space="0" w:color="auto"/>
            </w:tcBorders>
            <w:shd w:val="clear" w:color="auto" w:fill="FFFF00"/>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5E606B"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05613F" w:rsidRDefault="006F6B03"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Nauru Public Sector Reform (INI943)</w:t>
            </w:r>
          </w:p>
        </w:tc>
        <w:tc>
          <w:tcPr>
            <w:tcW w:w="652" w:type="pct"/>
            <w:vMerge w:val="restart"/>
          </w:tcPr>
          <w:p w:rsidR="005E606B" w:rsidRPr="0005613F" w:rsidRDefault="005E606B" w:rsidP="00D15A00">
            <w:pPr>
              <w:autoSpaceDE w:val="0"/>
              <w:autoSpaceDN w:val="0"/>
              <w:adjustRightInd w:val="0"/>
              <w:rPr>
                <w:rFonts w:asciiTheme="minorHAnsi" w:hAnsiTheme="minorHAnsi" w:cs="Franklin Gothic Book"/>
                <w:color w:val="000000"/>
                <w:szCs w:val="17"/>
              </w:rPr>
            </w:pPr>
            <w:r w:rsidRPr="0005613F">
              <w:rPr>
                <w:rFonts w:asciiTheme="minorHAnsi" w:hAnsiTheme="minorHAnsi" w:cs="Franklin Gothic Book"/>
                <w:color w:val="000000"/>
                <w:szCs w:val="17"/>
              </w:rPr>
              <w:t>$</w:t>
            </w:r>
            <w:r w:rsidR="006F6B03" w:rsidRPr="0005613F">
              <w:rPr>
                <w:rFonts w:asciiTheme="minorHAnsi" w:hAnsiTheme="minorHAnsi" w:cs="Franklin Gothic Book"/>
                <w:color w:val="000000"/>
                <w:szCs w:val="17"/>
              </w:rPr>
              <w:t>31.7</w:t>
            </w:r>
            <w:r w:rsidRPr="0005613F">
              <w:rPr>
                <w:rFonts w:asciiTheme="minorHAnsi" w:hAnsiTheme="minorHAnsi" w:cs="Franklin Gothic Book"/>
                <w:color w:val="000000"/>
                <w:szCs w:val="17"/>
              </w:rPr>
              <w:t xml:space="preserve">m </w:t>
            </w:r>
          </w:p>
          <w:p w:rsidR="005E606B" w:rsidRPr="0005613F" w:rsidRDefault="005E606B" w:rsidP="00FB48CB">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w:t>
            </w:r>
            <w:r w:rsidR="00FB48CB" w:rsidRPr="0005613F">
              <w:rPr>
                <w:rFonts w:asciiTheme="minorHAnsi" w:eastAsia="Times New Roman" w:hAnsiTheme="minorHAnsi"/>
                <w:iCs/>
                <w:szCs w:val="17"/>
                <w:lang w:eastAsia="en-US"/>
              </w:rPr>
              <w:t>09</w:t>
            </w:r>
            <w:r w:rsidRPr="0005613F">
              <w:rPr>
                <w:rFonts w:asciiTheme="minorHAnsi" w:eastAsia="Times New Roman" w:hAnsiTheme="minorHAnsi"/>
                <w:iCs/>
                <w:szCs w:val="17"/>
                <w:lang w:eastAsia="en-US"/>
              </w:rPr>
              <w:t xml:space="preserve">-18 </w:t>
            </w:r>
          </w:p>
        </w:tc>
        <w:tc>
          <w:tcPr>
            <w:tcW w:w="412" w:type="pct"/>
          </w:tcPr>
          <w:p w:rsidR="005E606B" w:rsidRPr="0005613F" w:rsidRDefault="005E606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2016 AQC</w:t>
            </w:r>
          </w:p>
        </w:tc>
        <w:tc>
          <w:tcPr>
            <w:tcW w:w="414" w:type="pct"/>
            <w:shd w:val="clear" w:color="auto" w:fill="92D050"/>
            <w:noWrap/>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1"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00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408" w:type="pct"/>
            <w:shd w:val="clear" w:color="auto" w:fill="FFFF00"/>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6F6B03"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6F6B03" w:rsidRPr="0005613F" w:rsidRDefault="006F6B03"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2015 AQC</w:t>
            </w:r>
          </w:p>
        </w:tc>
        <w:tc>
          <w:tcPr>
            <w:tcW w:w="414"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tcBorders>
              <w:bottom w:val="single" w:sz="4" w:space="0" w:color="auto"/>
            </w:tcBorders>
            <w:shd w:val="clear" w:color="auto" w:fill="FFC0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bottom w:val="single" w:sz="4" w:space="0" w:color="auto"/>
            </w:tcBorders>
            <w:shd w:val="clear" w:color="auto" w:fill="FFFF00"/>
          </w:tcPr>
          <w:p w:rsidR="006F6B03" w:rsidRPr="003B0793" w:rsidRDefault="006F6B03" w:rsidP="004B7F47">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5E606B"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05613F" w:rsidRDefault="00FB48C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Nauru Improved Education (INI950)</w:t>
            </w:r>
          </w:p>
        </w:tc>
        <w:tc>
          <w:tcPr>
            <w:tcW w:w="652" w:type="pct"/>
            <w:vMerge w:val="restart"/>
          </w:tcPr>
          <w:p w:rsidR="005E606B" w:rsidRPr="0005613F" w:rsidRDefault="00FB48C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$25.99m</w:t>
            </w:r>
          </w:p>
          <w:p w:rsidR="00FB48CB" w:rsidRPr="0005613F" w:rsidRDefault="00FB48C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2009-17</w:t>
            </w:r>
          </w:p>
        </w:tc>
        <w:tc>
          <w:tcPr>
            <w:tcW w:w="412" w:type="pct"/>
          </w:tcPr>
          <w:p w:rsidR="005E606B" w:rsidRPr="0005613F" w:rsidRDefault="005E606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2016 AQC</w:t>
            </w:r>
          </w:p>
        </w:tc>
        <w:tc>
          <w:tcPr>
            <w:tcW w:w="414" w:type="pct"/>
            <w:shd w:val="clear" w:color="auto" w:fill="92D05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92D05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C000"/>
          </w:tcPr>
          <w:p w:rsidR="005E606B" w:rsidRPr="003B0793" w:rsidRDefault="00FB48C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FB48CB" w:rsidRPr="00C61187" w:rsidTr="008055D9">
        <w:trPr>
          <w:cnfStyle w:val="000000010000" w:firstRow="0" w:lastRow="0" w:firstColumn="0" w:lastColumn="0" w:oddVBand="0" w:evenVBand="0" w:oddHBand="0" w:evenHBand="1" w:firstRowFirstColumn="0" w:firstRowLastColumn="0" w:lastRowFirstColumn="0" w:lastRowLastColumn="0"/>
          <w:trHeight w:val="284"/>
        </w:trPr>
        <w:tc>
          <w:tcPr>
            <w:tcW w:w="900" w:type="pct"/>
            <w:vMerge/>
          </w:tcPr>
          <w:p w:rsidR="00FB48CB" w:rsidRPr="0005613F" w:rsidRDefault="00FB48CB" w:rsidP="00D15A00">
            <w:pPr>
              <w:keepLines/>
              <w:spacing w:before="40" w:after="40" w:line="200" w:lineRule="atLeast"/>
              <w:rPr>
                <w:rFonts w:asciiTheme="minorHAnsi" w:eastAsia="Times New Roman" w:hAnsiTheme="minorHAnsi"/>
                <w:iCs/>
                <w:szCs w:val="17"/>
                <w:lang w:eastAsia="en-US"/>
              </w:rPr>
            </w:pPr>
          </w:p>
        </w:tc>
        <w:tc>
          <w:tcPr>
            <w:tcW w:w="652" w:type="pct"/>
            <w:vMerge/>
          </w:tcPr>
          <w:p w:rsidR="00FB48CB" w:rsidRPr="0005613F" w:rsidRDefault="00FB48CB" w:rsidP="00D15A00">
            <w:pPr>
              <w:keepLines/>
              <w:spacing w:before="40" w:after="40" w:line="200" w:lineRule="atLeast"/>
              <w:rPr>
                <w:rFonts w:asciiTheme="minorHAnsi" w:eastAsia="Times New Roman" w:hAnsiTheme="minorHAnsi"/>
                <w:iCs/>
                <w:szCs w:val="17"/>
                <w:lang w:eastAsia="en-US"/>
              </w:rPr>
            </w:pPr>
          </w:p>
        </w:tc>
        <w:tc>
          <w:tcPr>
            <w:tcW w:w="412" w:type="pct"/>
          </w:tcPr>
          <w:p w:rsidR="00FB48CB" w:rsidRPr="0005613F" w:rsidRDefault="00FB48CB" w:rsidP="00D15A00">
            <w:pPr>
              <w:keepLines/>
              <w:spacing w:before="40" w:after="40" w:line="200" w:lineRule="atLeast"/>
              <w:rPr>
                <w:rFonts w:asciiTheme="minorHAnsi" w:eastAsia="Times New Roman" w:hAnsiTheme="minorHAnsi"/>
                <w:iCs/>
                <w:szCs w:val="17"/>
                <w:lang w:eastAsia="en-US"/>
              </w:rPr>
            </w:pPr>
            <w:r w:rsidRPr="0005613F">
              <w:rPr>
                <w:rFonts w:asciiTheme="minorHAnsi" w:eastAsia="Times New Roman" w:hAnsiTheme="minorHAnsi"/>
                <w:iCs/>
                <w:szCs w:val="17"/>
                <w:lang w:eastAsia="en-US"/>
              </w:rPr>
              <w:t>2015 AQC</w:t>
            </w:r>
          </w:p>
        </w:tc>
        <w:tc>
          <w:tcPr>
            <w:tcW w:w="414" w:type="pct"/>
            <w:shd w:val="clear" w:color="auto" w:fill="FFFF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FF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FB48CB" w:rsidRPr="003B0793" w:rsidRDefault="00FB48CB" w:rsidP="004B7F47">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9E4107" w:rsidRPr="00C61187" w:rsidTr="0005613F">
        <w:tblPrEx>
          <w:tblCellSpacing w:w="6" w:type="dxa"/>
          <w:tblBorders>
            <w:top w:val="single" w:sz="5" w:space="0" w:color="000000" w:themeColor="text1"/>
            <w:bottom w:val="single" w:sz="5" w:space="0" w:color="000000" w:themeColor="text1"/>
          </w:tblBorders>
          <w:tblCellMar>
            <w:left w:w="51" w:type="dxa"/>
            <w:right w:w="51" w:type="dxa"/>
          </w:tblCellMar>
        </w:tblPrEx>
        <w:trPr>
          <w:cnfStyle w:val="000000010000" w:firstRow="0" w:lastRow="0" w:firstColumn="0" w:lastColumn="0" w:oddVBand="0" w:evenVBand="0" w:oddHBand="0" w:evenHBand="1" w:firstRowFirstColumn="0" w:firstRowLastColumn="0" w:lastRowFirstColumn="0" w:lastRowLastColumn="0"/>
          <w:trHeight w:val="136"/>
          <w:tblCellSpacing w:w="6" w:type="dxa"/>
        </w:trPr>
        <w:tc>
          <w:tcPr>
            <w:tcW w:w="900" w:type="pct"/>
            <w:tcBorders>
              <w:top w:val="single" w:sz="2" w:space="0" w:color="auto"/>
            </w:tcBorders>
          </w:tcPr>
          <w:p w:rsidR="0005613F" w:rsidRPr="003E1EE0" w:rsidRDefault="0005613F" w:rsidP="0005613F">
            <w:pPr>
              <w:keepLines/>
              <w:spacing w:before="40" w:after="40" w:line="200" w:lineRule="atLeast"/>
              <w:rPr>
                <w:rFonts w:asciiTheme="minorHAnsi" w:eastAsia="Times New Roman" w:hAnsiTheme="minorHAnsi"/>
                <w:iCs/>
                <w:szCs w:val="17"/>
              </w:rPr>
            </w:pPr>
            <w:r w:rsidRPr="0005613F">
              <w:rPr>
                <w:rFonts w:asciiTheme="minorHAnsi" w:eastAsia="Times New Roman" w:hAnsiTheme="minorHAnsi"/>
                <w:iCs/>
                <w:szCs w:val="17"/>
                <w:lang w:eastAsia="en-US"/>
              </w:rPr>
              <w:t>Nauru Improved Health (INI970)</w:t>
            </w:r>
          </w:p>
        </w:tc>
        <w:tc>
          <w:tcPr>
            <w:tcW w:w="652" w:type="pct"/>
            <w:tcBorders>
              <w:top w:val="single" w:sz="2" w:space="0" w:color="auto"/>
            </w:tcBorders>
          </w:tcPr>
          <w:p w:rsidR="0005613F" w:rsidRPr="003E1EE0" w:rsidRDefault="0005613F" w:rsidP="0005613F">
            <w:pPr>
              <w:keepLines/>
              <w:spacing w:before="40" w:after="40" w:line="200" w:lineRule="atLeast"/>
              <w:rPr>
                <w:rFonts w:asciiTheme="minorHAnsi" w:eastAsia="Times New Roman" w:hAnsiTheme="minorHAnsi"/>
                <w:iCs/>
                <w:szCs w:val="17"/>
              </w:rPr>
            </w:pPr>
            <w:r w:rsidRPr="0005613F">
              <w:rPr>
                <w:rFonts w:eastAsia="Times New Roman"/>
                <w:iCs/>
                <w:szCs w:val="17"/>
              </w:rPr>
              <w:t>$25.75m</w:t>
            </w:r>
          </w:p>
          <w:p w:rsidR="0005613F" w:rsidRPr="003E1EE0" w:rsidRDefault="0005613F" w:rsidP="0005613F">
            <w:pPr>
              <w:keepLines/>
              <w:spacing w:before="40" w:after="40" w:line="200" w:lineRule="atLeast"/>
              <w:rPr>
                <w:rFonts w:asciiTheme="minorHAnsi" w:eastAsia="Times New Roman" w:hAnsiTheme="minorHAnsi"/>
                <w:iCs/>
                <w:szCs w:val="17"/>
              </w:rPr>
            </w:pPr>
            <w:r w:rsidRPr="0005613F">
              <w:rPr>
                <w:rFonts w:eastAsia="Times New Roman"/>
                <w:iCs/>
                <w:szCs w:val="17"/>
              </w:rPr>
              <w:t>2009-18</w:t>
            </w:r>
          </w:p>
        </w:tc>
        <w:tc>
          <w:tcPr>
            <w:tcW w:w="412" w:type="pct"/>
            <w:tcBorders>
              <w:top w:val="single" w:sz="2" w:space="0" w:color="auto"/>
            </w:tcBorders>
          </w:tcPr>
          <w:p w:rsidR="0005613F" w:rsidRPr="003E1EE0" w:rsidRDefault="0005613F" w:rsidP="0005613F">
            <w:pPr>
              <w:keepLines/>
              <w:spacing w:before="40" w:after="40" w:line="200" w:lineRule="atLeast"/>
              <w:rPr>
                <w:rFonts w:asciiTheme="minorHAnsi" w:eastAsia="Times New Roman" w:hAnsiTheme="minorHAnsi"/>
                <w:iCs/>
                <w:szCs w:val="17"/>
              </w:rPr>
            </w:pPr>
            <w:r w:rsidRPr="0005613F">
              <w:rPr>
                <w:rFonts w:eastAsia="Times New Roman"/>
                <w:iCs/>
                <w:szCs w:val="17"/>
              </w:rPr>
              <w:t>2016 AQC</w:t>
            </w:r>
          </w:p>
        </w:tc>
        <w:tc>
          <w:tcPr>
            <w:tcW w:w="414" w:type="pct"/>
            <w:shd w:val="clear" w:color="auto" w:fill="92D05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2" w:space="0" w:color="auto"/>
            </w:tcBorders>
            <w:shd w:val="clear" w:color="auto" w:fill="FFC00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tcBorders>
              <w:top w:val="single" w:sz="2" w:space="0" w:color="auto"/>
            </w:tcBorders>
            <w:shd w:val="clear" w:color="auto" w:fill="FFC00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tcBorders>
              <w:top w:val="single" w:sz="2" w:space="0" w:color="auto"/>
            </w:tcBorders>
            <w:shd w:val="clear" w:color="auto" w:fill="FFC00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tcBorders>
              <w:top w:val="single" w:sz="2" w:space="0" w:color="auto"/>
            </w:tcBorders>
            <w:shd w:val="clear" w:color="auto" w:fill="FFFF00"/>
            <w:noWrap/>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top w:val="single" w:sz="2" w:space="0" w:color="auto"/>
            </w:tcBorders>
            <w:shd w:val="clear" w:color="auto" w:fill="FFFF00"/>
          </w:tcPr>
          <w:p w:rsidR="0005613F" w:rsidRPr="003B0793" w:rsidRDefault="0005613F" w:rsidP="0005613F">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FA7CAD" w:rsidRPr="00C61187" w:rsidTr="00CC6AED">
        <w:trPr>
          <w:cnfStyle w:val="000000010000" w:firstRow="0" w:lastRow="0" w:firstColumn="0" w:lastColumn="0" w:oddVBand="0" w:evenVBand="0" w:oddHBand="0" w:evenHBand="1" w:firstRowFirstColumn="0" w:firstRowLastColumn="0" w:lastRowFirstColumn="0" w:lastRowLastColumn="0"/>
          <w:trHeight w:val="398"/>
        </w:trPr>
        <w:tc>
          <w:tcPr>
            <w:tcW w:w="900" w:type="pct"/>
          </w:tcPr>
          <w:p w:rsidR="00FA7CAD" w:rsidRPr="003E1EE0" w:rsidRDefault="00FA7CAD" w:rsidP="00FA7CAD">
            <w:pPr>
              <w:keepLines/>
              <w:spacing w:before="40" w:after="40" w:line="200" w:lineRule="atLeast"/>
              <w:rPr>
                <w:rFonts w:asciiTheme="minorHAnsi" w:eastAsia="Times New Roman" w:hAnsiTheme="minorHAnsi"/>
                <w:iCs/>
                <w:szCs w:val="17"/>
              </w:rPr>
            </w:pPr>
          </w:p>
        </w:tc>
        <w:tc>
          <w:tcPr>
            <w:tcW w:w="652" w:type="pct"/>
          </w:tcPr>
          <w:p w:rsidR="00FA7CAD" w:rsidRPr="003E1EE0" w:rsidRDefault="00FA7CAD" w:rsidP="00FA7CAD">
            <w:pPr>
              <w:keepLines/>
              <w:spacing w:before="40" w:after="40" w:line="200" w:lineRule="atLeast"/>
              <w:rPr>
                <w:rFonts w:asciiTheme="minorHAnsi" w:eastAsia="Times New Roman" w:hAnsiTheme="minorHAnsi"/>
                <w:iCs/>
                <w:szCs w:val="17"/>
              </w:rPr>
            </w:pPr>
          </w:p>
        </w:tc>
        <w:tc>
          <w:tcPr>
            <w:tcW w:w="412" w:type="pct"/>
          </w:tcPr>
          <w:p w:rsidR="00FA7CAD" w:rsidRPr="003E1EE0" w:rsidRDefault="00FA7CAD" w:rsidP="00FA7CAD">
            <w:pPr>
              <w:keepLines/>
              <w:spacing w:before="40" w:after="40" w:line="200" w:lineRule="atLeast"/>
              <w:rPr>
                <w:rFonts w:asciiTheme="minorHAnsi" w:eastAsia="Times New Roman" w:hAnsiTheme="minorHAnsi"/>
                <w:iCs/>
                <w:szCs w:val="17"/>
              </w:rPr>
            </w:pPr>
            <w:r w:rsidRPr="0005613F">
              <w:rPr>
                <w:rFonts w:eastAsia="Times New Roman"/>
                <w:iCs/>
                <w:szCs w:val="17"/>
              </w:rPr>
              <w:t>2015 AQC</w:t>
            </w:r>
          </w:p>
        </w:tc>
        <w:tc>
          <w:tcPr>
            <w:tcW w:w="414" w:type="pct"/>
            <w:shd w:val="clear" w:color="auto" w:fill="FFFF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FF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FA7CAD" w:rsidRPr="003B0793" w:rsidRDefault="00FA7CAD" w:rsidP="00FA7CAD">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bl>
    <w:p w:rsidR="005E606B" w:rsidRDefault="005E606B" w:rsidP="005E606B">
      <w:pPr>
        <w:rPr>
          <w:iCs/>
        </w:rPr>
      </w:pPr>
    </w:p>
    <w:p w:rsidR="00B30B17" w:rsidRPr="00C61187" w:rsidRDefault="00B30B17" w:rsidP="005E606B">
      <w:pPr>
        <w:rPr>
          <w:iCs/>
        </w:rPr>
      </w:pPr>
      <w:r>
        <w:rPr>
          <w:iCs/>
        </w:rPr>
        <w:t>Note:  ratings have a maximum score of 6</w:t>
      </w:r>
    </w:p>
    <w:sectPr w:rsidR="00B30B17" w:rsidRPr="00C61187" w:rsidSect="00C57CC2">
      <w:headerReference w:type="default" r:id="rId18"/>
      <w:headerReference w:type="first" r:id="rId19"/>
      <w:pgSz w:w="11906" w:h="16838" w:code="9"/>
      <w:pgMar w:top="1952" w:right="1134" w:bottom="851" w:left="1134" w:header="1560"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D1" w:rsidRDefault="007D5ED1" w:rsidP="00EF4574">
      <w:pPr>
        <w:spacing w:before="0" w:after="0" w:line="240" w:lineRule="auto"/>
      </w:pPr>
      <w:r>
        <w:separator/>
      </w:r>
    </w:p>
  </w:endnote>
  <w:endnote w:type="continuationSeparator" w:id="0">
    <w:p w:rsidR="007D5ED1" w:rsidRDefault="007D5ED1"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D1" w:rsidRPr="008C5A0E" w:rsidRDefault="007D5ED1" w:rsidP="001D663E">
      <w:pPr>
        <w:pStyle w:val="Footer"/>
        <w:pBdr>
          <w:top w:val="single" w:sz="4" w:space="1" w:color="495965" w:themeColor="text2"/>
        </w:pBdr>
      </w:pPr>
    </w:p>
  </w:footnote>
  <w:footnote w:type="continuationSeparator" w:id="0">
    <w:p w:rsidR="007D5ED1" w:rsidRDefault="007D5ED1"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F3" w:rsidRPr="00333501" w:rsidRDefault="009A2FF3" w:rsidP="008F56A8">
    <w:pPr>
      <w:pStyle w:val="Header"/>
      <w:jc w:val="left"/>
    </w:pPr>
    <w:r>
      <w:rPr>
        <w:noProof/>
        <w:lang w:val="en-AU" w:eastAsia="en-AU"/>
      </w:rPr>
      <w:drawing>
        <wp:anchor distT="0" distB="0" distL="114300" distR="114300" simplePos="0" relativeHeight="251671552" behindDoc="1" locked="1" layoutInCell="1" allowOverlap="1" wp14:anchorId="05512FA8" wp14:editId="169DF1DD">
          <wp:simplePos x="0" y="0"/>
          <wp:positionH relativeFrom="page">
            <wp:posOffset>7620</wp:posOffset>
          </wp:positionH>
          <wp:positionV relativeFrom="page">
            <wp:posOffset>-7620</wp:posOffset>
          </wp:positionV>
          <wp:extent cx="7545705" cy="10702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F3" w:rsidRPr="003D352D" w:rsidRDefault="009A2FF3" w:rsidP="003D352D">
    <w:pPr>
      <w:pStyle w:val="Header"/>
      <w:jc w:val="left"/>
    </w:pPr>
    <w:r>
      <w:rPr>
        <w:noProof/>
        <w:lang w:val="en-AU" w:eastAsia="en-AU"/>
      </w:rPr>
      <w:drawing>
        <wp:anchor distT="0" distB="0" distL="114300" distR="114300" simplePos="0" relativeHeight="251669504" behindDoc="1" locked="1" layoutInCell="1" allowOverlap="1" wp14:anchorId="4454623F" wp14:editId="7449DA7F">
          <wp:simplePos x="0" y="0"/>
          <wp:positionH relativeFrom="page">
            <wp:posOffset>-23495</wp:posOffset>
          </wp:positionH>
          <wp:positionV relativeFrom="page">
            <wp:posOffset>15875</wp:posOffset>
          </wp:positionV>
          <wp:extent cx="7734935" cy="10829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F3" w:rsidRPr="003D352D" w:rsidRDefault="009A2FF3" w:rsidP="003D352D">
    <w:pPr>
      <w:pStyle w:val="Header"/>
      <w:jc w:val="left"/>
    </w:pPr>
    <w:r>
      <w:rPr>
        <w:noProof/>
        <w:lang w:val="en-AU" w:eastAsia="en-AU"/>
      </w:rPr>
      <w:drawing>
        <wp:anchor distT="0" distB="0" distL="114300" distR="114300" simplePos="0" relativeHeight="251673600" behindDoc="1" locked="1" layoutInCell="1" allowOverlap="1" wp14:anchorId="505026EF" wp14:editId="2DF26EC6">
          <wp:simplePos x="0" y="0"/>
          <wp:positionH relativeFrom="page">
            <wp:align>left</wp:align>
          </wp:positionH>
          <wp:positionV relativeFrom="page">
            <wp:align>top</wp:align>
          </wp:positionV>
          <wp:extent cx="10658475" cy="753427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58475" cy="7534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F3" w:rsidRPr="00333501" w:rsidRDefault="009A2FF3" w:rsidP="008F56A8">
    <w:pPr>
      <w:pStyle w:val="Header"/>
      <w:jc w:val="left"/>
    </w:pPr>
    <w:r>
      <w:rPr>
        <w:noProof/>
        <w:lang w:val="en-AU" w:eastAsia="en-AU"/>
      </w:rPr>
      <w:drawing>
        <wp:anchor distT="0" distB="0" distL="114300" distR="114300" simplePos="0" relativeHeight="251683840" behindDoc="1" locked="1" layoutInCell="1" allowOverlap="1" wp14:anchorId="48907480" wp14:editId="68D232C8">
          <wp:simplePos x="0" y="0"/>
          <wp:positionH relativeFrom="page">
            <wp:posOffset>7620</wp:posOffset>
          </wp:positionH>
          <wp:positionV relativeFrom="page">
            <wp:posOffset>57785</wp:posOffset>
          </wp:positionV>
          <wp:extent cx="10800000" cy="7560000"/>
          <wp:effectExtent l="0" t="0" r="1905" b="317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BE" w:rsidRPr="003D352D" w:rsidRDefault="00BB37BE" w:rsidP="003D352D">
    <w:pPr>
      <w:pStyle w:val="Header"/>
      <w:jc w:val="left"/>
    </w:pPr>
    <w:r>
      <w:rPr>
        <w:noProof/>
        <w:lang w:val="en-AU" w:eastAsia="en-AU"/>
      </w:rPr>
      <w:drawing>
        <wp:anchor distT="0" distB="0" distL="114300" distR="114300" simplePos="0" relativeHeight="251685888" behindDoc="1" locked="1" layoutInCell="1" allowOverlap="1" wp14:anchorId="66E29243" wp14:editId="1D12149F">
          <wp:simplePos x="0" y="0"/>
          <wp:positionH relativeFrom="margin">
            <wp:posOffset>-777240</wp:posOffset>
          </wp:positionH>
          <wp:positionV relativeFrom="page">
            <wp:posOffset>28575</wp:posOffset>
          </wp:positionV>
          <wp:extent cx="7798435" cy="1060132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98435" cy="10601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727BEB"/>
    <w:multiLevelType w:val="hybridMultilevel"/>
    <w:tmpl w:val="7908B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A3622"/>
    <w:multiLevelType w:val="hybridMultilevel"/>
    <w:tmpl w:val="E1B6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9547D3C"/>
    <w:multiLevelType w:val="hybridMultilevel"/>
    <w:tmpl w:val="B514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4"/>
  </w:num>
  <w:num w:numId="23">
    <w:abstractNumId w:val="14"/>
  </w:num>
  <w:num w:numId="24">
    <w:abstractNumId w:val="20"/>
  </w:num>
  <w:num w:numId="25">
    <w:abstractNumId w:val="20"/>
  </w:num>
  <w:num w:numId="26">
    <w:abstractNumId w:val="20"/>
  </w:num>
  <w:num w:numId="27">
    <w:abstractNumId w:val="19"/>
  </w:num>
  <w:num w:numId="28">
    <w:abstractNumId w:val="10"/>
  </w:num>
  <w:num w:numId="29">
    <w:abstractNumId w:val="10"/>
  </w:num>
  <w:num w:numId="30">
    <w:abstractNumId w:val="10"/>
  </w:num>
  <w:num w:numId="31">
    <w:abstractNumId w:val="15"/>
  </w:num>
  <w:num w:numId="32">
    <w:abstractNumId w:val="18"/>
  </w:num>
  <w:num w:numId="33">
    <w:abstractNumId w:val="24"/>
  </w:num>
  <w:num w:numId="34">
    <w:abstractNumId w:val="16"/>
  </w:num>
  <w:num w:numId="35">
    <w:abstractNumId w:val="12"/>
  </w:num>
  <w:num w:numId="36">
    <w:abstractNumId w:val="22"/>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1F3A"/>
    <w:rsid w:val="000052B5"/>
    <w:rsid w:val="00015316"/>
    <w:rsid w:val="000156CF"/>
    <w:rsid w:val="0002080A"/>
    <w:rsid w:val="00022A70"/>
    <w:rsid w:val="0002782F"/>
    <w:rsid w:val="000314EE"/>
    <w:rsid w:val="00031512"/>
    <w:rsid w:val="0004765D"/>
    <w:rsid w:val="00054E4D"/>
    <w:rsid w:val="00054F5D"/>
    <w:rsid w:val="0005613F"/>
    <w:rsid w:val="00060073"/>
    <w:rsid w:val="00060268"/>
    <w:rsid w:val="00084483"/>
    <w:rsid w:val="00096A1F"/>
    <w:rsid w:val="000A0B07"/>
    <w:rsid w:val="000D1D10"/>
    <w:rsid w:val="000D438D"/>
    <w:rsid w:val="000D5C55"/>
    <w:rsid w:val="000D66D6"/>
    <w:rsid w:val="000E314A"/>
    <w:rsid w:val="000E3C1D"/>
    <w:rsid w:val="000E66E9"/>
    <w:rsid w:val="00124819"/>
    <w:rsid w:val="00124A3E"/>
    <w:rsid w:val="00133481"/>
    <w:rsid w:val="0014133A"/>
    <w:rsid w:val="00146AEE"/>
    <w:rsid w:val="00146D19"/>
    <w:rsid w:val="001541EA"/>
    <w:rsid w:val="00154EEB"/>
    <w:rsid w:val="00163AEE"/>
    <w:rsid w:val="00164DFC"/>
    <w:rsid w:val="00166B01"/>
    <w:rsid w:val="0017026F"/>
    <w:rsid w:val="00176C25"/>
    <w:rsid w:val="00193992"/>
    <w:rsid w:val="00194096"/>
    <w:rsid w:val="0019560E"/>
    <w:rsid w:val="001A5875"/>
    <w:rsid w:val="001A7FCF"/>
    <w:rsid w:val="001B1649"/>
    <w:rsid w:val="001B48EC"/>
    <w:rsid w:val="001D0A71"/>
    <w:rsid w:val="001D126A"/>
    <w:rsid w:val="001D663E"/>
    <w:rsid w:val="001E1DC0"/>
    <w:rsid w:val="001E2E90"/>
    <w:rsid w:val="001E4A65"/>
    <w:rsid w:val="0020735B"/>
    <w:rsid w:val="00211C9C"/>
    <w:rsid w:val="002159F2"/>
    <w:rsid w:val="00220C3A"/>
    <w:rsid w:val="002236C3"/>
    <w:rsid w:val="00223DF7"/>
    <w:rsid w:val="00234423"/>
    <w:rsid w:val="00236A53"/>
    <w:rsid w:val="00246C28"/>
    <w:rsid w:val="00265068"/>
    <w:rsid w:val="00273EDA"/>
    <w:rsid w:val="00275DB7"/>
    <w:rsid w:val="0028488A"/>
    <w:rsid w:val="00284957"/>
    <w:rsid w:val="0028602A"/>
    <w:rsid w:val="002A1149"/>
    <w:rsid w:val="002A15D2"/>
    <w:rsid w:val="002A51CA"/>
    <w:rsid w:val="002B327B"/>
    <w:rsid w:val="002B3E95"/>
    <w:rsid w:val="002B5C6D"/>
    <w:rsid w:val="002B5E10"/>
    <w:rsid w:val="002C07BA"/>
    <w:rsid w:val="002D613D"/>
    <w:rsid w:val="002F0CE3"/>
    <w:rsid w:val="002F22EE"/>
    <w:rsid w:val="003002C0"/>
    <w:rsid w:val="00301144"/>
    <w:rsid w:val="003134A1"/>
    <w:rsid w:val="003148B7"/>
    <w:rsid w:val="003158C3"/>
    <w:rsid w:val="00325ADE"/>
    <w:rsid w:val="003274CD"/>
    <w:rsid w:val="003319E8"/>
    <w:rsid w:val="00333501"/>
    <w:rsid w:val="00343AFB"/>
    <w:rsid w:val="003457C4"/>
    <w:rsid w:val="0035119D"/>
    <w:rsid w:val="00351B69"/>
    <w:rsid w:val="003546F6"/>
    <w:rsid w:val="003A3BC7"/>
    <w:rsid w:val="003B0793"/>
    <w:rsid w:val="003B4F12"/>
    <w:rsid w:val="003B6734"/>
    <w:rsid w:val="003C27C6"/>
    <w:rsid w:val="003D352D"/>
    <w:rsid w:val="003E1EE0"/>
    <w:rsid w:val="003E5445"/>
    <w:rsid w:val="00400B0F"/>
    <w:rsid w:val="00402ACC"/>
    <w:rsid w:val="004073D4"/>
    <w:rsid w:val="004120EC"/>
    <w:rsid w:val="00420DDD"/>
    <w:rsid w:val="00421BF3"/>
    <w:rsid w:val="00423F31"/>
    <w:rsid w:val="00431899"/>
    <w:rsid w:val="00462CCF"/>
    <w:rsid w:val="0047672D"/>
    <w:rsid w:val="00486804"/>
    <w:rsid w:val="004977A1"/>
    <w:rsid w:val="004B2F08"/>
    <w:rsid w:val="004B3775"/>
    <w:rsid w:val="004B3BA3"/>
    <w:rsid w:val="004B553C"/>
    <w:rsid w:val="004B7F47"/>
    <w:rsid w:val="004C04A0"/>
    <w:rsid w:val="004C0E1C"/>
    <w:rsid w:val="004D0BA0"/>
    <w:rsid w:val="004D158B"/>
    <w:rsid w:val="004D449E"/>
    <w:rsid w:val="004E0264"/>
    <w:rsid w:val="004E058F"/>
    <w:rsid w:val="004E3B87"/>
    <w:rsid w:val="004F7236"/>
    <w:rsid w:val="00510921"/>
    <w:rsid w:val="00510AD3"/>
    <w:rsid w:val="00512C5B"/>
    <w:rsid w:val="00513348"/>
    <w:rsid w:val="00533B5D"/>
    <w:rsid w:val="00550AC2"/>
    <w:rsid w:val="005511BF"/>
    <w:rsid w:val="00571B84"/>
    <w:rsid w:val="0058435A"/>
    <w:rsid w:val="00586403"/>
    <w:rsid w:val="0059146A"/>
    <w:rsid w:val="005929D6"/>
    <w:rsid w:val="005A5A54"/>
    <w:rsid w:val="005B46E9"/>
    <w:rsid w:val="005B5769"/>
    <w:rsid w:val="005D16A9"/>
    <w:rsid w:val="005D3655"/>
    <w:rsid w:val="005D379F"/>
    <w:rsid w:val="005D4EEA"/>
    <w:rsid w:val="005E606B"/>
    <w:rsid w:val="005E619E"/>
    <w:rsid w:val="00601E20"/>
    <w:rsid w:val="00623BA1"/>
    <w:rsid w:val="00624358"/>
    <w:rsid w:val="00630BCD"/>
    <w:rsid w:val="00631899"/>
    <w:rsid w:val="00633956"/>
    <w:rsid w:val="006346BC"/>
    <w:rsid w:val="006550D2"/>
    <w:rsid w:val="00656667"/>
    <w:rsid w:val="0065696D"/>
    <w:rsid w:val="00663118"/>
    <w:rsid w:val="0066652A"/>
    <w:rsid w:val="00671FB2"/>
    <w:rsid w:val="006741AF"/>
    <w:rsid w:val="00680522"/>
    <w:rsid w:val="00681935"/>
    <w:rsid w:val="00681F08"/>
    <w:rsid w:val="00682167"/>
    <w:rsid w:val="006930B9"/>
    <w:rsid w:val="00695E6C"/>
    <w:rsid w:val="006A2664"/>
    <w:rsid w:val="006A51D3"/>
    <w:rsid w:val="006C42AF"/>
    <w:rsid w:val="006C504B"/>
    <w:rsid w:val="006C64CE"/>
    <w:rsid w:val="006D143B"/>
    <w:rsid w:val="006F27B1"/>
    <w:rsid w:val="006F6B03"/>
    <w:rsid w:val="00711D8E"/>
    <w:rsid w:val="00712672"/>
    <w:rsid w:val="00721407"/>
    <w:rsid w:val="00724B8C"/>
    <w:rsid w:val="00734E3F"/>
    <w:rsid w:val="00736985"/>
    <w:rsid w:val="00745DF5"/>
    <w:rsid w:val="00747170"/>
    <w:rsid w:val="0076250F"/>
    <w:rsid w:val="00771B53"/>
    <w:rsid w:val="00784031"/>
    <w:rsid w:val="00785CCF"/>
    <w:rsid w:val="007A410B"/>
    <w:rsid w:val="007B504D"/>
    <w:rsid w:val="007B61CC"/>
    <w:rsid w:val="007B6200"/>
    <w:rsid w:val="007B6FE5"/>
    <w:rsid w:val="007C3817"/>
    <w:rsid w:val="007C68C7"/>
    <w:rsid w:val="007D5ED1"/>
    <w:rsid w:val="007E192D"/>
    <w:rsid w:val="007F23D8"/>
    <w:rsid w:val="007F3395"/>
    <w:rsid w:val="00801B9F"/>
    <w:rsid w:val="008055D9"/>
    <w:rsid w:val="008057FD"/>
    <w:rsid w:val="00811382"/>
    <w:rsid w:val="008348A0"/>
    <w:rsid w:val="00844408"/>
    <w:rsid w:val="008462F9"/>
    <w:rsid w:val="008475F0"/>
    <w:rsid w:val="00851B44"/>
    <w:rsid w:val="00857A3C"/>
    <w:rsid w:val="00860F76"/>
    <w:rsid w:val="00864210"/>
    <w:rsid w:val="008642E4"/>
    <w:rsid w:val="008A0E1B"/>
    <w:rsid w:val="008A5AFE"/>
    <w:rsid w:val="008A5EC8"/>
    <w:rsid w:val="008B68D7"/>
    <w:rsid w:val="008C2F58"/>
    <w:rsid w:val="008C5A0E"/>
    <w:rsid w:val="008E4D36"/>
    <w:rsid w:val="008F56A8"/>
    <w:rsid w:val="008F60CF"/>
    <w:rsid w:val="008F6E82"/>
    <w:rsid w:val="00902BF4"/>
    <w:rsid w:val="00912B75"/>
    <w:rsid w:val="00925F9A"/>
    <w:rsid w:val="00945104"/>
    <w:rsid w:val="0096340A"/>
    <w:rsid w:val="00986560"/>
    <w:rsid w:val="00987DE1"/>
    <w:rsid w:val="009903F3"/>
    <w:rsid w:val="00992C76"/>
    <w:rsid w:val="009A0D6B"/>
    <w:rsid w:val="009A1974"/>
    <w:rsid w:val="009A2FF3"/>
    <w:rsid w:val="009A5311"/>
    <w:rsid w:val="009A69C4"/>
    <w:rsid w:val="009B4D3B"/>
    <w:rsid w:val="009C6911"/>
    <w:rsid w:val="009C7FE6"/>
    <w:rsid w:val="009D6024"/>
    <w:rsid w:val="009D7407"/>
    <w:rsid w:val="009E0866"/>
    <w:rsid w:val="009E4107"/>
    <w:rsid w:val="009F5488"/>
    <w:rsid w:val="009F6423"/>
    <w:rsid w:val="00A10B6A"/>
    <w:rsid w:val="00A1142A"/>
    <w:rsid w:val="00A24A62"/>
    <w:rsid w:val="00A31C9F"/>
    <w:rsid w:val="00A4144F"/>
    <w:rsid w:val="00A427C6"/>
    <w:rsid w:val="00A435AD"/>
    <w:rsid w:val="00A56F14"/>
    <w:rsid w:val="00A80F95"/>
    <w:rsid w:val="00A8197B"/>
    <w:rsid w:val="00A87723"/>
    <w:rsid w:val="00AA7BE3"/>
    <w:rsid w:val="00AB564D"/>
    <w:rsid w:val="00AC164A"/>
    <w:rsid w:val="00AC2B07"/>
    <w:rsid w:val="00AD56CF"/>
    <w:rsid w:val="00AE2202"/>
    <w:rsid w:val="00AE41AC"/>
    <w:rsid w:val="00AF1B85"/>
    <w:rsid w:val="00AF2050"/>
    <w:rsid w:val="00B00597"/>
    <w:rsid w:val="00B0202C"/>
    <w:rsid w:val="00B03CA8"/>
    <w:rsid w:val="00B16B9B"/>
    <w:rsid w:val="00B30219"/>
    <w:rsid w:val="00B302D9"/>
    <w:rsid w:val="00B3065C"/>
    <w:rsid w:val="00B30B17"/>
    <w:rsid w:val="00B331DC"/>
    <w:rsid w:val="00B33467"/>
    <w:rsid w:val="00B4069A"/>
    <w:rsid w:val="00B41956"/>
    <w:rsid w:val="00B438D3"/>
    <w:rsid w:val="00B5314B"/>
    <w:rsid w:val="00B55E19"/>
    <w:rsid w:val="00B71307"/>
    <w:rsid w:val="00B969D4"/>
    <w:rsid w:val="00B96FC7"/>
    <w:rsid w:val="00BA3C7E"/>
    <w:rsid w:val="00BA4B6D"/>
    <w:rsid w:val="00BB26C5"/>
    <w:rsid w:val="00BB37BE"/>
    <w:rsid w:val="00BE2F1F"/>
    <w:rsid w:val="00BF4DE6"/>
    <w:rsid w:val="00C04C1E"/>
    <w:rsid w:val="00C04FC8"/>
    <w:rsid w:val="00C10383"/>
    <w:rsid w:val="00C16ACD"/>
    <w:rsid w:val="00C42CDE"/>
    <w:rsid w:val="00C5182A"/>
    <w:rsid w:val="00C54F54"/>
    <w:rsid w:val="00C57CC2"/>
    <w:rsid w:val="00C63EE9"/>
    <w:rsid w:val="00C6626C"/>
    <w:rsid w:val="00C76B97"/>
    <w:rsid w:val="00C8520E"/>
    <w:rsid w:val="00CA37B1"/>
    <w:rsid w:val="00CB1959"/>
    <w:rsid w:val="00CB3263"/>
    <w:rsid w:val="00CC2572"/>
    <w:rsid w:val="00CC6AED"/>
    <w:rsid w:val="00CD0E4B"/>
    <w:rsid w:val="00CE0155"/>
    <w:rsid w:val="00CE4DB5"/>
    <w:rsid w:val="00CF2210"/>
    <w:rsid w:val="00D00802"/>
    <w:rsid w:val="00D0296C"/>
    <w:rsid w:val="00D04D30"/>
    <w:rsid w:val="00D1371D"/>
    <w:rsid w:val="00D146A2"/>
    <w:rsid w:val="00D15A00"/>
    <w:rsid w:val="00D30701"/>
    <w:rsid w:val="00D35179"/>
    <w:rsid w:val="00D50F16"/>
    <w:rsid w:val="00D64BD1"/>
    <w:rsid w:val="00D67F29"/>
    <w:rsid w:val="00D72760"/>
    <w:rsid w:val="00D80F46"/>
    <w:rsid w:val="00D857E5"/>
    <w:rsid w:val="00DB48EB"/>
    <w:rsid w:val="00DB5AEF"/>
    <w:rsid w:val="00DD1986"/>
    <w:rsid w:val="00DD544D"/>
    <w:rsid w:val="00DD7087"/>
    <w:rsid w:val="00DE084C"/>
    <w:rsid w:val="00DF4D45"/>
    <w:rsid w:val="00E023F7"/>
    <w:rsid w:val="00E0364A"/>
    <w:rsid w:val="00E246BD"/>
    <w:rsid w:val="00E357B7"/>
    <w:rsid w:val="00E4383A"/>
    <w:rsid w:val="00E53800"/>
    <w:rsid w:val="00E601A1"/>
    <w:rsid w:val="00E6081F"/>
    <w:rsid w:val="00E86697"/>
    <w:rsid w:val="00E91CE0"/>
    <w:rsid w:val="00EA04B2"/>
    <w:rsid w:val="00EA20F3"/>
    <w:rsid w:val="00EA7E24"/>
    <w:rsid w:val="00EC3CE4"/>
    <w:rsid w:val="00EC7E06"/>
    <w:rsid w:val="00ED2831"/>
    <w:rsid w:val="00ED43D1"/>
    <w:rsid w:val="00EE4EE1"/>
    <w:rsid w:val="00EF4574"/>
    <w:rsid w:val="00EF4D5F"/>
    <w:rsid w:val="00F07A2F"/>
    <w:rsid w:val="00F10153"/>
    <w:rsid w:val="00F2684E"/>
    <w:rsid w:val="00F32E8C"/>
    <w:rsid w:val="00F431B3"/>
    <w:rsid w:val="00F5404C"/>
    <w:rsid w:val="00F57038"/>
    <w:rsid w:val="00F60054"/>
    <w:rsid w:val="00F61356"/>
    <w:rsid w:val="00F668BD"/>
    <w:rsid w:val="00F729EF"/>
    <w:rsid w:val="00F75A5C"/>
    <w:rsid w:val="00F77CAE"/>
    <w:rsid w:val="00F82271"/>
    <w:rsid w:val="00F83428"/>
    <w:rsid w:val="00F92E0E"/>
    <w:rsid w:val="00F95C02"/>
    <w:rsid w:val="00F96BB9"/>
    <w:rsid w:val="00FA7CAD"/>
    <w:rsid w:val="00FB0031"/>
    <w:rsid w:val="00FB48CB"/>
    <w:rsid w:val="00FD2766"/>
    <w:rsid w:val="00FE6D51"/>
    <w:rsid w:val="00FF09F3"/>
    <w:rsid w:val="00FF78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AC2B07"/>
    <w:pPr>
      <w:keepNext/>
      <w:spacing w:before="20" w:after="20" w:line="180" w:lineRule="atLeast"/>
      <w:jc w:val="both"/>
    </w:pPr>
    <w:rPr>
      <w:rFonts w:asciiTheme="majorHAnsi" w:hAnsiTheme="majorHAnsi"/>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AC2B07"/>
    <w:rPr>
      <w:rFonts w:asciiTheme="majorHAnsi" w:eastAsia="Times New Roman" w:hAnsiTheme="majorHAnsi"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9C7FE6"/>
    <w:pPr>
      <w:ind w:left="720"/>
      <w:contextualSpacing/>
    </w:pPr>
  </w:style>
  <w:style w:type="character" w:styleId="CommentReference">
    <w:name w:val="annotation reference"/>
    <w:basedOn w:val="DefaultParagraphFont"/>
    <w:uiPriority w:val="99"/>
    <w:semiHidden/>
    <w:unhideWhenUsed/>
    <w:rsid w:val="00B41956"/>
    <w:rPr>
      <w:sz w:val="16"/>
      <w:szCs w:val="16"/>
    </w:rPr>
  </w:style>
  <w:style w:type="paragraph" w:styleId="CommentText">
    <w:name w:val="annotation text"/>
    <w:basedOn w:val="Normal"/>
    <w:link w:val="CommentTextChar"/>
    <w:uiPriority w:val="99"/>
    <w:semiHidden/>
    <w:unhideWhenUsed/>
    <w:rsid w:val="00B41956"/>
    <w:pPr>
      <w:spacing w:line="240" w:lineRule="auto"/>
    </w:pPr>
    <w:rPr>
      <w:sz w:val="20"/>
      <w:szCs w:val="20"/>
    </w:rPr>
  </w:style>
  <w:style w:type="character" w:customStyle="1" w:styleId="CommentTextChar">
    <w:name w:val="Comment Text Char"/>
    <w:basedOn w:val="DefaultParagraphFont"/>
    <w:link w:val="CommentText"/>
    <w:uiPriority w:val="99"/>
    <w:semiHidden/>
    <w:rsid w:val="00B4195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41956"/>
    <w:rPr>
      <w:b/>
      <w:bCs/>
    </w:rPr>
  </w:style>
  <w:style w:type="character" w:customStyle="1" w:styleId="CommentSubjectChar">
    <w:name w:val="Comment Subject Char"/>
    <w:basedOn w:val="CommentTextChar"/>
    <w:link w:val="CommentSubject"/>
    <w:uiPriority w:val="99"/>
    <w:semiHidden/>
    <w:rsid w:val="00B41956"/>
    <w:rPr>
      <w:b/>
      <w:bCs/>
      <w:color w:val="495965" w:themeColor="text2"/>
      <w:sz w:val="20"/>
      <w:szCs w:val="20"/>
      <w:lang w:val="en-GB"/>
    </w:rPr>
  </w:style>
  <w:style w:type="paragraph" w:styleId="Revision">
    <w:name w:val="Revision"/>
    <w:hidden/>
    <w:uiPriority w:val="99"/>
    <w:semiHidden/>
    <w:rsid w:val="003C27C6"/>
    <w:pPr>
      <w:spacing w:after="0" w:line="240" w:lineRule="auto"/>
    </w:pPr>
    <w:rPr>
      <w:color w:val="495965" w:themeColor="text2"/>
      <w:lang w:val="en-GB"/>
    </w:rPr>
  </w:style>
  <w:style w:type="paragraph" w:styleId="NormalWeb">
    <w:name w:val="Normal (Web)"/>
    <w:basedOn w:val="Normal"/>
    <w:uiPriority w:val="99"/>
    <w:semiHidden/>
    <w:unhideWhenUsed/>
    <w:rsid w:val="00CC257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83299">
      <w:bodyDiv w:val="1"/>
      <w:marLeft w:val="0"/>
      <w:marRight w:val="0"/>
      <w:marTop w:val="0"/>
      <w:marBottom w:val="0"/>
      <w:divBdr>
        <w:top w:val="none" w:sz="0" w:space="0" w:color="auto"/>
        <w:left w:val="none" w:sz="0" w:space="0" w:color="auto"/>
        <w:bottom w:val="none" w:sz="0" w:space="0" w:color="auto"/>
        <w:right w:val="none" w:sz="0" w:space="0" w:color="auto"/>
      </w:divBdr>
      <w:divsChild>
        <w:div w:id="875460169">
          <w:marLeft w:val="0"/>
          <w:marRight w:val="0"/>
          <w:marTop w:val="0"/>
          <w:marBottom w:val="0"/>
          <w:divBdr>
            <w:top w:val="none" w:sz="0" w:space="0" w:color="auto"/>
            <w:left w:val="none" w:sz="0" w:space="0" w:color="auto"/>
            <w:bottom w:val="none" w:sz="0" w:space="0" w:color="auto"/>
            <w:right w:val="none" w:sz="0" w:space="0" w:color="auto"/>
          </w:divBdr>
          <w:divsChild>
            <w:div w:id="55863211">
              <w:marLeft w:val="0"/>
              <w:marRight w:val="0"/>
              <w:marTop w:val="0"/>
              <w:marBottom w:val="0"/>
              <w:divBdr>
                <w:top w:val="none" w:sz="0" w:space="0" w:color="auto"/>
                <w:left w:val="none" w:sz="0" w:space="0" w:color="auto"/>
                <w:bottom w:val="none" w:sz="0" w:space="0" w:color="auto"/>
                <w:right w:val="none" w:sz="0" w:space="0" w:color="auto"/>
              </w:divBdr>
              <w:divsChild>
                <w:div w:id="303582850">
                  <w:marLeft w:val="0"/>
                  <w:marRight w:val="0"/>
                  <w:marTop w:val="0"/>
                  <w:marBottom w:val="0"/>
                  <w:divBdr>
                    <w:top w:val="none" w:sz="0" w:space="0" w:color="auto"/>
                    <w:left w:val="none" w:sz="0" w:space="0" w:color="auto"/>
                    <w:bottom w:val="none" w:sz="0" w:space="0" w:color="auto"/>
                    <w:right w:val="none" w:sz="0" w:space="0" w:color="auto"/>
                  </w:divBdr>
                  <w:divsChild>
                    <w:div w:id="722024282">
                      <w:marLeft w:val="0"/>
                      <w:marRight w:val="0"/>
                      <w:marTop w:val="0"/>
                      <w:marBottom w:val="0"/>
                      <w:divBdr>
                        <w:top w:val="none" w:sz="0" w:space="0" w:color="auto"/>
                        <w:left w:val="none" w:sz="0" w:space="0" w:color="auto"/>
                        <w:bottom w:val="none" w:sz="0" w:space="0" w:color="auto"/>
                        <w:right w:val="none" w:sz="0" w:space="0" w:color="auto"/>
                      </w:divBdr>
                      <w:divsChild>
                        <w:div w:id="476652287">
                          <w:marLeft w:val="0"/>
                          <w:marRight w:val="0"/>
                          <w:marTop w:val="0"/>
                          <w:marBottom w:val="0"/>
                          <w:divBdr>
                            <w:top w:val="none" w:sz="0" w:space="0" w:color="auto"/>
                            <w:left w:val="none" w:sz="0" w:space="0" w:color="auto"/>
                            <w:bottom w:val="none" w:sz="0" w:space="0" w:color="auto"/>
                            <w:right w:val="none" w:sz="0" w:space="0" w:color="auto"/>
                          </w:divBdr>
                          <w:divsChild>
                            <w:div w:id="1067142163">
                              <w:marLeft w:val="0"/>
                              <w:marRight w:val="0"/>
                              <w:marTop w:val="0"/>
                              <w:marBottom w:val="0"/>
                              <w:divBdr>
                                <w:top w:val="none" w:sz="0" w:space="0" w:color="auto"/>
                                <w:left w:val="none" w:sz="0" w:space="0" w:color="auto"/>
                                <w:bottom w:val="none" w:sz="0" w:space="0" w:color="auto"/>
                                <w:right w:val="none" w:sz="0" w:space="0" w:color="auto"/>
                              </w:divBdr>
                              <w:divsChild>
                                <w:div w:id="963461646">
                                  <w:marLeft w:val="0"/>
                                  <w:marRight w:val="0"/>
                                  <w:marTop w:val="0"/>
                                  <w:marBottom w:val="0"/>
                                  <w:divBdr>
                                    <w:top w:val="none" w:sz="0" w:space="0" w:color="auto"/>
                                    <w:left w:val="none" w:sz="0" w:space="0" w:color="auto"/>
                                    <w:bottom w:val="none" w:sz="0" w:space="0" w:color="auto"/>
                                    <w:right w:val="none" w:sz="0" w:space="0" w:color="auto"/>
                                  </w:divBdr>
                                  <w:divsChild>
                                    <w:div w:id="526260754">
                                      <w:marLeft w:val="0"/>
                                      <w:marRight w:val="0"/>
                                      <w:marTop w:val="0"/>
                                      <w:marBottom w:val="0"/>
                                      <w:divBdr>
                                        <w:top w:val="none" w:sz="0" w:space="0" w:color="auto"/>
                                        <w:left w:val="none" w:sz="0" w:space="0" w:color="auto"/>
                                        <w:bottom w:val="none" w:sz="0" w:space="0" w:color="auto"/>
                                        <w:right w:val="none" w:sz="0" w:space="0" w:color="auto"/>
                                      </w:divBdr>
                                      <w:divsChild>
                                        <w:div w:id="1918708593">
                                          <w:marLeft w:val="0"/>
                                          <w:marRight w:val="0"/>
                                          <w:marTop w:val="0"/>
                                          <w:marBottom w:val="0"/>
                                          <w:divBdr>
                                            <w:top w:val="none" w:sz="0" w:space="0" w:color="auto"/>
                                            <w:left w:val="none" w:sz="0" w:space="0" w:color="auto"/>
                                            <w:bottom w:val="none" w:sz="0" w:space="0" w:color="auto"/>
                                            <w:right w:val="none" w:sz="0" w:space="0" w:color="auto"/>
                                          </w:divBdr>
                                          <w:divsChild>
                                            <w:div w:id="610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dfat.gov.au/about-us/publications/Pages/aid-investment-plan-nauru-2015-16-to-2018-19.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7986A-BEA9-4D63-9B89-E79CFE44BC3E}"/>
</file>

<file path=customXml/itemProps2.xml><?xml version="1.0" encoding="utf-8"?>
<ds:datastoreItem xmlns:ds="http://schemas.openxmlformats.org/officeDocument/2006/customXml" ds:itemID="{F45603E3-CCC0-4C89-9D83-A83C5AD563AC}"/>
</file>

<file path=customXml/itemProps3.xml><?xml version="1.0" encoding="utf-8"?>
<ds:datastoreItem xmlns:ds="http://schemas.openxmlformats.org/officeDocument/2006/customXml" ds:itemID="{DC8ADC78-573B-4EE4-A3A3-C4493181C356}"/>
</file>

<file path=customXml/itemProps4.xml><?xml version="1.0" encoding="utf-8"?>
<ds:datastoreItem xmlns:ds="http://schemas.openxmlformats.org/officeDocument/2006/customXml" ds:itemID="{58695297-89B9-4788-8881-650188A16F4E}"/>
</file>

<file path=docProps/app.xml><?xml version="1.0" encoding="utf-8"?>
<Properties xmlns="http://schemas.openxmlformats.org/officeDocument/2006/extended-properties" xmlns:vt="http://schemas.openxmlformats.org/officeDocument/2006/docPropsVTypes">
  <Template>Normal.dotm</Template>
  <TotalTime>0</TotalTime>
  <Pages>10</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2017-01-20T02:22:00Z</dcterms:created>
  <dcterms:modified xsi:type="dcterms:W3CDTF">2017-02-14T00:51:00Z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c11ebebf-6c7f-4712-aff2-a566ed297568</vt:lpwstr>
  </property>
  <property fmtid="{D5CDD505-2E9C-101B-9397-08002B2CF9AE}" pid="3" name="ContentTypeId">
    <vt:lpwstr>0x01010050F19AC2165D2E47A5E6B7F563E4CF00</vt:lpwstr>
  </property>
  <property fmtid="{D5CDD505-2E9C-101B-9397-08002B2CF9AE}" pid="4" name="Order">
    <vt:r8>1056700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