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72D95434" wp14:editId="168036BE">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4FC0E792" wp14:editId="3680AFFF">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 xml:space="preserve">report </w:t>
      </w:r>
      <w:r w:rsidR="00550890">
        <w:rPr>
          <w:spacing w:val="-20"/>
          <w:sz w:val="60"/>
        </w:rPr>
        <w:t xml:space="preserve">SUMMARY </w:t>
      </w:r>
      <w:r>
        <w:rPr>
          <w:spacing w:val="-20"/>
          <w:sz w:val="60"/>
        </w:rPr>
        <w:t>201</w:t>
      </w:r>
      <w:r w:rsidR="00550890">
        <w:rPr>
          <w:spacing w:val="-20"/>
          <w:sz w:val="60"/>
        </w:rPr>
        <w:t>8-19</w:t>
      </w:r>
    </w:p>
    <w:p w:rsidR="0059146A" w:rsidRDefault="00BD6B7F"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Nauru</w:t>
      </w:r>
      <w:r w:rsidR="0059146A">
        <w:rPr>
          <w:sz w:val="40"/>
        </w:rPr>
        <w:br/>
      </w:r>
      <w:r w:rsidR="0059146A" w:rsidRPr="0059146A">
        <w:rPr>
          <w:sz w:val="24"/>
        </w:rPr>
        <w:t>September 201</w:t>
      </w:r>
      <w:r w:rsidR="00550890">
        <w:rPr>
          <w:sz w:val="24"/>
        </w:rPr>
        <w:t>9</w:t>
      </w:r>
    </w:p>
    <w:p w:rsidR="005B5769" w:rsidRPr="00BB648A" w:rsidRDefault="00BD6B7F" w:rsidP="00A14C1F">
      <w:pPr>
        <w:pStyle w:val="Title"/>
        <w:spacing w:before="120" w:after="120" w:line="240" w:lineRule="exact"/>
        <w:contextualSpacing w:val="0"/>
        <w:rPr>
          <w:szCs w:val="38"/>
        </w:rPr>
      </w:pPr>
      <w:r w:rsidRPr="00BD6B7F">
        <w:rPr>
          <w:szCs w:val="38"/>
        </w:rPr>
        <w:lastRenderedPageBreak/>
        <w:t>Nauru</w:t>
      </w:r>
      <w:r w:rsidR="005B5769" w:rsidRPr="00BD6B7F">
        <w:rPr>
          <w:szCs w:val="38"/>
        </w:rPr>
        <w:t xml:space="preserve"> </w:t>
      </w:r>
      <w:r w:rsidR="005B5769" w:rsidRPr="00BB648A">
        <w:rPr>
          <w:szCs w:val="38"/>
        </w:rPr>
        <w:t>Aid Program Performance Information 201</w:t>
      </w:r>
      <w:r w:rsidR="00272B5F">
        <w:rPr>
          <w:szCs w:val="38"/>
        </w:rPr>
        <w:t>8-19</w:t>
      </w:r>
    </w:p>
    <w:p w:rsidR="005B5769" w:rsidRPr="00D64598" w:rsidRDefault="005B5769" w:rsidP="00D64598">
      <w:pPr>
        <w:pStyle w:val="ListBullet"/>
        <w:tabs>
          <w:tab w:val="clear" w:pos="284"/>
        </w:tabs>
        <w:spacing w:before="360" w:line="200" w:lineRule="exact"/>
        <w:rPr>
          <w:rFonts w:asciiTheme="majorHAnsi" w:eastAsiaTheme="majorEastAsia" w:hAnsiTheme="majorHAnsi" w:cstheme="majorBidi"/>
          <w:caps/>
          <w:color w:val="495965" w:themeColor="text2"/>
          <w:sz w:val="38"/>
          <w:szCs w:val="38"/>
          <w:lang w:val="en-GB" w:eastAsia="en-US"/>
        </w:rPr>
      </w:pPr>
      <w:r w:rsidRPr="00D64598">
        <w:rPr>
          <w:rFonts w:asciiTheme="majorHAnsi" w:eastAsiaTheme="majorEastAsia" w:hAnsiTheme="majorHAnsi" w:cstheme="majorBidi"/>
          <w:caps/>
          <w:color w:val="495965" w:themeColor="text2"/>
          <w:sz w:val="38"/>
          <w:szCs w:val="38"/>
          <w:lang w:val="en-GB" w:eastAsia="en-US"/>
        </w:rPr>
        <w:t>Summary</w:t>
      </w:r>
    </w:p>
    <w:p w:rsidR="00BD6B7F" w:rsidRDefault="00BD6B7F" w:rsidP="00240C52">
      <w:pPr>
        <w:spacing w:before="60" w:after="120"/>
      </w:pPr>
      <w:r w:rsidRPr="00B73F3B">
        <w:t>This report summarises the performance of Australia’s aid program in Nauru</w:t>
      </w:r>
      <w:r>
        <w:t xml:space="preserve"> from July 2018 to June 2019</w:t>
      </w:r>
      <w:r w:rsidRPr="00B73F3B">
        <w:t xml:space="preserve"> against jointly agreed objectives outlined in the Nauru Aid Investment Plan</w:t>
      </w:r>
      <w:r>
        <w:t xml:space="preserve"> (AIP)</w:t>
      </w:r>
      <w:r w:rsidRPr="00B73F3B">
        <w:t xml:space="preserve"> 2015-16 to 2018-19 and the Aid Partnership Arrangement</w:t>
      </w:r>
      <w:r>
        <w:t xml:space="preserve"> (APA)</w:t>
      </w:r>
      <w:r w:rsidRPr="00B73F3B">
        <w:t xml:space="preserve"> 2016-2019.</w:t>
      </w:r>
      <w:r>
        <w:t xml:space="preserve"> The strategic priorities identified in the AIP and APA are aligned with Nauru’s National Sustainable Development Strategy (NSDS). The program is closely aligned </w:t>
      </w:r>
      <w:r w:rsidR="00CB6E12">
        <w:t xml:space="preserve">with </w:t>
      </w:r>
      <w:r>
        <w:t xml:space="preserve">Australia’s commitment, under the 2017 Foreign Policy White Paper, to stepped-up engagement for a more resilient Pacific. In addition to the bilateral </w:t>
      </w:r>
      <w:r w:rsidR="003239E5">
        <w:t xml:space="preserve">aid </w:t>
      </w:r>
      <w:r w:rsidR="00CB6E12">
        <w:t>program</w:t>
      </w:r>
      <w:r>
        <w:t xml:space="preserve">, which </w:t>
      </w:r>
      <w:r w:rsidR="00CB6E12">
        <w:t>is</w:t>
      </w:r>
      <w:r>
        <w:t xml:space="preserve"> the </w:t>
      </w:r>
      <w:r w:rsidR="003239E5">
        <w:t xml:space="preserve">principal </w:t>
      </w:r>
      <w:r>
        <w:t xml:space="preserve">focus of this report, Australia also provides support through </w:t>
      </w:r>
      <w:r w:rsidR="00CB6E12">
        <w:t>the Pacific regional program,</w:t>
      </w:r>
      <w:r>
        <w:t xml:space="preserve"> Australian Federal Police</w:t>
      </w:r>
      <w:r w:rsidR="00CB6E12">
        <w:t>,</w:t>
      </w:r>
      <w:r>
        <w:t xml:space="preserve"> and the Department of Home Affairs</w:t>
      </w:r>
      <w:r w:rsidR="00D64598">
        <w:t xml:space="preserve"> (Home Affairs provide non-ODA funding to support Nauru’s law enforcement, water production, and port operations</w:t>
      </w:r>
      <w:r w:rsidR="00C27E2E">
        <w:t>)</w:t>
      </w:r>
      <w:r w:rsidR="00D64598">
        <w:t>.</w:t>
      </w:r>
      <w:r w:rsidRPr="00B3624A">
        <w:t xml:space="preserve"> </w:t>
      </w:r>
    </w:p>
    <w:p w:rsidR="00BD6B7F" w:rsidRDefault="00BD6B7F" w:rsidP="00240C52">
      <w:pPr>
        <w:spacing w:before="60" w:after="120"/>
      </w:pPr>
      <w:r>
        <w:t xml:space="preserve">Nauru’s growth prospects are constrained by geographic isolation, a small population, and a narrow economic base. While revenue has increased over the past few years, driven by income from </w:t>
      </w:r>
      <w:r w:rsidR="00C27E2E">
        <w:t>regional processing operations</w:t>
      </w:r>
      <w:r>
        <w:t xml:space="preserve">, </w:t>
      </w:r>
      <w:r w:rsidR="00CB6E12">
        <w:t xml:space="preserve">further </w:t>
      </w:r>
      <w:r>
        <w:t>growth is expected to be modest</w:t>
      </w:r>
      <w:r w:rsidR="00CB6E12">
        <w:t xml:space="preserve">. </w:t>
      </w:r>
      <w:r>
        <w:t xml:space="preserve">Nauru continues to face challenges in translating </w:t>
      </w:r>
      <w:r w:rsidR="00CB6E12">
        <w:t>its</w:t>
      </w:r>
      <w:r>
        <w:t xml:space="preserve"> resources into human development outcomes. E</w:t>
      </w:r>
      <w:r w:rsidRPr="00CD48F0">
        <w:t xml:space="preserve">ducational outcomes in Nauru </w:t>
      </w:r>
      <w:r>
        <w:t>are</w:t>
      </w:r>
      <w:r w:rsidRPr="00CD48F0">
        <w:t xml:space="preserve"> poor</w:t>
      </w:r>
      <w:r>
        <w:t xml:space="preserve"> and </w:t>
      </w:r>
      <w:r w:rsidRPr="00C74220">
        <w:t xml:space="preserve">lag behind other </w:t>
      </w:r>
      <w:r>
        <w:t>Pacific</w:t>
      </w:r>
      <w:r w:rsidRPr="00C74220">
        <w:t xml:space="preserve"> </w:t>
      </w:r>
      <w:r>
        <w:t>i</w:t>
      </w:r>
      <w:r w:rsidRPr="00C74220">
        <w:t xml:space="preserve">sland </w:t>
      </w:r>
      <w:r>
        <w:t>countries</w:t>
      </w:r>
      <w:r w:rsidR="00CB6E12">
        <w:t xml:space="preserve"> and</w:t>
      </w:r>
      <w:r w:rsidR="00C27E2E">
        <w:t xml:space="preserve"> the</w:t>
      </w:r>
      <w:r w:rsidR="00CB6E12">
        <w:t xml:space="preserve"> p</w:t>
      </w:r>
      <w:r>
        <w:t xml:space="preserve">revalence of non-communicable diseases (NCDs) </w:t>
      </w:r>
      <w:r w:rsidR="00CB6E12">
        <w:t>is amongst the world’s highest</w:t>
      </w:r>
      <w:r>
        <w:t>.</w:t>
      </w:r>
      <w:r w:rsidR="00AE768C">
        <w:t xml:space="preserve"> Drawing from a population of 1</w:t>
      </w:r>
      <w:r w:rsidR="00240C52">
        <w:t>1</w:t>
      </w:r>
      <w:r w:rsidR="00AE768C">
        <w:t>,000,</w:t>
      </w:r>
      <w:r>
        <w:t xml:space="preserve"> </w:t>
      </w:r>
      <w:r w:rsidR="00254F79">
        <w:t xml:space="preserve">Nauru’s public sector </w:t>
      </w:r>
      <w:r w:rsidR="00CB6E12">
        <w:t>faces</w:t>
      </w:r>
      <w:r w:rsidR="00254F79">
        <w:t xml:space="preserve"> significant </w:t>
      </w:r>
      <w:r w:rsidR="00CB6E12">
        <w:t xml:space="preserve">capacity </w:t>
      </w:r>
      <w:r w:rsidR="00254F79">
        <w:t>constraints</w:t>
      </w:r>
      <w:r w:rsidR="00CB6E12">
        <w:t xml:space="preserve"> to manage it</w:t>
      </w:r>
      <w:r w:rsidR="00AE768C">
        <w:t>s resources and deliver services</w:t>
      </w:r>
      <w:r w:rsidR="00254F79">
        <w:t xml:space="preserve">. </w:t>
      </w:r>
      <w:r>
        <w:t xml:space="preserve">In this context, </w:t>
      </w:r>
      <w:r w:rsidRPr="00B73F3B">
        <w:t xml:space="preserve">Australia’s development </w:t>
      </w:r>
      <w:r>
        <w:t>partnership with</w:t>
      </w:r>
      <w:r w:rsidRPr="00B73F3B">
        <w:t xml:space="preserve"> Nauru </w:t>
      </w:r>
      <w:r>
        <w:t xml:space="preserve">aims to support </w:t>
      </w:r>
      <w:r w:rsidRPr="00B73F3B">
        <w:t>effective and accountable public sector management</w:t>
      </w:r>
      <w:r>
        <w:t xml:space="preserve">; nation-building infrastructure; and a healthy and educated population. Gender, disability inclusion and climate change resilience </w:t>
      </w:r>
      <w:r w:rsidR="00240C52">
        <w:t>are</w:t>
      </w:r>
      <w:r>
        <w:t xml:space="preserve"> cross-cutting priorities</w:t>
      </w:r>
      <w:r w:rsidR="00240C52">
        <w:t xml:space="preserve"> that are vital to deliver</w:t>
      </w:r>
      <w:r w:rsidR="00C27E2E">
        <w:t>ing</w:t>
      </w:r>
      <w:r w:rsidR="00240C52">
        <w:t xml:space="preserve"> inclusive development outcomes</w:t>
      </w:r>
      <w:r>
        <w:t xml:space="preserve">. </w:t>
      </w:r>
      <w:r w:rsidR="00D64598">
        <w:t>Remoteness</w:t>
      </w:r>
      <w:r w:rsidR="0062799E">
        <w:t xml:space="preserve"> and limited locally-available resources </w:t>
      </w:r>
      <w:r w:rsidR="00C27E2E">
        <w:t>present</w:t>
      </w:r>
      <w:r w:rsidR="0062799E">
        <w:t xml:space="preserve"> </w:t>
      </w:r>
      <w:r w:rsidR="00D64598">
        <w:t>challeng</w:t>
      </w:r>
      <w:r w:rsidR="00C27E2E">
        <w:t>es</w:t>
      </w:r>
      <w:r w:rsidR="0062799E">
        <w:t xml:space="preserve"> for programming efforts, which is reflected in the proportion of ODA </w:t>
      </w:r>
      <w:r w:rsidR="00D64598">
        <w:t xml:space="preserve">(20 per cent) </w:t>
      </w:r>
      <w:r w:rsidR="0062799E">
        <w:t xml:space="preserve">required for </w:t>
      </w:r>
      <w:r w:rsidR="00D64598">
        <w:t>logistical, coordination and evaluation support</w:t>
      </w:r>
      <w:r w:rsidR="0062799E">
        <w:t xml:space="preserve">. </w:t>
      </w:r>
    </w:p>
    <w:p w:rsidR="00BD6B7F" w:rsidRDefault="00BD6B7F" w:rsidP="00240C52">
      <w:pPr>
        <w:spacing w:before="60" w:after="120"/>
      </w:pPr>
      <w:r>
        <w:t>Australia is Nauru’s largest development, trade and investment partner, and our aid program is a significant component of Nauru’s development efforts. Assistance is primarily delivered through in-line adviser</w:t>
      </w:r>
      <w:r w:rsidRPr="00B73F3B">
        <w:t>s</w:t>
      </w:r>
      <w:r w:rsidR="0062799E">
        <w:t>,</w:t>
      </w:r>
      <w:r w:rsidRPr="00B73F3B">
        <w:t xml:space="preserve"> direct funding through government systems</w:t>
      </w:r>
      <w:r w:rsidR="0062799E">
        <w:t>, and</w:t>
      </w:r>
      <w:r w:rsidRPr="00B73F3B">
        <w:t xml:space="preserve"> infrastructure partnership</w:t>
      </w:r>
      <w:r>
        <w:t xml:space="preserve">s. </w:t>
      </w:r>
      <w:r w:rsidRPr="0091453A">
        <w:t>In 201</w:t>
      </w:r>
      <w:r>
        <w:t>8</w:t>
      </w:r>
      <w:r w:rsidRPr="0091453A">
        <w:t>-1</w:t>
      </w:r>
      <w:r>
        <w:t>9,</w:t>
      </w:r>
      <w:r w:rsidRPr="0091453A">
        <w:t xml:space="preserve"> Australia provided </w:t>
      </w:r>
      <w:r w:rsidRPr="003E6272">
        <w:t>$26.7 million</w:t>
      </w:r>
      <w:r w:rsidRPr="0091453A">
        <w:t xml:space="preserve"> in </w:t>
      </w:r>
      <w:r>
        <w:t>Official Development Assistance (</w:t>
      </w:r>
      <w:r w:rsidRPr="0091453A">
        <w:t>ODA</w:t>
      </w:r>
      <w:r>
        <w:t>)</w:t>
      </w:r>
      <w:r w:rsidRPr="0091453A">
        <w:t xml:space="preserve"> to Nauru – equivalent to </w:t>
      </w:r>
      <w:r w:rsidRPr="003E6272">
        <w:t>17 per cent</w:t>
      </w:r>
      <w:r w:rsidRPr="0091453A">
        <w:t xml:space="preserve"> of the Government of Nauru’s </w:t>
      </w:r>
      <w:r>
        <w:t>(</w:t>
      </w:r>
      <w:proofErr w:type="spellStart"/>
      <w:r>
        <w:t>GoN</w:t>
      </w:r>
      <w:proofErr w:type="spellEnd"/>
      <w:r>
        <w:t xml:space="preserve">) </w:t>
      </w:r>
      <w:r w:rsidRPr="0091453A">
        <w:t xml:space="preserve">budget expenditure of </w:t>
      </w:r>
      <w:r w:rsidRPr="003E6272">
        <w:t>$154.9 million</w:t>
      </w:r>
      <w:r w:rsidR="00BE506E">
        <w:t>.</w:t>
      </w:r>
      <w:r w:rsidR="0062799E">
        <w:t xml:space="preserve"> </w:t>
      </w:r>
      <w:r w:rsidR="00DC4348">
        <w:t>B</w:t>
      </w:r>
      <w:r w:rsidRPr="00B73F3B">
        <w:t xml:space="preserve">ilateral partners </w:t>
      </w:r>
      <w:r>
        <w:t>such as</w:t>
      </w:r>
      <w:r w:rsidRPr="00B73F3B">
        <w:t xml:space="preserve"> Taiwan </w:t>
      </w:r>
      <w:r w:rsidRPr="003E6272">
        <w:t>($12.8m</w:t>
      </w:r>
      <w:r w:rsidRPr="00B73F3B">
        <w:t xml:space="preserve">), Japan </w:t>
      </w:r>
      <w:r w:rsidRPr="003E6272">
        <w:t>($3.3m),</w:t>
      </w:r>
      <w:r w:rsidRPr="00B73F3B">
        <w:t xml:space="preserve"> </w:t>
      </w:r>
      <w:r>
        <w:t xml:space="preserve">and </w:t>
      </w:r>
      <w:r w:rsidRPr="00B73F3B">
        <w:t>New Zealand (</w:t>
      </w:r>
      <w:r w:rsidRPr="003E6272">
        <w:t>$3.2m)</w:t>
      </w:r>
      <w:r>
        <w:t xml:space="preserve"> are also supporting Nauru’s development agenda. M</w:t>
      </w:r>
      <w:r w:rsidRPr="003E6272">
        <w:t xml:space="preserve">ultilateral </w:t>
      </w:r>
      <w:r>
        <w:t xml:space="preserve">partners include </w:t>
      </w:r>
      <w:r w:rsidRPr="00B73F3B">
        <w:t>the Asian Development Bank</w:t>
      </w:r>
      <w:r>
        <w:t xml:space="preserve"> (ADB)</w:t>
      </w:r>
      <w:r w:rsidRPr="00B73F3B">
        <w:t xml:space="preserve"> </w:t>
      </w:r>
      <w:r>
        <w:t xml:space="preserve">($6.7m), the </w:t>
      </w:r>
      <w:r w:rsidRPr="00B73F3B">
        <w:t>European Union</w:t>
      </w:r>
      <w:r>
        <w:t>, UN agencies</w:t>
      </w:r>
      <w:r w:rsidR="00F06893">
        <w:t xml:space="preserve">, the </w:t>
      </w:r>
      <w:r w:rsidR="006E1C9E">
        <w:t>G</w:t>
      </w:r>
      <w:r w:rsidR="00F06893">
        <w:t xml:space="preserve">reen </w:t>
      </w:r>
      <w:r w:rsidR="006E1C9E">
        <w:t>C</w:t>
      </w:r>
      <w:r w:rsidR="00F06893">
        <w:t xml:space="preserve">limate </w:t>
      </w:r>
      <w:r w:rsidR="006E1C9E">
        <w:t>F</w:t>
      </w:r>
      <w:r w:rsidR="00F06893">
        <w:t>und</w:t>
      </w:r>
      <w:r>
        <w:t xml:space="preserve"> and the Global Environment Facility. </w:t>
      </w:r>
    </w:p>
    <w:p w:rsidR="00184F1E" w:rsidRPr="00D64598" w:rsidRDefault="00184F1E" w:rsidP="00D64598">
      <w:pPr>
        <w:pStyle w:val="ListBullet"/>
        <w:tabs>
          <w:tab w:val="clear" w:pos="284"/>
        </w:tabs>
        <w:spacing w:before="360" w:line="200" w:lineRule="exact"/>
        <w:rPr>
          <w:rFonts w:asciiTheme="majorHAnsi" w:eastAsiaTheme="majorEastAsia" w:hAnsiTheme="majorHAnsi" w:cstheme="majorBidi"/>
          <w:caps/>
          <w:color w:val="495965" w:themeColor="text2"/>
          <w:sz w:val="38"/>
          <w:szCs w:val="38"/>
          <w:lang w:val="en-GB" w:eastAsia="en-US"/>
        </w:rPr>
      </w:pPr>
      <w:r w:rsidRPr="00D64598">
        <w:rPr>
          <w:rFonts w:asciiTheme="majorHAnsi" w:eastAsiaTheme="majorEastAsia" w:hAnsiTheme="majorHAnsi" w:cstheme="majorBidi"/>
          <w:caps/>
          <w:color w:val="495965" w:themeColor="text2"/>
          <w:sz w:val="38"/>
          <w:szCs w:val="38"/>
          <w:lang w:val="en-GB" w:eastAsia="en-US"/>
        </w:rPr>
        <w:t>Expenditure</w:t>
      </w:r>
    </w:p>
    <w:p w:rsidR="00184F1E" w:rsidRPr="00F731B2" w:rsidRDefault="00184F1E" w:rsidP="00184F1E">
      <w:pPr>
        <w:rPr>
          <w:b/>
        </w:rPr>
      </w:pPr>
      <w:r w:rsidRPr="00F731B2">
        <w:rPr>
          <w:b/>
        </w:rPr>
        <w:t xml:space="preserve">Table </w:t>
      </w:r>
      <w:r w:rsidRPr="00F731B2">
        <w:rPr>
          <w:b/>
        </w:rPr>
        <w:fldChar w:fldCharType="begin"/>
      </w:r>
      <w:r w:rsidRPr="00F731B2">
        <w:rPr>
          <w:b/>
        </w:rPr>
        <w:instrText xml:space="preserve"> SEQ Table \* ARABIC </w:instrText>
      </w:r>
      <w:r w:rsidRPr="00F731B2">
        <w:rPr>
          <w:b/>
        </w:rPr>
        <w:fldChar w:fldCharType="separate"/>
      </w:r>
      <w:r w:rsidR="00AD15DC">
        <w:rPr>
          <w:b/>
          <w:noProof/>
        </w:rPr>
        <w:t>1</w:t>
      </w:r>
      <w:r w:rsidRPr="00F731B2">
        <w:rPr>
          <w:b/>
          <w:noProof/>
        </w:rPr>
        <w:fldChar w:fldCharType="end"/>
      </w:r>
      <w:r w:rsidRPr="00F731B2">
        <w:rPr>
          <w:b/>
        </w:rPr>
        <w:t xml:space="preserve"> Total ODA Expenditure in FY 201</w:t>
      </w:r>
      <w:r w:rsidR="00272B5F" w:rsidRPr="00F731B2">
        <w:rPr>
          <w:b/>
        </w:rPr>
        <w:t>8-19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BD6B7F" w:rsidTr="00BD6B7F">
        <w:tc>
          <w:tcPr>
            <w:tcW w:w="6374" w:type="dxa"/>
            <w:tcBorders>
              <w:top w:val="single" w:sz="12" w:space="0" w:color="auto"/>
              <w:left w:val="nil"/>
              <w:bottom w:val="nil"/>
              <w:right w:val="nil"/>
            </w:tcBorders>
            <w:hideMark/>
          </w:tcPr>
          <w:p w:rsidR="00BD6B7F" w:rsidRPr="00BD6B7F" w:rsidRDefault="00BD6B7F" w:rsidP="00D64598">
            <w:pPr>
              <w:spacing w:before="40" w:after="40"/>
              <w:rPr>
                <w:b/>
                <w:sz w:val="20"/>
                <w:szCs w:val="20"/>
              </w:rPr>
            </w:pPr>
            <w:r w:rsidRPr="00BD6B7F">
              <w:rPr>
                <w:b/>
                <w:sz w:val="20"/>
                <w:szCs w:val="20"/>
              </w:rPr>
              <w:t>Objectives</w:t>
            </w:r>
          </w:p>
        </w:tc>
        <w:tc>
          <w:tcPr>
            <w:tcW w:w="1423" w:type="dxa"/>
            <w:tcBorders>
              <w:top w:val="single" w:sz="12" w:space="0" w:color="auto"/>
              <w:left w:val="nil"/>
              <w:bottom w:val="nil"/>
              <w:right w:val="nil"/>
            </w:tcBorders>
            <w:hideMark/>
          </w:tcPr>
          <w:p w:rsidR="00BD6B7F" w:rsidRPr="00BD6B7F" w:rsidRDefault="00BD6B7F" w:rsidP="00D64598">
            <w:pPr>
              <w:spacing w:before="40" w:after="40"/>
              <w:rPr>
                <w:b/>
                <w:sz w:val="20"/>
                <w:szCs w:val="20"/>
              </w:rPr>
            </w:pPr>
            <w:r w:rsidRPr="00BD6B7F">
              <w:rPr>
                <w:b/>
                <w:sz w:val="20"/>
                <w:szCs w:val="20"/>
              </w:rPr>
              <w:t>A$ million</w:t>
            </w:r>
          </w:p>
        </w:tc>
        <w:tc>
          <w:tcPr>
            <w:tcW w:w="1417" w:type="dxa"/>
            <w:tcBorders>
              <w:top w:val="single" w:sz="12" w:space="0" w:color="auto"/>
              <w:left w:val="nil"/>
              <w:bottom w:val="nil"/>
              <w:right w:val="nil"/>
            </w:tcBorders>
            <w:hideMark/>
          </w:tcPr>
          <w:p w:rsidR="00BD6B7F" w:rsidRPr="00BD6B7F" w:rsidRDefault="00BD6B7F" w:rsidP="00D64598">
            <w:pPr>
              <w:spacing w:before="40" w:after="40"/>
              <w:jc w:val="center"/>
              <w:rPr>
                <w:b/>
                <w:sz w:val="20"/>
                <w:szCs w:val="20"/>
              </w:rPr>
            </w:pPr>
            <w:r w:rsidRPr="00BD6B7F">
              <w:rPr>
                <w:b/>
                <w:sz w:val="20"/>
                <w:szCs w:val="20"/>
              </w:rPr>
              <w:t>% of total ODA</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b/>
                <w:sz w:val="20"/>
                <w:szCs w:val="20"/>
              </w:rPr>
            </w:pPr>
            <w:r w:rsidRPr="00BD6B7F">
              <w:rPr>
                <w:sz w:val="20"/>
                <w:szCs w:val="20"/>
              </w:rPr>
              <w:t>1   Public Sector Management (including Nauru Trust Fund)</w:t>
            </w:r>
          </w:p>
        </w:tc>
        <w:tc>
          <w:tcPr>
            <w:tcW w:w="1423"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3.1</w:t>
            </w:r>
          </w:p>
        </w:tc>
        <w:tc>
          <w:tcPr>
            <w:tcW w:w="1417"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12</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b/>
                <w:sz w:val="20"/>
                <w:szCs w:val="20"/>
              </w:rPr>
            </w:pPr>
            <w:r w:rsidRPr="00BD6B7F">
              <w:rPr>
                <w:sz w:val="20"/>
                <w:szCs w:val="20"/>
              </w:rPr>
              <w:t xml:space="preserve">2   Infrastructure </w:t>
            </w:r>
          </w:p>
        </w:tc>
        <w:tc>
          <w:tcPr>
            <w:tcW w:w="1423" w:type="dxa"/>
            <w:tcBorders>
              <w:top w:val="nil"/>
              <w:left w:val="nil"/>
              <w:bottom w:val="nil"/>
              <w:right w:val="nil"/>
            </w:tcBorders>
            <w:hideMark/>
          </w:tcPr>
          <w:p w:rsidR="00BD6B7F" w:rsidRPr="00BD6B7F" w:rsidRDefault="00F731B2" w:rsidP="00D64598">
            <w:pPr>
              <w:spacing w:before="40" w:after="40"/>
              <w:jc w:val="center"/>
              <w:rPr>
                <w:sz w:val="20"/>
                <w:szCs w:val="20"/>
              </w:rPr>
            </w:pPr>
            <w:r>
              <w:rPr>
                <w:sz w:val="20"/>
                <w:szCs w:val="20"/>
              </w:rPr>
              <w:t>10.7</w:t>
            </w:r>
          </w:p>
        </w:tc>
        <w:tc>
          <w:tcPr>
            <w:tcW w:w="1417"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40</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b/>
                <w:sz w:val="20"/>
                <w:szCs w:val="20"/>
              </w:rPr>
            </w:pPr>
            <w:r w:rsidRPr="00BD6B7F">
              <w:rPr>
                <w:sz w:val="20"/>
                <w:szCs w:val="20"/>
              </w:rPr>
              <w:t>3.a  Human development: Education</w:t>
            </w:r>
          </w:p>
        </w:tc>
        <w:tc>
          <w:tcPr>
            <w:tcW w:w="1423" w:type="dxa"/>
            <w:tcBorders>
              <w:top w:val="nil"/>
              <w:left w:val="nil"/>
              <w:bottom w:val="nil"/>
              <w:right w:val="nil"/>
            </w:tcBorders>
            <w:hideMark/>
          </w:tcPr>
          <w:p w:rsidR="00BD6B7F" w:rsidRPr="00BD6B7F" w:rsidRDefault="00F731B2" w:rsidP="00D64598">
            <w:pPr>
              <w:spacing w:before="40" w:after="40"/>
              <w:jc w:val="center"/>
              <w:rPr>
                <w:sz w:val="20"/>
                <w:szCs w:val="20"/>
              </w:rPr>
            </w:pPr>
            <w:r>
              <w:rPr>
                <w:sz w:val="20"/>
                <w:szCs w:val="20"/>
              </w:rPr>
              <w:t>1.3</w:t>
            </w:r>
          </w:p>
        </w:tc>
        <w:tc>
          <w:tcPr>
            <w:tcW w:w="1417"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5</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b/>
                <w:sz w:val="20"/>
                <w:szCs w:val="20"/>
              </w:rPr>
            </w:pPr>
            <w:r w:rsidRPr="00BD6B7F">
              <w:rPr>
                <w:sz w:val="20"/>
                <w:szCs w:val="20"/>
              </w:rPr>
              <w:t>3.b  Human development: Health</w:t>
            </w:r>
          </w:p>
        </w:tc>
        <w:tc>
          <w:tcPr>
            <w:tcW w:w="1423"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0.7</w:t>
            </w:r>
          </w:p>
        </w:tc>
        <w:tc>
          <w:tcPr>
            <w:tcW w:w="1417"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3</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b/>
                <w:sz w:val="20"/>
                <w:szCs w:val="20"/>
              </w:rPr>
            </w:pPr>
            <w:r w:rsidRPr="00BD6B7F">
              <w:rPr>
                <w:sz w:val="20"/>
                <w:szCs w:val="20"/>
              </w:rPr>
              <w:t>Program management, coordination and evaluation</w:t>
            </w:r>
          </w:p>
        </w:tc>
        <w:tc>
          <w:tcPr>
            <w:tcW w:w="1423"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5.4</w:t>
            </w:r>
          </w:p>
        </w:tc>
        <w:tc>
          <w:tcPr>
            <w:tcW w:w="1417"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20</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b/>
                <w:sz w:val="20"/>
                <w:szCs w:val="20"/>
              </w:rPr>
            </w:pPr>
            <w:r w:rsidRPr="00BD6B7F">
              <w:rPr>
                <w:b/>
                <w:sz w:val="20"/>
                <w:szCs w:val="20"/>
              </w:rPr>
              <w:t>Sub-Total Bilateral</w:t>
            </w:r>
          </w:p>
        </w:tc>
        <w:tc>
          <w:tcPr>
            <w:tcW w:w="1423" w:type="dxa"/>
            <w:tcBorders>
              <w:top w:val="nil"/>
              <w:left w:val="nil"/>
              <w:bottom w:val="nil"/>
              <w:right w:val="nil"/>
            </w:tcBorders>
            <w:hideMark/>
          </w:tcPr>
          <w:p w:rsidR="00BD6B7F" w:rsidRPr="00BD6B7F" w:rsidRDefault="00BD6B7F" w:rsidP="00D64598">
            <w:pPr>
              <w:spacing w:before="40" w:after="40"/>
              <w:jc w:val="center"/>
              <w:rPr>
                <w:b/>
                <w:sz w:val="20"/>
                <w:szCs w:val="20"/>
              </w:rPr>
            </w:pPr>
            <w:r w:rsidRPr="00BD6B7F">
              <w:rPr>
                <w:b/>
                <w:sz w:val="20"/>
                <w:szCs w:val="20"/>
              </w:rPr>
              <w:t>21.2</w:t>
            </w:r>
          </w:p>
        </w:tc>
        <w:tc>
          <w:tcPr>
            <w:tcW w:w="1417" w:type="dxa"/>
            <w:tcBorders>
              <w:top w:val="nil"/>
              <w:left w:val="nil"/>
              <w:bottom w:val="nil"/>
              <w:right w:val="nil"/>
            </w:tcBorders>
            <w:hideMark/>
          </w:tcPr>
          <w:p w:rsidR="00BD6B7F" w:rsidRPr="00BD6B7F" w:rsidRDefault="00BD6B7F" w:rsidP="00D64598">
            <w:pPr>
              <w:spacing w:before="40" w:after="40"/>
              <w:jc w:val="center"/>
              <w:rPr>
                <w:b/>
                <w:sz w:val="20"/>
                <w:szCs w:val="20"/>
              </w:rPr>
            </w:pPr>
            <w:r w:rsidRPr="00BD6B7F">
              <w:rPr>
                <w:b/>
                <w:sz w:val="20"/>
                <w:szCs w:val="20"/>
              </w:rPr>
              <w:t>80</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sz w:val="20"/>
                <w:szCs w:val="20"/>
              </w:rPr>
            </w:pPr>
            <w:r w:rsidRPr="00BD6B7F">
              <w:rPr>
                <w:sz w:val="20"/>
                <w:szCs w:val="20"/>
              </w:rPr>
              <w:t>Regional</w:t>
            </w:r>
          </w:p>
        </w:tc>
        <w:tc>
          <w:tcPr>
            <w:tcW w:w="1423"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3.4</w:t>
            </w:r>
          </w:p>
        </w:tc>
        <w:tc>
          <w:tcPr>
            <w:tcW w:w="1417"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12</w:t>
            </w:r>
          </w:p>
        </w:tc>
      </w:tr>
      <w:tr w:rsidR="00BD6B7F" w:rsidTr="00BD6B7F">
        <w:tc>
          <w:tcPr>
            <w:tcW w:w="6374" w:type="dxa"/>
            <w:tcBorders>
              <w:top w:val="nil"/>
              <w:left w:val="nil"/>
              <w:bottom w:val="nil"/>
              <w:right w:val="nil"/>
            </w:tcBorders>
            <w:hideMark/>
          </w:tcPr>
          <w:p w:rsidR="00BD6B7F" w:rsidRPr="00BD6B7F" w:rsidRDefault="00BD6B7F" w:rsidP="00D64598">
            <w:pPr>
              <w:spacing w:before="40" w:after="40"/>
              <w:rPr>
                <w:sz w:val="20"/>
                <w:szCs w:val="20"/>
              </w:rPr>
            </w:pPr>
            <w:r w:rsidRPr="00BD6B7F">
              <w:rPr>
                <w:sz w:val="20"/>
                <w:szCs w:val="20"/>
              </w:rPr>
              <w:t>Other government departments</w:t>
            </w:r>
          </w:p>
        </w:tc>
        <w:tc>
          <w:tcPr>
            <w:tcW w:w="1423"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2.1</w:t>
            </w:r>
          </w:p>
        </w:tc>
        <w:tc>
          <w:tcPr>
            <w:tcW w:w="1417" w:type="dxa"/>
            <w:tcBorders>
              <w:top w:val="nil"/>
              <w:left w:val="nil"/>
              <w:bottom w:val="nil"/>
              <w:right w:val="nil"/>
            </w:tcBorders>
            <w:hideMark/>
          </w:tcPr>
          <w:p w:rsidR="00BD6B7F" w:rsidRPr="00BD6B7F" w:rsidRDefault="00BD6B7F" w:rsidP="00D64598">
            <w:pPr>
              <w:spacing w:before="40" w:after="40"/>
              <w:jc w:val="center"/>
              <w:rPr>
                <w:sz w:val="20"/>
                <w:szCs w:val="20"/>
              </w:rPr>
            </w:pPr>
            <w:r w:rsidRPr="00BD6B7F">
              <w:rPr>
                <w:sz w:val="20"/>
                <w:szCs w:val="20"/>
              </w:rPr>
              <w:t>8</w:t>
            </w:r>
          </w:p>
        </w:tc>
      </w:tr>
      <w:tr w:rsidR="00BD6B7F" w:rsidTr="00BD6B7F">
        <w:tc>
          <w:tcPr>
            <w:tcW w:w="6374" w:type="dxa"/>
            <w:tcBorders>
              <w:top w:val="nil"/>
              <w:left w:val="nil"/>
              <w:bottom w:val="single" w:sz="12" w:space="0" w:color="auto"/>
              <w:right w:val="nil"/>
            </w:tcBorders>
            <w:hideMark/>
          </w:tcPr>
          <w:p w:rsidR="00BD6B7F" w:rsidRPr="00BD6B7F" w:rsidRDefault="00BD6B7F" w:rsidP="00D64598">
            <w:pPr>
              <w:spacing w:before="40" w:after="40"/>
              <w:rPr>
                <w:b/>
                <w:sz w:val="20"/>
                <w:szCs w:val="20"/>
              </w:rPr>
            </w:pPr>
            <w:r w:rsidRPr="00BD6B7F">
              <w:rPr>
                <w:b/>
                <w:sz w:val="20"/>
                <w:szCs w:val="20"/>
              </w:rPr>
              <w:t>Total ODA Expenditure</w:t>
            </w:r>
          </w:p>
        </w:tc>
        <w:tc>
          <w:tcPr>
            <w:tcW w:w="1423" w:type="dxa"/>
            <w:tcBorders>
              <w:top w:val="nil"/>
              <w:left w:val="nil"/>
              <w:bottom w:val="single" w:sz="12" w:space="0" w:color="auto"/>
              <w:right w:val="nil"/>
            </w:tcBorders>
            <w:hideMark/>
          </w:tcPr>
          <w:p w:rsidR="00BD6B7F" w:rsidRPr="00BD6B7F" w:rsidRDefault="00BD6B7F" w:rsidP="00D64598">
            <w:pPr>
              <w:spacing w:before="40" w:after="40"/>
              <w:jc w:val="center"/>
              <w:rPr>
                <w:b/>
                <w:sz w:val="20"/>
                <w:szCs w:val="20"/>
              </w:rPr>
            </w:pPr>
            <w:r w:rsidRPr="00BD6B7F">
              <w:rPr>
                <w:b/>
                <w:sz w:val="20"/>
                <w:szCs w:val="20"/>
              </w:rPr>
              <w:t>26.7</w:t>
            </w:r>
          </w:p>
        </w:tc>
        <w:tc>
          <w:tcPr>
            <w:tcW w:w="1417" w:type="dxa"/>
            <w:tcBorders>
              <w:top w:val="nil"/>
              <w:left w:val="nil"/>
              <w:bottom w:val="single" w:sz="12" w:space="0" w:color="auto"/>
              <w:right w:val="nil"/>
            </w:tcBorders>
            <w:hideMark/>
          </w:tcPr>
          <w:p w:rsidR="00BD6B7F" w:rsidRPr="00BD6B7F" w:rsidRDefault="00BD6B7F" w:rsidP="00D64598">
            <w:pPr>
              <w:spacing w:before="40" w:after="40"/>
              <w:jc w:val="center"/>
              <w:rPr>
                <w:b/>
                <w:sz w:val="20"/>
                <w:szCs w:val="20"/>
              </w:rPr>
            </w:pPr>
            <w:r w:rsidRPr="00BD6B7F">
              <w:rPr>
                <w:b/>
                <w:sz w:val="20"/>
                <w:szCs w:val="20"/>
              </w:rPr>
              <w:t>100</w:t>
            </w:r>
          </w:p>
        </w:tc>
      </w:tr>
    </w:tbl>
    <w:p w:rsidR="005B5769" w:rsidRDefault="005B5769" w:rsidP="00323E53">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D29CD">
        <w:rPr>
          <w:rFonts w:asciiTheme="majorHAnsi" w:eastAsiaTheme="majorEastAsia" w:hAnsiTheme="majorHAnsi" w:cstheme="majorBidi"/>
          <w:caps/>
          <w:color w:val="495965" w:themeColor="text2"/>
          <w:sz w:val="38"/>
          <w:szCs w:val="38"/>
          <w:lang w:val="en-GB" w:eastAsia="en-US"/>
        </w:rPr>
        <w:lastRenderedPageBreak/>
        <w:t xml:space="preserve">Performance </w:t>
      </w:r>
      <w:r w:rsidR="006545B9" w:rsidRPr="00BD29CD">
        <w:rPr>
          <w:rFonts w:asciiTheme="majorHAnsi" w:eastAsiaTheme="majorEastAsia" w:hAnsiTheme="majorHAnsi" w:cstheme="majorBidi"/>
          <w:caps/>
          <w:color w:val="495965" w:themeColor="text2"/>
          <w:sz w:val="38"/>
          <w:szCs w:val="38"/>
          <w:lang w:val="en-GB" w:eastAsia="en-US"/>
        </w:rPr>
        <w:t xml:space="preserve">TOWARDS aip </w:t>
      </w:r>
      <w:r w:rsidRPr="00BD29CD">
        <w:rPr>
          <w:rFonts w:asciiTheme="majorHAnsi" w:eastAsiaTheme="majorEastAsia" w:hAnsiTheme="majorHAnsi" w:cstheme="majorBidi"/>
          <w:caps/>
          <w:color w:val="495965" w:themeColor="text2"/>
          <w:sz w:val="38"/>
          <w:szCs w:val="38"/>
          <w:lang w:val="en-GB" w:eastAsia="en-US"/>
        </w:rPr>
        <w:t>Objectives</w:t>
      </w:r>
    </w:p>
    <w:p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AD15DC">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4"/>
        <w:gridCol w:w="1416"/>
        <w:gridCol w:w="1419"/>
      </w:tblGrid>
      <w:tr w:rsidR="00436526" w:rsidRPr="00812509" w:rsidTr="00436526">
        <w:trPr>
          <w:cnfStyle w:val="000000010000" w:firstRow="0" w:lastRow="0" w:firstColumn="0" w:lastColumn="0" w:oddVBand="0" w:evenVBand="0" w:oddHBand="0" w:evenHBand="1" w:firstRowFirstColumn="0" w:firstRowLastColumn="0" w:lastRowFirstColumn="0" w:lastRowLastColumn="0"/>
          <w:trHeight w:val="651"/>
        </w:trPr>
        <w:tc>
          <w:tcPr>
            <w:tcW w:w="6622" w:type="dxa"/>
          </w:tcPr>
          <w:p w:rsidR="00436526" w:rsidRPr="00812509" w:rsidRDefault="00436526" w:rsidP="00436526">
            <w:pPr>
              <w:pStyle w:val="TableTextColumnHeading"/>
              <w:ind w:left="0"/>
            </w:pPr>
            <w:r w:rsidRPr="00812509">
              <w:rPr>
                <w:noProof/>
              </w:rPr>
              <w:drawing>
                <wp:anchor distT="0" distB="0" distL="114300" distR="114300" simplePos="0" relativeHeight="251680768" behindDoc="0" locked="0" layoutInCell="1" allowOverlap="1" wp14:anchorId="01EC88F5" wp14:editId="6A4EBEC5">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Pr>
          <w:p w:rsidR="00436526" w:rsidRPr="00812509" w:rsidRDefault="00436526" w:rsidP="00E65105">
            <w:pPr>
              <w:pStyle w:val="TableTextColumnHeading"/>
            </w:pPr>
            <w:r w:rsidRPr="00812509">
              <w:t>Previous Rating</w:t>
            </w:r>
          </w:p>
        </w:tc>
        <w:tc>
          <w:tcPr>
            <w:tcW w:w="1377" w:type="dxa"/>
          </w:tcPr>
          <w:p w:rsidR="00436526" w:rsidRPr="00812509" w:rsidRDefault="00436526" w:rsidP="00E65105">
            <w:pPr>
              <w:pStyle w:val="TableTextColumnHeading"/>
            </w:pPr>
            <w:r w:rsidRPr="00812509">
              <w:t>Current Rating</w:t>
            </w:r>
          </w:p>
        </w:tc>
      </w:tr>
      <w:tr w:rsidR="00BD6B7F" w:rsidRPr="00812509" w:rsidTr="00254F79">
        <w:trPr>
          <w:cnfStyle w:val="000000010000" w:firstRow="0" w:lastRow="0" w:firstColumn="0" w:lastColumn="0" w:oddVBand="0" w:evenVBand="0" w:oddHBand="0" w:evenHBand="1" w:firstRowFirstColumn="0" w:firstRowLastColumn="0" w:lastRowFirstColumn="0" w:lastRowLastColumn="0"/>
        </w:trPr>
        <w:tc>
          <w:tcPr>
            <w:tcW w:w="6622" w:type="dxa"/>
          </w:tcPr>
          <w:p w:rsidR="00BD6B7F" w:rsidRPr="00812509" w:rsidRDefault="00BD6B7F" w:rsidP="00BD6B7F">
            <w:pPr>
              <w:pStyle w:val="TableTextEntries"/>
              <w:rPr>
                <w:rFonts w:asciiTheme="minorHAnsi" w:hAnsiTheme="minorHAnsi"/>
              </w:rPr>
            </w:pPr>
            <w:r>
              <w:rPr>
                <w:rFonts w:asciiTheme="minorHAnsi" w:hAnsiTheme="minorHAnsi"/>
              </w:rPr>
              <w:t>Objective 1</w:t>
            </w:r>
            <w:r>
              <w:rPr>
                <w:lang w:val="en-US"/>
              </w:rPr>
              <w:t xml:space="preserve">   </w:t>
            </w:r>
            <w:r>
              <w:rPr>
                <w:rFonts w:asciiTheme="minorHAnsi" w:hAnsiTheme="minorHAnsi"/>
              </w:rPr>
              <w:t>Public sector management</w:t>
            </w:r>
          </w:p>
        </w:tc>
        <w:tc>
          <w:tcPr>
            <w:tcW w:w="1388" w:type="dxa"/>
            <w:shd w:val="clear" w:color="auto" w:fill="72AF2F"/>
            <w:noWrap/>
          </w:tcPr>
          <w:p w:rsidR="00BD6B7F" w:rsidRPr="00812509" w:rsidRDefault="00BD6B7F" w:rsidP="00BD6B7F">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77" w:type="dxa"/>
            <w:shd w:val="clear" w:color="auto" w:fill="72AF2F"/>
            <w:noWrap/>
          </w:tcPr>
          <w:p w:rsidR="00BD6B7F" w:rsidRPr="00812509" w:rsidRDefault="00BD6B7F" w:rsidP="00BD6B7F">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BD6B7F" w:rsidRPr="00812509" w:rsidTr="00254F79">
        <w:trPr>
          <w:cnfStyle w:val="000000010000" w:firstRow="0" w:lastRow="0" w:firstColumn="0" w:lastColumn="0" w:oddVBand="0" w:evenVBand="0" w:oddHBand="0" w:evenHBand="1" w:firstRowFirstColumn="0" w:firstRowLastColumn="0" w:lastRowFirstColumn="0" w:lastRowLastColumn="0"/>
        </w:trPr>
        <w:tc>
          <w:tcPr>
            <w:tcW w:w="6622" w:type="dxa"/>
          </w:tcPr>
          <w:p w:rsidR="00BD6B7F" w:rsidRPr="00812509" w:rsidRDefault="00BD6B7F" w:rsidP="00BD6B7F">
            <w:pPr>
              <w:pStyle w:val="TableTextEntries"/>
              <w:rPr>
                <w:rFonts w:asciiTheme="minorHAnsi" w:hAnsiTheme="minorHAnsi"/>
              </w:rPr>
            </w:pPr>
            <w:r>
              <w:rPr>
                <w:rFonts w:asciiTheme="minorHAnsi" w:hAnsiTheme="minorHAnsi"/>
              </w:rPr>
              <w:t xml:space="preserve">Objective 2 </w:t>
            </w:r>
            <w:r>
              <w:rPr>
                <w:lang w:val="en-US"/>
              </w:rPr>
              <w:t xml:space="preserve">  </w:t>
            </w:r>
            <w:r>
              <w:rPr>
                <w:rFonts w:asciiTheme="minorHAnsi" w:hAnsiTheme="minorHAnsi"/>
              </w:rPr>
              <w:t>Infrastructure</w:t>
            </w:r>
          </w:p>
        </w:tc>
        <w:tc>
          <w:tcPr>
            <w:tcW w:w="1388" w:type="dxa"/>
            <w:shd w:val="clear" w:color="auto" w:fill="72AF2F"/>
            <w:noWrap/>
          </w:tcPr>
          <w:p w:rsidR="00BD6B7F" w:rsidRPr="00812509" w:rsidRDefault="00BD6B7F" w:rsidP="00BD6B7F">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77" w:type="dxa"/>
            <w:shd w:val="clear" w:color="auto" w:fill="72AF2F"/>
            <w:noWrap/>
          </w:tcPr>
          <w:p w:rsidR="00BD6B7F" w:rsidRPr="00812509" w:rsidRDefault="00BD6B7F" w:rsidP="00BD6B7F">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BD6B7F" w:rsidRPr="00812509" w:rsidTr="00BD6B7F">
        <w:trPr>
          <w:cnfStyle w:val="000000010000" w:firstRow="0" w:lastRow="0" w:firstColumn="0" w:lastColumn="0" w:oddVBand="0" w:evenVBand="0" w:oddHBand="0" w:evenHBand="1" w:firstRowFirstColumn="0" w:firstRowLastColumn="0" w:lastRowFirstColumn="0" w:lastRowLastColumn="0"/>
        </w:trPr>
        <w:tc>
          <w:tcPr>
            <w:tcW w:w="6622" w:type="dxa"/>
          </w:tcPr>
          <w:p w:rsidR="00BD6B7F" w:rsidRPr="00812509" w:rsidRDefault="00BD6B7F" w:rsidP="00BD6B7F">
            <w:pPr>
              <w:pStyle w:val="TableTextEntries"/>
              <w:rPr>
                <w:rFonts w:asciiTheme="minorHAnsi" w:hAnsiTheme="minorHAnsi"/>
              </w:rPr>
            </w:pPr>
            <w:r>
              <w:rPr>
                <w:rFonts w:asciiTheme="minorHAnsi" w:hAnsiTheme="minorHAnsi"/>
              </w:rPr>
              <w:t xml:space="preserve">Objective 3 </w:t>
            </w:r>
            <w:r>
              <w:rPr>
                <w:lang w:val="en-US"/>
              </w:rPr>
              <w:t xml:space="preserve">  </w:t>
            </w:r>
            <w:r>
              <w:rPr>
                <w:rFonts w:asciiTheme="minorHAnsi" w:hAnsiTheme="minorHAnsi"/>
              </w:rPr>
              <w:t xml:space="preserve">Human Development </w:t>
            </w:r>
          </w:p>
        </w:tc>
        <w:tc>
          <w:tcPr>
            <w:tcW w:w="1388" w:type="dxa"/>
            <w:shd w:val="clear" w:color="auto" w:fill="auto"/>
            <w:noWrap/>
          </w:tcPr>
          <w:p w:rsidR="00BD6B7F" w:rsidRPr="00812509" w:rsidRDefault="00BD6B7F" w:rsidP="00BD6B7F">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1377" w:type="dxa"/>
            <w:shd w:val="clear" w:color="auto" w:fill="auto"/>
            <w:noWrap/>
          </w:tcPr>
          <w:p w:rsidR="00BD6B7F" w:rsidRPr="00812509" w:rsidRDefault="00BD6B7F" w:rsidP="00BD6B7F">
            <w:pPr>
              <w:pStyle w:val="TableTextEntries"/>
              <w:jc w:val="center"/>
              <w:rPr>
                <w:rFonts w:asciiTheme="minorHAnsi" w:hAnsiTheme="minorHAnsi"/>
                <w:color w:val="FFFFFF" w:themeColor="background1"/>
              </w:rPr>
            </w:pPr>
          </w:p>
        </w:tc>
      </w:tr>
      <w:tr w:rsidR="00BD6B7F" w:rsidRPr="00812509" w:rsidTr="00254F79">
        <w:trPr>
          <w:cnfStyle w:val="000000010000" w:firstRow="0" w:lastRow="0" w:firstColumn="0" w:lastColumn="0" w:oddVBand="0" w:evenVBand="0" w:oddHBand="0" w:evenHBand="1" w:firstRowFirstColumn="0" w:firstRowLastColumn="0" w:lastRowFirstColumn="0" w:lastRowLastColumn="0"/>
        </w:trPr>
        <w:tc>
          <w:tcPr>
            <w:tcW w:w="6622" w:type="dxa"/>
          </w:tcPr>
          <w:p w:rsidR="00BD6B7F" w:rsidRPr="00812509" w:rsidRDefault="00BD6B7F" w:rsidP="00BD6B7F">
            <w:pPr>
              <w:pStyle w:val="TableTextEntries"/>
              <w:rPr>
                <w:rFonts w:asciiTheme="minorHAnsi" w:hAnsiTheme="minorHAnsi"/>
              </w:rPr>
            </w:pPr>
            <w:r>
              <w:rPr>
                <w:rFonts w:asciiTheme="minorHAnsi" w:hAnsiTheme="minorHAnsi"/>
              </w:rPr>
              <w:t xml:space="preserve">                         -Improved Education</w:t>
            </w:r>
          </w:p>
        </w:tc>
        <w:tc>
          <w:tcPr>
            <w:tcW w:w="1388" w:type="dxa"/>
            <w:shd w:val="clear" w:color="auto" w:fill="72AF2F"/>
            <w:noWrap/>
          </w:tcPr>
          <w:p w:rsidR="00BD6B7F" w:rsidRPr="00812509" w:rsidRDefault="00BD6B7F" w:rsidP="00BD6B7F">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77" w:type="dxa"/>
            <w:shd w:val="clear" w:color="auto" w:fill="FF9900"/>
            <w:noWrap/>
          </w:tcPr>
          <w:p w:rsidR="00BD6B7F" w:rsidRPr="00812509" w:rsidRDefault="00BD6B7F" w:rsidP="00BD6B7F">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bl>
    <w:p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5B5769" w:rsidRPr="00C4114C" w:rsidRDefault="005B5769" w:rsidP="005B5769">
      <w:pPr>
        <w:pStyle w:val="Note"/>
      </w:pPr>
      <w:r w:rsidRPr="00C4114C">
        <w:t xml:space="preserve">  </w:t>
      </w:r>
    </w:p>
    <w:p w:rsidR="00695730" w:rsidRPr="00877607" w:rsidRDefault="00695730"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sidR="00436526">
        <w:rPr>
          <w:rFonts w:asciiTheme="majorHAnsi" w:eastAsiaTheme="majorEastAsia" w:hAnsiTheme="majorHAnsi" w:cstheme="majorBidi"/>
          <w:caps/>
          <w:sz w:val="32"/>
          <w:szCs w:val="32"/>
        </w:rPr>
        <w:t xml:space="preserve"> </w:t>
      </w:r>
      <w:r w:rsidR="00BD6B7F" w:rsidRPr="00BD6B7F">
        <w:rPr>
          <w:rFonts w:asciiTheme="majorHAnsi" w:eastAsiaTheme="majorEastAsia" w:hAnsiTheme="majorHAnsi" w:cstheme="majorBidi"/>
          <w:caps/>
          <w:sz w:val="32"/>
          <w:szCs w:val="32"/>
        </w:rPr>
        <w:t>MORE EFFECTIVE PUBLIC SECTOR MANAGEMENT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718"/>
        <w:gridCol w:w="1476"/>
        <w:gridCol w:w="1476"/>
        <w:gridCol w:w="1476"/>
      </w:tblGrid>
      <w:tr w:rsidR="00BD6B7F" w:rsidTr="00BD6B7F">
        <w:tc>
          <w:tcPr>
            <w:tcW w:w="2016" w:type="dxa"/>
            <w:hideMark/>
          </w:tcPr>
          <w:p w:rsidR="00BD6B7F" w:rsidRDefault="00BD6B7F">
            <w:pPr>
              <w:suppressAutoHyphens w:val="0"/>
              <w:spacing w:before="8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69F98C5E" wp14:editId="258AEC35">
                  <wp:extent cx="1133475" cy="7239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718" w:type="dxa"/>
            <w:hideMark/>
          </w:tcPr>
          <w:p w:rsidR="00BD6B7F" w:rsidRDefault="00BD6B7F">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D9482F8" wp14:editId="25715C81">
                  <wp:extent cx="609600" cy="609600"/>
                  <wp:effectExtent l="0" t="0" r="0" b="0"/>
                  <wp:docPr id="51" name="Picture 51"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DG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476" w:type="dxa"/>
            <w:hideMark/>
          </w:tcPr>
          <w:p w:rsidR="00BD6B7F" w:rsidRDefault="00BD6B7F">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8F696BC" wp14:editId="770163EA">
                  <wp:extent cx="609600" cy="609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476" w:type="dxa"/>
          </w:tcPr>
          <w:p w:rsidR="00BD6B7F" w:rsidRDefault="00BD6B7F">
            <w:pPr>
              <w:suppressAutoHyphens w:val="0"/>
              <w:spacing w:before="160" w:after="80" w:line="240" w:lineRule="auto"/>
              <w:jc w:val="center"/>
              <w:rPr>
                <w:rFonts w:asciiTheme="majorHAnsi" w:eastAsiaTheme="majorEastAsia" w:hAnsiTheme="majorHAnsi" w:cstheme="majorBidi"/>
                <w:caps/>
                <w:sz w:val="38"/>
                <w:szCs w:val="26"/>
              </w:rPr>
            </w:pPr>
          </w:p>
        </w:tc>
        <w:tc>
          <w:tcPr>
            <w:tcW w:w="1476" w:type="dxa"/>
          </w:tcPr>
          <w:p w:rsidR="00BD6B7F" w:rsidRDefault="00BD6B7F">
            <w:pPr>
              <w:suppressAutoHyphens w:val="0"/>
              <w:spacing w:before="160" w:after="80" w:line="240" w:lineRule="auto"/>
              <w:jc w:val="center"/>
              <w:rPr>
                <w:rFonts w:asciiTheme="majorHAnsi" w:eastAsiaTheme="majorEastAsia" w:hAnsiTheme="majorHAnsi" w:cstheme="majorBidi"/>
                <w:caps/>
                <w:sz w:val="38"/>
                <w:szCs w:val="26"/>
              </w:rPr>
            </w:pPr>
          </w:p>
        </w:tc>
      </w:tr>
    </w:tbl>
    <w:p w:rsidR="00BD6B7F" w:rsidRDefault="00BD6B7F" w:rsidP="00BD6B7F">
      <w:pPr>
        <w:spacing w:line="254" w:lineRule="auto"/>
        <w:rPr>
          <w:rFonts w:eastAsia="Calibri" w:cs="Times New Roman"/>
        </w:rPr>
      </w:pPr>
      <w:r>
        <w:rPr>
          <w:rFonts w:eastAsia="Calibri" w:cs="Times New Roman"/>
        </w:rPr>
        <w:t xml:space="preserve">Over 2018-19 Australia’s investment in public sector management has been rated ‘green’ on the basis of </w:t>
      </w:r>
      <w:r w:rsidR="006A20E0">
        <w:rPr>
          <w:rFonts w:eastAsia="Calibri" w:cs="Times New Roman"/>
        </w:rPr>
        <w:t xml:space="preserve">an </w:t>
      </w:r>
      <w:r>
        <w:rPr>
          <w:rFonts w:eastAsia="Calibri" w:cs="Times New Roman"/>
        </w:rPr>
        <w:t xml:space="preserve">independent </w:t>
      </w:r>
      <w:r w:rsidR="006A20E0">
        <w:rPr>
          <w:rFonts w:eastAsia="Calibri" w:cs="Times New Roman"/>
        </w:rPr>
        <w:t xml:space="preserve">review </w:t>
      </w:r>
      <w:r>
        <w:rPr>
          <w:rFonts w:eastAsia="Calibri" w:cs="Times New Roman"/>
        </w:rPr>
        <w:t>that</w:t>
      </w:r>
      <w:r w:rsidR="006A20E0">
        <w:rPr>
          <w:rFonts w:eastAsia="Calibri" w:cs="Times New Roman"/>
        </w:rPr>
        <w:t xml:space="preserve"> found</w:t>
      </w:r>
      <w:r>
        <w:rPr>
          <w:rFonts w:eastAsia="Calibri" w:cs="Times New Roman"/>
        </w:rPr>
        <w:t xml:space="preserve"> Australia’s support has made a significant contribution to strengthening Nauru’s financial management capacity and economic governance.</w:t>
      </w:r>
      <w:r>
        <w:rPr>
          <w:rFonts w:eastAsia="Calibri" w:cs="Times New Roman"/>
          <w:vertAlign w:val="superscript"/>
        </w:rPr>
        <w:footnoteReference w:id="1"/>
      </w:r>
      <w:r>
        <w:rPr>
          <w:rFonts w:eastAsia="Calibri" w:cs="Times New Roman"/>
        </w:rPr>
        <w:t xml:space="preserve"> While more limited progress has been made toward performance benchmarks (Annex B), these milestones were established before the 2018 evaluation and, as identified in the review, could be better aligned with Australia and Nauru’s mutual policy objectives. </w:t>
      </w:r>
      <w:r w:rsidRPr="00397A0B">
        <w:rPr>
          <w:rFonts w:eastAsia="Calibri" w:cs="Times New Roman"/>
        </w:rPr>
        <w:t>This will be achieved by developing a sector strategy</w:t>
      </w:r>
      <w:r w:rsidR="00930032">
        <w:rPr>
          <w:rFonts w:eastAsia="Calibri" w:cs="Times New Roman"/>
        </w:rPr>
        <w:t xml:space="preserve"> </w:t>
      </w:r>
      <w:r w:rsidRPr="00397A0B">
        <w:rPr>
          <w:rFonts w:eastAsia="Calibri" w:cs="Times New Roman"/>
        </w:rPr>
        <w:t>to align DFAT’s investments with Nauru’s NSDS.</w:t>
      </w:r>
      <w:r>
        <w:rPr>
          <w:rFonts w:eastAsia="Calibri" w:cs="Times New Roman"/>
        </w:rPr>
        <w:t xml:space="preserve"> </w:t>
      </w:r>
    </w:p>
    <w:p w:rsidR="00BD6B7F" w:rsidRPr="00B3624A" w:rsidRDefault="00BD6B7F" w:rsidP="00BD6B7F">
      <w:r>
        <w:rPr>
          <w:rFonts w:eastAsia="Calibri" w:cs="Times New Roman"/>
        </w:rPr>
        <w:t xml:space="preserve">DFAT’s public sector management support ($3.1 million, 12 per cent of Australian ODA) is comprised of technical and capacity support through advisers, and contributions to the Nauru Trust Fund (NTF). Advisers, engaged through the Pacific Technical Assistance Mechanism 2 (PACTAM2), included long term and short term personnel </w:t>
      </w:r>
      <w:r w:rsidR="003239E5">
        <w:rPr>
          <w:rFonts w:eastAsia="Calibri" w:cs="Times New Roman"/>
        </w:rPr>
        <w:t xml:space="preserve">playing critical roles </w:t>
      </w:r>
      <w:r>
        <w:rPr>
          <w:rFonts w:eastAsia="Calibri" w:cs="Times New Roman"/>
        </w:rPr>
        <w:t xml:space="preserve">in Treasury, Customs, National Revenue Office and Planning and Aid (PAD). Australia contributed $1.5 million in 2018-19 to the NTF (bringing total Australian investment since establishment to $13.5 million) which is invested to provide supplementary funding to the national budget from 2030. The NTF is a collaboration between Nauru, Australia, Taiwan, and New Zealand. Finally, </w:t>
      </w:r>
      <w:r>
        <w:t>Australia (in partnership with New Ze</w:t>
      </w:r>
      <w:r w:rsidR="00A219D9">
        <w:t>aland) provided assistance ($0.</w:t>
      </w:r>
      <w:r w:rsidR="00930032">
        <w:t>6</w:t>
      </w:r>
      <w:r>
        <w:t xml:space="preserve"> million) to</w:t>
      </w:r>
      <w:r w:rsidR="00DC4348">
        <w:t xml:space="preserve"> UNDP to</w:t>
      </w:r>
      <w:r>
        <w:t xml:space="preserve"> support</w:t>
      </w:r>
      <w:r w:rsidR="00DC4348">
        <w:t xml:space="preserve"> the Nauru</w:t>
      </w:r>
      <w:r>
        <w:t xml:space="preserve"> Electoral Commission </w:t>
      </w:r>
      <w:r w:rsidR="00BE506E">
        <w:t xml:space="preserve">to </w:t>
      </w:r>
      <w:r w:rsidR="00DC4348">
        <w:t xml:space="preserve">prepare for, and deliver, national elections in </w:t>
      </w:r>
      <w:r>
        <w:t>Nauru</w:t>
      </w:r>
      <w:r w:rsidR="00DC4348">
        <w:t xml:space="preserve"> in</w:t>
      </w:r>
      <w:r>
        <w:t xml:space="preserve"> 2019. </w:t>
      </w:r>
    </w:p>
    <w:p w:rsidR="00BD6B7F" w:rsidRDefault="00BD6B7F" w:rsidP="00BD6B7F">
      <w:pPr>
        <w:spacing w:line="254" w:lineRule="auto"/>
        <w:rPr>
          <w:rFonts w:eastAsia="Calibri" w:cs="Times New Roman"/>
        </w:rPr>
      </w:pPr>
      <w:r>
        <w:rPr>
          <w:rFonts w:eastAsia="Calibri" w:cs="Times New Roman"/>
        </w:rPr>
        <w:t>Highlights for 2018-19 include</w:t>
      </w:r>
      <w:r w:rsidR="00DC4348">
        <w:rPr>
          <w:rFonts w:eastAsia="Calibri" w:cs="Times New Roman"/>
        </w:rPr>
        <w:t>d</w:t>
      </w:r>
      <w:r>
        <w:rPr>
          <w:rFonts w:eastAsia="Calibri" w:cs="Times New Roman"/>
        </w:rPr>
        <w:t xml:space="preserve"> support that enabled </w:t>
      </w:r>
      <w:proofErr w:type="spellStart"/>
      <w:r>
        <w:rPr>
          <w:rFonts w:eastAsia="Calibri" w:cs="Times New Roman"/>
        </w:rPr>
        <w:t>GoN</w:t>
      </w:r>
      <w:proofErr w:type="spellEnd"/>
      <w:r>
        <w:rPr>
          <w:rFonts w:eastAsia="Calibri" w:cs="Times New Roman"/>
        </w:rPr>
        <w:t xml:space="preserve"> to consistently meet IMF’s cash buffer requirements; </w:t>
      </w:r>
      <w:r w:rsidR="00DC4348">
        <w:rPr>
          <w:rFonts w:eastAsia="Calibri" w:cs="Times New Roman"/>
        </w:rPr>
        <w:t>progress towards ratification and</w:t>
      </w:r>
      <w:r>
        <w:rPr>
          <w:rFonts w:eastAsia="Calibri" w:cs="Times New Roman"/>
        </w:rPr>
        <w:t xml:space="preserve"> implement</w:t>
      </w:r>
      <w:r w:rsidR="00DC4348">
        <w:rPr>
          <w:rFonts w:eastAsia="Calibri" w:cs="Times New Roman"/>
        </w:rPr>
        <w:t xml:space="preserve">ation of </w:t>
      </w:r>
      <w:r>
        <w:rPr>
          <w:rFonts w:eastAsia="Calibri" w:cs="Times New Roman"/>
        </w:rPr>
        <w:t xml:space="preserve">PACER Plus; new debt procedures, that resulted in a near perfect debt and lodgement outcome; and improved capacity within Nauru Customs, with local managers progressively taking on operational responsibilities. Advisers also continued support for implementation of Nauru’s first tax system, which was recognised regionally as a significant development for </w:t>
      </w:r>
      <w:r>
        <w:rPr>
          <w:rFonts w:eastAsia="Calibri" w:cs="Times New Roman"/>
        </w:rPr>
        <w:lastRenderedPageBreak/>
        <w:t>Nauru.</w:t>
      </w:r>
      <w:r>
        <w:rPr>
          <w:rFonts w:eastAsia="Calibri" w:cs="Times New Roman"/>
          <w:vertAlign w:val="superscript"/>
        </w:rPr>
        <w:footnoteReference w:id="2"/>
      </w:r>
      <w:r>
        <w:rPr>
          <w:rFonts w:eastAsia="Calibri" w:cs="Times New Roman"/>
        </w:rPr>
        <w:t xml:space="preserve"> Australia’s investment in</w:t>
      </w:r>
      <w:r w:rsidR="005526D8">
        <w:rPr>
          <w:rFonts w:eastAsia="Calibri" w:cs="Times New Roman"/>
        </w:rPr>
        <w:t>,</w:t>
      </w:r>
      <w:r>
        <w:rPr>
          <w:rFonts w:eastAsia="Calibri" w:cs="Times New Roman"/>
        </w:rPr>
        <w:t xml:space="preserve"> and oversight of</w:t>
      </w:r>
      <w:r w:rsidR="005526D8">
        <w:rPr>
          <w:rFonts w:eastAsia="Calibri" w:cs="Times New Roman"/>
        </w:rPr>
        <w:t>,</w:t>
      </w:r>
      <w:r>
        <w:rPr>
          <w:rFonts w:eastAsia="Calibri" w:cs="Times New Roman"/>
        </w:rPr>
        <w:t xml:space="preserve"> the NTF helped the fund reach $110 million in value, and supported the successful entry of New Zealand as a contributing Fund Committee member.</w:t>
      </w:r>
      <w:r>
        <w:rPr>
          <w:rStyle w:val="FootnoteReference"/>
          <w:rFonts w:eastAsia="Calibri" w:cs="Times New Roman"/>
        </w:rPr>
        <w:footnoteReference w:id="3"/>
      </w:r>
      <w:r>
        <w:rPr>
          <w:rFonts w:eastAsia="Calibri" w:cs="Times New Roman"/>
        </w:rPr>
        <w:t xml:space="preserve"> </w:t>
      </w:r>
    </w:p>
    <w:p w:rsidR="00BD6B7F" w:rsidRPr="00BD6B7F" w:rsidRDefault="00BD6B7F" w:rsidP="00BD6B7F">
      <w:pPr>
        <w:spacing w:line="254" w:lineRule="auto"/>
        <w:rPr>
          <w:rFonts w:eastAsia="Calibri" w:cs="Times New Roman"/>
        </w:rPr>
      </w:pPr>
      <w:r>
        <w:rPr>
          <w:rFonts w:eastAsia="Calibri" w:cs="Times New Roman"/>
        </w:rPr>
        <w:t>Australian-supported advisers are instrumental in</w:t>
      </w:r>
      <w:r w:rsidR="009F0969">
        <w:rPr>
          <w:rFonts w:eastAsia="Calibri" w:cs="Times New Roman"/>
        </w:rPr>
        <w:t xml:space="preserve"> delivering</w:t>
      </w:r>
      <w:r>
        <w:rPr>
          <w:rFonts w:eastAsia="Calibri" w:cs="Times New Roman"/>
        </w:rPr>
        <w:t xml:space="preserve"> incremental progress t</w:t>
      </w:r>
      <w:r w:rsidR="009F0969">
        <w:rPr>
          <w:rFonts w:eastAsia="Calibri" w:cs="Times New Roman"/>
        </w:rPr>
        <w:t>owards</w:t>
      </w:r>
      <w:r>
        <w:rPr>
          <w:rFonts w:eastAsia="Calibri" w:cs="Times New Roman"/>
        </w:rPr>
        <w:t xml:space="preserve"> improv</w:t>
      </w:r>
      <w:r w:rsidR="009F0969">
        <w:rPr>
          <w:rFonts w:eastAsia="Calibri" w:cs="Times New Roman"/>
        </w:rPr>
        <w:t>ing</w:t>
      </w:r>
      <w:r>
        <w:rPr>
          <w:rFonts w:eastAsia="Calibri" w:cs="Times New Roman"/>
        </w:rPr>
        <w:t xml:space="preserve"> Nauru’s fiscal discipline, </w:t>
      </w:r>
      <w:r w:rsidR="009F0969">
        <w:rPr>
          <w:rFonts w:eastAsia="Calibri" w:cs="Times New Roman"/>
        </w:rPr>
        <w:t xml:space="preserve">more efficient </w:t>
      </w:r>
      <w:r>
        <w:rPr>
          <w:rFonts w:eastAsia="Calibri" w:cs="Times New Roman"/>
        </w:rPr>
        <w:t>allocat</w:t>
      </w:r>
      <w:r w:rsidR="005C4130">
        <w:rPr>
          <w:rFonts w:eastAsia="Calibri" w:cs="Times New Roman"/>
        </w:rPr>
        <w:t>ion of</w:t>
      </w:r>
      <w:r>
        <w:rPr>
          <w:rFonts w:eastAsia="Calibri" w:cs="Times New Roman"/>
        </w:rPr>
        <w:t xml:space="preserve"> resources, and strengthening accountability and transparency through leading roles in budget preparation, financial reporting and customs operations. Progress against benchmarks and more systemic change continues to be constrained by broader challenges, including capacity gaps and the need for </w:t>
      </w:r>
      <w:proofErr w:type="spellStart"/>
      <w:r>
        <w:rPr>
          <w:rFonts w:eastAsia="Calibri" w:cs="Times New Roman"/>
        </w:rPr>
        <w:t>GoN</w:t>
      </w:r>
      <w:proofErr w:type="spellEnd"/>
      <w:r>
        <w:rPr>
          <w:rFonts w:eastAsia="Calibri" w:cs="Times New Roman"/>
        </w:rPr>
        <w:t>-led public sector reform, and is therefore in line with expectations.</w:t>
      </w:r>
      <w:r>
        <w:rPr>
          <w:rFonts w:eastAsia="Calibri" w:cs="Times New Roman"/>
          <w:vertAlign w:val="superscript"/>
        </w:rPr>
        <w:footnoteReference w:id="4"/>
      </w:r>
      <w:r>
        <w:rPr>
          <w:rFonts w:eastAsia="Calibri" w:cs="Times New Roman"/>
        </w:rPr>
        <w:t xml:space="preserve"> </w:t>
      </w:r>
      <w:r w:rsidR="007C4717">
        <w:rPr>
          <w:rFonts w:eastAsia="Calibri" w:cs="Times New Roman"/>
        </w:rPr>
        <w:t xml:space="preserve">A key area for improvement under this objective is progress on gender equality </w:t>
      </w:r>
      <w:r w:rsidR="00E5163B">
        <w:rPr>
          <w:rFonts w:eastAsia="Calibri" w:cs="Times New Roman"/>
        </w:rPr>
        <w:t xml:space="preserve">and disability inclusion </w:t>
      </w:r>
      <w:r w:rsidR="007C4717">
        <w:rPr>
          <w:rFonts w:eastAsia="Calibri" w:cs="Times New Roman"/>
        </w:rPr>
        <w:t>outcomes</w:t>
      </w:r>
      <w:r w:rsidR="00E5163B">
        <w:rPr>
          <w:rFonts w:eastAsia="Calibri" w:cs="Times New Roman"/>
        </w:rPr>
        <w:t xml:space="preserve">. Australia has </w:t>
      </w:r>
      <w:r w:rsidR="009F0969">
        <w:rPr>
          <w:rFonts w:eastAsia="Calibri" w:cs="Times New Roman"/>
        </w:rPr>
        <w:t xml:space="preserve">supported </w:t>
      </w:r>
      <w:proofErr w:type="spellStart"/>
      <w:r w:rsidR="009F0969">
        <w:rPr>
          <w:rFonts w:eastAsia="Calibri" w:cs="Times New Roman"/>
        </w:rPr>
        <w:t>GoN</w:t>
      </w:r>
      <w:proofErr w:type="spellEnd"/>
      <w:r w:rsidR="009F0969">
        <w:rPr>
          <w:rFonts w:eastAsia="Calibri" w:cs="Times New Roman"/>
        </w:rPr>
        <w:t xml:space="preserve"> in these areas</w:t>
      </w:r>
      <w:r w:rsidR="00E5163B">
        <w:rPr>
          <w:rFonts w:eastAsia="Calibri" w:cs="Times New Roman"/>
        </w:rPr>
        <w:t>, such as</w:t>
      </w:r>
      <w:r w:rsidR="009F0969">
        <w:rPr>
          <w:rFonts w:eastAsia="Calibri" w:cs="Times New Roman"/>
        </w:rPr>
        <w:t xml:space="preserve"> through</w:t>
      </w:r>
      <w:r w:rsidR="00E5163B">
        <w:rPr>
          <w:rFonts w:eastAsia="Calibri" w:cs="Times New Roman"/>
        </w:rPr>
        <w:t xml:space="preserve"> a review of gender training for advisers and inclusion of gender for adviser reporting, but more work is required to see progress. </w:t>
      </w:r>
      <w:r w:rsidRPr="00397A0B">
        <w:rPr>
          <w:rFonts w:eastAsia="Calibri" w:cs="Times New Roman"/>
        </w:rPr>
        <w:t>Australia will continue to work with Nauru to strengthen the strategic framework for Australia’s public sector and financial management support</w:t>
      </w:r>
      <w:r w:rsidR="00E5163B" w:rsidRPr="00397A0B">
        <w:rPr>
          <w:rFonts w:eastAsia="Calibri" w:cs="Times New Roman"/>
        </w:rPr>
        <w:t xml:space="preserve"> and pursue strengthened gender equality and disability inclusion outcomes, in line with the recommendations</w:t>
      </w:r>
      <w:r w:rsidR="009F0969">
        <w:rPr>
          <w:rFonts w:eastAsia="Calibri" w:cs="Times New Roman"/>
        </w:rPr>
        <w:t xml:space="preserve"> of the 2018 review</w:t>
      </w:r>
      <w:r w:rsidR="00E5163B" w:rsidRPr="00397A0B">
        <w:rPr>
          <w:rFonts w:eastAsia="Calibri" w:cs="Times New Roman"/>
        </w:rPr>
        <w:t xml:space="preserve"> and DFAT’s management response</w:t>
      </w:r>
      <w:r w:rsidRPr="00397A0B">
        <w:rPr>
          <w:rFonts w:eastAsia="Calibri" w:cs="Times New Roman"/>
        </w:rPr>
        <w:t>.</w:t>
      </w:r>
    </w:p>
    <w:p w:rsidR="006545B9" w:rsidRPr="00877607" w:rsidRDefault="006545B9"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00BD6B7F">
        <w:rPr>
          <w:rFonts w:asciiTheme="majorHAnsi" w:eastAsiaTheme="majorEastAsia" w:hAnsiTheme="majorHAnsi" w:cstheme="majorBidi"/>
          <w:caps/>
          <w:sz w:val="32"/>
          <w:szCs w:val="32"/>
        </w:rPr>
        <w:t xml:space="preserve"> INVESTING IN INFRASTRUCTURE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467"/>
        <w:gridCol w:w="1493"/>
        <w:gridCol w:w="1609"/>
        <w:gridCol w:w="1610"/>
        <w:gridCol w:w="1443"/>
      </w:tblGrid>
      <w:tr w:rsidR="00BD6B7F" w:rsidTr="00BD6B7F">
        <w:tc>
          <w:tcPr>
            <w:tcW w:w="2016" w:type="dxa"/>
            <w:hideMark/>
          </w:tcPr>
          <w:p w:rsidR="00BD6B7F" w:rsidRDefault="00BD6B7F">
            <w:pPr>
              <w:suppressAutoHyphens w:val="0"/>
              <w:spacing w:before="8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0B62FC00" wp14:editId="6F6A465E">
                  <wp:extent cx="1133475" cy="7239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467" w:type="dxa"/>
            <w:hideMark/>
          </w:tcPr>
          <w:p w:rsidR="00BD6B7F" w:rsidRDefault="00BD6B7F">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B1A7118" wp14:editId="207183C2">
                  <wp:extent cx="6096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493" w:type="dxa"/>
            <w:hideMark/>
          </w:tcPr>
          <w:p w:rsidR="00BD6B7F" w:rsidRDefault="00BD6B7F">
            <w:pPr>
              <w:suppressAutoHyphens w:val="0"/>
              <w:spacing w:before="160" w:after="80" w:line="240" w:lineRule="auto"/>
              <w:jc w:val="center"/>
              <w:rPr>
                <w:noProof/>
                <w:lang w:val="en-AU" w:eastAsia="en-AU"/>
              </w:rPr>
            </w:pPr>
            <w:r>
              <w:rPr>
                <w:noProof/>
                <w:lang w:val="en-AU" w:eastAsia="en-AU"/>
              </w:rPr>
              <w:drawing>
                <wp:inline distT="0" distB="0" distL="0" distR="0" wp14:anchorId="3DD85B61" wp14:editId="30367108">
                  <wp:extent cx="6096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09" w:type="dxa"/>
            <w:hideMark/>
          </w:tcPr>
          <w:p w:rsidR="00BD6B7F" w:rsidRDefault="00BD6B7F">
            <w:pPr>
              <w:suppressAutoHyphens w:val="0"/>
              <w:spacing w:before="160" w:after="80" w:line="240" w:lineRule="auto"/>
              <w:jc w:val="center"/>
              <w:rPr>
                <w:noProof/>
                <w:lang w:val="en-AU" w:eastAsia="en-AU"/>
              </w:rPr>
            </w:pPr>
            <w:r>
              <w:rPr>
                <w:noProof/>
                <w:lang w:val="en-AU" w:eastAsia="en-AU"/>
              </w:rPr>
              <w:drawing>
                <wp:inline distT="0" distB="0" distL="0" distR="0" wp14:anchorId="339AFCC0" wp14:editId="5BDF181B">
                  <wp:extent cx="609600" cy="609600"/>
                  <wp:effectExtent l="0" t="0" r="0" b="0"/>
                  <wp:docPr id="55" name="Picture 55"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DG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10" w:type="dxa"/>
            <w:hideMark/>
          </w:tcPr>
          <w:p w:rsidR="00BD6B7F" w:rsidRDefault="00BD6B7F">
            <w:pPr>
              <w:suppressAutoHyphens w:val="0"/>
              <w:spacing w:before="16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18ACB328" wp14:editId="3461B5DC">
                  <wp:extent cx="609600" cy="609600"/>
                  <wp:effectExtent l="0" t="0" r="0" b="0"/>
                  <wp:docPr id="54" name="Picture 54" descr="sdg-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g-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443" w:type="dxa"/>
            <w:hideMark/>
          </w:tcPr>
          <w:p w:rsidR="00BD6B7F" w:rsidRDefault="00BD6B7F">
            <w:pPr>
              <w:suppressAutoHyphens w:val="0"/>
              <w:spacing w:before="160" w:after="80" w:line="240" w:lineRule="auto"/>
              <w:jc w:val="center"/>
              <w:rPr>
                <w:noProof/>
                <w:lang w:val="en-AU" w:eastAsia="en-AU"/>
              </w:rPr>
            </w:pPr>
            <w:r>
              <w:rPr>
                <w:noProof/>
                <w:lang w:val="en-AU" w:eastAsia="en-AU"/>
              </w:rPr>
              <w:drawing>
                <wp:inline distT="0" distB="0" distL="0" distR="0" wp14:anchorId="238A98D5" wp14:editId="1715EA0A">
                  <wp:extent cx="609600" cy="609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rsidR="00BD6B7F" w:rsidRDefault="00BD6B7F" w:rsidP="00BD6B7F">
      <w:r>
        <w:t>Australian support for infrastructure in Nauru is rated ‘green’ on the basis of achievement</w:t>
      </w:r>
      <w:r w:rsidR="00931E0B">
        <w:t>s against</w:t>
      </w:r>
      <w:r>
        <w:t xml:space="preserve"> performance benchmarks (Annex B) and independent assessment that Australian-supported projects are highly relevant and effective, or likely to be effective on completion.</w:t>
      </w:r>
      <w:r>
        <w:rPr>
          <w:rStyle w:val="FootnoteReference"/>
        </w:rPr>
        <w:footnoteReference w:id="5"/>
      </w:r>
    </w:p>
    <w:p w:rsidR="00BD6B7F" w:rsidRDefault="00AF18C7" w:rsidP="00BD6B7F">
      <w:r>
        <w:t>Climate-resilient i</w:t>
      </w:r>
      <w:r w:rsidR="00E976C7">
        <w:t>nfrastructure is Australia’s largest investment, comprising around half of Australia’s bilateral program ($10.7 million)</w:t>
      </w:r>
      <w:r w:rsidR="00BD6B7F">
        <w:t>. This assistance contributed to vital infrastructure partnerships</w:t>
      </w:r>
      <w:r w:rsidR="00931E0B">
        <w:t xml:space="preserve"> including</w:t>
      </w:r>
      <w:r w:rsidR="00BD6B7F">
        <w:t xml:space="preserve"> the Port redevelopment (</w:t>
      </w:r>
      <w:r w:rsidR="004311BD">
        <w:t>$6 million</w:t>
      </w:r>
      <w:r w:rsidR="00BD6B7F">
        <w:t xml:space="preserve"> in 2018-19, $</w:t>
      </w:r>
      <w:r w:rsidR="004311BD">
        <w:t xml:space="preserve">18.25 million in total) and </w:t>
      </w:r>
      <w:r w:rsidR="00BD6B7F">
        <w:t>Sports Complex (</w:t>
      </w:r>
      <w:r w:rsidR="004311BD">
        <w:t>$1.5 million in 2018-19, $4.9</w:t>
      </w:r>
      <w:r w:rsidR="00BD6B7F">
        <w:t xml:space="preserve"> million total). Australia also provides</w:t>
      </w:r>
      <w:r w:rsidR="004311BD">
        <w:t xml:space="preserve"> ongoing support including:</w:t>
      </w:r>
      <w:r w:rsidR="00BD6B7F">
        <w:t xml:space="preserve"> technical assistance through a PACTAM adviser placed as CEO of the Nauru Utilities Corporation (NUC)</w:t>
      </w:r>
      <w:r w:rsidR="004311BD">
        <w:t>; support for the Learning Village;</w:t>
      </w:r>
      <w:r w:rsidR="00BD6B7F">
        <w:t xml:space="preserve"> and </w:t>
      </w:r>
      <w:r w:rsidR="004311BD">
        <w:t>supporting</w:t>
      </w:r>
      <w:r w:rsidR="00BD6B7F">
        <w:t xml:space="preserve"> improved governance and operations of the Port Authority of Nauru through the Asian Development Bank. </w:t>
      </w:r>
    </w:p>
    <w:p w:rsidR="00BD6B7F" w:rsidRPr="00A02FD2" w:rsidRDefault="00BD6B7F" w:rsidP="00E976C7">
      <w:r>
        <w:t>Two key</w:t>
      </w:r>
      <w:r w:rsidRPr="00A02FD2">
        <w:t xml:space="preserve"> projects in the 2018-19 reporting period are on track against </w:t>
      </w:r>
      <w:r w:rsidR="00E976C7">
        <w:t xml:space="preserve">expected progress. </w:t>
      </w:r>
      <w:r w:rsidR="00931E0B">
        <w:t>T</w:t>
      </w:r>
      <w:r w:rsidR="00E976C7">
        <w:t xml:space="preserve">he </w:t>
      </w:r>
      <w:r w:rsidRPr="00A02FD2">
        <w:t>Nauru port redevelopment</w:t>
      </w:r>
      <w:r w:rsidR="00E976C7">
        <w:t xml:space="preserve"> (</w:t>
      </w:r>
      <w:r w:rsidRPr="00A02FD2">
        <w:t>a</w:t>
      </w:r>
      <w:r>
        <w:t xml:space="preserve"> partnership between Nauru, Australia,</w:t>
      </w:r>
      <w:r w:rsidR="00E976C7">
        <w:t xml:space="preserve"> ADB and the Green Climate Fund)</w:t>
      </w:r>
      <w:r>
        <w:t xml:space="preserve"> </w:t>
      </w:r>
      <w:r w:rsidR="00E976C7">
        <w:t>has selected a</w:t>
      </w:r>
      <w:r w:rsidRPr="00A02FD2">
        <w:t xml:space="preserve"> service provider </w:t>
      </w:r>
      <w:r>
        <w:t>for construction</w:t>
      </w:r>
      <w:r w:rsidRPr="00A02FD2">
        <w:t xml:space="preserve">, and inception work began in February 2019. </w:t>
      </w:r>
      <w:r>
        <w:t xml:space="preserve">Australia’s oversight has contributed to a robust planning process that was assessed as enabling the project to </w:t>
      </w:r>
      <w:r w:rsidR="00931E0B">
        <w:t>achieve</w:t>
      </w:r>
      <w:r>
        <w:t xml:space="preserve"> effective outcomes</w:t>
      </w:r>
      <w:r w:rsidR="00E976C7">
        <w:t xml:space="preserve">, including ensuring </w:t>
      </w:r>
      <w:r w:rsidR="00E976C7" w:rsidRPr="004C3580">
        <w:t>that the design is climate resilient</w:t>
      </w:r>
      <w:r>
        <w:t>.</w:t>
      </w:r>
      <w:r>
        <w:rPr>
          <w:rStyle w:val="FootnoteReference"/>
        </w:rPr>
        <w:footnoteReference w:id="6"/>
      </w:r>
      <w:r>
        <w:t xml:space="preserve"> </w:t>
      </w:r>
      <w:r w:rsidRPr="00397A0B">
        <w:t>Australia</w:t>
      </w:r>
      <w:r w:rsidR="00FD64C4" w:rsidRPr="00397A0B">
        <w:t xml:space="preserve"> has engaged in policy dialogue to strengthen the project’s Gender Action Plan</w:t>
      </w:r>
      <w:r w:rsidR="00C94347" w:rsidRPr="00397A0B">
        <w:t xml:space="preserve"> and advocate</w:t>
      </w:r>
      <w:r w:rsidR="00E976C7">
        <w:t>d</w:t>
      </w:r>
      <w:r w:rsidR="00C94347" w:rsidRPr="00397A0B">
        <w:t xml:space="preserve"> for increased inclusion of women in planning processes. Close monitoring</w:t>
      </w:r>
      <w:r w:rsidRPr="00397A0B">
        <w:t xml:space="preserve"> </w:t>
      </w:r>
      <w:r w:rsidR="00C94347" w:rsidRPr="00397A0B">
        <w:t xml:space="preserve">of the </w:t>
      </w:r>
      <w:r w:rsidRPr="00397A0B">
        <w:t>gender action plan</w:t>
      </w:r>
      <w:r w:rsidR="00C94347" w:rsidRPr="00397A0B">
        <w:t>’s implementation will be an ongoing priority</w:t>
      </w:r>
      <w:r w:rsidRPr="00397A0B">
        <w:t>.</w:t>
      </w:r>
      <w:r w:rsidR="00E976C7">
        <w:t xml:space="preserve"> </w:t>
      </w:r>
      <w:r w:rsidR="00931E0B">
        <w:t>T</w:t>
      </w:r>
      <w:r w:rsidR="00E976C7">
        <w:t>he Community Sports Complex (</w:t>
      </w:r>
      <w:r>
        <w:t>a</w:t>
      </w:r>
      <w:r w:rsidR="00E976C7">
        <w:t>n Australia-Nauru</w:t>
      </w:r>
      <w:r w:rsidR="00E976C7" w:rsidRPr="00E976C7">
        <w:t xml:space="preserve"> </w:t>
      </w:r>
      <w:r w:rsidR="00E976C7">
        <w:t>partnership)</w:t>
      </w:r>
      <w:r w:rsidR="00931E0B">
        <w:t xml:space="preserve"> was </w:t>
      </w:r>
      <w:r>
        <w:t>for</w:t>
      </w:r>
      <w:r w:rsidR="00E976C7">
        <w:t xml:space="preserve">mally opened in September 2018, </w:t>
      </w:r>
      <w:r w:rsidR="00931E0B">
        <w:t>and</w:t>
      </w:r>
      <w:r w:rsidR="00E976C7">
        <w:t xml:space="preserve"> </w:t>
      </w:r>
      <w:r>
        <w:t>assessed as fit-for-purpose, including responding to cross-cutting issues such as climate resilience, gender considerations, and disability inclusion.</w:t>
      </w:r>
      <w:r>
        <w:rPr>
          <w:rStyle w:val="FootnoteReference"/>
        </w:rPr>
        <w:footnoteReference w:id="7"/>
      </w:r>
      <w:r>
        <w:t xml:space="preserve"> </w:t>
      </w:r>
      <w:r w:rsidRPr="00A02FD2">
        <w:t>Australia co</w:t>
      </w:r>
      <w:r w:rsidR="00E976C7">
        <w:t>ntinues to oversee progress on</w:t>
      </w:r>
      <w:r w:rsidRPr="00A02FD2">
        <w:t xml:space="preserve"> long-term</w:t>
      </w:r>
      <w:r w:rsidR="00E976C7">
        <w:t>, inclusive</w:t>
      </w:r>
      <w:r w:rsidRPr="00A02FD2">
        <w:t xml:space="preserve"> </w:t>
      </w:r>
      <w:r>
        <w:lastRenderedPageBreak/>
        <w:t xml:space="preserve">utilisation </w:t>
      </w:r>
      <w:r w:rsidRPr="00A02FD2">
        <w:t xml:space="preserve">and maintenance. </w:t>
      </w:r>
      <w:r w:rsidRPr="00397A0B">
        <w:t xml:space="preserve">Further monitoring will be required to capture </w:t>
      </w:r>
      <w:r w:rsidR="003239E5">
        <w:t xml:space="preserve">the Sports Complex’s </w:t>
      </w:r>
      <w:r w:rsidRPr="00397A0B">
        <w:t>contribution</w:t>
      </w:r>
      <w:r w:rsidR="00931E0B">
        <w:t>s</w:t>
      </w:r>
      <w:r w:rsidRPr="00397A0B">
        <w:t xml:space="preserve"> to health and human development outcomes.</w:t>
      </w:r>
      <w:r>
        <w:t xml:space="preserve"> </w:t>
      </w:r>
    </w:p>
    <w:p w:rsidR="00BD6B7F" w:rsidRDefault="00BD6B7F" w:rsidP="00BD6B7F">
      <w:r>
        <w:t xml:space="preserve">Australia’s long-standing support for the </w:t>
      </w:r>
      <w:r w:rsidR="001C1044">
        <w:t xml:space="preserve">position of CEO of the </w:t>
      </w:r>
      <w:r>
        <w:t>N</w:t>
      </w:r>
      <w:r w:rsidR="001C1044">
        <w:t xml:space="preserve">auru </w:t>
      </w:r>
      <w:r>
        <w:t>U</w:t>
      </w:r>
      <w:r w:rsidR="001C1044">
        <w:t xml:space="preserve">tilities </w:t>
      </w:r>
      <w:r>
        <w:t>C</w:t>
      </w:r>
      <w:r w:rsidR="001C1044">
        <w:t>orporation</w:t>
      </w:r>
      <w:r>
        <w:t xml:space="preserve"> remains a highly effective use of development assistance. Over 2018-19 Australia’s adviser has been instrumental in driv</w:t>
      </w:r>
      <w:r w:rsidR="001C1044">
        <w:t>ing</w:t>
      </w:r>
      <w:r>
        <w:t xml:space="preserve"> organisational reform, securing international donor funding for renewable energy infrastructure, reducing power outages by over 50 per cent since 2015, increasing fuel and oil efficiency, and increasing NUC’s revenue.</w:t>
      </w:r>
      <w:r>
        <w:rPr>
          <w:rStyle w:val="FootnoteReference"/>
        </w:rPr>
        <w:footnoteReference w:id="8"/>
      </w:r>
    </w:p>
    <w:p w:rsidR="00BD6B7F" w:rsidRPr="00877607" w:rsidRDefault="00BD6B7F" w:rsidP="00BD6B7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Objective </w:t>
      </w:r>
      <w:r>
        <w:rPr>
          <w:rFonts w:asciiTheme="majorHAnsi" w:eastAsiaTheme="majorEastAsia" w:hAnsiTheme="majorHAnsi" w:cstheme="majorBidi"/>
          <w:caps/>
          <w:sz w:val="32"/>
          <w:szCs w:val="32"/>
        </w:rPr>
        <w:t>3 sUPPORTING HUMAN DEVELOPMENT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6"/>
        <w:gridCol w:w="1906"/>
      </w:tblGrid>
      <w:tr w:rsidR="00BD6B7F" w:rsidTr="00BD6B7F">
        <w:tc>
          <w:tcPr>
            <w:tcW w:w="2016" w:type="dxa"/>
            <w:hideMark/>
          </w:tcPr>
          <w:p w:rsidR="00BD6B7F" w:rsidRDefault="00BD6B7F">
            <w:pPr>
              <w:suppressAutoHyphens w:val="0"/>
              <w:spacing w:before="8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3EC04020" wp14:editId="7068D1D5">
                  <wp:extent cx="1133475" cy="7239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p>
        </w:tc>
        <w:tc>
          <w:tcPr>
            <w:tcW w:w="1906" w:type="dxa"/>
            <w:hideMark/>
          </w:tcPr>
          <w:p w:rsidR="00BD6B7F" w:rsidRDefault="00BD6B7F">
            <w:pPr>
              <w:suppressAutoHyphens w:val="0"/>
              <w:spacing w:before="160" w:after="80" w:line="240" w:lineRule="auto"/>
              <w:ind w:left="280"/>
              <w:jc w:val="center"/>
              <w:rPr>
                <w:rFonts w:asciiTheme="majorHAnsi" w:eastAsiaTheme="majorEastAsia" w:hAnsiTheme="majorHAnsi" w:cstheme="majorBidi"/>
                <w:caps/>
                <w:sz w:val="38"/>
                <w:szCs w:val="26"/>
              </w:rPr>
            </w:pPr>
            <w:r>
              <w:rPr>
                <w:rFonts w:ascii="Franklin Gothic Book" w:eastAsia="Times New Roman" w:hAnsi="Franklin Gothic Book" w:cs="Times New Roman"/>
                <w:noProof/>
                <w:color w:val="auto"/>
                <w:sz w:val="21"/>
                <w:szCs w:val="24"/>
                <w:lang w:val="en-AU" w:eastAsia="en-AU"/>
              </w:rPr>
              <w:drawing>
                <wp:inline distT="0" distB="0" distL="0" distR="0" wp14:anchorId="0046B9CA" wp14:editId="345232F4">
                  <wp:extent cx="60960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hideMark/>
          </w:tcPr>
          <w:p w:rsidR="00BD6B7F" w:rsidRDefault="00BD6B7F">
            <w:pPr>
              <w:suppressAutoHyphens w:val="0"/>
              <w:spacing w:before="160" w:after="80" w:line="240" w:lineRule="auto"/>
              <w:jc w:val="center"/>
              <w:rPr>
                <w:rFonts w:ascii="Franklin Gothic Book" w:eastAsia="Times New Roman" w:hAnsi="Franklin Gothic Book" w:cs="Times New Roman"/>
                <w:noProof/>
                <w:color w:val="auto"/>
                <w:sz w:val="21"/>
                <w:szCs w:val="24"/>
                <w:lang w:val="en-AU" w:eastAsia="en-AU"/>
              </w:rPr>
            </w:pPr>
            <w:r>
              <w:rPr>
                <w:noProof/>
                <w:lang w:val="en-AU" w:eastAsia="en-AU"/>
              </w:rPr>
              <w:drawing>
                <wp:anchor distT="0" distB="0" distL="114300" distR="114300" simplePos="0" relativeHeight="251682816" behindDoc="0" locked="0" layoutInCell="1" allowOverlap="1" wp14:anchorId="507999CD" wp14:editId="640E298F">
                  <wp:simplePos x="0" y="0"/>
                  <wp:positionH relativeFrom="column">
                    <wp:posOffset>100965</wp:posOffset>
                  </wp:positionH>
                  <wp:positionV relativeFrom="paragraph">
                    <wp:posOffset>105410</wp:posOffset>
                  </wp:positionV>
                  <wp:extent cx="609600" cy="614680"/>
                  <wp:effectExtent l="0" t="0" r="0" b="0"/>
                  <wp:wrapThrough wrapText="bothSides">
                    <wp:wrapPolygon edited="0">
                      <wp:start x="0" y="0"/>
                      <wp:lineTo x="0" y="20752"/>
                      <wp:lineTo x="20925" y="20752"/>
                      <wp:lineTo x="20925" y="0"/>
                      <wp:lineTo x="0" y="0"/>
                    </wp:wrapPolygon>
                  </wp:wrapThrough>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1468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BD6B7F" w:rsidRDefault="00BD6B7F" w:rsidP="007604A6">
      <w:pPr>
        <w:spacing w:after="120"/>
      </w:pPr>
      <w:r>
        <w:t xml:space="preserve">Australia’s </w:t>
      </w:r>
      <w:r w:rsidR="00E976C7">
        <w:t>support</w:t>
      </w:r>
      <w:r>
        <w:t xml:space="preserve"> </w:t>
      </w:r>
      <w:r w:rsidR="001C1044">
        <w:t xml:space="preserve">prioritises </w:t>
      </w:r>
      <w:r>
        <w:t>the delivery of quality health and education services.</w:t>
      </w:r>
      <w:r w:rsidR="007604A6">
        <w:t xml:space="preserve"> In response to underperformance in Australia’s health program, over 2018-19 Australia’s health investments were reviewed and a redesign initiated, with a new program to commence in 2019-20.</w:t>
      </w:r>
      <w:r>
        <w:t xml:space="preserve"> For the 2018-19 reporting period, this objective is therefore assessed using</w:t>
      </w:r>
      <w:r w:rsidR="00303EF1">
        <w:t xml:space="preserve"> only</w:t>
      </w:r>
      <w:r>
        <w:t xml:space="preserve"> results from Australia’s education investment. </w:t>
      </w:r>
    </w:p>
    <w:p w:rsidR="00BD6B7F" w:rsidRDefault="00BD6B7F" w:rsidP="00BD6B7F">
      <w:r>
        <w:t xml:space="preserve">Australia’s education </w:t>
      </w:r>
      <w:r w:rsidR="00303EF1">
        <w:t xml:space="preserve">investment </w:t>
      </w:r>
      <w:r>
        <w:t>is assessed as ‘amber’ on the basis of uneven achievement in performance benchmarks (Annex B), mixed results from an independent assessment of Australia’s program, and limited progress in student outcomes.</w:t>
      </w:r>
      <w:r>
        <w:rPr>
          <w:rStyle w:val="FootnoteReference"/>
        </w:rPr>
        <w:footnoteReference w:id="9"/>
      </w:r>
      <w:r>
        <w:t xml:space="preserve"> While there are systemic constraints beyond Australia’s control that impact outcomes, </w:t>
      </w:r>
      <w:r w:rsidRPr="00397A0B">
        <w:t>there is also scope to strengthen the program’s strategic framework, monitoring and evaluation, and alignment with</w:t>
      </w:r>
      <w:r w:rsidR="001D38B5">
        <w:t xml:space="preserve"> programs from the </w:t>
      </w:r>
      <w:proofErr w:type="spellStart"/>
      <w:r w:rsidR="001D38B5">
        <w:t>GoN</w:t>
      </w:r>
      <w:proofErr w:type="spellEnd"/>
      <w:r w:rsidR="001D38B5">
        <w:t xml:space="preserve"> </w:t>
      </w:r>
      <w:r w:rsidRPr="00397A0B">
        <w:t>and other partners. These areas will be addressed through the design process for a new education investment, which is currently underway.</w:t>
      </w:r>
      <w:r>
        <w:t xml:space="preserve">  </w:t>
      </w:r>
    </w:p>
    <w:p w:rsidR="00BD6B7F" w:rsidRDefault="001D38B5" w:rsidP="00BD6B7F">
      <w:r>
        <w:t xml:space="preserve">The </w:t>
      </w:r>
      <w:r w:rsidR="00BD6B7F">
        <w:t>Australia</w:t>
      </w:r>
      <w:r>
        <w:t>n</w:t>
      </w:r>
      <w:r w:rsidR="00BD6B7F">
        <w:t xml:space="preserve"> education investment in 2018-19 was </w:t>
      </w:r>
      <w:r w:rsidR="00416FD4">
        <w:t>5</w:t>
      </w:r>
      <w:r w:rsidR="00BD6B7F">
        <w:t xml:space="preserve"> per cent ($</w:t>
      </w:r>
      <w:r w:rsidR="00416FD4">
        <w:t>1.3</w:t>
      </w:r>
      <w:r w:rsidR="00BD6B7F">
        <w:t xml:space="preserve"> million) of Australia’s total ODA.</w:t>
      </w:r>
      <w:r w:rsidR="00303EF1">
        <w:rPr>
          <w:rStyle w:val="FootnoteReference"/>
        </w:rPr>
        <w:footnoteReference w:id="10"/>
      </w:r>
      <w:r w:rsidR="00BD6B7F">
        <w:t xml:space="preserve"> </w:t>
      </w:r>
      <w:r w:rsidR="00416FD4">
        <w:t xml:space="preserve">The largest proportion </w:t>
      </w:r>
      <w:r>
        <w:t>comprised</w:t>
      </w:r>
      <w:r w:rsidR="00416FD4">
        <w:t xml:space="preserve"> </w:t>
      </w:r>
      <w:r w:rsidR="00BD6B7F">
        <w:t>direct funding to Nauru’s Department of Education to support the Education Strategic Plan 2017-21. In parallel, Australia provide</w:t>
      </w:r>
      <w:r>
        <w:t>d</w:t>
      </w:r>
      <w:r w:rsidR="00BD6B7F">
        <w:t xml:space="preserve"> technical assistance supporting </w:t>
      </w:r>
      <w:r w:rsidR="00303EF1">
        <w:t>the</w:t>
      </w:r>
      <w:r w:rsidR="00BD6B7F">
        <w:t xml:space="preserve"> plan</w:t>
      </w:r>
      <w:r w:rsidR="00303EF1">
        <w:t>’s</w:t>
      </w:r>
      <w:r w:rsidR="00BD6B7F">
        <w:t xml:space="preserve"> implementation through a PACTAM2 adviser. Australia also supported 19 Australia Awardees </w:t>
      </w:r>
      <w:r w:rsidR="008C5364">
        <w:t xml:space="preserve">(11 female, 8 male) </w:t>
      </w:r>
      <w:r w:rsidR="00BD6B7F">
        <w:t xml:space="preserve">and enabled education outcomes through infrastructure support for the Learning Village (see Objective 2). </w:t>
      </w:r>
    </w:p>
    <w:p w:rsidR="00E5163B" w:rsidRDefault="00BD6B7F" w:rsidP="00BD6B7F">
      <w:r>
        <w:t xml:space="preserve">Over 2018-19 Australia’s support </w:t>
      </w:r>
      <w:r w:rsidR="003239E5">
        <w:t>provided important inputs</w:t>
      </w:r>
      <w:r w:rsidR="00303EF1">
        <w:t xml:space="preserve">. </w:t>
      </w:r>
      <w:r w:rsidR="003239E5">
        <w:t xml:space="preserve">Our assistance </w:t>
      </w:r>
      <w:r w:rsidR="00303EF1">
        <w:t>included</w:t>
      </w:r>
      <w:r>
        <w:t xml:space="preserve"> technical support to reform governance</w:t>
      </w:r>
      <w:r w:rsidR="0046212A">
        <w:t xml:space="preserve">, implementing the Nauru Education Strategic plan 2017-21; </w:t>
      </w:r>
      <w:r>
        <w:t>funding for teacher qualifications, with 87 per cent of local teachers now qualified</w:t>
      </w:r>
      <w:r w:rsidR="00210385">
        <w:t xml:space="preserve"> (</w:t>
      </w:r>
      <w:r>
        <w:t>up from 73 per cent in 2017</w:t>
      </w:r>
      <w:r w:rsidR="00210385">
        <w:t>)</w:t>
      </w:r>
      <w:r>
        <w:t>;</w:t>
      </w:r>
      <w:r>
        <w:rPr>
          <w:rStyle w:val="FootnoteReference"/>
        </w:rPr>
        <w:footnoteReference w:id="11"/>
      </w:r>
      <w:r>
        <w:t xml:space="preserve"> and support </w:t>
      </w:r>
      <w:r w:rsidR="003239E5">
        <w:t>which enabled continued</w:t>
      </w:r>
      <w:r>
        <w:t xml:space="preserve"> </w:t>
      </w:r>
      <w:r w:rsidRPr="007B34F5">
        <w:t>accreditation to deliver the Queensland Certification of Education (QCE)</w:t>
      </w:r>
      <w:r>
        <w:t xml:space="preserve"> and TAFE Queensland qualifications.</w:t>
      </w:r>
      <w:r w:rsidR="00303EF1">
        <w:t xml:space="preserve"> These outputs are enablers for high-quality education delivery, ho</w:t>
      </w:r>
      <w:r>
        <w:t xml:space="preserve">wever, as identified in previous years, Australia’s program continues to face </w:t>
      </w:r>
      <w:r w:rsidR="00303EF1">
        <w:t xml:space="preserve">challenges to translate these outputs to </w:t>
      </w:r>
      <w:r w:rsidR="004C30E5">
        <w:t xml:space="preserve">educational </w:t>
      </w:r>
      <w:r w:rsidR="00303EF1">
        <w:t>outcomes</w:t>
      </w:r>
      <w:r w:rsidR="004C30E5">
        <w:t>,</w:t>
      </w:r>
      <w:r w:rsidR="004C30E5" w:rsidRPr="004C30E5">
        <w:t xml:space="preserve"> </w:t>
      </w:r>
      <w:r w:rsidR="004C30E5">
        <w:t xml:space="preserve">particularly in early learning, primary and secondary </w:t>
      </w:r>
      <w:r w:rsidR="00210385">
        <w:t>education</w:t>
      </w:r>
      <w:r w:rsidR="004C30E5">
        <w:t>.</w:t>
      </w:r>
      <w:r w:rsidR="004C30E5">
        <w:rPr>
          <w:rStyle w:val="FootnoteReference"/>
        </w:rPr>
        <w:footnoteReference w:id="12"/>
      </w:r>
      <w:r w:rsidR="00303EF1">
        <w:t xml:space="preserve"> There are broader systemic constraints such as </w:t>
      </w:r>
      <w:r>
        <w:t>limited education data collection, poor learning conditions, and limited administrative and sectoral capacity</w:t>
      </w:r>
      <w:r w:rsidR="004C30E5">
        <w:t>.</w:t>
      </w:r>
      <w:r w:rsidR="007C4717">
        <w:t xml:space="preserve"> </w:t>
      </w:r>
    </w:p>
    <w:p w:rsidR="00BD6B7F" w:rsidRPr="00A02FD2" w:rsidRDefault="00EC4214" w:rsidP="00BD6B7F">
      <w:r>
        <w:t xml:space="preserve">There is scope to strengthen gender and disability inclusion outcomes in the education program, including disaggregated reporting. </w:t>
      </w:r>
      <w:r w:rsidR="004C30E5">
        <w:t xml:space="preserve">Available data </w:t>
      </w:r>
      <w:r w:rsidR="002E56C3">
        <w:t>for</w:t>
      </w:r>
      <w:r w:rsidR="004C30E5">
        <w:t xml:space="preserve"> 2018-19 suggests</w:t>
      </w:r>
      <w:r w:rsidR="00E5163B">
        <w:t xml:space="preserve"> there are barriers for women and girls</w:t>
      </w:r>
      <w:r w:rsidR="004C30E5">
        <w:t xml:space="preserve"> at some education levels</w:t>
      </w:r>
      <w:r w:rsidR="00E5163B">
        <w:t xml:space="preserve">. </w:t>
      </w:r>
      <w:r w:rsidR="00BD6B7F">
        <w:t xml:space="preserve">Only </w:t>
      </w:r>
      <w:r w:rsidR="00F51CE8">
        <w:t xml:space="preserve">a quarter (4 out of </w:t>
      </w:r>
      <w:r w:rsidR="00BD6B7F">
        <w:t>16)</w:t>
      </w:r>
      <w:r w:rsidR="00F51CE8">
        <w:t xml:space="preserve"> of 2018 QCE</w:t>
      </w:r>
      <w:r w:rsidR="00BD6B7F">
        <w:t xml:space="preserve"> </w:t>
      </w:r>
      <w:r w:rsidR="00E5163B">
        <w:t>graduate</w:t>
      </w:r>
      <w:r w:rsidR="00F51CE8">
        <w:t>s</w:t>
      </w:r>
      <w:r w:rsidR="00E5163B">
        <w:t xml:space="preserve"> </w:t>
      </w:r>
      <w:r w:rsidR="00F51CE8">
        <w:t>were women</w:t>
      </w:r>
      <w:r w:rsidR="00E5163B">
        <w:t xml:space="preserve"> (</w:t>
      </w:r>
      <w:r w:rsidR="00BD6B7F">
        <w:t xml:space="preserve">down from </w:t>
      </w:r>
      <w:r w:rsidR="00F51CE8">
        <w:t>54 per cent</w:t>
      </w:r>
      <w:r w:rsidR="008606D8">
        <w:t xml:space="preserve"> in </w:t>
      </w:r>
      <w:r w:rsidR="008606D8">
        <w:lastRenderedPageBreak/>
        <w:t>2017</w:t>
      </w:r>
      <w:r w:rsidR="00F51CE8">
        <w:t xml:space="preserve"> – 13 out of 24)</w:t>
      </w:r>
      <w:r w:rsidR="00BD6B7F">
        <w:t xml:space="preserve">. In TVET, just 15 per cent of </w:t>
      </w:r>
      <w:r w:rsidR="00F51CE8">
        <w:t xml:space="preserve">2018 </w:t>
      </w:r>
      <w:r w:rsidR="00BD6B7F">
        <w:t xml:space="preserve">Certificate II graduates were women (3 out of 20 graduates) and women comprise only 39 percent of 2019 enrolments (109 out of 279). </w:t>
      </w:r>
      <w:r w:rsidR="00BD6B7F" w:rsidRPr="00397A0B">
        <w:t xml:space="preserve">These </w:t>
      </w:r>
      <w:r w:rsidR="004C30E5">
        <w:t>results</w:t>
      </w:r>
      <w:r w:rsidR="00BD6B7F" w:rsidRPr="00397A0B">
        <w:t xml:space="preserve"> require further work to analyse and address in the next phase of the program</w:t>
      </w:r>
      <w:r w:rsidR="004C30E5">
        <w:t>, alongside efforts to enhance disability inclusion</w:t>
      </w:r>
      <w:r w:rsidR="00BD6B7F" w:rsidRPr="00397A0B">
        <w:t>.</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A44EEF" w:rsidRDefault="00A44EEF" w:rsidP="00E01C62">
      <w:pPr>
        <w:spacing w:after="120"/>
      </w:pPr>
      <w:r>
        <w:t>Australia continued to deliver effective and predictable development assistance</w:t>
      </w:r>
      <w:r w:rsidR="002E56C3">
        <w:t xml:space="preserve"> in 2018-19</w:t>
      </w:r>
      <w:r>
        <w:t xml:space="preserve"> in line with the Government of Nauru’s </w:t>
      </w:r>
      <w:r>
        <w:rPr>
          <w:i/>
        </w:rPr>
        <w:t>National Sustainable Development Strategy</w:t>
      </w:r>
      <w:r>
        <w:t>, sector strategies, the Nauru Aid Investment Plan 2015-16 to 2018-19, and the Aid Part</w:t>
      </w:r>
      <w:r w:rsidR="004C30E5">
        <w:t xml:space="preserve">nership Arrangement 2016-2019. </w:t>
      </w:r>
      <w:r>
        <w:t>Australia and Nauru continued to work to improve Nauru’s procurement and financial systems, including through Australia’</w:t>
      </w:r>
      <w:r w:rsidR="00D00F27">
        <w:t>s PSM advisers. Under Australia and Nauru’s joint statement</w:t>
      </w:r>
      <w:r w:rsidR="004C30E5">
        <w:t xml:space="preserve"> on zero tolerance </w:t>
      </w:r>
      <w:r w:rsidR="002E56C3">
        <w:t>of</w:t>
      </w:r>
      <w:r w:rsidR="004C30E5">
        <w:t xml:space="preserve"> fraud</w:t>
      </w:r>
      <w:r w:rsidR="00D00F27">
        <w:t xml:space="preserve"> and corruption in the Australian aid program, there are </w:t>
      </w:r>
      <w:r>
        <w:t xml:space="preserve">regular independent </w:t>
      </w:r>
      <w:r w:rsidR="004C30E5">
        <w:t>audits</w:t>
      </w:r>
      <w:r>
        <w:t xml:space="preserve"> of the operational account</w:t>
      </w:r>
      <w:r w:rsidR="004C30E5">
        <w:t xml:space="preserve">, however continued monitoring of </w:t>
      </w:r>
      <w:r>
        <w:t xml:space="preserve">audit recommendations </w:t>
      </w:r>
      <w:r w:rsidR="004C30E5">
        <w:t>(see Annex B) is</w:t>
      </w:r>
      <w:r w:rsidRPr="00397A0B">
        <w:t xml:space="preserve"> an area of priority for the next reporting period.</w:t>
      </w:r>
      <w:r>
        <w:t xml:space="preserve">  </w:t>
      </w:r>
    </w:p>
    <w:p w:rsidR="00D00F27" w:rsidRDefault="00D00F27" w:rsidP="00E01C62">
      <w:pPr>
        <w:spacing w:after="120"/>
      </w:pPr>
      <w:r>
        <w:t xml:space="preserve">Nauru </w:t>
      </w:r>
      <w:r w:rsidR="003239E5">
        <w:t xml:space="preserve">and Australia have </w:t>
      </w:r>
      <w:r>
        <w:t>maintained strong commitment to the Nauru Trust Fund (NTF), as required under the MOU</w:t>
      </w:r>
      <w:r w:rsidR="003239E5">
        <w:t xml:space="preserve">, with $14.6 million contributed by Nauru </w:t>
      </w:r>
      <w:r w:rsidR="003239E5">
        <w:rPr>
          <w:rFonts w:eastAsia="Calibri" w:cs="Times New Roman"/>
        </w:rPr>
        <w:t xml:space="preserve">in 2018-19 </w:t>
      </w:r>
      <w:r w:rsidR="003239E5">
        <w:t xml:space="preserve">and </w:t>
      </w:r>
      <w:r w:rsidR="003239E5">
        <w:rPr>
          <w:rFonts w:eastAsia="Calibri" w:cs="Times New Roman"/>
        </w:rPr>
        <w:t>$1.5 million by Australia</w:t>
      </w:r>
      <w:r>
        <w:t xml:space="preserve">. Australia regularly engages in policy dialogue </w:t>
      </w:r>
      <w:r w:rsidR="008E12CC">
        <w:t>to encourage Nauru and other partners</w:t>
      </w:r>
      <w:r w:rsidR="002E56C3">
        <w:t xml:space="preserve"> to support and </w:t>
      </w:r>
      <w:r w:rsidR="008E12CC">
        <w:t>contribu</w:t>
      </w:r>
      <w:r w:rsidR="002E56C3">
        <w:t>te</w:t>
      </w:r>
      <w:r w:rsidR="008E12CC">
        <w:t xml:space="preserve"> to the Fund</w:t>
      </w:r>
      <w:r w:rsidR="002E56C3">
        <w:t xml:space="preserve"> and facilitated </w:t>
      </w:r>
      <w:r>
        <w:t xml:space="preserve">New Zealand’s </w:t>
      </w:r>
      <w:r w:rsidR="004C30E5">
        <w:t xml:space="preserve">recent </w:t>
      </w:r>
      <w:r w:rsidR="002E56C3">
        <w:t>joining of the Trust Fund</w:t>
      </w:r>
      <w:r w:rsidR="000D4490">
        <w:t xml:space="preserve">. </w:t>
      </w:r>
    </w:p>
    <w:p w:rsidR="000D4490" w:rsidRDefault="000D4490" w:rsidP="00E01C62">
      <w:pPr>
        <w:spacing w:after="120"/>
      </w:pPr>
      <w:r>
        <w:t>As agreed under</w:t>
      </w:r>
      <w:r w:rsidR="00680D03">
        <w:t xml:space="preserve"> Australia’s</w:t>
      </w:r>
      <w:r>
        <w:t xml:space="preserve"> infrastructure partnerships, Nauru has </w:t>
      </w:r>
      <w:r w:rsidR="00680D03">
        <w:t>provided</w:t>
      </w:r>
      <w:r>
        <w:t xml:space="preserve"> </w:t>
      </w:r>
      <w:r w:rsidR="00240C52">
        <w:t xml:space="preserve">or committed to </w:t>
      </w:r>
      <w:r>
        <w:t xml:space="preserve">co-financing </w:t>
      </w:r>
      <w:r w:rsidR="00680D03">
        <w:t>for the Learning Village</w:t>
      </w:r>
      <w:r w:rsidR="00240C52">
        <w:t>,</w:t>
      </w:r>
      <w:r w:rsidR="00680D03">
        <w:t xml:space="preserve"> Sports Complex, and </w:t>
      </w:r>
      <w:r>
        <w:t>Port Redevelopment Project (</w:t>
      </w:r>
      <w:r w:rsidR="00680D03">
        <w:t>alongside ADB and GCF)</w:t>
      </w:r>
      <w:r w:rsidR="007F65D8">
        <w:t>.</w:t>
      </w:r>
      <w:r>
        <w:t xml:space="preserve"> </w:t>
      </w:r>
      <w:r w:rsidR="00AF18C7">
        <w:t xml:space="preserve">Both countries have a vested interest in ensuring that all critical infrastructure investments are climate resilient. </w:t>
      </w:r>
      <w:r w:rsidR="00680D03">
        <w:t xml:space="preserve">Australia continues to engage regularly with Nauru on commitments </w:t>
      </w:r>
      <w:r w:rsidR="000C5EFA">
        <w:t>to long-term</w:t>
      </w:r>
      <w:r w:rsidR="00680D03">
        <w:t xml:space="preserve"> maintenance and </w:t>
      </w:r>
      <w:r w:rsidR="000C5EFA">
        <w:t xml:space="preserve">maximising </w:t>
      </w:r>
      <w:r w:rsidR="00680D03">
        <w:t>use of the completed facilities</w:t>
      </w:r>
      <w:r w:rsidR="000C5EFA">
        <w:t xml:space="preserve">. </w:t>
      </w:r>
      <w:r w:rsidR="000C5EFA" w:rsidRPr="00397A0B">
        <w:t>Supporting relevant ministries to collect relevant, disaggregated data will be an important enabling factor for Australia to assess the impact of infrastructure investments.</w:t>
      </w:r>
      <w:r w:rsidR="000C5EFA">
        <w:t xml:space="preserve"> </w:t>
      </w:r>
    </w:p>
    <w:p w:rsidR="00EA30A9" w:rsidRDefault="00EA30A9" w:rsidP="00E01C62">
      <w:pPr>
        <w:spacing w:after="120"/>
      </w:pPr>
      <w:r>
        <w:t xml:space="preserve">Australia and Nauru’s partnership </w:t>
      </w:r>
      <w:r w:rsidR="004C30E5" w:rsidRPr="00EA30A9">
        <w:t xml:space="preserve">under </w:t>
      </w:r>
      <w:r w:rsidR="004C30E5" w:rsidRPr="00EA30A9">
        <w:rPr>
          <w:i/>
        </w:rPr>
        <w:t>Pacific Women Shaping Pacific Development</w:t>
      </w:r>
      <w:r w:rsidR="004C30E5">
        <w:t>,</w:t>
      </w:r>
      <w:r>
        <w:t xml:space="preserve"> captured in the Nauru Country Plan (2018-20)</w:t>
      </w:r>
      <w:r w:rsidR="004C30E5">
        <w:t>, has seen limited progress</w:t>
      </w:r>
      <w:r>
        <w:t xml:space="preserve"> </w:t>
      </w:r>
      <w:r w:rsidR="004C30E5">
        <w:t>in</w:t>
      </w:r>
      <w:r>
        <w:t xml:space="preserve"> 2018-19</w:t>
      </w:r>
      <w:r w:rsidR="004C30E5">
        <w:t xml:space="preserve">, </w:t>
      </w:r>
      <w:r w:rsidR="0062799E">
        <w:t>primarily</w:t>
      </w:r>
      <w:r w:rsidR="004C30E5">
        <w:t xml:space="preserve"> due to the Gender Adviser</w:t>
      </w:r>
      <w:r w:rsidR="0062799E">
        <w:t xml:space="preserve"> </w:t>
      </w:r>
      <w:r w:rsidR="002E56C3">
        <w:t>position remaining vacant for an extended period</w:t>
      </w:r>
      <w:r w:rsidR="004C30E5">
        <w:t xml:space="preserve">. </w:t>
      </w:r>
      <w:r w:rsidR="002E56C3">
        <w:t>Progress included</w:t>
      </w:r>
      <w:r w:rsidR="004C30E5">
        <w:t xml:space="preserve"> establish</w:t>
      </w:r>
      <w:r w:rsidR="002E56C3">
        <w:t>ment of</w:t>
      </w:r>
      <w:r w:rsidR="004C30E5">
        <w:t xml:space="preserve"> </w:t>
      </w:r>
      <w:r>
        <w:t>a Gender Mainstreaming Unit under the Office of the President</w:t>
      </w:r>
      <w:r w:rsidR="004C30E5">
        <w:t>,</w:t>
      </w:r>
      <w:r>
        <w:t xml:space="preserve"> and </w:t>
      </w:r>
      <w:r w:rsidR="004C30E5">
        <w:t>support</w:t>
      </w:r>
      <w:r w:rsidR="002E56C3">
        <w:t xml:space="preserve"> to</w:t>
      </w:r>
      <w:r>
        <w:t xml:space="preserve"> a mid-term review of Nauru’s National Women’s Policy</w:t>
      </w:r>
      <w:r w:rsidR="00CA18F3">
        <w:t>. Recruitment of a new Adviser is underway</w:t>
      </w:r>
      <w:r w:rsidR="002E56C3">
        <w:t xml:space="preserve"> which will improve outcomes in this area</w:t>
      </w:r>
      <w:r w:rsidR="00CA18F3">
        <w:t xml:space="preserve">. </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7F65D8" w:rsidRDefault="005F5517" w:rsidP="00E01C62">
      <w:pPr>
        <w:spacing w:after="120"/>
      </w:pPr>
      <w:r w:rsidRPr="00AE28C8">
        <w:t xml:space="preserve">Aid Quality Check </w:t>
      </w:r>
      <w:r>
        <w:t xml:space="preserve">(AQC) </w:t>
      </w:r>
      <w:r w:rsidRPr="00AE28C8">
        <w:t>ratings for 201</w:t>
      </w:r>
      <w:r>
        <w:t>8</w:t>
      </w:r>
      <w:r w:rsidRPr="00AE28C8">
        <w:t>-1</w:t>
      </w:r>
      <w:r>
        <w:t>9</w:t>
      </w:r>
      <w:r w:rsidRPr="00AE28C8">
        <w:t xml:space="preserve"> </w:t>
      </w:r>
      <w:r>
        <w:t xml:space="preserve">indicated varying levels of progress across Australia’s key investments. </w:t>
      </w:r>
      <w:r w:rsidR="0061449D">
        <w:t xml:space="preserve">As it is in a period of transition, Australia’s health investment received an AQC exemption for 2018-19. </w:t>
      </w:r>
      <w:r>
        <w:t>Ratings for the three</w:t>
      </w:r>
      <w:r w:rsidR="0061449D">
        <w:t xml:space="preserve"> remaining</w:t>
      </w:r>
      <w:r>
        <w:t xml:space="preserve"> investments – education, infrastructure and public sector management – declined in some areas (effectiveness and gender) over the reporting period when compared to 2017-18 results (Annex D).</w:t>
      </w:r>
      <w:r w:rsidRPr="005F5517">
        <w:t xml:space="preserve"> </w:t>
      </w:r>
      <w:r w:rsidR="0061449D">
        <w:t>It should be noted that effectiveness results are not directly comparable between 2018 and 2019 given the rationalisation of criteri</w:t>
      </w:r>
      <w:r w:rsidR="003239E5">
        <w:t>a</w:t>
      </w:r>
      <w:r w:rsidR="0061449D">
        <w:t xml:space="preserve">. The declines can be attributed in part to the inclusion of monitoring and evaluation across other criteria, which is an area for Australia’s aid program to improve. It also reflects the </w:t>
      </w:r>
      <w:r w:rsidR="007F65D8">
        <w:t>uptick in</w:t>
      </w:r>
      <w:r w:rsidR="0061449D">
        <w:t xml:space="preserve"> evidence available </w:t>
      </w:r>
      <w:r w:rsidR="007F65D8">
        <w:t xml:space="preserve">over the past year </w:t>
      </w:r>
      <w:r w:rsidR="0061449D">
        <w:t xml:space="preserve">that </w:t>
      </w:r>
      <w:r w:rsidR="007F65D8">
        <w:t>contribute</w:t>
      </w:r>
      <w:r w:rsidR="00902B83">
        <w:t>d</w:t>
      </w:r>
      <w:r w:rsidR="007F65D8">
        <w:t xml:space="preserve"> to</w:t>
      </w:r>
      <w:r w:rsidR="0061449D">
        <w:t xml:space="preserve"> a clearer picture of </w:t>
      </w:r>
      <w:r w:rsidR="007F65D8">
        <w:t>investments and areas for improvement.</w:t>
      </w:r>
      <w:r w:rsidR="0061449D">
        <w:t xml:space="preserve"> </w:t>
      </w:r>
    </w:p>
    <w:p w:rsidR="005F5517" w:rsidRDefault="00D64598" w:rsidP="009E708D">
      <w:pPr>
        <w:spacing w:before="60" w:after="120"/>
      </w:pPr>
      <w:r>
        <w:t>Australia’s aid program in Nauru faces a range of constraints that hamper progress. In recognition of persistent contextual challenges, and ongoing commitment to quality programs, Australia has undertaken a series of reviews over this reporting period to assess performance and inform the next phase of investments. F</w:t>
      </w:r>
      <w:r w:rsidR="007F65D8">
        <w:t>our</w:t>
      </w:r>
      <w:r w:rsidR="007F65D8" w:rsidRPr="008606D8">
        <w:t xml:space="preserve"> independent reviews </w:t>
      </w:r>
      <w:r>
        <w:t>were finalised</w:t>
      </w:r>
      <w:r w:rsidR="007F65D8" w:rsidRPr="008606D8">
        <w:t xml:space="preserve"> </w:t>
      </w:r>
      <w:r>
        <w:t>for</w:t>
      </w:r>
      <w:r w:rsidR="007F65D8" w:rsidRPr="008606D8">
        <w:t xml:space="preserve"> public sector management (PSM), infrastructure</w:t>
      </w:r>
      <w:r w:rsidR="007F65D8">
        <w:t>, health</w:t>
      </w:r>
      <w:r w:rsidR="007F65D8" w:rsidRPr="008606D8">
        <w:t xml:space="preserve"> and education to support improved performance and future strategic planning.</w:t>
      </w:r>
      <w:r w:rsidR="007F65D8" w:rsidRPr="007F65D8">
        <w:t xml:space="preserve"> </w:t>
      </w:r>
      <w:r>
        <w:t>Overall, the</w:t>
      </w:r>
      <w:r w:rsidR="007F65D8" w:rsidRPr="008606D8">
        <w:t xml:space="preserve"> reviews recommended more cohesive</w:t>
      </w:r>
      <w:r w:rsidR="00902B83">
        <w:t>,</w:t>
      </w:r>
      <w:r w:rsidR="007F65D8" w:rsidRPr="008606D8">
        <w:t xml:space="preserve"> sector-wide strategies that will help align individual </w:t>
      </w:r>
      <w:r w:rsidR="007F65D8">
        <w:t>activities</w:t>
      </w:r>
      <w:r w:rsidR="007F65D8" w:rsidRPr="008606D8">
        <w:t xml:space="preserve"> under a broader </w:t>
      </w:r>
      <w:r>
        <w:t>strategy</w:t>
      </w:r>
      <w:r w:rsidR="007F65D8" w:rsidRPr="008606D8">
        <w:t>.</w:t>
      </w:r>
      <w:r w:rsidR="007F65D8">
        <w:t xml:space="preserve"> Clearer outcomes and objectives will assist </w:t>
      </w:r>
      <w:r w:rsidR="00902B83">
        <w:t>in</w:t>
      </w:r>
      <w:r w:rsidR="007F65D8">
        <w:t xml:space="preserve"> consolidat</w:t>
      </w:r>
      <w:r w:rsidR="00902B83">
        <w:t>ing</w:t>
      </w:r>
      <w:r w:rsidR="007F65D8">
        <w:t xml:space="preserve"> activities within the challenging </w:t>
      </w:r>
      <w:r w:rsidR="007F65D8">
        <w:lastRenderedPageBreak/>
        <w:t xml:space="preserve">operational context in Nauru, and </w:t>
      </w:r>
      <w:r w:rsidR="00902B83">
        <w:t xml:space="preserve">in </w:t>
      </w:r>
      <w:r w:rsidR="007F65D8">
        <w:t>strengthen</w:t>
      </w:r>
      <w:r w:rsidR="00902B83">
        <w:t>ing</w:t>
      </w:r>
      <w:r w:rsidR="007F65D8">
        <w:t xml:space="preserve"> monitoring and evaluation; both important areas for improvement identified across reviews. </w:t>
      </w:r>
      <w:r w:rsidR="009E708D">
        <w:t xml:space="preserve">Evidence and lessons learned through reviews will also inform discussions for a new Aid Investment Plan for Australia’s program. </w:t>
      </w:r>
    </w:p>
    <w:p w:rsidR="0061449D" w:rsidRDefault="009E708D" w:rsidP="0061449D">
      <w:pPr>
        <w:spacing w:after="120"/>
        <w:rPr>
          <w:rFonts w:eastAsia="Times New Roman" w:cs="Times New Roman"/>
        </w:rPr>
      </w:pPr>
      <w:r>
        <w:rPr>
          <w:rFonts w:eastAsia="Times New Roman" w:cs="Times New Roman"/>
        </w:rPr>
        <w:t>Overall, g</w:t>
      </w:r>
      <w:r w:rsidR="0061449D" w:rsidRPr="005F5517">
        <w:rPr>
          <w:rFonts w:eastAsia="Times New Roman" w:cs="Times New Roman"/>
        </w:rPr>
        <w:t xml:space="preserve">ender </w:t>
      </w:r>
      <w:r w:rsidR="0061449D">
        <w:rPr>
          <w:rFonts w:eastAsia="Times New Roman" w:cs="Times New Roman"/>
        </w:rPr>
        <w:t>equality</w:t>
      </w:r>
      <w:r w:rsidR="0061449D" w:rsidRPr="005F5517">
        <w:rPr>
          <w:rFonts w:eastAsia="Times New Roman" w:cs="Times New Roman"/>
        </w:rPr>
        <w:t xml:space="preserve"> </w:t>
      </w:r>
      <w:r w:rsidR="0061449D">
        <w:rPr>
          <w:rFonts w:eastAsia="Times New Roman" w:cs="Times New Roman"/>
        </w:rPr>
        <w:t>is</w:t>
      </w:r>
      <w:r w:rsidR="0061449D" w:rsidRPr="005F5517">
        <w:rPr>
          <w:rFonts w:eastAsia="Times New Roman" w:cs="Times New Roman"/>
        </w:rPr>
        <w:t xml:space="preserve"> a key area for improvement. </w:t>
      </w:r>
      <w:r w:rsidR="0061449D">
        <w:rPr>
          <w:rFonts w:eastAsia="Times New Roman" w:cs="Times New Roman"/>
        </w:rPr>
        <w:t>While efforts have been made across programs to pursue gender outcomes, they have not been systematic and, combined with the challenging operating environment</w:t>
      </w:r>
      <w:r w:rsidR="00FD64C4">
        <w:rPr>
          <w:rFonts w:eastAsia="Times New Roman" w:cs="Times New Roman"/>
        </w:rPr>
        <w:t xml:space="preserve"> (such as a lack of gender-disaggregated data)</w:t>
      </w:r>
      <w:r w:rsidR="0061449D">
        <w:rPr>
          <w:rFonts w:eastAsia="Times New Roman" w:cs="Times New Roman"/>
        </w:rPr>
        <w:t>, have made limited progress. G</w:t>
      </w:r>
      <w:r w:rsidR="0061449D" w:rsidRPr="005F5517">
        <w:rPr>
          <w:rFonts w:eastAsia="Times New Roman" w:cs="Times New Roman"/>
        </w:rPr>
        <w:t xml:space="preserve">ender </w:t>
      </w:r>
      <w:r w:rsidR="0061449D">
        <w:rPr>
          <w:rFonts w:eastAsia="Times New Roman" w:cs="Times New Roman"/>
        </w:rPr>
        <w:t xml:space="preserve">ratings were therefore </w:t>
      </w:r>
      <w:r w:rsidR="0061449D" w:rsidRPr="005F5517">
        <w:rPr>
          <w:rFonts w:eastAsia="Times New Roman" w:cs="Times New Roman"/>
        </w:rPr>
        <w:t xml:space="preserve">downgraded to ‘less than adequate’ for both </w:t>
      </w:r>
      <w:r w:rsidR="0061449D">
        <w:rPr>
          <w:rFonts w:eastAsia="Times New Roman" w:cs="Times New Roman"/>
        </w:rPr>
        <w:t>public sector management</w:t>
      </w:r>
      <w:r w:rsidR="0061449D" w:rsidRPr="005F5517">
        <w:rPr>
          <w:rFonts w:eastAsia="Times New Roman" w:cs="Times New Roman"/>
        </w:rPr>
        <w:t xml:space="preserve"> and infrastructure</w:t>
      </w:r>
      <w:r w:rsidR="0061449D">
        <w:rPr>
          <w:rFonts w:eastAsia="Times New Roman" w:cs="Times New Roman"/>
        </w:rPr>
        <w:t>, while education remains ‘adequate’, leaving the performance of Australia’s aid program in Nauru at 33 per cent (compared to the target of 80 per cent across the aid program)</w:t>
      </w:r>
      <w:r w:rsidR="0061449D" w:rsidRPr="005F5517">
        <w:rPr>
          <w:rFonts w:eastAsia="Times New Roman" w:cs="Times New Roman"/>
        </w:rPr>
        <w:t xml:space="preserve">. </w:t>
      </w:r>
      <w:r w:rsidR="0061449D">
        <w:rPr>
          <w:rFonts w:eastAsia="Times New Roman" w:cs="Times New Roman"/>
        </w:rPr>
        <w:t xml:space="preserve">Disability inclusion is also an important area for improvement. There has been work in infrastructure investments to include disability inclusive components, however </w:t>
      </w:r>
      <w:r w:rsidR="0061449D" w:rsidRPr="00397A0B">
        <w:rPr>
          <w:rFonts w:eastAsia="Times New Roman" w:cs="Times New Roman"/>
        </w:rPr>
        <w:t xml:space="preserve">there is scope for </w:t>
      </w:r>
      <w:r>
        <w:rPr>
          <w:rFonts w:eastAsia="Times New Roman" w:cs="Times New Roman"/>
        </w:rPr>
        <w:t>activities</w:t>
      </w:r>
      <w:r w:rsidR="0061449D" w:rsidRPr="00397A0B">
        <w:rPr>
          <w:rFonts w:eastAsia="Times New Roman" w:cs="Times New Roman"/>
        </w:rPr>
        <w:t xml:space="preserve"> to be more systematic across Australia’s investments, and for Australia to pursue more routine disaggregation of reporting data (by gender and disability).</w:t>
      </w:r>
      <w:r w:rsidR="0061449D">
        <w:rPr>
          <w:rFonts w:eastAsia="Times New Roman" w:cs="Times New Roman"/>
        </w:rPr>
        <w:t xml:space="preserve"> </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rsidR="009F5488" w:rsidRPr="007E500C" w:rsidRDefault="00741900" w:rsidP="005F5517">
      <w:r>
        <w:t>The</w:t>
      </w:r>
      <w:r w:rsidR="0062799E">
        <w:t xml:space="preserve"> development of a new</w:t>
      </w:r>
      <w:r w:rsidR="005F5517">
        <w:t xml:space="preserve"> AIP in 2019-20 will provid</w:t>
      </w:r>
      <w:r w:rsidR="0062799E">
        <w:t>e an opportunity to strengthen Australia and Nauru’s development partnership</w:t>
      </w:r>
      <w:r w:rsidR="003239E5">
        <w:t xml:space="preserve"> and develop a new performance assessment framework</w:t>
      </w:r>
      <w:r w:rsidR="005F5517">
        <w:t>.</w:t>
      </w:r>
      <w:r w:rsidR="00D723A2" w:rsidRPr="00D723A2">
        <w:rPr>
          <w:rFonts w:eastAsia="Times New Roman" w:cs="Times New Roman"/>
        </w:rPr>
        <w:t xml:space="preserve"> </w:t>
      </w:r>
      <w:r w:rsidR="00D723A2">
        <w:rPr>
          <w:rFonts w:eastAsia="Times New Roman" w:cs="Times New Roman"/>
        </w:rPr>
        <w:t xml:space="preserve">A priority </w:t>
      </w:r>
      <w:r>
        <w:rPr>
          <w:rFonts w:eastAsia="Times New Roman" w:cs="Times New Roman"/>
        </w:rPr>
        <w:t>will be</w:t>
      </w:r>
      <w:r w:rsidR="00D723A2">
        <w:rPr>
          <w:rFonts w:eastAsia="Times New Roman" w:cs="Times New Roman"/>
        </w:rPr>
        <w:t xml:space="preserve"> addressing the performance gap for gender equality across programs, and ensuring programs are disability inclusive</w:t>
      </w:r>
      <w:r w:rsidR="007E500C">
        <w:rPr>
          <w:rFonts w:eastAsia="Times New Roman" w:cs="Times New Roman"/>
        </w:rPr>
        <w:t xml:space="preserve">. </w:t>
      </w:r>
    </w:p>
    <w:p w:rsidR="009F5488" w:rsidRDefault="005F5517" w:rsidP="005F5517">
      <w:r>
        <w:t>To improve effectiveness and the impact of our aid to Nauru, the following management actions will be undertaken in 2019-2020</w:t>
      </w:r>
      <w:r w:rsidR="008C46B7">
        <w:t xml:space="preserve"> alongside development of a new AIP</w:t>
      </w:r>
      <w:r>
        <w:t>:</w:t>
      </w:r>
    </w:p>
    <w:p w:rsidR="008C46B7" w:rsidRDefault="008C46B7" w:rsidP="00974C1F">
      <w:pPr>
        <w:pStyle w:val="Bullet1"/>
      </w:pPr>
      <w:r>
        <w:t>Finalise the design for a new education sector investment</w:t>
      </w:r>
      <w:r w:rsidR="00DF178A">
        <w:t xml:space="preserve"> to streamline the functionality of the operational account and strengthen the M&amp;E structure under the education strategy plan</w:t>
      </w:r>
      <w:r>
        <w:t xml:space="preserve">. </w:t>
      </w:r>
    </w:p>
    <w:p w:rsidR="00FD64C4" w:rsidRDefault="007F65D8" w:rsidP="00974C1F">
      <w:pPr>
        <w:pStyle w:val="Bullet1"/>
      </w:pPr>
      <w:r>
        <w:t>Initiating development of sector strategies for Australia’</w:t>
      </w:r>
      <w:r w:rsidR="00FE17D4">
        <w:t>s investments. The</w:t>
      </w:r>
      <w:r>
        <w:t xml:space="preserve"> priority for 201</w:t>
      </w:r>
      <w:r w:rsidR="00FE17D4">
        <w:t>9</w:t>
      </w:r>
      <w:r>
        <w:t>-</w:t>
      </w:r>
      <w:r w:rsidR="00FE17D4">
        <w:t>20</w:t>
      </w:r>
      <w:r>
        <w:t xml:space="preserve"> is </w:t>
      </w:r>
      <w:r w:rsidR="00FE17D4">
        <w:t xml:space="preserve">a sector strategy and associated M&amp;E framework for </w:t>
      </w:r>
      <w:r>
        <w:t>public financial management</w:t>
      </w:r>
      <w:r w:rsidR="00FE17D4">
        <w:t xml:space="preserve">, including gender and disability inclusion considerations. </w:t>
      </w:r>
    </w:p>
    <w:p w:rsidR="009646DE" w:rsidRDefault="00741900" w:rsidP="00974C1F">
      <w:pPr>
        <w:pStyle w:val="Bullet1"/>
      </w:pPr>
      <w:r>
        <w:t>Providing o</w:t>
      </w:r>
      <w:r w:rsidR="009646DE">
        <w:t xml:space="preserve">ngoing support </w:t>
      </w:r>
      <w:r w:rsidR="003239E5">
        <w:t xml:space="preserve">for </w:t>
      </w:r>
      <w:r w:rsidR="009646DE">
        <w:t>completed infrastructure (Sports Complex and Learning Village) to focus partner efforts on collec</w:t>
      </w:r>
      <w:r w:rsidR="00DF007E">
        <w:t>ting appropriate data that can provide evidence of broader development outcomes</w:t>
      </w:r>
      <w:r w:rsidR="003239E5">
        <w:t xml:space="preserve"> and inform policy and programs</w:t>
      </w:r>
      <w:r w:rsidR="00DF007E">
        <w:t xml:space="preserve">. </w:t>
      </w:r>
    </w:p>
    <w:p w:rsidR="00FD64C4" w:rsidRDefault="00FD64C4" w:rsidP="00BC5C57">
      <w:pPr>
        <w:pStyle w:val="Bullet1"/>
      </w:pPr>
      <w:r>
        <w:t>Strengthen</w:t>
      </w:r>
      <w:r w:rsidR="00741900">
        <w:t>ing</w:t>
      </w:r>
      <w:r>
        <w:t xml:space="preserve"> disability inclusion efforts </w:t>
      </w:r>
      <w:r w:rsidR="00EE3C65">
        <w:t xml:space="preserve">including working toward disability-disaggregated data. </w:t>
      </w:r>
    </w:p>
    <w:p w:rsidR="00EE3C65" w:rsidRDefault="008C46B7">
      <w:pPr>
        <w:pStyle w:val="Bullet1"/>
      </w:pPr>
      <w:r>
        <w:t>Recruit a new Gender Adviser</w:t>
      </w:r>
      <w:r w:rsidR="00DF178A">
        <w:t xml:space="preserve"> to </w:t>
      </w:r>
      <w:r>
        <w:t>implement</w:t>
      </w:r>
      <w:r w:rsidR="007F65D8">
        <w:t xml:space="preserve"> </w:t>
      </w:r>
      <w:r w:rsidR="00DF178A">
        <w:t xml:space="preserve">the recommended </w:t>
      </w:r>
      <w:r w:rsidR="007F65D8">
        <w:t>actions</w:t>
      </w:r>
      <w:r w:rsidR="00DF178A">
        <w:t xml:space="preserve"> identified</w:t>
      </w:r>
      <w:r w:rsidR="007F65D8">
        <w:t xml:space="preserve"> </w:t>
      </w:r>
      <w:r w:rsidR="00DF178A">
        <w:t xml:space="preserve">under Nauru Country Plan and the High Commission Gender Action Plan </w:t>
      </w:r>
      <w:r w:rsidR="007F65D8">
        <w:t>to improve gender equality ratings across all investments</w:t>
      </w:r>
      <w:r w:rsidR="00FE17D4">
        <w:t xml:space="preserve"> to incrementally reach the performance benchmark of 80 per cent</w:t>
      </w:r>
      <w:r w:rsidR="00EE3C65">
        <w:t xml:space="preserve">. </w:t>
      </w:r>
    </w:p>
    <w:p w:rsidR="00EE3C65" w:rsidRDefault="00EE3C65">
      <w:pPr>
        <w:pStyle w:val="Bullet1"/>
      </w:pPr>
      <w:r>
        <w:t>Conduct a</w:t>
      </w:r>
      <w:r w:rsidR="00BF3E9D">
        <w:t>n audit of the operational account and update</w:t>
      </w:r>
      <w:r w:rsidR="006856CC">
        <w:t xml:space="preserve"> </w:t>
      </w:r>
      <w:r>
        <w:t xml:space="preserve">of the Assessment of National Systems (ANS) to strengthen management of the operational account. </w:t>
      </w:r>
    </w:p>
    <w:p w:rsidR="00D00802" w:rsidRDefault="00D00802" w:rsidP="005B5769">
      <w:pPr>
        <w:pStyle w:val="ListBullet"/>
        <w:tabs>
          <w:tab w:val="clear" w:pos="284"/>
        </w:tabs>
        <w:sectPr w:rsidR="00D00802" w:rsidSect="00D2653F">
          <w:headerReference w:type="default" r:id="rId26"/>
          <w:footerReference w:type="default" r:id="rId27"/>
          <w:pgSz w:w="11906" w:h="16838" w:code="9"/>
          <w:pgMar w:top="1811" w:right="1134" w:bottom="851" w:left="1134" w:header="1565" w:footer="342" w:gutter="0"/>
          <w:cols w:space="397"/>
          <w:docGrid w:linePitch="360"/>
        </w:sectPr>
      </w:pPr>
    </w:p>
    <w:p w:rsidR="00AF1B85" w:rsidRPr="00FD64C4" w:rsidRDefault="00AF1B85" w:rsidP="00FD64C4">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A - Progress in Addressing Management Responses</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1179"/>
        <w:gridCol w:w="6733"/>
      </w:tblGrid>
      <w:tr w:rsidR="00AF1B85" w:rsidRPr="00812509" w:rsidTr="00FD64C4">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5D57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sidR="005D5723">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5D5723">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D5723">
              <w:rPr>
                <w:rFonts w:asciiTheme="minorHAnsi" w:eastAsia="Times New Roman" w:hAnsiTheme="minorHAnsi"/>
                <w:b/>
                <w:iCs/>
                <w:szCs w:val="17"/>
                <w:lang w:eastAsia="en-US"/>
              </w:rPr>
              <w:t>8-19</w:t>
            </w:r>
          </w:p>
        </w:tc>
      </w:tr>
      <w:tr w:rsidR="00AF1B85" w:rsidRPr="00812509" w:rsidTr="00FD64C4">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D64C4" w:rsidP="00FD64C4">
            <w:pPr>
              <w:spacing w:before="0"/>
              <w:rPr>
                <w:rFonts w:asciiTheme="minorHAnsi" w:eastAsia="Times New Roman" w:hAnsiTheme="minorHAnsi"/>
                <w:iCs/>
                <w:szCs w:val="17"/>
                <w:lang w:eastAsia="en-US"/>
              </w:rPr>
            </w:pPr>
            <w:r w:rsidRPr="002D4281">
              <w:rPr>
                <w:rFonts w:asciiTheme="minorHAnsi" w:eastAsia="Times New Roman" w:hAnsiTheme="minorHAnsi"/>
                <w:iCs/>
                <w:szCs w:val="17"/>
                <w:lang w:eastAsia="en-US"/>
              </w:rPr>
              <w:t>Finalise the design for a new health sector investment (Australian High Commission Nauru and DFAT Canberra, in consultatio</w:t>
            </w:r>
            <w:r>
              <w:rPr>
                <w:rFonts w:asciiTheme="minorHAnsi" w:eastAsia="Times New Roman" w:hAnsiTheme="minorHAnsi"/>
                <w:iCs/>
                <w:szCs w:val="17"/>
                <w:lang w:eastAsia="en-US"/>
              </w:rPr>
              <w:t>n with the Government of Nauru)</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D64C4" w:rsidP="00BE506E">
            <w:pPr>
              <w:keepLines/>
              <w:spacing w:before="40" w:after="40" w:line="200" w:lineRule="atLeast"/>
              <w:rPr>
                <w:rFonts w:asciiTheme="minorHAnsi" w:eastAsia="Times New Roman" w:hAnsiTheme="minorHAnsi"/>
                <w:iCs/>
                <w:color w:val="92D050"/>
                <w:szCs w:val="17"/>
                <w:lang w:eastAsia="en-US"/>
              </w:rPr>
            </w:pPr>
            <w:r w:rsidRPr="003E7290">
              <w:rPr>
                <w:rFonts w:asciiTheme="minorHAnsi" w:eastAsia="Times New Roman" w:hAnsiTheme="minorHAnsi"/>
                <w:iCs/>
                <w:szCs w:val="17"/>
                <w:lang w:eastAsia="en-US"/>
              </w:rPr>
              <w:t xml:space="preserve">The health design – </w:t>
            </w:r>
            <w:r w:rsidRPr="00254282">
              <w:rPr>
                <w:rFonts w:asciiTheme="minorHAnsi" w:eastAsia="Times New Roman" w:hAnsiTheme="minorHAnsi"/>
                <w:iCs/>
                <w:szCs w:val="17"/>
                <w:lang w:eastAsia="en-US"/>
              </w:rPr>
              <w:t>Nauru Health Systems Support Project-</w:t>
            </w:r>
            <w:r w:rsidRPr="003E7290">
              <w:rPr>
                <w:rFonts w:asciiTheme="minorHAnsi" w:eastAsia="Times New Roman" w:hAnsiTheme="minorHAnsi"/>
                <w:iCs/>
                <w:szCs w:val="17"/>
                <w:lang w:eastAsia="en-US"/>
              </w:rPr>
              <w:t xml:space="preserve"> was completed in 2018 and the tender process finalised in 2019. </w:t>
            </w:r>
            <w:r w:rsidR="00335CC7">
              <w:rPr>
                <w:rFonts w:asciiTheme="minorHAnsi" w:eastAsia="Times New Roman" w:hAnsiTheme="minorHAnsi"/>
                <w:iCs/>
                <w:szCs w:val="17"/>
                <w:lang w:eastAsia="en-US"/>
              </w:rPr>
              <w:t xml:space="preserve">The </w:t>
            </w:r>
            <w:r w:rsidRPr="003E7290">
              <w:rPr>
                <w:rFonts w:asciiTheme="minorHAnsi" w:eastAsia="Times New Roman" w:hAnsiTheme="minorHAnsi"/>
                <w:iCs/>
                <w:szCs w:val="17"/>
                <w:lang w:eastAsia="en-US"/>
              </w:rPr>
              <w:t>new health program</w:t>
            </w:r>
            <w:r w:rsidR="00335CC7">
              <w:rPr>
                <w:rFonts w:asciiTheme="minorHAnsi" w:eastAsia="Times New Roman" w:hAnsiTheme="minorHAnsi"/>
                <w:iCs/>
                <w:szCs w:val="17"/>
                <w:lang w:eastAsia="en-US"/>
              </w:rPr>
              <w:t xml:space="preserve"> is due to commence in September 2019</w:t>
            </w:r>
            <w:r w:rsidRPr="003E7290">
              <w:rPr>
                <w:rFonts w:asciiTheme="minorHAnsi" w:eastAsia="Times New Roman" w:hAnsiTheme="minorHAnsi"/>
                <w:iCs/>
                <w:szCs w:val="17"/>
                <w:lang w:eastAsia="en-US"/>
              </w:rPr>
              <w:t>.</w:t>
            </w:r>
          </w:p>
        </w:tc>
      </w:tr>
      <w:tr w:rsidR="00AF1B85" w:rsidRPr="00812509" w:rsidTr="00FD64C4">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D64C4" w:rsidP="00D15A00">
            <w:pPr>
              <w:keepLines/>
              <w:spacing w:before="40" w:after="40" w:line="200" w:lineRule="atLeast"/>
              <w:rPr>
                <w:rFonts w:asciiTheme="minorHAnsi" w:eastAsia="Times New Roman" w:hAnsiTheme="minorHAnsi"/>
                <w:iCs/>
                <w:szCs w:val="17"/>
                <w:lang w:eastAsia="en-US"/>
              </w:rPr>
            </w:pPr>
            <w:r w:rsidRPr="00893D3A">
              <w:rPr>
                <w:rFonts w:asciiTheme="minorHAnsi" w:eastAsia="Times New Roman" w:hAnsiTheme="minorHAnsi"/>
                <w:iCs/>
                <w:szCs w:val="17"/>
                <w:lang w:eastAsia="en-US"/>
              </w:rPr>
              <w:t>Finalise a review and commence a design for a revised education investment (Australian High Commission Nauru and DFAT Canberra, in consultation with the Government of Nauru)</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D64C4" w:rsidP="00D15A00">
            <w:pPr>
              <w:keepLines/>
              <w:spacing w:before="40" w:after="40" w:line="200" w:lineRule="atLeast"/>
              <w:rPr>
                <w:rFonts w:asciiTheme="minorHAnsi" w:eastAsia="Times New Roman" w:hAnsiTheme="minorHAnsi"/>
                <w:iCs/>
                <w:color w:val="92D050"/>
                <w:szCs w:val="17"/>
                <w:lang w:eastAsia="en-US"/>
              </w:rPr>
            </w:pPr>
            <w:r w:rsidRPr="00020437">
              <w:rPr>
                <w:rFonts w:asciiTheme="minorHAnsi" w:eastAsia="Times New Roman" w:hAnsiTheme="minorHAnsi"/>
                <w:iCs/>
                <w:szCs w:val="17"/>
                <w:lang w:eastAsia="en-US"/>
              </w:rPr>
              <w:t>The end-of-investment Education Sector Review was completed in December 2018. The report</w:t>
            </w:r>
            <w:r w:rsidR="00335CC7">
              <w:rPr>
                <w:rFonts w:asciiTheme="minorHAnsi" w:eastAsia="Times New Roman" w:hAnsiTheme="minorHAnsi"/>
                <w:iCs/>
                <w:szCs w:val="17"/>
                <w:lang w:eastAsia="en-US"/>
              </w:rPr>
              <w:t>,</w:t>
            </w:r>
            <w:r w:rsidRPr="00020437">
              <w:rPr>
                <w:rFonts w:asciiTheme="minorHAnsi" w:eastAsia="Times New Roman" w:hAnsiTheme="minorHAnsi"/>
                <w:iCs/>
                <w:szCs w:val="17"/>
                <w:lang w:eastAsia="en-US"/>
              </w:rPr>
              <w:t xml:space="preserve"> along with DFAT’s management responses to the review recommendations</w:t>
            </w:r>
            <w:r w:rsidR="00335CC7">
              <w:rPr>
                <w:rFonts w:asciiTheme="minorHAnsi" w:eastAsia="Times New Roman" w:hAnsiTheme="minorHAnsi"/>
                <w:iCs/>
                <w:szCs w:val="17"/>
                <w:lang w:eastAsia="en-US"/>
              </w:rPr>
              <w:t>,</w:t>
            </w:r>
            <w:r w:rsidRPr="00020437">
              <w:rPr>
                <w:rFonts w:asciiTheme="minorHAnsi" w:eastAsia="Times New Roman" w:hAnsiTheme="minorHAnsi"/>
                <w:iCs/>
                <w:szCs w:val="17"/>
                <w:lang w:eastAsia="en-US"/>
              </w:rPr>
              <w:t xml:space="preserve"> was published on the DFAT website in December 2018. A re-design of Australia’s Education Program in Nauru is underway.</w:t>
            </w:r>
          </w:p>
        </w:tc>
      </w:tr>
      <w:tr w:rsidR="00FD64C4" w:rsidRPr="00812509" w:rsidTr="00FD64C4">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D64C4" w:rsidRPr="00812509" w:rsidRDefault="00FD64C4" w:rsidP="00FD64C4">
            <w:pPr>
              <w:spacing w:before="0"/>
              <w:rPr>
                <w:rFonts w:asciiTheme="minorHAnsi" w:eastAsia="Times New Roman" w:hAnsiTheme="minorHAnsi"/>
                <w:iCs/>
                <w:szCs w:val="17"/>
                <w:lang w:eastAsia="en-US"/>
              </w:rPr>
            </w:pPr>
            <w:r w:rsidRPr="000A34C9">
              <w:rPr>
                <w:rFonts w:asciiTheme="minorHAnsi" w:eastAsia="Times New Roman" w:hAnsiTheme="minorHAnsi"/>
                <w:iCs/>
                <w:szCs w:val="17"/>
                <w:lang w:eastAsia="en-US"/>
              </w:rPr>
              <w:t>Identify and implement actions to improve and maintain gender equality ratings across all investments (Australian High Commission Nauru and DFAT Canberr</w:t>
            </w:r>
            <w:r>
              <w:rPr>
                <w:rFonts w:asciiTheme="minorHAnsi" w:eastAsia="Times New Roman" w:hAnsiTheme="minorHAnsi"/>
                <w:iCs/>
                <w:szCs w:val="17"/>
                <w:lang w:eastAsia="en-US"/>
              </w:rPr>
              <w:t>a).</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tcPr>
          <w:p w:rsidR="00FD64C4" w:rsidRPr="00812509" w:rsidRDefault="00FD64C4" w:rsidP="00FD64C4">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Not 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D64C4" w:rsidRPr="00812509" w:rsidRDefault="00335CC7" w:rsidP="00BE506E">
            <w:pPr>
              <w:keepLines/>
              <w:spacing w:before="40" w:after="40" w:line="200" w:lineRule="atLeast"/>
              <w:rPr>
                <w:rFonts w:asciiTheme="minorHAnsi" w:eastAsia="Times New Roman" w:hAnsiTheme="minorHAnsi"/>
                <w:iCs/>
                <w:color w:val="92D050"/>
                <w:szCs w:val="17"/>
                <w:lang w:eastAsia="en-US"/>
              </w:rPr>
            </w:pPr>
            <w:r>
              <w:rPr>
                <w:rFonts w:asciiTheme="minorHAnsi" w:eastAsia="Times New Roman" w:hAnsiTheme="minorHAnsi"/>
                <w:iCs/>
                <w:szCs w:val="17"/>
                <w:lang w:eastAsia="en-US"/>
              </w:rPr>
              <w:t>G</w:t>
            </w:r>
            <w:r w:rsidR="00FD64C4" w:rsidRPr="00020437">
              <w:rPr>
                <w:rFonts w:asciiTheme="minorHAnsi" w:eastAsia="Times New Roman" w:hAnsiTheme="minorHAnsi"/>
                <w:iCs/>
                <w:szCs w:val="17"/>
                <w:lang w:eastAsia="en-US"/>
              </w:rPr>
              <w:t xml:space="preserve">ender scores </w:t>
            </w:r>
            <w:r>
              <w:rPr>
                <w:rFonts w:asciiTheme="minorHAnsi" w:eastAsia="Times New Roman" w:hAnsiTheme="minorHAnsi"/>
                <w:iCs/>
                <w:szCs w:val="17"/>
                <w:lang w:eastAsia="en-US"/>
              </w:rPr>
              <w:t>for investments in</w:t>
            </w:r>
            <w:r w:rsidR="00FD64C4">
              <w:rPr>
                <w:rFonts w:asciiTheme="minorHAnsi" w:eastAsia="Times New Roman" w:hAnsiTheme="minorHAnsi"/>
                <w:iCs/>
                <w:szCs w:val="17"/>
                <w:lang w:eastAsia="en-US"/>
              </w:rPr>
              <w:t xml:space="preserve"> </w:t>
            </w:r>
            <w:r w:rsidR="00FD64C4" w:rsidRPr="00020437">
              <w:rPr>
                <w:rFonts w:asciiTheme="minorHAnsi" w:eastAsia="Times New Roman" w:hAnsiTheme="minorHAnsi"/>
                <w:iCs/>
                <w:szCs w:val="17"/>
                <w:lang w:eastAsia="en-US"/>
              </w:rPr>
              <w:t>infrastructure and PSM</w:t>
            </w:r>
            <w:r>
              <w:rPr>
                <w:rFonts w:asciiTheme="minorHAnsi" w:eastAsia="Times New Roman" w:hAnsiTheme="minorHAnsi"/>
                <w:iCs/>
                <w:szCs w:val="17"/>
                <w:lang w:eastAsia="en-US"/>
              </w:rPr>
              <w:t xml:space="preserve"> were downgraded to ‘3’ </w:t>
            </w:r>
            <w:r w:rsidR="00FD64C4" w:rsidRPr="00020437">
              <w:rPr>
                <w:rFonts w:asciiTheme="minorHAnsi" w:eastAsia="Times New Roman" w:hAnsiTheme="minorHAnsi"/>
                <w:iCs/>
                <w:szCs w:val="17"/>
                <w:lang w:eastAsia="en-US"/>
              </w:rPr>
              <w:t>over the 2018-19 reporting period</w:t>
            </w:r>
            <w:r w:rsidR="00FD64C4">
              <w:rPr>
                <w:rFonts w:asciiTheme="minorHAnsi" w:eastAsia="Times New Roman" w:hAnsiTheme="minorHAnsi"/>
                <w:iCs/>
                <w:szCs w:val="17"/>
                <w:lang w:eastAsia="en-US"/>
              </w:rPr>
              <w:t>.</w:t>
            </w:r>
            <w:r w:rsidR="00C94347">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Efforts</w:t>
            </w:r>
            <w:r w:rsidR="00C94347">
              <w:rPr>
                <w:rFonts w:asciiTheme="minorHAnsi" w:eastAsia="Times New Roman" w:hAnsiTheme="minorHAnsi"/>
                <w:iCs/>
                <w:szCs w:val="17"/>
                <w:lang w:eastAsia="en-US"/>
              </w:rPr>
              <w:t xml:space="preserve"> to address gender</w:t>
            </w:r>
            <w:r>
              <w:rPr>
                <w:rFonts w:asciiTheme="minorHAnsi" w:eastAsia="Times New Roman" w:hAnsiTheme="minorHAnsi"/>
                <w:iCs/>
                <w:szCs w:val="17"/>
                <w:lang w:eastAsia="en-US"/>
              </w:rPr>
              <w:t xml:space="preserve"> issues</w:t>
            </w:r>
            <w:r w:rsidR="00C94347">
              <w:rPr>
                <w:rFonts w:asciiTheme="minorHAnsi" w:eastAsia="Times New Roman" w:hAnsiTheme="minorHAnsi"/>
                <w:iCs/>
                <w:szCs w:val="17"/>
                <w:lang w:eastAsia="en-US"/>
              </w:rPr>
              <w:t xml:space="preserve"> across Australia’s investments, have seen limited progress</w:t>
            </w:r>
            <w:r>
              <w:rPr>
                <w:rFonts w:asciiTheme="minorHAnsi" w:eastAsia="Times New Roman" w:hAnsiTheme="minorHAnsi"/>
                <w:iCs/>
                <w:szCs w:val="17"/>
                <w:lang w:eastAsia="en-US"/>
              </w:rPr>
              <w:t xml:space="preserve"> </w:t>
            </w:r>
            <w:r w:rsidR="00C94347">
              <w:rPr>
                <w:rFonts w:asciiTheme="minorHAnsi" w:eastAsia="Times New Roman" w:hAnsiTheme="minorHAnsi"/>
                <w:iCs/>
                <w:szCs w:val="17"/>
                <w:lang w:eastAsia="en-US"/>
              </w:rPr>
              <w:t xml:space="preserve">due to a </w:t>
            </w:r>
            <w:r>
              <w:rPr>
                <w:rFonts w:asciiTheme="minorHAnsi" w:eastAsia="Times New Roman" w:hAnsiTheme="minorHAnsi"/>
                <w:iCs/>
                <w:szCs w:val="17"/>
                <w:lang w:eastAsia="en-US"/>
              </w:rPr>
              <w:t xml:space="preserve">number </w:t>
            </w:r>
            <w:r w:rsidR="00C94347">
              <w:rPr>
                <w:rFonts w:asciiTheme="minorHAnsi" w:eastAsia="Times New Roman" w:hAnsiTheme="minorHAnsi"/>
                <w:iCs/>
                <w:szCs w:val="17"/>
                <w:lang w:eastAsia="en-US"/>
              </w:rPr>
              <w:t>of factors including limited data available to track p</w:t>
            </w:r>
            <w:r w:rsidR="009B6356">
              <w:rPr>
                <w:rFonts w:asciiTheme="minorHAnsi" w:eastAsia="Times New Roman" w:hAnsiTheme="minorHAnsi"/>
                <w:iCs/>
                <w:szCs w:val="17"/>
                <w:lang w:eastAsia="en-US"/>
              </w:rPr>
              <w:t xml:space="preserve">rogress </w:t>
            </w:r>
            <w:r w:rsidR="00C94347">
              <w:rPr>
                <w:rFonts w:asciiTheme="minorHAnsi" w:eastAsia="Times New Roman" w:hAnsiTheme="minorHAnsi"/>
                <w:iCs/>
                <w:szCs w:val="17"/>
                <w:lang w:eastAsia="en-US"/>
              </w:rPr>
              <w:t xml:space="preserve">and challenges in implementation. </w:t>
            </w:r>
            <w:r w:rsidR="009B6356">
              <w:rPr>
                <w:rFonts w:asciiTheme="minorHAnsi" w:eastAsia="Times New Roman" w:hAnsiTheme="minorHAnsi"/>
                <w:iCs/>
                <w:szCs w:val="17"/>
                <w:lang w:eastAsia="en-US"/>
              </w:rPr>
              <w:t>Addressing gender</w:t>
            </w:r>
            <w:r>
              <w:rPr>
                <w:rFonts w:asciiTheme="minorHAnsi" w:eastAsia="Times New Roman" w:hAnsiTheme="minorHAnsi"/>
                <w:iCs/>
                <w:szCs w:val="17"/>
                <w:lang w:eastAsia="en-US"/>
              </w:rPr>
              <w:t xml:space="preserve"> equality</w:t>
            </w:r>
            <w:r w:rsidR="009B6356">
              <w:rPr>
                <w:rFonts w:asciiTheme="minorHAnsi" w:eastAsia="Times New Roman" w:hAnsiTheme="minorHAnsi"/>
                <w:iCs/>
                <w:szCs w:val="17"/>
                <w:lang w:eastAsia="en-US"/>
              </w:rPr>
              <w:t xml:space="preserve"> is a priority for management action in 2019-20 to strengthen systematic integration of gender</w:t>
            </w:r>
            <w:r>
              <w:rPr>
                <w:rFonts w:asciiTheme="minorHAnsi" w:eastAsia="Times New Roman" w:hAnsiTheme="minorHAnsi"/>
                <w:iCs/>
                <w:szCs w:val="17"/>
                <w:lang w:eastAsia="en-US"/>
              </w:rPr>
              <w:t xml:space="preserve"> issues</w:t>
            </w:r>
            <w:r w:rsidR="009B6356">
              <w:rPr>
                <w:rFonts w:asciiTheme="minorHAnsi" w:eastAsia="Times New Roman" w:hAnsiTheme="minorHAnsi"/>
                <w:iCs/>
                <w:szCs w:val="17"/>
                <w:lang w:eastAsia="en-US"/>
              </w:rPr>
              <w:t xml:space="preserve"> as a cross-cutting issue. </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28"/>
          <w:pgSz w:w="16838" w:h="11906" w:orient="landscape" w:code="9"/>
          <w:pgMar w:top="1134" w:right="1952" w:bottom="1134" w:left="851" w:header="1107" w:footer="567" w:gutter="0"/>
          <w:cols w:space="397"/>
          <w:titlePg/>
          <w:docGrid w:linePitch="360"/>
        </w:sectPr>
      </w:pPr>
    </w:p>
    <w:p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rsidR="00184F1E" w:rsidRPr="00F8189A" w:rsidRDefault="00F8189A" w:rsidP="00184F1E">
      <w:pPr>
        <w:rPr>
          <w:rFonts w:eastAsia="Times New Roman" w:cstheme="minorHAnsi"/>
          <w:sz w:val="32"/>
          <w:szCs w:val="32"/>
        </w:rPr>
      </w:pPr>
      <w:r>
        <w:rPr>
          <w:rFonts w:eastAsia="Times New Roman" w:cstheme="minorHAnsi"/>
          <w:sz w:val="32"/>
          <w:szCs w:val="32"/>
        </w:rPr>
        <w:t xml:space="preserve">1 </w:t>
      </w:r>
      <w:r w:rsidR="00184F1E" w:rsidRPr="00F8189A">
        <w:rPr>
          <w:rFonts w:eastAsia="Times New Roman" w:cstheme="minorHAnsi"/>
          <w:sz w:val="32"/>
          <w:szCs w:val="32"/>
        </w:rPr>
        <w:t>Progress towards Performance Benchmarks in 201</w:t>
      </w:r>
      <w:r w:rsidRPr="00F8189A">
        <w:rPr>
          <w:rFonts w:eastAsia="Times New Roman" w:cstheme="minorHAnsi"/>
          <w:sz w:val="32"/>
          <w:szCs w:val="32"/>
        </w:rPr>
        <w:t>8-19</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95"/>
        <w:gridCol w:w="1318"/>
        <w:gridCol w:w="8331"/>
      </w:tblGrid>
      <w:tr w:rsidR="00184F1E" w:rsidRPr="00C61187" w:rsidTr="009B6356">
        <w:trPr>
          <w:tblHeader/>
        </w:trPr>
        <w:tc>
          <w:tcPr>
            <w:tcW w:w="706" w:type="pct"/>
            <w:tcMar>
              <w:top w:w="57" w:type="dxa"/>
              <w:bottom w:w="57" w:type="dxa"/>
            </w:tcMar>
          </w:tcPr>
          <w:p w:rsidR="00184F1E" w:rsidRPr="00880004" w:rsidRDefault="00184F1E" w:rsidP="00254F79">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854" w:type="pct"/>
          </w:tcPr>
          <w:p w:rsidR="00184F1E" w:rsidRPr="00880004" w:rsidRDefault="00184F1E" w:rsidP="00254F79">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rsidR="00184F1E" w:rsidRPr="00880004" w:rsidRDefault="00184F1E" w:rsidP="00254F79">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rsidR="00184F1E" w:rsidRPr="00880004" w:rsidRDefault="00184F1E" w:rsidP="000847A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0847AD">
              <w:rPr>
                <w:rFonts w:asciiTheme="minorHAnsi" w:eastAsia="Times New Roman" w:hAnsiTheme="minorHAnsi"/>
                <w:b/>
                <w:iCs/>
                <w:szCs w:val="17"/>
                <w:lang w:eastAsia="en-US"/>
              </w:rPr>
              <w:t>8-19</w:t>
            </w:r>
          </w:p>
        </w:tc>
      </w:tr>
      <w:tr w:rsidR="00042F58" w:rsidRPr="00C61187" w:rsidTr="00974C1F">
        <w:tc>
          <w:tcPr>
            <w:tcW w:w="706" w:type="pct"/>
            <w:vMerge w:val="restart"/>
            <w:tcMar>
              <w:top w:w="57" w:type="dxa"/>
              <w:bottom w:w="57" w:type="dxa"/>
            </w:tcMar>
          </w:tcPr>
          <w:p w:rsidR="00042F58" w:rsidRPr="009B6356" w:rsidRDefault="00042F58" w:rsidP="00042F58">
            <w:pPr>
              <w:keepLines/>
              <w:spacing w:before="40" w:after="40" w:line="200" w:lineRule="atLeast"/>
              <w:rPr>
                <w:rFonts w:asciiTheme="minorHAnsi" w:eastAsia="Times New Roman" w:hAnsiTheme="minorHAnsi"/>
                <w:iCs/>
                <w:szCs w:val="17"/>
                <w:lang w:eastAsia="en-US"/>
              </w:rPr>
            </w:pPr>
            <w:r>
              <w:rPr>
                <w:rFonts w:ascii="Calibri Light" w:eastAsia="Times New Roman" w:hAnsi="Calibri Light" w:cs="Times New Roman"/>
                <w:color w:val="495965"/>
              </w:rPr>
              <w:t>More effective Public Sector Management</w:t>
            </w:r>
          </w:p>
        </w:tc>
        <w:tc>
          <w:tcPr>
            <w:tcW w:w="854" w:type="pct"/>
          </w:tcPr>
          <w:p w:rsidR="00042F58" w:rsidRPr="009B6356" w:rsidRDefault="00042F58" w:rsidP="00042F58">
            <w:pPr>
              <w:keepLines/>
              <w:spacing w:before="40" w:after="40" w:line="200" w:lineRule="atLeast"/>
              <w:rPr>
                <w:rFonts w:asciiTheme="minorHAnsi" w:eastAsia="Times New Roman" w:hAnsiTheme="minorHAnsi"/>
                <w:iCs/>
                <w:szCs w:val="17"/>
                <w:lang w:eastAsia="en-US"/>
              </w:rPr>
            </w:pPr>
            <w:r w:rsidRPr="009B6356">
              <w:rPr>
                <w:rFonts w:asciiTheme="minorHAnsi" w:eastAsia="Times New Roman" w:hAnsiTheme="minorHAnsi"/>
                <w:iCs/>
                <w:szCs w:val="17"/>
                <w:lang w:eastAsia="en-US"/>
              </w:rPr>
              <w:t>Operational Account – conduct biannual “audits” that lead to recommendations that are implemented appropriately</w:t>
            </w:r>
          </w:p>
        </w:tc>
        <w:tc>
          <w:tcPr>
            <w:tcW w:w="470" w:type="pct"/>
            <w:shd w:val="clear" w:color="auto" w:fill="F7AA32"/>
          </w:tcPr>
          <w:p w:rsidR="00042F58" w:rsidRPr="00880004" w:rsidRDefault="00042F58" w:rsidP="00042F58">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Partly achieved</w:t>
            </w:r>
          </w:p>
        </w:tc>
        <w:tc>
          <w:tcPr>
            <w:tcW w:w="2970" w:type="pct"/>
          </w:tcPr>
          <w:p w:rsidR="00E04C32" w:rsidRDefault="00042F58" w:rsidP="00042F58">
            <w:pPr>
              <w:suppressAutoHyphens w:val="0"/>
              <w:spacing w:before="0" w:after="0" w:line="240" w:lineRule="auto"/>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Australia</w:t>
            </w:r>
            <w:r w:rsidRPr="00CD4F30">
              <w:rPr>
                <w:rFonts w:ascii="Calibri Light" w:eastAsia="Times New Roman" w:hAnsi="Calibri Light" w:cs="Times New Roman"/>
                <w:iCs/>
                <w:color w:val="495965"/>
                <w:szCs w:val="17"/>
              </w:rPr>
              <w:t xml:space="preserve"> continues to undertake regular independent reviews of transactions made through the operational account.</w:t>
            </w:r>
            <w:r>
              <w:rPr>
                <w:rFonts w:ascii="Calibri Light" w:eastAsia="Times New Roman" w:hAnsi="Calibri Light" w:cs="Times New Roman"/>
                <w:iCs/>
                <w:color w:val="495965"/>
                <w:szCs w:val="17"/>
              </w:rPr>
              <w:t xml:space="preserve"> The ability</w:t>
            </w:r>
            <w:r w:rsidR="00F64C90">
              <w:rPr>
                <w:rFonts w:ascii="Calibri Light" w:eastAsia="Times New Roman" w:hAnsi="Calibri Light" w:cs="Times New Roman"/>
                <w:iCs/>
                <w:color w:val="495965"/>
                <w:szCs w:val="17"/>
              </w:rPr>
              <w:t xml:space="preserve"> of </w:t>
            </w:r>
            <w:proofErr w:type="spellStart"/>
            <w:r w:rsidR="00F64C90">
              <w:rPr>
                <w:rFonts w:ascii="Calibri Light" w:eastAsia="Times New Roman" w:hAnsi="Calibri Light" w:cs="Times New Roman"/>
                <w:iCs/>
                <w:color w:val="495965"/>
                <w:szCs w:val="17"/>
              </w:rPr>
              <w:t>GoN</w:t>
            </w:r>
            <w:proofErr w:type="spellEnd"/>
            <w:r>
              <w:rPr>
                <w:rFonts w:ascii="Calibri Light" w:eastAsia="Times New Roman" w:hAnsi="Calibri Light" w:cs="Times New Roman"/>
                <w:iCs/>
                <w:color w:val="495965"/>
                <w:szCs w:val="17"/>
              </w:rPr>
              <w:t xml:space="preserve"> to implement recommendations from the audit has not be</w:t>
            </w:r>
            <w:r w:rsidR="00EE3C65">
              <w:rPr>
                <w:rFonts w:ascii="Calibri Light" w:eastAsia="Times New Roman" w:hAnsi="Calibri Light" w:cs="Times New Roman"/>
                <w:iCs/>
                <w:color w:val="495965"/>
                <w:szCs w:val="17"/>
              </w:rPr>
              <w:t>en</w:t>
            </w:r>
            <w:r>
              <w:rPr>
                <w:rFonts w:ascii="Calibri Light" w:eastAsia="Times New Roman" w:hAnsi="Calibri Light" w:cs="Times New Roman"/>
                <w:iCs/>
                <w:color w:val="495965"/>
                <w:szCs w:val="17"/>
              </w:rPr>
              <w:t xml:space="preserve"> consistent</w:t>
            </w:r>
            <w:r w:rsidR="009E125B">
              <w:rPr>
                <w:rFonts w:ascii="Calibri Light" w:eastAsia="Times New Roman" w:hAnsi="Calibri Light" w:cs="Times New Roman"/>
                <w:iCs/>
                <w:color w:val="495965"/>
                <w:szCs w:val="17"/>
              </w:rPr>
              <w:t xml:space="preserve"> and s</w:t>
            </w:r>
            <w:r>
              <w:rPr>
                <w:rFonts w:ascii="Calibri Light" w:eastAsia="Times New Roman" w:hAnsi="Calibri Light" w:cs="Times New Roman"/>
                <w:iCs/>
                <w:color w:val="495965"/>
                <w:szCs w:val="17"/>
              </w:rPr>
              <w:t>ome recommendations remain to be implemented.</w:t>
            </w:r>
            <w:r w:rsidR="00BF3E9D">
              <w:rPr>
                <w:rFonts w:ascii="Calibri Light" w:eastAsia="Times New Roman" w:hAnsi="Calibri Light" w:cs="Times New Roman"/>
                <w:iCs/>
                <w:color w:val="495965"/>
                <w:szCs w:val="17"/>
              </w:rPr>
              <w:t xml:space="preserve"> The</w:t>
            </w:r>
            <w:r w:rsidR="00F64C90">
              <w:rPr>
                <w:rFonts w:ascii="Calibri Light" w:eastAsia="Times New Roman" w:hAnsi="Calibri Light" w:cs="Times New Roman"/>
                <w:iCs/>
                <w:color w:val="495965"/>
                <w:szCs w:val="17"/>
              </w:rPr>
              <w:t xml:space="preserve"> independent review</w:t>
            </w:r>
            <w:r w:rsidR="00BF3E9D">
              <w:rPr>
                <w:rFonts w:ascii="Calibri Light" w:eastAsia="Times New Roman" w:hAnsi="Calibri Light" w:cs="Times New Roman"/>
                <w:iCs/>
                <w:color w:val="495965"/>
                <w:szCs w:val="17"/>
              </w:rPr>
              <w:t xml:space="preserve"> recommendations</w:t>
            </w:r>
            <w:r w:rsidR="00F64C90">
              <w:rPr>
                <w:rFonts w:ascii="Calibri Light" w:eastAsia="Times New Roman" w:hAnsi="Calibri Light" w:cs="Times New Roman"/>
                <w:iCs/>
                <w:color w:val="495965"/>
                <w:szCs w:val="17"/>
              </w:rPr>
              <w:t xml:space="preserve"> are to improve administration of the operational account by </w:t>
            </w:r>
            <w:proofErr w:type="spellStart"/>
            <w:r w:rsidR="00F64C90">
              <w:rPr>
                <w:rFonts w:ascii="Calibri Light" w:eastAsia="Times New Roman" w:hAnsi="Calibri Light" w:cs="Times New Roman"/>
                <w:iCs/>
                <w:color w:val="495965"/>
                <w:szCs w:val="17"/>
              </w:rPr>
              <w:t>GoN</w:t>
            </w:r>
            <w:proofErr w:type="spellEnd"/>
            <w:r w:rsidR="00F64C90">
              <w:rPr>
                <w:rFonts w:ascii="Calibri Light" w:eastAsia="Times New Roman" w:hAnsi="Calibri Light" w:cs="Times New Roman"/>
                <w:iCs/>
                <w:color w:val="495965"/>
                <w:szCs w:val="17"/>
              </w:rPr>
              <w:t>. Although there has been no obvious impropriety</w:t>
            </w:r>
            <w:r w:rsidR="008A5F04">
              <w:rPr>
                <w:rFonts w:ascii="Calibri Light" w:eastAsia="Times New Roman" w:hAnsi="Calibri Light" w:cs="Times New Roman"/>
                <w:iCs/>
                <w:color w:val="495965"/>
                <w:szCs w:val="17"/>
              </w:rPr>
              <w:t xml:space="preserve"> of funds</w:t>
            </w:r>
            <w:r w:rsidR="00F64C90">
              <w:rPr>
                <w:rFonts w:ascii="Calibri Light" w:eastAsia="Times New Roman" w:hAnsi="Calibri Light" w:cs="Times New Roman"/>
                <w:iCs/>
                <w:color w:val="495965"/>
                <w:szCs w:val="17"/>
              </w:rPr>
              <w:t xml:space="preserve"> the management and financial reporting systems related to the environment in which the Operational Account operates as well</w:t>
            </w:r>
            <w:r w:rsidR="008A5F04">
              <w:rPr>
                <w:rFonts w:ascii="Calibri Light" w:eastAsia="Times New Roman" w:hAnsi="Calibri Light" w:cs="Times New Roman"/>
                <w:iCs/>
                <w:color w:val="495965"/>
                <w:szCs w:val="17"/>
              </w:rPr>
              <w:t xml:space="preserve"> </w:t>
            </w:r>
            <w:r w:rsidR="00F64C90">
              <w:rPr>
                <w:rFonts w:ascii="Calibri Light" w:eastAsia="Times New Roman" w:hAnsi="Calibri Light" w:cs="Times New Roman"/>
                <w:iCs/>
                <w:color w:val="495965"/>
                <w:szCs w:val="17"/>
              </w:rPr>
              <w:t xml:space="preserve">as the most of the </w:t>
            </w:r>
            <w:proofErr w:type="spellStart"/>
            <w:r w:rsidR="00F64C90">
              <w:rPr>
                <w:rFonts w:ascii="Calibri Light" w:eastAsia="Times New Roman" w:hAnsi="Calibri Light" w:cs="Times New Roman"/>
                <w:iCs/>
                <w:color w:val="495965"/>
                <w:szCs w:val="17"/>
              </w:rPr>
              <w:t>GoN</w:t>
            </w:r>
            <w:proofErr w:type="spellEnd"/>
            <w:r w:rsidR="00F64C90">
              <w:rPr>
                <w:rFonts w:ascii="Calibri Light" w:eastAsia="Times New Roman" w:hAnsi="Calibri Light" w:cs="Times New Roman"/>
                <w:iCs/>
                <w:color w:val="495965"/>
                <w:szCs w:val="17"/>
              </w:rPr>
              <w:t xml:space="preserve"> public fina</w:t>
            </w:r>
            <w:r w:rsidR="008A5F04">
              <w:rPr>
                <w:rFonts w:ascii="Calibri Light" w:eastAsia="Times New Roman" w:hAnsi="Calibri Light" w:cs="Times New Roman"/>
                <w:iCs/>
                <w:color w:val="495965"/>
                <w:szCs w:val="17"/>
              </w:rPr>
              <w:t xml:space="preserve">nce system in this period, have been and continue to remain chronically weak. </w:t>
            </w:r>
          </w:p>
          <w:p w:rsidR="00042F58" w:rsidRPr="00030E45" w:rsidRDefault="00BF3E9D" w:rsidP="00042F58">
            <w:pPr>
              <w:suppressAutoHyphens w:val="0"/>
              <w:spacing w:before="0" w:after="0" w:line="240" w:lineRule="auto"/>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 xml:space="preserve"> </w:t>
            </w:r>
            <w:r w:rsidR="00042F58">
              <w:rPr>
                <w:rFonts w:ascii="Calibri Light" w:eastAsia="Times New Roman" w:hAnsi="Calibri Light" w:cs="Times New Roman"/>
                <w:iCs/>
                <w:color w:val="495965"/>
                <w:szCs w:val="17"/>
              </w:rPr>
              <w:t xml:space="preserve"> </w:t>
            </w:r>
          </w:p>
          <w:p w:rsidR="00042F58" w:rsidRPr="009B6356" w:rsidRDefault="00042F58" w:rsidP="00042F58">
            <w:pPr>
              <w:keepLines/>
              <w:spacing w:before="40" w:after="40" w:line="200" w:lineRule="atLeast"/>
              <w:rPr>
                <w:rFonts w:asciiTheme="minorHAnsi" w:eastAsia="Times New Roman" w:hAnsiTheme="minorHAnsi"/>
                <w:iCs/>
                <w:szCs w:val="17"/>
                <w:lang w:eastAsia="en-US"/>
              </w:rPr>
            </w:pPr>
          </w:p>
        </w:tc>
      </w:tr>
      <w:tr w:rsidR="009B6356" w:rsidRPr="00C61187" w:rsidTr="009B6356">
        <w:tc>
          <w:tcPr>
            <w:tcW w:w="706" w:type="pct"/>
            <w:vMerge/>
            <w:tcMar>
              <w:top w:w="57" w:type="dxa"/>
              <w:bottom w:w="57" w:type="dxa"/>
            </w:tcMar>
          </w:tcPr>
          <w:p w:rsidR="009B6356" w:rsidRPr="009B6356" w:rsidRDefault="009B6356" w:rsidP="00F8189A">
            <w:pPr>
              <w:keepLines/>
              <w:spacing w:before="40" w:after="40" w:line="200" w:lineRule="atLeast"/>
              <w:rPr>
                <w:rFonts w:asciiTheme="minorHAnsi" w:eastAsia="Times New Roman" w:hAnsiTheme="minorHAnsi"/>
                <w:iCs/>
                <w:szCs w:val="17"/>
                <w:lang w:eastAsia="en-US"/>
              </w:rPr>
            </w:pPr>
          </w:p>
        </w:tc>
        <w:tc>
          <w:tcPr>
            <w:tcW w:w="854" w:type="pct"/>
          </w:tcPr>
          <w:p w:rsidR="009B6356" w:rsidRPr="009B6356" w:rsidRDefault="009B6356" w:rsidP="00F8189A">
            <w:pPr>
              <w:keepLines/>
              <w:spacing w:before="40" w:after="40" w:line="200" w:lineRule="atLeast"/>
              <w:rPr>
                <w:rFonts w:asciiTheme="minorHAnsi" w:eastAsia="Times New Roman" w:hAnsiTheme="minorHAnsi"/>
                <w:iCs/>
                <w:szCs w:val="17"/>
                <w:lang w:eastAsia="en-US"/>
              </w:rPr>
            </w:pPr>
            <w:r w:rsidRPr="009B6356">
              <w:rPr>
                <w:rFonts w:asciiTheme="minorHAnsi" w:eastAsia="Times New Roman" w:hAnsiTheme="minorHAnsi"/>
                <w:iCs/>
                <w:szCs w:val="17"/>
                <w:lang w:eastAsia="en-US"/>
              </w:rPr>
              <w:t>Financial Instructions – utilisation of Instructions to improve operations</w:t>
            </w:r>
          </w:p>
        </w:tc>
        <w:tc>
          <w:tcPr>
            <w:tcW w:w="470" w:type="pct"/>
            <w:shd w:val="clear" w:color="auto" w:fill="F7AA32"/>
          </w:tcPr>
          <w:p w:rsidR="009B6356" w:rsidRPr="00880004" w:rsidRDefault="009B6356" w:rsidP="00F8189A">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Partly achieved</w:t>
            </w:r>
          </w:p>
        </w:tc>
        <w:tc>
          <w:tcPr>
            <w:tcW w:w="2970" w:type="pct"/>
          </w:tcPr>
          <w:p w:rsidR="009B6356" w:rsidRPr="009B6356" w:rsidRDefault="009B6356" w:rsidP="00F8189A">
            <w:pPr>
              <w:keepLines/>
              <w:spacing w:before="40" w:after="40" w:line="200" w:lineRule="atLeast"/>
              <w:rPr>
                <w:rFonts w:asciiTheme="minorHAnsi" w:eastAsia="Times New Roman" w:hAnsiTheme="minorHAnsi"/>
                <w:iCs/>
                <w:szCs w:val="17"/>
                <w:lang w:eastAsia="en-US"/>
              </w:rPr>
            </w:pPr>
            <w:r w:rsidRPr="009B6356">
              <w:rPr>
                <w:rFonts w:asciiTheme="minorHAnsi" w:eastAsia="Times New Roman" w:hAnsiTheme="minorHAnsi"/>
                <w:iCs/>
                <w:szCs w:val="17"/>
                <w:lang w:eastAsia="en-US"/>
              </w:rPr>
              <w:t>General Principles were released in February 2019. The instructions (FI1) w</w:t>
            </w:r>
            <w:r w:rsidR="009E125B">
              <w:rPr>
                <w:rFonts w:asciiTheme="minorHAnsi" w:eastAsia="Times New Roman" w:hAnsiTheme="minorHAnsi"/>
                <w:iCs/>
                <w:szCs w:val="17"/>
                <w:lang w:eastAsia="en-US"/>
              </w:rPr>
              <w:t>ere</w:t>
            </w:r>
            <w:r w:rsidRPr="009B6356">
              <w:rPr>
                <w:rFonts w:asciiTheme="minorHAnsi" w:eastAsia="Times New Roman" w:hAnsiTheme="minorHAnsi"/>
                <w:iCs/>
                <w:szCs w:val="17"/>
                <w:lang w:eastAsia="en-US"/>
              </w:rPr>
              <w:t xml:space="preserve"> designed to bring clarity and uniformity to </w:t>
            </w:r>
            <w:proofErr w:type="spellStart"/>
            <w:r w:rsidRPr="009B6356">
              <w:rPr>
                <w:rFonts w:asciiTheme="minorHAnsi" w:eastAsia="Times New Roman" w:hAnsiTheme="minorHAnsi"/>
                <w:iCs/>
                <w:szCs w:val="17"/>
                <w:lang w:eastAsia="en-US"/>
              </w:rPr>
              <w:t>GoN</w:t>
            </w:r>
            <w:proofErr w:type="spellEnd"/>
            <w:r w:rsidRPr="009B6356">
              <w:rPr>
                <w:rFonts w:asciiTheme="minorHAnsi" w:eastAsia="Times New Roman" w:hAnsiTheme="minorHAnsi"/>
                <w:iCs/>
                <w:szCs w:val="17"/>
                <w:lang w:eastAsia="en-US"/>
              </w:rPr>
              <w:t xml:space="preserve"> policy and practice in PFM. It is too early to ascertain whether the instructions have improved operations given their recent release. However, it is expected that FI1 will support standardisation of </w:t>
            </w:r>
            <w:proofErr w:type="spellStart"/>
            <w:r w:rsidRPr="009B6356">
              <w:rPr>
                <w:rFonts w:asciiTheme="minorHAnsi" w:eastAsia="Times New Roman" w:hAnsiTheme="minorHAnsi"/>
                <w:iCs/>
                <w:szCs w:val="17"/>
                <w:lang w:eastAsia="en-US"/>
              </w:rPr>
              <w:t>GoN's</w:t>
            </w:r>
            <w:proofErr w:type="spellEnd"/>
            <w:r w:rsidRPr="009B6356">
              <w:rPr>
                <w:rFonts w:asciiTheme="minorHAnsi" w:eastAsia="Times New Roman" w:hAnsiTheme="minorHAnsi"/>
                <w:iCs/>
                <w:szCs w:val="17"/>
                <w:lang w:eastAsia="en-US"/>
              </w:rPr>
              <w:t xml:space="preserve"> operations across PFM. Progress will be monitored closely by Deputy Secretary, Treasury. A Corporate Services Division was established during the reporting period, with a new Corporate Services Manager responsible for monitoring and compliance with FI1.</w:t>
            </w:r>
          </w:p>
        </w:tc>
      </w:tr>
      <w:tr w:rsidR="009B6356" w:rsidRPr="00C61187" w:rsidTr="00974C1F">
        <w:tc>
          <w:tcPr>
            <w:tcW w:w="706" w:type="pct"/>
            <w:vMerge/>
            <w:tcMar>
              <w:top w:w="57" w:type="dxa"/>
              <w:bottom w:w="57" w:type="dxa"/>
            </w:tcMar>
          </w:tcPr>
          <w:p w:rsidR="009B6356" w:rsidRPr="009B6356" w:rsidRDefault="009B6356" w:rsidP="009B6356">
            <w:pPr>
              <w:keepLines/>
              <w:spacing w:before="40" w:after="40" w:line="200" w:lineRule="atLeast"/>
              <w:rPr>
                <w:rFonts w:eastAsia="Times New Roman"/>
                <w:iCs/>
                <w:szCs w:val="17"/>
              </w:rPr>
            </w:pPr>
          </w:p>
        </w:tc>
        <w:tc>
          <w:tcPr>
            <w:tcW w:w="854" w:type="pct"/>
          </w:tcPr>
          <w:p w:rsidR="009B6356" w:rsidRPr="009B6356" w:rsidRDefault="009B6356" w:rsidP="00F50C74">
            <w:pPr>
              <w:keepLines/>
              <w:spacing w:before="40" w:after="40" w:line="200" w:lineRule="atLeast"/>
              <w:rPr>
                <w:rFonts w:eastAsia="Times New Roman"/>
                <w:iCs/>
                <w:szCs w:val="17"/>
              </w:rPr>
            </w:pPr>
            <w:r w:rsidRPr="00CF6DA0">
              <w:rPr>
                <w:rFonts w:asciiTheme="minorHAnsi" w:eastAsia="Times New Roman" w:hAnsiTheme="minorHAnsi"/>
                <w:iCs/>
                <w:sz w:val="16"/>
                <w:szCs w:val="16"/>
                <w:lang w:eastAsia="en-US"/>
              </w:rPr>
              <w:t xml:space="preserve">Procurement – timely, transparent procurement and reporting from </w:t>
            </w:r>
            <w:r w:rsidR="00F50C74">
              <w:rPr>
                <w:rFonts w:asciiTheme="minorHAnsi" w:eastAsia="Times New Roman" w:hAnsiTheme="minorHAnsi"/>
                <w:iCs/>
                <w:sz w:val="16"/>
                <w:szCs w:val="16"/>
                <w:lang w:eastAsia="en-US"/>
              </w:rPr>
              <w:t>the Independent Procurement Agent</w:t>
            </w:r>
          </w:p>
        </w:tc>
        <w:tc>
          <w:tcPr>
            <w:tcW w:w="470" w:type="pct"/>
            <w:shd w:val="clear" w:color="auto" w:fill="FF0000"/>
          </w:tcPr>
          <w:p w:rsidR="009B6356" w:rsidRPr="00880004" w:rsidRDefault="009B6356" w:rsidP="009B6356">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 xml:space="preserve">Not Achieved </w:t>
            </w:r>
          </w:p>
        </w:tc>
        <w:tc>
          <w:tcPr>
            <w:tcW w:w="2970" w:type="pct"/>
          </w:tcPr>
          <w:p w:rsidR="009B6356" w:rsidRPr="009B6356" w:rsidRDefault="009B6356" w:rsidP="009B6356">
            <w:pPr>
              <w:keepLines/>
              <w:spacing w:before="40" w:after="40" w:line="200" w:lineRule="atLeast"/>
              <w:rPr>
                <w:rFonts w:eastAsia="Times New Roman"/>
                <w:iCs/>
                <w:szCs w:val="17"/>
              </w:rPr>
            </w:pPr>
            <w:r w:rsidRPr="009B6356">
              <w:rPr>
                <w:rFonts w:asciiTheme="minorHAnsi" w:eastAsia="Times New Roman" w:hAnsiTheme="minorHAnsi"/>
                <w:iCs/>
                <w:szCs w:val="17"/>
                <w:lang w:eastAsia="en-US"/>
              </w:rPr>
              <w:t>The draft</w:t>
            </w:r>
            <w:r w:rsidR="00F50C74">
              <w:rPr>
                <w:rFonts w:asciiTheme="minorHAnsi" w:eastAsia="Times New Roman" w:hAnsiTheme="minorHAnsi"/>
                <w:iCs/>
                <w:szCs w:val="17"/>
                <w:lang w:eastAsia="en-US"/>
              </w:rPr>
              <w:t xml:space="preserve"> </w:t>
            </w:r>
            <w:r w:rsidR="00F50C74">
              <w:rPr>
                <w:rFonts w:asciiTheme="minorHAnsi" w:eastAsia="Times New Roman" w:hAnsiTheme="minorHAnsi"/>
                <w:iCs/>
                <w:sz w:val="16"/>
                <w:szCs w:val="16"/>
                <w:lang w:eastAsia="en-US"/>
              </w:rPr>
              <w:t>Independent Procurement Agent</w:t>
            </w:r>
            <w:r w:rsidRPr="009B6356">
              <w:rPr>
                <w:rFonts w:asciiTheme="minorHAnsi" w:eastAsia="Times New Roman" w:hAnsiTheme="minorHAnsi"/>
                <w:iCs/>
                <w:szCs w:val="17"/>
                <w:lang w:eastAsia="en-US"/>
              </w:rPr>
              <w:t xml:space="preserve"> </w:t>
            </w:r>
            <w:r w:rsidR="00F50C74">
              <w:rPr>
                <w:rFonts w:asciiTheme="minorHAnsi" w:eastAsia="Times New Roman" w:hAnsiTheme="minorHAnsi"/>
                <w:iCs/>
                <w:szCs w:val="17"/>
                <w:lang w:eastAsia="en-US"/>
              </w:rPr>
              <w:t>(</w:t>
            </w:r>
            <w:r w:rsidRPr="009B6356">
              <w:rPr>
                <w:rFonts w:asciiTheme="minorHAnsi" w:eastAsia="Times New Roman" w:hAnsiTheme="minorHAnsi"/>
                <w:iCs/>
                <w:szCs w:val="17"/>
                <w:lang w:eastAsia="en-US"/>
              </w:rPr>
              <w:t>IPA</w:t>
            </w:r>
            <w:r w:rsidR="00F50C74">
              <w:rPr>
                <w:rFonts w:asciiTheme="minorHAnsi" w:eastAsia="Times New Roman" w:hAnsiTheme="minorHAnsi"/>
                <w:iCs/>
                <w:szCs w:val="17"/>
                <w:lang w:eastAsia="en-US"/>
              </w:rPr>
              <w:t>)</w:t>
            </w:r>
            <w:r w:rsidRPr="009B6356">
              <w:rPr>
                <w:rFonts w:asciiTheme="minorHAnsi" w:eastAsia="Times New Roman" w:hAnsiTheme="minorHAnsi"/>
                <w:iCs/>
                <w:szCs w:val="17"/>
                <w:lang w:eastAsia="en-US"/>
              </w:rPr>
              <w:t xml:space="preserve"> manual was completed in December 2017. However, since then </w:t>
            </w:r>
            <w:proofErr w:type="spellStart"/>
            <w:r w:rsidRPr="009B6356">
              <w:rPr>
                <w:rFonts w:asciiTheme="minorHAnsi" w:eastAsia="Times New Roman" w:hAnsiTheme="minorHAnsi"/>
                <w:iCs/>
                <w:szCs w:val="17"/>
                <w:lang w:eastAsia="en-US"/>
              </w:rPr>
              <w:t>GoN’s</w:t>
            </w:r>
            <w:proofErr w:type="spellEnd"/>
            <w:r w:rsidRPr="009B6356">
              <w:rPr>
                <w:rFonts w:asciiTheme="minorHAnsi" w:eastAsia="Times New Roman" w:hAnsiTheme="minorHAnsi"/>
                <w:iCs/>
                <w:szCs w:val="17"/>
                <w:lang w:eastAsia="en-US"/>
              </w:rPr>
              <w:t xml:space="preserve"> temporary IPA function was transferred to the Nauru Consulate in Brisbane, which has been a barrier to c</w:t>
            </w:r>
            <w:r>
              <w:rPr>
                <w:rFonts w:asciiTheme="minorHAnsi" w:eastAsia="Times New Roman" w:hAnsiTheme="minorHAnsi"/>
                <w:iCs/>
                <w:szCs w:val="17"/>
                <w:lang w:eastAsia="en-US"/>
              </w:rPr>
              <w:t>ontinued support from Australia. This performance benchmark is no longer considered relevant given this transition</w:t>
            </w:r>
            <w:r w:rsidR="008A5F04">
              <w:rPr>
                <w:rFonts w:asciiTheme="minorHAnsi" w:eastAsia="Times New Roman" w:hAnsiTheme="minorHAnsi"/>
                <w:iCs/>
                <w:szCs w:val="17"/>
                <w:lang w:eastAsia="en-US"/>
              </w:rPr>
              <w:t xml:space="preserve"> and the lack of engagement by </w:t>
            </w:r>
            <w:proofErr w:type="spellStart"/>
            <w:r w:rsidR="008A5F04">
              <w:rPr>
                <w:rFonts w:asciiTheme="minorHAnsi" w:eastAsia="Times New Roman" w:hAnsiTheme="minorHAnsi"/>
                <w:iCs/>
                <w:szCs w:val="17"/>
                <w:lang w:eastAsia="en-US"/>
              </w:rPr>
              <w:t>GoN</w:t>
            </w:r>
            <w:proofErr w:type="spellEnd"/>
          </w:p>
        </w:tc>
      </w:tr>
      <w:tr w:rsidR="00042F58" w:rsidRPr="00C61187" w:rsidTr="00974C1F">
        <w:tc>
          <w:tcPr>
            <w:tcW w:w="706" w:type="pct"/>
            <w:vMerge w:val="restart"/>
            <w:tcMar>
              <w:top w:w="57" w:type="dxa"/>
              <w:bottom w:w="57" w:type="dxa"/>
            </w:tcMar>
          </w:tcPr>
          <w:p w:rsidR="00042F58" w:rsidRPr="009B6356" w:rsidRDefault="00042F58" w:rsidP="00042F58">
            <w:pPr>
              <w:keepLines/>
              <w:spacing w:before="40" w:after="40" w:line="200" w:lineRule="atLeast"/>
              <w:rPr>
                <w:rFonts w:eastAsia="Times New Roman"/>
                <w:iCs/>
                <w:szCs w:val="17"/>
              </w:rPr>
            </w:pPr>
            <w:r>
              <w:rPr>
                <w:rFonts w:ascii="Calibri Light" w:eastAsia="Times New Roman" w:hAnsi="Calibri Light" w:cs="Times New Roman"/>
                <w:iCs/>
                <w:color w:val="495965"/>
                <w:szCs w:val="17"/>
              </w:rPr>
              <w:t>Strengthened provision of education services</w:t>
            </w:r>
          </w:p>
        </w:tc>
        <w:tc>
          <w:tcPr>
            <w:tcW w:w="854" w:type="pct"/>
          </w:tcPr>
          <w:p w:rsidR="00042F58" w:rsidRPr="009B6356" w:rsidRDefault="00042F58" w:rsidP="00042F58">
            <w:pPr>
              <w:keepLines/>
              <w:spacing w:before="40" w:after="40" w:line="200" w:lineRule="atLeast"/>
              <w:rPr>
                <w:rFonts w:eastAsia="Times New Roman"/>
                <w:iCs/>
                <w:szCs w:val="17"/>
              </w:rPr>
            </w:pPr>
            <w:r w:rsidRPr="009B6356">
              <w:rPr>
                <w:rFonts w:asciiTheme="minorHAnsi" w:eastAsia="Times New Roman" w:hAnsiTheme="minorHAnsi"/>
                <w:iCs/>
                <w:szCs w:val="17"/>
                <w:lang w:eastAsia="en-US"/>
              </w:rPr>
              <w:t>Nauru Education Strategic Plan – benchmarks to be determined in consultation with Education Adviser</w:t>
            </w:r>
          </w:p>
        </w:tc>
        <w:tc>
          <w:tcPr>
            <w:tcW w:w="470" w:type="pct"/>
            <w:shd w:val="clear" w:color="auto" w:fill="FF0000"/>
          </w:tcPr>
          <w:p w:rsidR="00042F58" w:rsidRPr="00880004" w:rsidRDefault="00042F58" w:rsidP="00042F58">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 xml:space="preserve">Not Achieved </w:t>
            </w:r>
          </w:p>
        </w:tc>
        <w:tc>
          <w:tcPr>
            <w:tcW w:w="2970" w:type="pct"/>
          </w:tcPr>
          <w:p w:rsidR="00042F58" w:rsidRPr="009B6356" w:rsidRDefault="00042F58" w:rsidP="006F5FD5">
            <w:pPr>
              <w:keepLines/>
              <w:spacing w:before="40" w:after="40" w:line="200" w:lineRule="atLeast"/>
              <w:rPr>
                <w:rFonts w:eastAsia="Times New Roman"/>
                <w:iCs/>
                <w:szCs w:val="17"/>
              </w:rPr>
            </w:pPr>
            <w:r>
              <w:rPr>
                <w:rFonts w:ascii="Calibri Light" w:eastAsia="Times New Roman" w:hAnsi="Calibri Light" w:cs="Times New Roman"/>
                <w:color w:val="495965"/>
                <w:szCs w:val="17"/>
                <w:lang w:val="en-AU"/>
              </w:rPr>
              <w:t>While the Nauru Education Strategic Plan has been implemented</w:t>
            </w:r>
            <w:r w:rsidR="006F5FD5">
              <w:rPr>
                <w:rFonts w:ascii="Calibri Light" w:eastAsia="Times New Roman" w:hAnsi="Calibri Light" w:cs="Times New Roman"/>
                <w:color w:val="495965"/>
                <w:szCs w:val="17"/>
                <w:lang w:val="en-AU"/>
              </w:rPr>
              <w:t xml:space="preserve">, an M&amp;E adviser was to be engaged to assist with determining benchmarks in consultation with the Education Adviser. This work was delayed and is yet to be started. </w:t>
            </w:r>
            <w:r>
              <w:rPr>
                <w:rFonts w:ascii="Calibri Light" w:eastAsia="Times New Roman" w:hAnsi="Calibri Light" w:cs="Times New Roman"/>
                <w:color w:val="495965"/>
                <w:szCs w:val="17"/>
                <w:lang w:val="en-AU"/>
              </w:rPr>
              <w:t xml:space="preserve"> Reporting does occur against the Strategic Plan.</w:t>
            </w:r>
          </w:p>
        </w:tc>
      </w:tr>
      <w:tr w:rsidR="00042F58" w:rsidRPr="00C61187" w:rsidTr="009B6356">
        <w:tc>
          <w:tcPr>
            <w:tcW w:w="706" w:type="pct"/>
            <w:vMerge/>
            <w:tcMar>
              <w:top w:w="57" w:type="dxa"/>
              <w:bottom w:w="57" w:type="dxa"/>
            </w:tcMar>
          </w:tcPr>
          <w:p w:rsidR="00042F58" w:rsidRPr="009B6356" w:rsidRDefault="00042F58" w:rsidP="00042F58">
            <w:pPr>
              <w:keepLines/>
              <w:spacing w:before="40" w:after="40" w:line="200" w:lineRule="atLeast"/>
              <w:rPr>
                <w:rFonts w:eastAsia="Times New Roman"/>
                <w:iCs/>
                <w:szCs w:val="17"/>
              </w:rPr>
            </w:pPr>
          </w:p>
        </w:tc>
        <w:tc>
          <w:tcPr>
            <w:tcW w:w="854" w:type="pct"/>
          </w:tcPr>
          <w:p w:rsidR="00042F58" w:rsidRPr="00042F58" w:rsidRDefault="00042F58" w:rsidP="00042F58">
            <w:pPr>
              <w:keepLines/>
              <w:spacing w:before="40" w:after="40" w:line="200" w:lineRule="atLeast"/>
              <w:rPr>
                <w:rFonts w:ascii="Calibri Light" w:eastAsia="Times New Roman" w:hAnsi="Calibri Light" w:cs="Times New Roman"/>
                <w:iCs/>
                <w:color w:val="495965"/>
                <w:szCs w:val="17"/>
              </w:rPr>
            </w:pPr>
            <w:r w:rsidRPr="00042F58">
              <w:rPr>
                <w:rFonts w:ascii="Calibri Light" w:eastAsia="Times New Roman" w:hAnsi="Calibri Light" w:cs="Times New Roman"/>
                <w:iCs/>
                <w:color w:val="495965"/>
                <w:szCs w:val="17"/>
              </w:rPr>
              <w:t>Operational Account – funds administered appropriately on an agreed basis for activities to support the Education Strategic Plan</w:t>
            </w:r>
          </w:p>
        </w:tc>
        <w:tc>
          <w:tcPr>
            <w:tcW w:w="470" w:type="pct"/>
            <w:shd w:val="clear" w:color="auto" w:fill="F7AA32"/>
          </w:tcPr>
          <w:p w:rsidR="00042F58" w:rsidRPr="00880004" w:rsidRDefault="00042F58" w:rsidP="00042F58">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2970" w:type="pct"/>
          </w:tcPr>
          <w:p w:rsidR="00042F58" w:rsidRPr="009B6356" w:rsidRDefault="00042F58">
            <w:pPr>
              <w:keepLines/>
              <w:spacing w:before="40" w:after="40" w:line="200" w:lineRule="atLeast"/>
              <w:rPr>
                <w:rFonts w:eastAsia="Times New Roman"/>
                <w:iCs/>
                <w:szCs w:val="17"/>
              </w:rPr>
            </w:pPr>
            <w:r>
              <w:rPr>
                <w:rFonts w:ascii="Calibri Light" w:eastAsia="Times New Roman" w:hAnsi="Calibri Light" w:cs="Times New Roman"/>
                <w:iCs/>
                <w:color w:val="495965"/>
                <w:szCs w:val="17"/>
              </w:rPr>
              <w:t xml:space="preserve">There were initially some delays administering funds, but Australia and </w:t>
            </w:r>
            <w:proofErr w:type="spellStart"/>
            <w:r>
              <w:rPr>
                <w:rFonts w:ascii="Calibri Light" w:eastAsia="Times New Roman" w:hAnsi="Calibri Light" w:cs="Times New Roman"/>
                <w:iCs/>
                <w:color w:val="495965"/>
                <w:szCs w:val="17"/>
              </w:rPr>
              <w:t>GoN</w:t>
            </w:r>
            <w:proofErr w:type="spellEnd"/>
            <w:r>
              <w:rPr>
                <w:rFonts w:ascii="Calibri Light" w:eastAsia="Times New Roman" w:hAnsi="Calibri Light" w:cs="Times New Roman"/>
                <w:iCs/>
                <w:color w:val="495965"/>
                <w:szCs w:val="17"/>
              </w:rPr>
              <w:t xml:space="preserve"> </w:t>
            </w:r>
            <w:r w:rsidRPr="000E365A">
              <w:rPr>
                <w:rFonts w:ascii="Calibri Light" w:eastAsia="Times New Roman" w:hAnsi="Calibri Light" w:cs="Times New Roman"/>
                <w:iCs/>
                <w:color w:val="495965"/>
                <w:szCs w:val="17"/>
              </w:rPr>
              <w:t>negotiated an extension to the 2017-18 DFA</w:t>
            </w:r>
            <w:r>
              <w:rPr>
                <w:rFonts w:ascii="Calibri Light" w:eastAsia="Times New Roman" w:hAnsi="Calibri Light" w:cs="Times New Roman"/>
                <w:iCs/>
                <w:color w:val="495965"/>
                <w:szCs w:val="17"/>
              </w:rPr>
              <w:t xml:space="preserve">, </w:t>
            </w:r>
            <w:r w:rsidRPr="000E365A">
              <w:rPr>
                <w:rFonts w:ascii="Calibri Light" w:eastAsia="Times New Roman" w:hAnsi="Calibri Light" w:cs="Times New Roman"/>
                <w:iCs/>
                <w:color w:val="495965"/>
                <w:szCs w:val="17"/>
              </w:rPr>
              <w:t>increas</w:t>
            </w:r>
            <w:r>
              <w:rPr>
                <w:rFonts w:ascii="Calibri Light" w:eastAsia="Times New Roman" w:hAnsi="Calibri Light" w:cs="Times New Roman"/>
                <w:iCs/>
                <w:color w:val="495965"/>
                <w:szCs w:val="17"/>
              </w:rPr>
              <w:t>ing</w:t>
            </w:r>
            <w:r w:rsidRPr="000E365A">
              <w:rPr>
                <w:rFonts w:ascii="Calibri Light" w:eastAsia="Times New Roman" w:hAnsi="Calibri Light" w:cs="Times New Roman"/>
                <w:iCs/>
                <w:color w:val="495965"/>
                <w:szCs w:val="17"/>
              </w:rPr>
              <w:t xml:space="preserve"> the DFA from AUD2.5 million, to approximately AUD5.2 million, </w:t>
            </w:r>
            <w:r>
              <w:rPr>
                <w:rFonts w:ascii="Calibri Light" w:eastAsia="Times New Roman" w:hAnsi="Calibri Light" w:cs="Times New Roman"/>
                <w:iCs/>
                <w:color w:val="495965"/>
                <w:szCs w:val="17"/>
              </w:rPr>
              <w:t xml:space="preserve">and </w:t>
            </w:r>
            <w:r w:rsidRPr="000E365A">
              <w:rPr>
                <w:rFonts w:ascii="Calibri Light" w:eastAsia="Times New Roman" w:hAnsi="Calibri Light" w:cs="Times New Roman"/>
                <w:iCs/>
                <w:color w:val="495965"/>
                <w:szCs w:val="17"/>
              </w:rPr>
              <w:t>extend</w:t>
            </w:r>
            <w:r>
              <w:rPr>
                <w:rFonts w:ascii="Calibri Light" w:eastAsia="Times New Roman" w:hAnsi="Calibri Light" w:cs="Times New Roman"/>
                <w:iCs/>
                <w:color w:val="495965"/>
                <w:szCs w:val="17"/>
              </w:rPr>
              <w:t>ing</w:t>
            </w:r>
            <w:r w:rsidRPr="000E365A">
              <w:rPr>
                <w:rFonts w:ascii="Calibri Light" w:eastAsia="Times New Roman" w:hAnsi="Calibri Light" w:cs="Times New Roman"/>
                <w:iCs/>
                <w:color w:val="495965"/>
                <w:szCs w:val="17"/>
              </w:rPr>
              <w:t xml:space="preserve"> the </w:t>
            </w:r>
            <w:r>
              <w:rPr>
                <w:rFonts w:ascii="Calibri Light" w:eastAsia="Times New Roman" w:hAnsi="Calibri Light" w:cs="Times New Roman"/>
                <w:iCs/>
                <w:color w:val="495965"/>
                <w:szCs w:val="17"/>
              </w:rPr>
              <w:t>DFA</w:t>
            </w:r>
            <w:r w:rsidRPr="000E365A">
              <w:rPr>
                <w:rFonts w:ascii="Calibri Light" w:eastAsia="Times New Roman" w:hAnsi="Calibri Light" w:cs="Times New Roman"/>
                <w:iCs/>
                <w:color w:val="495965"/>
                <w:szCs w:val="17"/>
              </w:rPr>
              <w:t xml:space="preserve"> across two financial years. This was, in part, </w:t>
            </w:r>
            <w:r w:rsidR="009E125B">
              <w:rPr>
                <w:rFonts w:ascii="Calibri Light" w:eastAsia="Times New Roman" w:hAnsi="Calibri Light" w:cs="Times New Roman"/>
                <w:iCs/>
                <w:color w:val="495965"/>
                <w:szCs w:val="17"/>
              </w:rPr>
              <w:t>in</w:t>
            </w:r>
            <w:r w:rsidRPr="000E365A">
              <w:rPr>
                <w:rFonts w:ascii="Calibri Light" w:eastAsia="Times New Roman" w:hAnsi="Calibri Light" w:cs="Times New Roman"/>
                <w:iCs/>
                <w:color w:val="495965"/>
                <w:szCs w:val="17"/>
              </w:rPr>
              <w:t xml:space="preserve"> response to the Education Review Report, which recommended consideration of longer-term DFAs to reduce administrative and operational burdens on both governments. The initial funding extension covers expected program</w:t>
            </w:r>
            <w:r>
              <w:rPr>
                <w:rFonts w:ascii="Calibri Light" w:eastAsia="Times New Roman" w:hAnsi="Calibri Light" w:cs="Times New Roman"/>
                <w:iCs/>
                <w:color w:val="495965"/>
                <w:szCs w:val="17"/>
              </w:rPr>
              <w:t>m</w:t>
            </w:r>
            <w:r w:rsidRPr="000E365A">
              <w:rPr>
                <w:rFonts w:ascii="Calibri Light" w:eastAsia="Times New Roman" w:hAnsi="Calibri Light" w:cs="Times New Roman"/>
                <w:iCs/>
                <w:color w:val="495965"/>
                <w:szCs w:val="17"/>
              </w:rPr>
              <w:t xml:space="preserve">ing to December 2019, with an option to extend further </w:t>
            </w:r>
            <w:r w:rsidR="009E125B">
              <w:rPr>
                <w:rFonts w:ascii="Calibri Light" w:eastAsia="Times New Roman" w:hAnsi="Calibri Light" w:cs="Times New Roman"/>
                <w:iCs/>
                <w:color w:val="495965"/>
                <w:szCs w:val="17"/>
              </w:rPr>
              <w:t>to cover</w:t>
            </w:r>
            <w:r w:rsidR="009E125B" w:rsidRPr="000E365A">
              <w:rPr>
                <w:rFonts w:ascii="Calibri Light" w:eastAsia="Times New Roman" w:hAnsi="Calibri Light" w:cs="Times New Roman"/>
                <w:iCs/>
                <w:color w:val="495965"/>
                <w:szCs w:val="17"/>
              </w:rPr>
              <w:t xml:space="preserve"> </w:t>
            </w:r>
            <w:r w:rsidRPr="000E365A">
              <w:rPr>
                <w:rFonts w:ascii="Calibri Light" w:eastAsia="Times New Roman" w:hAnsi="Calibri Light" w:cs="Times New Roman"/>
                <w:iCs/>
                <w:color w:val="495965"/>
                <w:szCs w:val="17"/>
              </w:rPr>
              <w:t>the transition to the new Education Program (currently at Design phase).</w:t>
            </w:r>
          </w:p>
        </w:tc>
      </w:tr>
      <w:tr w:rsidR="00042F58" w:rsidRPr="00C61187" w:rsidTr="00974C1F">
        <w:tc>
          <w:tcPr>
            <w:tcW w:w="706" w:type="pct"/>
            <w:vMerge/>
            <w:tcMar>
              <w:top w:w="57" w:type="dxa"/>
              <w:bottom w:w="57" w:type="dxa"/>
            </w:tcMar>
          </w:tcPr>
          <w:p w:rsidR="00042F58" w:rsidRPr="009B6356" w:rsidRDefault="00042F58" w:rsidP="00042F58">
            <w:pPr>
              <w:keepLines/>
              <w:spacing w:before="40" w:after="40" w:line="200" w:lineRule="atLeast"/>
              <w:rPr>
                <w:rFonts w:eastAsia="Times New Roman"/>
                <w:iCs/>
                <w:szCs w:val="17"/>
              </w:rPr>
            </w:pPr>
          </w:p>
        </w:tc>
        <w:tc>
          <w:tcPr>
            <w:tcW w:w="854" w:type="pct"/>
          </w:tcPr>
          <w:p w:rsidR="00042F58" w:rsidRPr="009B6356" w:rsidRDefault="00042F58" w:rsidP="00042F58">
            <w:pPr>
              <w:keepLines/>
              <w:spacing w:before="40" w:after="40" w:line="200" w:lineRule="atLeast"/>
              <w:rPr>
                <w:rFonts w:eastAsia="Times New Roman"/>
                <w:iCs/>
                <w:szCs w:val="17"/>
              </w:rPr>
            </w:pPr>
            <w:r w:rsidRPr="00042F58">
              <w:rPr>
                <w:rFonts w:ascii="Calibri Light" w:eastAsia="Times New Roman" w:hAnsi="Calibri Light" w:cs="Times New Roman"/>
                <w:iCs/>
                <w:color w:val="495965"/>
                <w:szCs w:val="17"/>
              </w:rPr>
              <w:t>TVET – a range of courses for in-demand qualifications are delivered to adult learners in Nauru</w:t>
            </w:r>
          </w:p>
        </w:tc>
        <w:tc>
          <w:tcPr>
            <w:tcW w:w="470" w:type="pct"/>
            <w:shd w:val="clear" w:color="auto" w:fill="92D050"/>
          </w:tcPr>
          <w:p w:rsidR="00042F58" w:rsidRPr="00880004" w:rsidRDefault="00042F58" w:rsidP="00042F58">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970" w:type="pct"/>
          </w:tcPr>
          <w:p w:rsidR="00042F58" w:rsidRPr="009B6356" w:rsidRDefault="00042F58">
            <w:pPr>
              <w:keepLines/>
              <w:spacing w:before="40" w:after="40" w:line="200" w:lineRule="atLeast"/>
              <w:rPr>
                <w:rFonts w:eastAsia="Times New Roman"/>
                <w:iCs/>
                <w:szCs w:val="17"/>
              </w:rPr>
            </w:pPr>
            <w:r>
              <w:rPr>
                <w:rFonts w:ascii="Calibri Light" w:eastAsia="Times New Roman" w:hAnsi="Calibri Light" w:cs="Times New Roman"/>
                <w:color w:val="495965"/>
                <w:szCs w:val="17"/>
                <w:lang w:val="en-AU"/>
              </w:rPr>
              <w:t>Certificate I and II courses are being delivered by TVET. Australia’s</w:t>
            </w:r>
            <w:r>
              <w:rPr>
                <w:rFonts w:ascii="Calibri" w:hAnsi="Calibri" w:cs="Calibri"/>
                <w:color w:val="auto"/>
                <w:sz w:val="18"/>
                <w:szCs w:val="18"/>
                <w:lang w:val="en-AU"/>
              </w:rPr>
              <w:t xml:space="preserve"> </w:t>
            </w:r>
            <w:r w:rsidRPr="00193D3F">
              <w:rPr>
                <w:rFonts w:ascii="Calibri Light" w:eastAsia="Times New Roman" w:hAnsi="Calibri Light" w:cs="Times New Roman"/>
                <w:color w:val="495965"/>
                <w:szCs w:val="17"/>
                <w:lang w:val="en-AU"/>
              </w:rPr>
              <w:t>support in</w:t>
            </w:r>
            <w:r>
              <w:rPr>
                <w:rFonts w:ascii="Calibri" w:hAnsi="Calibri" w:cs="Calibri"/>
                <w:color w:val="auto"/>
                <w:sz w:val="18"/>
                <w:szCs w:val="18"/>
                <w:lang w:val="en-AU"/>
              </w:rPr>
              <w:t xml:space="preserve"> </w:t>
            </w:r>
            <w:r w:rsidRPr="009A6D6C">
              <w:rPr>
                <w:rFonts w:ascii="Calibri Light" w:eastAsia="Times New Roman" w:hAnsi="Calibri Light" w:cs="Times New Roman"/>
                <w:color w:val="495965"/>
                <w:szCs w:val="17"/>
                <w:lang w:val="en-AU"/>
              </w:rPr>
              <w:t>TVET continues to offer Nauruan adults a range of courses for in-demand qualifications.</w:t>
            </w:r>
            <w:r>
              <w:rPr>
                <w:rFonts w:ascii="Calibri" w:hAnsi="Calibri" w:cs="Calibri"/>
                <w:color w:val="auto"/>
                <w:sz w:val="18"/>
                <w:szCs w:val="18"/>
                <w:lang w:val="en-AU"/>
              </w:rPr>
              <w:t xml:space="preserve"> </w:t>
            </w:r>
            <w:r w:rsidRPr="00461FE7">
              <w:rPr>
                <w:rFonts w:ascii="Calibri Light" w:eastAsia="Times New Roman" w:hAnsi="Calibri Light" w:cs="Times New Roman"/>
                <w:color w:val="495965"/>
                <w:szCs w:val="17"/>
              </w:rPr>
              <w:t>TVET compliance with QCE and TAFE requirements are managed by the TVET directorate under its agreement with TAFE Queensland. Negotiations for a new agreement are underway.</w:t>
            </w:r>
          </w:p>
        </w:tc>
      </w:tr>
      <w:tr w:rsidR="007604A6" w:rsidRPr="00C61187" w:rsidTr="00974C1F">
        <w:tc>
          <w:tcPr>
            <w:tcW w:w="706" w:type="pct"/>
            <w:vMerge w:val="restart"/>
            <w:tcMar>
              <w:top w:w="57" w:type="dxa"/>
              <w:bottom w:w="57" w:type="dxa"/>
            </w:tcMar>
          </w:tcPr>
          <w:p w:rsidR="007604A6" w:rsidRPr="009B6356" w:rsidRDefault="007604A6" w:rsidP="00042F58">
            <w:pPr>
              <w:keepLines/>
              <w:spacing w:before="40" w:after="40" w:line="200" w:lineRule="atLeast"/>
              <w:rPr>
                <w:rFonts w:eastAsia="Times New Roman"/>
                <w:iCs/>
                <w:szCs w:val="17"/>
              </w:rPr>
            </w:pPr>
            <w:r w:rsidRPr="00CD4F30">
              <w:rPr>
                <w:rFonts w:ascii="Calibri Light" w:eastAsia="Times New Roman" w:hAnsi="Calibri Light" w:cs="Times New Roman"/>
                <w:iCs/>
                <w:color w:val="495965"/>
                <w:szCs w:val="17"/>
              </w:rPr>
              <w:t>Enhanced economic infrastructure</w:t>
            </w:r>
          </w:p>
        </w:tc>
        <w:tc>
          <w:tcPr>
            <w:tcW w:w="854" w:type="pct"/>
            <w:vAlign w:val="center"/>
          </w:tcPr>
          <w:p w:rsidR="007604A6" w:rsidRPr="00042F58" w:rsidRDefault="007604A6" w:rsidP="00042F58">
            <w:pPr>
              <w:keepLines/>
              <w:spacing w:before="40" w:after="40" w:line="200" w:lineRule="atLeast"/>
              <w:rPr>
                <w:rFonts w:ascii="Calibri Light" w:eastAsia="Times New Roman" w:hAnsi="Calibri Light" w:cs="Times New Roman"/>
                <w:iCs/>
                <w:color w:val="495965"/>
                <w:szCs w:val="17"/>
              </w:rPr>
            </w:pPr>
            <w:r w:rsidRPr="00042F58">
              <w:rPr>
                <w:rFonts w:ascii="Calibri Light" w:eastAsia="Times New Roman" w:hAnsi="Calibri Light" w:cs="Times New Roman"/>
                <w:iCs/>
                <w:color w:val="495965"/>
                <w:szCs w:val="17"/>
              </w:rPr>
              <w:t>Electricity supply – effective maintenance of generators; documented reliable power supply; and proposals submitted to NUC for solar farm installation</w:t>
            </w:r>
          </w:p>
        </w:tc>
        <w:tc>
          <w:tcPr>
            <w:tcW w:w="470" w:type="pct"/>
            <w:shd w:val="clear" w:color="auto" w:fill="92D050"/>
          </w:tcPr>
          <w:p w:rsidR="007604A6" w:rsidRPr="00880004" w:rsidRDefault="007604A6" w:rsidP="00042F58">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970" w:type="pct"/>
            <w:vAlign w:val="center"/>
          </w:tcPr>
          <w:p w:rsidR="007604A6" w:rsidRPr="00042F58" w:rsidRDefault="007604A6">
            <w:pPr>
              <w:pStyle w:val="CommentText"/>
            </w:pPr>
            <w:r w:rsidRPr="00880358">
              <w:rPr>
                <w:rFonts w:ascii="Calibri Light" w:eastAsia="Times New Roman" w:hAnsi="Calibri Light" w:cs="Times New Roman"/>
                <w:iCs/>
                <w:color w:val="495965"/>
                <w:sz w:val="17"/>
                <w:szCs w:val="17"/>
              </w:rPr>
              <w:t>The two diesel-fired generators are operating well and have increased fuel efficiency by 8.4%.</w:t>
            </w:r>
            <w:r w:rsidRPr="00B30627">
              <w:rPr>
                <w:rFonts w:ascii="Calibri Light" w:eastAsia="Times New Roman" w:hAnsi="Calibri Light" w:cs="Times New Roman"/>
                <w:iCs/>
                <w:color w:val="495965"/>
                <w:sz w:val="17"/>
                <w:szCs w:val="17"/>
              </w:rPr>
              <w:t xml:space="preserve"> Power outages continue to reduce by over 50% year on year since 2015</w:t>
            </w:r>
            <w:r>
              <w:rPr>
                <w:rFonts w:ascii="Calibri Light" w:eastAsia="Times New Roman" w:hAnsi="Calibri Light" w:cs="Times New Roman"/>
                <w:iCs/>
                <w:color w:val="495965"/>
                <w:sz w:val="17"/>
                <w:szCs w:val="17"/>
              </w:rPr>
              <w:t xml:space="preserve"> </w:t>
            </w:r>
            <w:r w:rsidRPr="00F64A8B">
              <w:rPr>
                <w:rFonts w:ascii="Calibri Light" w:eastAsia="Times New Roman" w:hAnsi="Calibri Light" w:cs="Times New Roman"/>
                <w:iCs/>
                <w:color w:val="495965"/>
                <w:sz w:val="17"/>
                <w:szCs w:val="17"/>
              </w:rPr>
              <w:t>delivering significant gains ahead of schedule</w:t>
            </w:r>
            <w:r w:rsidR="009E125B">
              <w:rPr>
                <w:rFonts w:ascii="Calibri Light" w:eastAsia="Times New Roman" w:hAnsi="Calibri Light" w:cs="Times New Roman"/>
                <w:iCs/>
                <w:color w:val="495965"/>
                <w:sz w:val="17"/>
                <w:szCs w:val="17"/>
              </w:rPr>
              <w:t xml:space="preserve"> </w:t>
            </w:r>
            <w:r w:rsidRPr="00F64A8B">
              <w:rPr>
                <w:rFonts w:ascii="Calibri Light" w:eastAsia="Times New Roman" w:hAnsi="Calibri Light" w:cs="Times New Roman"/>
                <w:iCs/>
                <w:color w:val="495965"/>
                <w:sz w:val="17"/>
                <w:szCs w:val="17"/>
              </w:rPr>
              <w:t>in terms of stability of the electricity supply</w:t>
            </w:r>
            <w:r>
              <w:rPr>
                <w:rFonts w:ascii="Calibri Light" w:eastAsia="Times New Roman" w:hAnsi="Calibri Light" w:cs="Times New Roman"/>
                <w:iCs/>
                <w:color w:val="495965"/>
                <w:sz w:val="17"/>
                <w:szCs w:val="17"/>
              </w:rPr>
              <w:t xml:space="preserve">. DFAT’s support for NUC organisational reform has catalysed other partner funding for solar farm proposals. </w:t>
            </w:r>
          </w:p>
        </w:tc>
      </w:tr>
      <w:tr w:rsidR="007604A6" w:rsidRPr="00C61187" w:rsidTr="00974C1F">
        <w:tc>
          <w:tcPr>
            <w:tcW w:w="706" w:type="pct"/>
            <w:vMerge/>
            <w:tcMar>
              <w:top w:w="57" w:type="dxa"/>
              <w:bottom w:w="57" w:type="dxa"/>
            </w:tcMar>
          </w:tcPr>
          <w:p w:rsidR="007604A6" w:rsidRPr="009B6356" w:rsidRDefault="007604A6" w:rsidP="00042F58">
            <w:pPr>
              <w:keepLines/>
              <w:spacing w:before="40" w:after="40" w:line="200" w:lineRule="atLeast"/>
              <w:rPr>
                <w:rFonts w:eastAsia="Times New Roman"/>
                <w:iCs/>
                <w:szCs w:val="17"/>
              </w:rPr>
            </w:pPr>
          </w:p>
        </w:tc>
        <w:tc>
          <w:tcPr>
            <w:tcW w:w="854" w:type="pct"/>
            <w:vAlign w:val="center"/>
          </w:tcPr>
          <w:p w:rsidR="007604A6" w:rsidRPr="00042F58" w:rsidRDefault="007604A6" w:rsidP="00042F58">
            <w:pPr>
              <w:keepLines/>
              <w:spacing w:before="40" w:after="40" w:line="200" w:lineRule="atLeast"/>
              <w:rPr>
                <w:rFonts w:ascii="Calibri Light" w:eastAsia="Times New Roman" w:hAnsi="Calibri Light" w:cs="Times New Roman"/>
                <w:iCs/>
                <w:color w:val="495965"/>
                <w:szCs w:val="17"/>
              </w:rPr>
            </w:pPr>
            <w:r w:rsidRPr="00042F58">
              <w:rPr>
                <w:rFonts w:ascii="Calibri Light" w:eastAsia="Times New Roman" w:hAnsi="Calibri Light" w:cs="Times New Roman"/>
                <w:iCs/>
                <w:color w:val="495965"/>
                <w:szCs w:val="17"/>
              </w:rPr>
              <w:t xml:space="preserve">Port Redevelopment – Progress in redevelopment works on track; and improved port operations </w:t>
            </w:r>
          </w:p>
        </w:tc>
        <w:tc>
          <w:tcPr>
            <w:tcW w:w="470" w:type="pct"/>
            <w:shd w:val="clear" w:color="auto" w:fill="92D050"/>
          </w:tcPr>
          <w:p w:rsidR="007604A6" w:rsidRPr="00880004" w:rsidRDefault="007604A6" w:rsidP="00042F58">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970" w:type="pct"/>
            <w:vAlign w:val="center"/>
          </w:tcPr>
          <w:p w:rsidR="007604A6" w:rsidRPr="009B6356" w:rsidRDefault="007604A6" w:rsidP="00042F58">
            <w:pPr>
              <w:keepLines/>
              <w:spacing w:before="40" w:after="40" w:line="200" w:lineRule="atLeast"/>
              <w:rPr>
                <w:rFonts w:eastAsia="Times New Roman"/>
                <w:iCs/>
                <w:szCs w:val="17"/>
              </w:rPr>
            </w:pPr>
            <w:r w:rsidRPr="00652A85">
              <w:rPr>
                <w:rFonts w:ascii="Calibri Light" w:eastAsia="Times New Roman" w:hAnsi="Calibri Light" w:cs="Times New Roman"/>
                <w:iCs/>
                <w:color w:val="495965"/>
                <w:szCs w:val="17"/>
              </w:rPr>
              <w:t>DFAT provided the ADB AUD</w:t>
            </w:r>
            <w:r>
              <w:rPr>
                <w:rFonts w:ascii="Calibri Light" w:eastAsia="Times New Roman" w:hAnsi="Calibri Light" w:cs="Times New Roman"/>
                <w:iCs/>
                <w:color w:val="495965"/>
                <w:szCs w:val="17"/>
              </w:rPr>
              <w:t xml:space="preserve">12.25 million </w:t>
            </w:r>
            <w:r w:rsidRPr="00652A85">
              <w:rPr>
                <w:rFonts w:ascii="Calibri Light" w:eastAsia="Times New Roman" w:hAnsi="Calibri Light" w:cs="Times New Roman"/>
                <w:iCs/>
                <w:color w:val="495965"/>
                <w:szCs w:val="17"/>
              </w:rPr>
              <w:t xml:space="preserve">to enhance the governance and management capacity of the Port Authority of Nauru (PAN). ADB is helping design a new and modern port facility in </w:t>
            </w:r>
            <w:proofErr w:type="spellStart"/>
            <w:r w:rsidRPr="00652A85">
              <w:rPr>
                <w:rFonts w:ascii="Calibri Light" w:eastAsia="Times New Roman" w:hAnsi="Calibri Light" w:cs="Times New Roman"/>
                <w:iCs/>
                <w:color w:val="495965"/>
                <w:szCs w:val="17"/>
              </w:rPr>
              <w:t>Aiwo</w:t>
            </w:r>
            <w:proofErr w:type="spellEnd"/>
            <w:r w:rsidRPr="00652A85">
              <w:rPr>
                <w:rFonts w:ascii="Calibri Light" w:eastAsia="Times New Roman" w:hAnsi="Calibri Light" w:cs="Times New Roman"/>
                <w:iCs/>
                <w:color w:val="495965"/>
                <w:szCs w:val="17"/>
              </w:rPr>
              <w:t xml:space="preserve"> district including constructing a quay wall and access causeway, reconstructing port buildings and container storage, and strengthening the institutional capacity of PAN. </w:t>
            </w:r>
            <w:r>
              <w:rPr>
                <w:rFonts w:ascii="Calibri Light" w:eastAsia="Times New Roman" w:hAnsi="Calibri Light" w:cs="Times New Roman"/>
                <w:iCs/>
                <w:color w:val="495965"/>
                <w:szCs w:val="17"/>
              </w:rPr>
              <w:t xml:space="preserve">Implementation of the project is on track. </w:t>
            </w:r>
            <w:r w:rsidRPr="00652A85">
              <w:rPr>
                <w:rFonts w:ascii="Calibri Light" w:eastAsia="Times New Roman" w:hAnsi="Calibri Light" w:cs="Times New Roman"/>
                <w:iCs/>
                <w:color w:val="495965"/>
                <w:szCs w:val="17"/>
              </w:rPr>
              <w:t>PAN appointed a CEO in July 2018. China Harbour Engineering Co Ltd (CHEC) was selected as the service provider for the Nauru Port Redevelopment project and</w:t>
            </w:r>
            <w:r w:rsidR="009E125B">
              <w:rPr>
                <w:rFonts w:ascii="Calibri Light" w:eastAsia="Times New Roman" w:hAnsi="Calibri Light" w:cs="Times New Roman"/>
                <w:iCs/>
                <w:color w:val="495965"/>
                <w:szCs w:val="17"/>
              </w:rPr>
              <w:t xml:space="preserve"> has commenced work</w:t>
            </w:r>
            <w:r w:rsidRPr="00652A85">
              <w:rPr>
                <w:rFonts w:ascii="Calibri Light" w:eastAsia="Times New Roman" w:hAnsi="Calibri Light" w:cs="Times New Roman"/>
                <w:iCs/>
                <w:color w:val="495965"/>
                <w:szCs w:val="17"/>
              </w:rPr>
              <w:t>.</w:t>
            </w:r>
          </w:p>
        </w:tc>
      </w:tr>
      <w:tr w:rsidR="007604A6" w:rsidRPr="00C61187" w:rsidTr="00974C1F">
        <w:tc>
          <w:tcPr>
            <w:tcW w:w="706" w:type="pct"/>
            <w:vMerge/>
            <w:tcMar>
              <w:top w:w="57" w:type="dxa"/>
              <w:bottom w:w="57" w:type="dxa"/>
            </w:tcMar>
          </w:tcPr>
          <w:p w:rsidR="007604A6" w:rsidRPr="009B6356" w:rsidRDefault="007604A6" w:rsidP="00042F58">
            <w:pPr>
              <w:keepLines/>
              <w:spacing w:before="40" w:after="40" w:line="200" w:lineRule="atLeast"/>
              <w:rPr>
                <w:rFonts w:eastAsia="Times New Roman"/>
                <w:iCs/>
                <w:szCs w:val="17"/>
              </w:rPr>
            </w:pPr>
          </w:p>
        </w:tc>
        <w:tc>
          <w:tcPr>
            <w:tcW w:w="854" w:type="pct"/>
            <w:vAlign w:val="center"/>
          </w:tcPr>
          <w:p w:rsidR="007604A6" w:rsidRPr="00042F58" w:rsidRDefault="007604A6" w:rsidP="00042F58">
            <w:pPr>
              <w:keepLines/>
              <w:spacing w:before="40" w:after="40" w:line="200" w:lineRule="atLeast"/>
              <w:rPr>
                <w:rFonts w:ascii="Calibri Light" w:eastAsia="Times New Roman" w:hAnsi="Calibri Light" w:cs="Times New Roman"/>
                <w:iCs/>
                <w:color w:val="495965"/>
                <w:szCs w:val="17"/>
              </w:rPr>
            </w:pPr>
            <w:r w:rsidRPr="00042F58">
              <w:rPr>
                <w:rFonts w:ascii="Calibri Light" w:eastAsia="Times New Roman" w:hAnsi="Calibri Light" w:cs="Times New Roman"/>
                <w:iCs/>
                <w:color w:val="495965"/>
                <w:szCs w:val="17"/>
              </w:rPr>
              <w:t>Indoor Sports Facility – managed, maintained and well utilised by men, women, boys and girls and disadvantaged groups</w:t>
            </w:r>
          </w:p>
        </w:tc>
        <w:tc>
          <w:tcPr>
            <w:tcW w:w="470" w:type="pct"/>
            <w:shd w:val="clear" w:color="auto" w:fill="92D050"/>
          </w:tcPr>
          <w:p w:rsidR="007604A6" w:rsidRPr="00880004" w:rsidRDefault="007604A6" w:rsidP="00042F58">
            <w:pPr>
              <w:keepLines/>
              <w:spacing w:before="40" w:after="40" w:line="200" w:lineRule="atLeast"/>
              <w:jc w:val="center"/>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970" w:type="pct"/>
            <w:vAlign w:val="center"/>
          </w:tcPr>
          <w:p w:rsidR="007604A6" w:rsidRPr="009B6356" w:rsidRDefault="007604A6" w:rsidP="00042F58">
            <w:pPr>
              <w:keepLines/>
              <w:spacing w:before="40" w:after="40" w:line="200" w:lineRule="atLeast"/>
              <w:rPr>
                <w:rFonts w:eastAsia="Times New Roman"/>
                <w:iCs/>
                <w:szCs w:val="17"/>
              </w:rPr>
            </w:pPr>
            <w:r w:rsidRPr="007D7973">
              <w:rPr>
                <w:rFonts w:ascii="Calibri Light" w:eastAsia="Times New Roman" w:hAnsi="Calibri Light" w:cs="Times New Roman"/>
                <w:iCs/>
                <w:color w:val="495965"/>
                <w:szCs w:val="17"/>
              </w:rPr>
              <w:t xml:space="preserve">Construction of the Sports </w:t>
            </w:r>
            <w:r>
              <w:rPr>
                <w:rFonts w:ascii="Calibri Light" w:eastAsia="Times New Roman" w:hAnsi="Calibri Light" w:cs="Times New Roman"/>
                <w:iCs/>
                <w:color w:val="495965"/>
                <w:szCs w:val="17"/>
              </w:rPr>
              <w:t>Facility</w:t>
            </w:r>
            <w:r w:rsidRPr="007D7973">
              <w:rPr>
                <w:rFonts w:ascii="Calibri Light" w:eastAsia="Times New Roman" w:hAnsi="Calibri Light" w:cs="Times New Roman"/>
                <w:iCs/>
                <w:color w:val="495965"/>
                <w:szCs w:val="17"/>
              </w:rPr>
              <w:t xml:space="preserve"> was completed in 2018</w:t>
            </w:r>
            <w:r>
              <w:rPr>
                <w:rFonts w:ascii="Calibri Light" w:eastAsia="Times New Roman" w:hAnsi="Calibri Light" w:cs="Times New Roman"/>
                <w:iCs/>
                <w:color w:val="495965"/>
                <w:szCs w:val="17"/>
              </w:rPr>
              <w:t xml:space="preserve"> and included gender-sensitive and disability-inclusive design components to promote accessibility</w:t>
            </w:r>
            <w:r w:rsidRPr="007D7973">
              <w:rPr>
                <w:rFonts w:ascii="Calibri Light" w:eastAsia="Times New Roman" w:hAnsi="Calibri Light" w:cs="Times New Roman"/>
                <w:iCs/>
                <w:color w:val="495965"/>
                <w:szCs w:val="17"/>
              </w:rPr>
              <w:t xml:space="preserve">. </w:t>
            </w:r>
            <w:r>
              <w:rPr>
                <w:rFonts w:ascii="Calibri Light" w:eastAsia="Times New Roman" w:hAnsi="Calibri Light" w:cs="Times New Roman"/>
                <w:iCs/>
                <w:color w:val="495965"/>
                <w:szCs w:val="17"/>
              </w:rPr>
              <w:t>T</w:t>
            </w:r>
            <w:r w:rsidRPr="0009635F">
              <w:rPr>
                <w:rFonts w:ascii="Calibri Light" w:eastAsia="Times New Roman" w:hAnsi="Calibri Light" w:cs="Times New Roman"/>
                <w:iCs/>
                <w:color w:val="495965"/>
                <w:szCs w:val="17"/>
              </w:rPr>
              <w:t xml:space="preserve">he venue is currently being managed by </w:t>
            </w:r>
            <w:proofErr w:type="spellStart"/>
            <w:r w:rsidRPr="0009635F">
              <w:rPr>
                <w:rFonts w:ascii="Calibri Light" w:eastAsia="Times New Roman" w:hAnsi="Calibri Light" w:cs="Times New Roman"/>
                <w:iCs/>
                <w:color w:val="495965"/>
                <w:szCs w:val="17"/>
              </w:rPr>
              <w:t>GoN</w:t>
            </w:r>
            <w:proofErr w:type="spellEnd"/>
            <w:r w:rsidRPr="0009635F">
              <w:rPr>
                <w:rFonts w:ascii="Calibri Light" w:eastAsia="Times New Roman" w:hAnsi="Calibri Light" w:cs="Times New Roman"/>
                <w:iCs/>
                <w:color w:val="495965"/>
                <w:szCs w:val="17"/>
              </w:rPr>
              <w:t xml:space="preserve"> Department of Sport (</w:t>
            </w:r>
            <w:proofErr w:type="spellStart"/>
            <w:r w:rsidRPr="0009635F">
              <w:rPr>
                <w:rFonts w:ascii="Calibri Light" w:eastAsia="Times New Roman" w:hAnsi="Calibri Light" w:cs="Times New Roman"/>
                <w:iCs/>
                <w:color w:val="495965"/>
                <w:szCs w:val="17"/>
              </w:rPr>
              <w:t>DoS</w:t>
            </w:r>
            <w:proofErr w:type="spellEnd"/>
            <w:r w:rsidRPr="0009635F">
              <w:rPr>
                <w:rFonts w:ascii="Calibri Light" w:eastAsia="Times New Roman" w:hAnsi="Calibri Light" w:cs="Times New Roman"/>
                <w:iCs/>
                <w:color w:val="495965"/>
                <w:szCs w:val="17"/>
              </w:rPr>
              <w:t>)</w:t>
            </w:r>
            <w:r>
              <w:rPr>
                <w:rFonts w:ascii="Calibri Light" w:eastAsia="Times New Roman" w:hAnsi="Calibri Light" w:cs="Times New Roman"/>
                <w:iCs/>
                <w:color w:val="495965"/>
                <w:szCs w:val="17"/>
              </w:rPr>
              <w:t xml:space="preserve"> </w:t>
            </w:r>
            <w:r w:rsidRPr="0009635F">
              <w:rPr>
                <w:rFonts w:ascii="Calibri Light" w:eastAsia="Times New Roman" w:hAnsi="Calibri Light" w:cs="Times New Roman"/>
                <w:iCs/>
                <w:color w:val="495965"/>
                <w:szCs w:val="17"/>
              </w:rPr>
              <w:t>and has been used for local and international sporting events, including international power lifting and weightlifting competitions and national Judo</w:t>
            </w:r>
            <w:r w:rsidR="009E125B">
              <w:rPr>
                <w:rFonts w:ascii="Calibri Light" w:eastAsia="Times New Roman" w:hAnsi="Calibri Light" w:cs="Times New Roman"/>
                <w:iCs/>
                <w:color w:val="495965"/>
                <w:szCs w:val="17"/>
              </w:rPr>
              <w:t xml:space="preserve"> and karate</w:t>
            </w:r>
            <w:r w:rsidRPr="0009635F">
              <w:rPr>
                <w:rFonts w:ascii="Calibri Light" w:eastAsia="Times New Roman" w:hAnsi="Calibri Light" w:cs="Times New Roman"/>
                <w:iCs/>
                <w:color w:val="495965"/>
                <w:szCs w:val="17"/>
              </w:rPr>
              <w:t xml:space="preserve"> tournaments. </w:t>
            </w:r>
            <w:proofErr w:type="spellStart"/>
            <w:r w:rsidRPr="0009635F">
              <w:rPr>
                <w:rFonts w:ascii="Calibri Light" w:eastAsia="Times New Roman" w:hAnsi="Calibri Light" w:cs="Times New Roman"/>
                <w:iCs/>
                <w:color w:val="495965"/>
                <w:szCs w:val="17"/>
              </w:rPr>
              <w:t>GoN</w:t>
            </w:r>
            <w:proofErr w:type="spellEnd"/>
            <w:r w:rsidRPr="0009635F">
              <w:rPr>
                <w:rFonts w:ascii="Calibri Light" w:eastAsia="Times New Roman" w:hAnsi="Calibri Light" w:cs="Times New Roman"/>
                <w:iCs/>
                <w:color w:val="495965"/>
                <w:szCs w:val="17"/>
              </w:rPr>
              <w:t xml:space="preserve"> Human Resources and </w:t>
            </w:r>
            <w:proofErr w:type="spellStart"/>
            <w:r w:rsidRPr="0009635F">
              <w:rPr>
                <w:rFonts w:ascii="Calibri Light" w:eastAsia="Times New Roman" w:hAnsi="Calibri Light" w:cs="Times New Roman"/>
                <w:iCs/>
                <w:color w:val="495965"/>
                <w:szCs w:val="17"/>
              </w:rPr>
              <w:t>DoS</w:t>
            </w:r>
            <w:proofErr w:type="spellEnd"/>
            <w:r w:rsidRPr="0009635F">
              <w:rPr>
                <w:rFonts w:ascii="Calibri Light" w:eastAsia="Times New Roman" w:hAnsi="Calibri Light" w:cs="Times New Roman"/>
                <w:iCs/>
                <w:color w:val="495965"/>
                <w:szCs w:val="17"/>
              </w:rPr>
              <w:t xml:space="preserve"> are overseeing recruitment of a Sports Consultant to develop a sports strategy. </w:t>
            </w:r>
            <w:r>
              <w:rPr>
                <w:rFonts w:ascii="Calibri Light" w:eastAsia="Times New Roman" w:hAnsi="Calibri Light" w:cs="Times New Roman"/>
                <w:iCs/>
                <w:color w:val="495965"/>
                <w:szCs w:val="17"/>
              </w:rPr>
              <w:t>While additional data is required to assess progress on utilisation, overall the project is on track against expected outcomes.</w:t>
            </w:r>
            <w:r w:rsidRPr="0009635F">
              <w:rPr>
                <w:rFonts w:ascii="Calibri Light" w:eastAsia="Times New Roman" w:hAnsi="Calibri Light" w:cs="Times New Roman"/>
                <w:iCs/>
                <w:color w:val="495965"/>
                <w:szCs w:val="17"/>
              </w:rPr>
              <w:t xml:space="preserve"> DFAT </w:t>
            </w:r>
            <w:r>
              <w:rPr>
                <w:rFonts w:ascii="Calibri Light" w:eastAsia="Times New Roman" w:hAnsi="Calibri Light" w:cs="Times New Roman"/>
                <w:iCs/>
                <w:color w:val="495965"/>
                <w:szCs w:val="17"/>
              </w:rPr>
              <w:t xml:space="preserve">continues to engage </w:t>
            </w:r>
            <w:proofErr w:type="spellStart"/>
            <w:r w:rsidRPr="0009635F">
              <w:rPr>
                <w:rFonts w:ascii="Calibri Light" w:eastAsia="Times New Roman" w:hAnsi="Calibri Light" w:cs="Times New Roman"/>
                <w:iCs/>
                <w:color w:val="495965"/>
                <w:szCs w:val="17"/>
              </w:rPr>
              <w:t>GoN</w:t>
            </w:r>
            <w:proofErr w:type="spellEnd"/>
            <w:r w:rsidRPr="0009635F">
              <w:rPr>
                <w:rFonts w:ascii="Calibri Light" w:eastAsia="Times New Roman" w:hAnsi="Calibri Light" w:cs="Times New Roman"/>
                <w:iCs/>
                <w:color w:val="495965"/>
                <w:szCs w:val="17"/>
              </w:rPr>
              <w:t xml:space="preserve"> </w:t>
            </w:r>
            <w:r>
              <w:rPr>
                <w:rFonts w:ascii="Calibri Light" w:eastAsia="Times New Roman" w:hAnsi="Calibri Light" w:cs="Times New Roman"/>
                <w:iCs/>
                <w:color w:val="495965"/>
                <w:szCs w:val="17"/>
              </w:rPr>
              <w:t>on</w:t>
            </w:r>
            <w:r w:rsidRPr="0009635F">
              <w:rPr>
                <w:rFonts w:ascii="Calibri Light" w:eastAsia="Times New Roman" w:hAnsi="Calibri Light" w:cs="Times New Roman"/>
                <w:iCs/>
                <w:color w:val="495965"/>
                <w:szCs w:val="17"/>
              </w:rPr>
              <w:t xml:space="preserve"> a suitable maintenance program.</w:t>
            </w:r>
            <w:r>
              <w:rPr>
                <w:rFonts w:ascii="Calibri Light" w:eastAsia="Times New Roman" w:hAnsi="Calibri Light" w:cs="Times New Roman"/>
                <w:iCs/>
                <w:color w:val="495965"/>
                <w:szCs w:val="17"/>
              </w:rPr>
              <w:t xml:space="preserve"> </w:t>
            </w:r>
          </w:p>
        </w:tc>
      </w:tr>
      <w:tr w:rsidR="00042F58" w:rsidRPr="00C61187" w:rsidTr="009B6356">
        <w:tc>
          <w:tcPr>
            <w:tcW w:w="706" w:type="pct"/>
            <w:tcMar>
              <w:top w:w="57" w:type="dxa"/>
              <w:bottom w:w="57" w:type="dxa"/>
            </w:tcMar>
          </w:tcPr>
          <w:p w:rsidR="00042F58" w:rsidRPr="009B6356" w:rsidRDefault="00042F58" w:rsidP="00042F58">
            <w:pPr>
              <w:keepLines/>
              <w:spacing w:before="40" w:after="40" w:line="200" w:lineRule="atLeast"/>
              <w:rPr>
                <w:rFonts w:asciiTheme="minorHAnsi" w:eastAsia="Times New Roman" w:hAnsiTheme="minorHAnsi"/>
                <w:iCs/>
                <w:szCs w:val="17"/>
                <w:lang w:eastAsia="en-US"/>
              </w:rPr>
            </w:pPr>
            <w:r w:rsidRPr="00CD4F30">
              <w:rPr>
                <w:rFonts w:ascii="Calibri Light" w:eastAsia="Times New Roman" w:hAnsi="Calibri Light" w:cs="Times New Roman"/>
                <w:iCs/>
                <w:color w:val="495965"/>
                <w:szCs w:val="17"/>
              </w:rPr>
              <w:t>Portfolio adequately addresses gender equality considerations</w:t>
            </w:r>
          </w:p>
        </w:tc>
        <w:tc>
          <w:tcPr>
            <w:tcW w:w="854" w:type="pct"/>
          </w:tcPr>
          <w:p w:rsidR="00042F58" w:rsidRPr="009B6356" w:rsidRDefault="00042F58" w:rsidP="00042F58">
            <w:pPr>
              <w:keepLines/>
              <w:spacing w:before="40" w:after="40" w:line="200" w:lineRule="atLeast"/>
              <w:rPr>
                <w:rFonts w:asciiTheme="minorHAnsi" w:eastAsia="Times New Roman" w:hAnsiTheme="minorHAnsi"/>
                <w:iCs/>
                <w:szCs w:val="17"/>
                <w:lang w:eastAsia="en-US"/>
              </w:rPr>
            </w:pPr>
            <w:r w:rsidRPr="00CD4F30">
              <w:rPr>
                <w:rFonts w:ascii="Calibri Light" w:eastAsia="Times New Roman" w:hAnsi="Calibri Light" w:cs="Arial"/>
                <w:color w:val="495965"/>
                <w:szCs w:val="17"/>
              </w:rPr>
              <w:t>80 per cent of activities adequately address gender issues (across Nauru’s major investments in public sector management, infrastructure</w:t>
            </w:r>
            <w:r>
              <w:rPr>
                <w:rFonts w:ascii="Calibri Light" w:eastAsia="Times New Roman" w:hAnsi="Calibri Light" w:cs="Arial"/>
                <w:color w:val="495965"/>
                <w:szCs w:val="17"/>
              </w:rPr>
              <w:t xml:space="preserve"> </w:t>
            </w:r>
            <w:r w:rsidRPr="00CD4F30">
              <w:rPr>
                <w:rFonts w:ascii="Calibri Light" w:eastAsia="Times New Roman" w:hAnsi="Calibri Light" w:cs="Arial"/>
                <w:color w:val="495965"/>
                <w:szCs w:val="17"/>
              </w:rPr>
              <w:t>and education</w:t>
            </w:r>
            <w:r>
              <w:rPr>
                <w:rFonts w:ascii="Calibri Light" w:eastAsia="Times New Roman" w:hAnsi="Calibri Light" w:cs="Arial"/>
                <w:color w:val="495965"/>
                <w:szCs w:val="17"/>
              </w:rPr>
              <w:t>)</w:t>
            </w:r>
          </w:p>
        </w:tc>
        <w:tc>
          <w:tcPr>
            <w:tcW w:w="470" w:type="pct"/>
            <w:shd w:val="clear" w:color="auto" w:fill="FF0000"/>
          </w:tcPr>
          <w:p w:rsidR="00042F58" w:rsidRPr="00880004" w:rsidRDefault="00042F58" w:rsidP="00042F58">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Not Achieved</w:t>
            </w:r>
          </w:p>
        </w:tc>
        <w:tc>
          <w:tcPr>
            <w:tcW w:w="2970" w:type="pct"/>
          </w:tcPr>
          <w:p w:rsidR="00042F58" w:rsidRPr="009B6356" w:rsidRDefault="009E125B">
            <w:pPr>
              <w:pStyle w:val="TableTextEntries"/>
              <w:keepNext/>
              <w:rPr>
                <w:rFonts w:asciiTheme="minorHAnsi" w:hAnsiTheme="minorHAnsi"/>
                <w:iCs w:val="0"/>
                <w:color w:val="495965" w:themeColor="text2"/>
                <w:lang w:eastAsia="en-US"/>
              </w:rPr>
            </w:pPr>
            <w:r>
              <w:rPr>
                <w:rFonts w:ascii="Calibri Light" w:hAnsi="Calibri Light"/>
                <w:iCs w:val="0"/>
                <w:color w:val="495965"/>
              </w:rPr>
              <w:t>Ge</w:t>
            </w:r>
            <w:r w:rsidR="00042F58" w:rsidRPr="00556F6A">
              <w:rPr>
                <w:rFonts w:ascii="Calibri Light" w:hAnsi="Calibri Light"/>
                <w:iCs w:val="0"/>
                <w:color w:val="495965"/>
              </w:rPr>
              <w:t>nder scores across infrastructure and PSM</w:t>
            </w:r>
            <w:r>
              <w:rPr>
                <w:rFonts w:ascii="Calibri Light" w:hAnsi="Calibri Light"/>
                <w:iCs w:val="0"/>
                <w:color w:val="495965"/>
              </w:rPr>
              <w:t xml:space="preserve"> </w:t>
            </w:r>
            <w:r w:rsidR="00042F58" w:rsidRPr="00556F6A">
              <w:rPr>
                <w:rFonts w:ascii="Calibri Light" w:hAnsi="Calibri Light"/>
                <w:iCs w:val="0"/>
                <w:color w:val="495965"/>
              </w:rPr>
              <w:t xml:space="preserve">were downgraded to a ‘3’ </w:t>
            </w:r>
            <w:r>
              <w:rPr>
                <w:rFonts w:ascii="Calibri Light" w:hAnsi="Calibri Light"/>
                <w:iCs w:val="0"/>
                <w:color w:val="495965"/>
              </w:rPr>
              <w:t xml:space="preserve">in 2018-19 </w:t>
            </w:r>
            <w:r w:rsidR="00042F58" w:rsidRPr="00556F6A">
              <w:rPr>
                <w:rFonts w:ascii="Calibri Light" w:hAnsi="Calibri Light"/>
                <w:iCs w:val="0"/>
                <w:color w:val="495965"/>
              </w:rPr>
              <w:t xml:space="preserve">because of </w:t>
            </w:r>
            <w:r w:rsidR="00042F58">
              <w:rPr>
                <w:rFonts w:ascii="Calibri Light" w:hAnsi="Calibri Light"/>
                <w:iCs w:val="0"/>
                <w:color w:val="495965"/>
              </w:rPr>
              <w:t>l</w:t>
            </w:r>
            <w:r w:rsidR="00042F58" w:rsidRPr="00556F6A">
              <w:rPr>
                <w:rFonts w:ascii="Calibri Light" w:hAnsi="Calibri Light"/>
                <w:iCs w:val="0"/>
                <w:color w:val="495965"/>
              </w:rPr>
              <w:t>ack of progress in</w:t>
            </w:r>
            <w:r w:rsidR="00042F58">
              <w:rPr>
                <w:rFonts w:ascii="Calibri Light" w:hAnsi="Calibri Light"/>
                <w:iCs w:val="0"/>
                <w:color w:val="495965"/>
              </w:rPr>
              <w:t xml:space="preserve"> </w:t>
            </w:r>
            <w:r w:rsidR="00042F58" w:rsidRPr="00556F6A">
              <w:rPr>
                <w:rFonts w:ascii="Calibri Light" w:hAnsi="Calibri Light"/>
                <w:iCs w:val="0"/>
                <w:color w:val="495965"/>
              </w:rPr>
              <w:t>effectively incorporating and mainstreaming gender equality</w:t>
            </w:r>
            <w:r w:rsidR="00042F58">
              <w:rPr>
                <w:rFonts w:ascii="Calibri Light" w:hAnsi="Calibri Light"/>
                <w:iCs w:val="0"/>
                <w:color w:val="495965"/>
              </w:rPr>
              <w:t>. DFAT ha</w:t>
            </w:r>
            <w:r>
              <w:rPr>
                <w:rFonts w:ascii="Calibri Light" w:hAnsi="Calibri Light"/>
                <w:iCs w:val="0"/>
                <w:color w:val="495965"/>
              </w:rPr>
              <w:t>s</w:t>
            </w:r>
            <w:r w:rsidR="00042F58">
              <w:rPr>
                <w:rFonts w:ascii="Calibri Light" w:hAnsi="Calibri Light"/>
                <w:iCs w:val="0"/>
                <w:color w:val="495965"/>
              </w:rPr>
              <w:t xml:space="preserve"> identified activities to be implemented (refer to section: Management Actions) </w:t>
            </w:r>
            <w:r w:rsidR="00042F58" w:rsidRPr="00E540C6">
              <w:rPr>
                <w:rFonts w:ascii="Calibri Light" w:hAnsi="Calibri Light"/>
                <w:iCs w:val="0"/>
                <w:color w:val="495965"/>
              </w:rPr>
              <w:t>to improve these ratings</w:t>
            </w:r>
            <w:r w:rsidR="00042F58">
              <w:rPr>
                <w:rFonts w:ascii="Calibri Light" w:hAnsi="Calibri Light"/>
                <w:iCs w:val="0"/>
                <w:color w:val="495965"/>
              </w:rPr>
              <w:t xml:space="preserve">. </w:t>
            </w:r>
          </w:p>
        </w:tc>
      </w:tr>
    </w:tbl>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042F58" w:rsidRDefault="00042F58">
      <w:pPr>
        <w:suppressAutoHyphens w:val="0"/>
        <w:spacing w:before="0" w:after="120" w:line="440" w:lineRule="atLeast"/>
        <w:rPr>
          <w:rFonts w:eastAsia="Times New Roman" w:cstheme="minorHAnsi"/>
          <w:sz w:val="32"/>
          <w:szCs w:val="32"/>
        </w:rPr>
      </w:pPr>
      <w:r>
        <w:rPr>
          <w:rFonts w:eastAsia="Times New Roman" w:cstheme="minorHAnsi"/>
          <w:sz w:val="32"/>
          <w:szCs w:val="32"/>
        </w:rPr>
        <w:br w:type="page"/>
      </w:r>
    </w:p>
    <w:p w:rsidR="00184F1E" w:rsidRPr="00F8189A" w:rsidRDefault="00F8189A" w:rsidP="00184F1E">
      <w:pPr>
        <w:rPr>
          <w:rFonts w:eastAsia="Times New Roman" w:cstheme="minorHAnsi"/>
          <w:sz w:val="32"/>
          <w:szCs w:val="32"/>
        </w:rPr>
      </w:pPr>
      <w:r w:rsidRPr="00F8189A">
        <w:rPr>
          <w:rFonts w:eastAsia="Times New Roman" w:cstheme="minorHAnsi"/>
          <w:sz w:val="32"/>
          <w:szCs w:val="32"/>
        </w:rPr>
        <w:lastRenderedPageBreak/>
        <w:t xml:space="preserve">2 </w:t>
      </w:r>
      <w:r w:rsidR="00184F1E" w:rsidRPr="00F8189A">
        <w:rPr>
          <w:rFonts w:eastAsia="Times New Roman" w:cstheme="minorHAnsi"/>
          <w:sz w:val="32"/>
          <w:szCs w:val="32"/>
        </w:rPr>
        <w:t xml:space="preserve">Performance Benchmarks for </w:t>
      </w:r>
      <w:r>
        <w:rPr>
          <w:rFonts w:eastAsia="Times New Roman" w:cstheme="minorHAnsi"/>
          <w:sz w:val="32"/>
          <w:szCs w:val="32"/>
        </w:rPr>
        <w:t>2019-20</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432"/>
        <w:gridCol w:w="4028"/>
        <w:gridCol w:w="5324"/>
      </w:tblGrid>
      <w:tr w:rsidR="005B027B" w:rsidTr="00B83522">
        <w:trPr>
          <w:trHeight w:val="245"/>
        </w:trPr>
        <w:tc>
          <w:tcPr>
            <w:tcW w:w="799" w:type="pct"/>
          </w:tcPr>
          <w:p w:rsidR="005B027B" w:rsidRPr="00BE6C6D" w:rsidRDefault="005B027B" w:rsidP="00254F79">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867" w:type="pct"/>
          </w:tcPr>
          <w:p w:rsidR="005B027B" w:rsidRPr="00BE6C6D" w:rsidRDefault="005B027B" w:rsidP="00254F79">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436" w:type="pct"/>
            <w:hideMark/>
          </w:tcPr>
          <w:p w:rsidR="005B027B" w:rsidRPr="00BE6C6D" w:rsidRDefault="005B027B" w:rsidP="00254F79">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898" w:type="pct"/>
            <w:hideMark/>
          </w:tcPr>
          <w:p w:rsidR="005B027B" w:rsidRPr="00B83522" w:rsidRDefault="005B027B" w:rsidP="00254F79">
            <w:pPr>
              <w:pStyle w:val="NormalIndented"/>
              <w:ind w:left="33"/>
              <w:jc w:val="center"/>
              <w:rPr>
                <w:rFonts w:asciiTheme="minorHAnsi" w:hAnsiTheme="minorHAnsi"/>
                <w:b/>
              </w:rPr>
            </w:pPr>
            <w:r w:rsidRPr="00B83522">
              <w:rPr>
                <w:rFonts w:asciiTheme="minorHAnsi" w:hAnsiTheme="minorHAnsi"/>
                <w:b/>
              </w:rPr>
              <w:t>2019-20</w:t>
            </w:r>
            <w:r w:rsidR="00042F58" w:rsidRPr="00B83522">
              <w:rPr>
                <w:rStyle w:val="FootnoteReference"/>
                <w:rFonts w:asciiTheme="minorHAnsi" w:hAnsiTheme="minorHAnsi"/>
                <w:b/>
              </w:rPr>
              <w:footnoteReference w:id="13"/>
            </w:r>
          </w:p>
        </w:tc>
      </w:tr>
      <w:tr w:rsidR="00B83522" w:rsidTr="00B83522">
        <w:trPr>
          <w:trHeight w:val="600"/>
        </w:trPr>
        <w:tc>
          <w:tcPr>
            <w:tcW w:w="799" w:type="pct"/>
            <w:vMerge w:val="restart"/>
          </w:tcPr>
          <w:p w:rsidR="00B83522" w:rsidRPr="00B83522" w:rsidRDefault="00B83522" w:rsidP="00B83522">
            <w:pPr>
              <w:pStyle w:val="NormalIndented"/>
              <w:ind w:left="0"/>
              <w:rPr>
                <w:rFonts w:asciiTheme="minorHAnsi" w:hAnsiTheme="minorHAnsi"/>
                <w:color w:val="FF0000"/>
                <w:sz w:val="18"/>
              </w:rPr>
            </w:pPr>
            <w:r>
              <w:rPr>
                <w:rFonts w:ascii="Calibri Light" w:eastAsia="Times New Roman" w:hAnsi="Calibri Light" w:cs="Times New Roman"/>
                <w:color w:val="495965"/>
              </w:rPr>
              <w:t>More effective Public Sector Management</w:t>
            </w:r>
          </w:p>
        </w:tc>
        <w:tc>
          <w:tcPr>
            <w:tcW w:w="867" w:type="pct"/>
          </w:tcPr>
          <w:p w:rsidR="00B83522" w:rsidRPr="00085E5F" w:rsidRDefault="00B83522" w:rsidP="00B83522">
            <w:pPr>
              <w:pStyle w:val="NormalIndented"/>
              <w:ind w:left="0"/>
              <w:rPr>
                <w:rFonts w:asciiTheme="minorHAnsi" w:hAnsiTheme="minorHAnsi"/>
                <w:i/>
                <w:color w:val="FF0000"/>
                <w:szCs w:val="20"/>
                <w:lang w:eastAsia="en-US"/>
              </w:rPr>
            </w:pPr>
            <w:r>
              <w:rPr>
                <w:rFonts w:asciiTheme="minorHAnsi" w:eastAsia="Times New Roman" w:hAnsiTheme="minorHAnsi"/>
                <w:iCs/>
                <w:szCs w:val="17"/>
                <w:lang w:eastAsia="en-US"/>
              </w:rPr>
              <w:t>Operational Account</w:t>
            </w:r>
          </w:p>
        </w:tc>
        <w:tc>
          <w:tcPr>
            <w:tcW w:w="1436" w:type="pct"/>
          </w:tcPr>
          <w:p w:rsidR="00B83522" w:rsidRPr="00085E5F" w:rsidRDefault="00B83522" w:rsidP="00B83522">
            <w:pPr>
              <w:pStyle w:val="NormalIndented"/>
              <w:ind w:left="33"/>
              <w:jc w:val="center"/>
              <w:rPr>
                <w:rFonts w:asciiTheme="minorHAnsi" w:hAnsiTheme="minorHAnsi"/>
                <w:i/>
                <w:color w:val="FF0000"/>
                <w:szCs w:val="20"/>
                <w:lang w:eastAsia="en-US"/>
              </w:rPr>
            </w:pPr>
            <w:r>
              <w:rPr>
                <w:rFonts w:asciiTheme="minorHAnsi" w:eastAsia="Times New Roman" w:hAnsiTheme="minorHAnsi"/>
                <w:iCs/>
                <w:szCs w:val="17"/>
                <w:lang w:eastAsia="en-US"/>
              </w:rPr>
              <w:t>C</w:t>
            </w:r>
            <w:r w:rsidRPr="009B6356">
              <w:rPr>
                <w:rFonts w:asciiTheme="minorHAnsi" w:eastAsia="Times New Roman" w:hAnsiTheme="minorHAnsi"/>
                <w:iCs/>
                <w:szCs w:val="17"/>
                <w:lang w:eastAsia="en-US"/>
              </w:rPr>
              <w:t>onduct biannual “audits” that lead to recommendations that are implemented appropriately</w:t>
            </w:r>
          </w:p>
        </w:tc>
        <w:tc>
          <w:tcPr>
            <w:tcW w:w="1898" w:type="pct"/>
          </w:tcPr>
          <w:p w:rsidR="00B83522" w:rsidRPr="00B83522" w:rsidRDefault="00F50C74" w:rsidP="00B83522">
            <w:pPr>
              <w:pStyle w:val="NormalIndented"/>
              <w:jc w:val="center"/>
              <w:rPr>
                <w:rFonts w:asciiTheme="minorHAnsi" w:hAnsiTheme="minorHAnsi"/>
                <w:color w:val="FF0000"/>
                <w:szCs w:val="20"/>
                <w:lang w:eastAsia="en-US"/>
              </w:rPr>
            </w:pPr>
            <w:r>
              <w:rPr>
                <w:rFonts w:asciiTheme="minorHAnsi" w:eastAsia="Times New Roman" w:hAnsiTheme="minorHAnsi"/>
                <w:iCs/>
                <w:szCs w:val="17"/>
                <w:lang w:eastAsia="en-US"/>
              </w:rPr>
              <w:t>Operational account is effectively managed, with biannual audits and recommendations of audits implemented within agreed timeframe</w:t>
            </w:r>
          </w:p>
        </w:tc>
      </w:tr>
      <w:tr w:rsidR="00B83522" w:rsidTr="00B83522">
        <w:trPr>
          <w:trHeight w:val="439"/>
        </w:trPr>
        <w:tc>
          <w:tcPr>
            <w:tcW w:w="799" w:type="pct"/>
            <w:vMerge/>
          </w:tcPr>
          <w:p w:rsidR="00B83522" w:rsidRPr="00085E5F" w:rsidRDefault="00B83522" w:rsidP="00B83522">
            <w:pPr>
              <w:pStyle w:val="NormalIndented"/>
              <w:rPr>
                <w:rFonts w:eastAsia="Times New Roman"/>
                <w:iCs/>
                <w:color w:val="FF0000"/>
                <w:szCs w:val="17"/>
              </w:rPr>
            </w:pPr>
          </w:p>
        </w:tc>
        <w:tc>
          <w:tcPr>
            <w:tcW w:w="867" w:type="pct"/>
          </w:tcPr>
          <w:p w:rsidR="00B83522" w:rsidRPr="00085E5F" w:rsidRDefault="00B83522" w:rsidP="00B83522">
            <w:pPr>
              <w:pStyle w:val="NormalIndented"/>
              <w:ind w:left="0"/>
              <w:rPr>
                <w:rFonts w:eastAsia="Times New Roman"/>
                <w:iCs/>
                <w:color w:val="FF0000"/>
                <w:szCs w:val="17"/>
              </w:rPr>
            </w:pPr>
            <w:r>
              <w:rPr>
                <w:rFonts w:asciiTheme="minorHAnsi" w:eastAsia="Times New Roman" w:hAnsiTheme="minorHAnsi"/>
                <w:iCs/>
                <w:szCs w:val="17"/>
                <w:lang w:eastAsia="en-US"/>
              </w:rPr>
              <w:t>Financial Instructions</w:t>
            </w:r>
          </w:p>
        </w:tc>
        <w:tc>
          <w:tcPr>
            <w:tcW w:w="1436" w:type="pct"/>
          </w:tcPr>
          <w:p w:rsidR="00B83522" w:rsidRPr="00085E5F" w:rsidRDefault="00B83522" w:rsidP="00B83522">
            <w:pPr>
              <w:pStyle w:val="NormalIndented"/>
              <w:ind w:left="33"/>
              <w:jc w:val="center"/>
              <w:rPr>
                <w:i/>
                <w:color w:val="FF0000"/>
                <w:szCs w:val="20"/>
              </w:rPr>
            </w:pPr>
            <w:r>
              <w:rPr>
                <w:rFonts w:asciiTheme="minorHAnsi" w:eastAsia="Times New Roman" w:hAnsiTheme="minorHAnsi"/>
                <w:iCs/>
                <w:szCs w:val="17"/>
                <w:lang w:eastAsia="en-US"/>
              </w:rPr>
              <w:t>U</w:t>
            </w:r>
            <w:r w:rsidRPr="009B6356">
              <w:rPr>
                <w:rFonts w:asciiTheme="minorHAnsi" w:eastAsia="Times New Roman" w:hAnsiTheme="minorHAnsi"/>
                <w:iCs/>
                <w:szCs w:val="17"/>
                <w:lang w:eastAsia="en-US"/>
              </w:rPr>
              <w:t>tilisation of Instructions to improve operations</w:t>
            </w:r>
          </w:p>
        </w:tc>
        <w:tc>
          <w:tcPr>
            <w:tcW w:w="1898" w:type="pct"/>
          </w:tcPr>
          <w:p w:rsidR="00B83522" w:rsidRPr="00B83522" w:rsidRDefault="00483108" w:rsidP="00B32B6A">
            <w:pPr>
              <w:pStyle w:val="NormalIndented"/>
              <w:jc w:val="center"/>
              <w:rPr>
                <w:color w:val="FF0000"/>
                <w:szCs w:val="20"/>
              </w:rPr>
            </w:pPr>
            <w:r>
              <w:rPr>
                <w:rFonts w:asciiTheme="minorHAnsi" w:eastAsia="Times New Roman" w:hAnsiTheme="minorHAnsi"/>
                <w:iCs/>
                <w:szCs w:val="17"/>
                <w:lang w:eastAsia="en-US"/>
              </w:rPr>
              <w:t>Increased efficiency</w:t>
            </w:r>
            <w:r w:rsidR="008A5F04">
              <w:rPr>
                <w:rFonts w:asciiTheme="minorHAnsi" w:eastAsia="Times New Roman" w:hAnsiTheme="minorHAnsi"/>
                <w:iCs/>
                <w:szCs w:val="17"/>
                <w:lang w:eastAsia="en-US"/>
              </w:rPr>
              <w:t xml:space="preserve"> </w:t>
            </w:r>
            <w:r w:rsidR="00B32B6A">
              <w:rPr>
                <w:rFonts w:asciiTheme="minorHAnsi" w:eastAsia="Times New Roman" w:hAnsiTheme="minorHAnsi"/>
                <w:iCs/>
                <w:szCs w:val="17"/>
                <w:lang w:eastAsia="en-US"/>
              </w:rPr>
              <w:t xml:space="preserve">in the management and </w:t>
            </w:r>
            <w:r w:rsidR="008A5F04">
              <w:rPr>
                <w:rFonts w:asciiTheme="minorHAnsi" w:eastAsia="Times New Roman" w:hAnsiTheme="minorHAnsi"/>
                <w:iCs/>
                <w:szCs w:val="17"/>
                <w:lang w:eastAsia="en-US"/>
              </w:rPr>
              <w:t xml:space="preserve">financial </w:t>
            </w:r>
            <w:r w:rsidR="00B32B6A">
              <w:rPr>
                <w:rFonts w:asciiTheme="minorHAnsi" w:eastAsia="Times New Roman" w:hAnsiTheme="minorHAnsi"/>
                <w:iCs/>
                <w:szCs w:val="17"/>
                <w:lang w:eastAsia="en-US"/>
              </w:rPr>
              <w:t xml:space="preserve">reporting systems of the </w:t>
            </w:r>
            <w:proofErr w:type="spellStart"/>
            <w:r w:rsidR="00B32B6A">
              <w:rPr>
                <w:rFonts w:asciiTheme="minorHAnsi" w:eastAsia="Times New Roman" w:hAnsiTheme="minorHAnsi"/>
                <w:iCs/>
                <w:szCs w:val="17"/>
                <w:lang w:eastAsia="en-US"/>
              </w:rPr>
              <w:t>GoN</w:t>
            </w:r>
            <w:proofErr w:type="spellEnd"/>
            <w:r w:rsidR="00B32B6A">
              <w:rPr>
                <w:rFonts w:asciiTheme="minorHAnsi" w:eastAsia="Times New Roman" w:hAnsiTheme="minorHAnsi"/>
                <w:iCs/>
                <w:szCs w:val="17"/>
                <w:lang w:eastAsia="en-US"/>
              </w:rPr>
              <w:t xml:space="preserve"> to </w:t>
            </w:r>
            <w:r w:rsidR="00B83522" w:rsidRPr="009B6356">
              <w:rPr>
                <w:rFonts w:asciiTheme="minorHAnsi" w:eastAsia="Times New Roman" w:hAnsiTheme="minorHAnsi"/>
                <w:iCs/>
                <w:szCs w:val="17"/>
                <w:lang w:eastAsia="en-US"/>
              </w:rPr>
              <w:t>improv</w:t>
            </w:r>
            <w:r w:rsidR="00B32B6A">
              <w:rPr>
                <w:rFonts w:asciiTheme="minorHAnsi" w:eastAsia="Times New Roman" w:hAnsiTheme="minorHAnsi"/>
                <w:iCs/>
                <w:szCs w:val="17"/>
                <w:lang w:eastAsia="en-US"/>
              </w:rPr>
              <w:t>ing</w:t>
            </w:r>
            <w:r w:rsidR="00B83522" w:rsidRPr="009B6356">
              <w:rPr>
                <w:rFonts w:asciiTheme="minorHAnsi" w:eastAsia="Times New Roman" w:hAnsiTheme="minorHAnsi"/>
                <w:iCs/>
                <w:szCs w:val="17"/>
                <w:lang w:eastAsia="en-US"/>
              </w:rPr>
              <w:t xml:space="preserve"> operations</w:t>
            </w:r>
          </w:p>
        </w:tc>
      </w:tr>
      <w:tr w:rsidR="00B83522" w:rsidTr="00B83522">
        <w:trPr>
          <w:trHeight w:val="560"/>
        </w:trPr>
        <w:tc>
          <w:tcPr>
            <w:tcW w:w="799" w:type="pct"/>
            <w:vMerge/>
          </w:tcPr>
          <w:p w:rsidR="00B83522" w:rsidRPr="00085E5F" w:rsidRDefault="00B83522" w:rsidP="00B83522">
            <w:pPr>
              <w:pStyle w:val="NormalIndented"/>
              <w:rPr>
                <w:rFonts w:eastAsia="Times New Roman"/>
                <w:iCs/>
                <w:color w:val="FF0000"/>
                <w:szCs w:val="17"/>
              </w:rPr>
            </w:pPr>
          </w:p>
        </w:tc>
        <w:tc>
          <w:tcPr>
            <w:tcW w:w="867" w:type="pct"/>
          </w:tcPr>
          <w:p w:rsidR="00B83522" w:rsidRPr="00085E5F" w:rsidRDefault="00B83522" w:rsidP="00B83522">
            <w:pPr>
              <w:pStyle w:val="NormalIndented"/>
              <w:ind w:left="0"/>
              <w:rPr>
                <w:rFonts w:eastAsia="Times New Roman"/>
                <w:iCs/>
                <w:color w:val="FF0000"/>
                <w:szCs w:val="17"/>
              </w:rPr>
            </w:pPr>
            <w:r>
              <w:rPr>
                <w:rFonts w:asciiTheme="minorHAnsi" w:eastAsia="Times New Roman" w:hAnsiTheme="minorHAnsi"/>
                <w:iCs/>
                <w:sz w:val="16"/>
                <w:szCs w:val="16"/>
                <w:lang w:eastAsia="en-US"/>
              </w:rPr>
              <w:t>Procurement</w:t>
            </w:r>
          </w:p>
        </w:tc>
        <w:tc>
          <w:tcPr>
            <w:tcW w:w="1436" w:type="pct"/>
          </w:tcPr>
          <w:p w:rsidR="00B83522" w:rsidRPr="00B83522" w:rsidRDefault="00B83522" w:rsidP="00B83522">
            <w:pPr>
              <w:pStyle w:val="NormalIndented"/>
              <w:ind w:left="33"/>
              <w:jc w:val="center"/>
              <w:rPr>
                <w:i/>
                <w:color w:val="FF0000"/>
                <w:szCs w:val="17"/>
              </w:rPr>
            </w:pPr>
            <w:r w:rsidRPr="00B83522">
              <w:rPr>
                <w:rFonts w:asciiTheme="minorHAnsi" w:eastAsia="Times New Roman" w:hAnsiTheme="minorHAnsi"/>
                <w:iCs/>
                <w:szCs w:val="17"/>
                <w:lang w:eastAsia="en-US"/>
              </w:rPr>
              <w:t>Timely, transparent procurement and reporting from IPA</w:t>
            </w:r>
          </w:p>
        </w:tc>
        <w:tc>
          <w:tcPr>
            <w:tcW w:w="1898" w:type="pct"/>
          </w:tcPr>
          <w:p w:rsidR="00B83522" w:rsidRPr="00B83522" w:rsidRDefault="00B83522" w:rsidP="00B83522">
            <w:pPr>
              <w:pStyle w:val="NormalIndented"/>
              <w:jc w:val="center"/>
              <w:rPr>
                <w:color w:val="FF0000"/>
                <w:szCs w:val="20"/>
              </w:rPr>
            </w:pPr>
            <w:r w:rsidRPr="00B83522">
              <w:rPr>
                <w:rFonts w:asciiTheme="minorHAnsi" w:eastAsia="Times New Roman" w:hAnsiTheme="minorHAnsi"/>
                <w:iCs/>
                <w:szCs w:val="17"/>
                <w:lang w:eastAsia="en-US"/>
              </w:rPr>
              <w:t>N/A</w:t>
            </w:r>
          </w:p>
        </w:tc>
      </w:tr>
      <w:tr w:rsidR="00D50787" w:rsidTr="00B83522">
        <w:trPr>
          <w:trHeight w:val="495"/>
        </w:trPr>
        <w:tc>
          <w:tcPr>
            <w:tcW w:w="799" w:type="pct"/>
            <w:vMerge w:val="restart"/>
          </w:tcPr>
          <w:p w:rsidR="00D50787" w:rsidRPr="00085E5F" w:rsidRDefault="00D50787" w:rsidP="00B83522">
            <w:pPr>
              <w:pStyle w:val="NormalIndented"/>
              <w:ind w:left="0"/>
              <w:rPr>
                <w:rFonts w:eastAsia="Times New Roman"/>
                <w:iCs/>
                <w:color w:val="FF0000"/>
                <w:szCs w:val="17"/>
              </w:rPr>
            </w:pPr>
            <w:r>
              <w:rPr>
                <w:rFonts w:ascii="Calibri Light" w:eastAsia="Times New Roman" w:hAnsi="Calibri Light" w:cs="Times New Roman"/>
                <w:iCs/>
                <w:color w:val="495965"/>
                <w:szCs w:val="17"/>
              </w:rPr>
              <w:t>Strengthened provision of education services</w:t>
            </w:r>
          </w:p>
        </w:tc>
        <w:tc>
          <w:tcPr>
            <w:tcW w:w="867" w:type="pct"/>
          </w:tcPr>
          <w:p w:rsidR="00D50787" w:rsidRPr="00085E5F" w:rsidRDefault="00D50787" w:rsidP="00B83522">
            <w:pPr>
              <w:pStyle w:val="NormalIndented"/>
              <w:ind w:left="0"/>
              <w:rPr>
                <w:rFonts w:eastAsia="Times New Roman"/>
                <w:iCs/>
                <w:color w:val="FF0000"/>
                <w:szCs w:val="17"/>
              </w:rPr>
            </w:pPr>
            <w:r>
              <w:rPr>
                <w:rFonts w:asciiTheme="minorHAnsi" w:eastAsia="Times New Roman" w:hAnsiTheme="minorHAnsi"/>
                <w:iCs/>
                <w:szCs w:val="17"/>
                <w:lang w:eastAsia="en-US"/>
              </w:rPr>
              <w:t>Nauru Education Strategic Plan</w:t>
            </w:r>
          </w:p>
        </w:tc>
        <w:tc>
          <w:tcPr>
            <w:tcW w:w="1436" w:type="pct"/>
          </w:tcPr>
          <w:p w:rsidR="00D50787" w:rsidRPr="00085E5F" w:rsidRDefault="00D50787" w:rsidP="00B83522">
            <w:pPr>
              <w:pStyle w:val="NormalIndented"/>
              <w:ind w:left="33"/>
              <w:jc w:val="center"/>
              <w:rPr>
                <w:i/>
                <w:color w:val="FF0000"/>
                <w:szCs w:val="20"/>
              </w:rPr>
            </w:pPr>
            <w:r>
              <w:rPr>
                <w:rFonts w:asciiTheme="minorHAnsi" w:eastAsia="Times New Roman" w:hAnsiTheme="minorHAnsi"/>
                <w:iCs/>
                <w:szCs w:val="17"/>
                <w:lang w:eastAsia="en-US"/>
              </w:rPr>
              <w:t>B</w:t>
            </w:r>
            <w:r w:rsidRPr="009B6356">
              <w:rPr>
                <w:rFonts w:asciiTheme="minorHAnsi" w:eastAsia="Times New Roman" w:hAnsiTheme="minorHAnsi"/>
                <w:iCs/>
                <w:szCs w:val="17"/>
                <w:lang w:eastAsia="en-US"/>
              </w:rPr>
              <w:t>enchmarks to be determined in consultation with Education Adviser</w:t>
            </w:r>
          </w:p>
        </w:tc>
        <w:tc>
          <w:tcPr>
            <w:tcW w:w="1898" w:type="pct"/>
          </w:tcPr>
          <w:p w:rsidR="00D50787" w:rsidRPr="00B83522" w:rsidRDefault="00D50787" w:rsidP="00B83522">
            <w:pPr>
              <w:pStyle w:val="NormalIndented"/>
              <w:jc w:val="center"/>
              <w:rPr>
                <w:rFonts w:asciiTheme="minorHAnsi" w:eastAsia="Times New Roman" w:hAnsiTheme="minorHAnsi"/>
                <w:iCs/>
                <w:szCs w:val="17"/>
                <w:lang w:eastAsia="en-US"/>
              </w:rPr>
            </w:pPr>
            <w:r>
              <w:rPr>
                <w:rFonts w:asciiTheme="minorHAnsi" w:eastAsia="Times New Roman" w:hAnsiTheme="minorHAnsi"/>
                <w:iCs/>
                <w:szCs w:val="17"/>
                <w:lang w:eastAsia="en-US"/>
              </w:rPr>
              <w:t>B</w:t>
            </w:r>
            <w:r w:rsidRPr="009B6356">
              <w:rPr>
                <w:rFonts w:asciiTheme="minorHAnsi" w:eastAsia="Times New Roman" w:hAnsiTheme="minorHAnsi"/>
                <w:iCs/>
                <w:szCs w:val="17"/>
                <w:lang w:eastAsia="en-US"/>
              </w:rPr>
              <w:t>enchmarks</w:t>
            </w:r>
            <w:r>
              <w:rPr>
                <w:rFonts w:asciiTheme="minorHAnsi" w:eastAsia="Times New Roman" w:hAnsiTheme="minorHAnsi"/>
                <w:iCs/>
                <w:szCs w:val="17"/>
                <w:lang w:eastAsia="en-US"/>
              </w:rPr>
              <w:t>, including gender and disability inclusion elements</w:t>
            </w:r>
            <w:r w:rsidR="00F50C74">
              <w:rPr>
                <w:rFonts w:asciiTheme="minorHAnsi" w:eastAsia="Times New Roman" w:hAnsiTheme="minorHAnsi"/>
                <w:iCs/>
                <w:szCs w:val="17"/>
                <w:lang w:eastAsia="en-US"/>
              </w:rPr>
              <w:t xml:space="preserve"> for new AIP</w:t>
            </w:r>
            <w:r>
              <w:rPr>
                <w:rFonts w:asciiTheme="minorHAnsi" w:eastAsia="Times New Roman" w:hAnsiTheme="minorHAnsi"/>
                <w:iCs/>
                <w:szCs w:val="17"/>
                <w:lang w:eastAsia="en-US"/>
              </w:rPr>
              <w:t>,</w:t>
            </w:r>
            <w:r w:rsidRPr="009B6356">
              <w:rPr>
                <w:rFonts w:asciiTheme="minorHAnsi" w:eastAsia="Times New Roman" w:hAnsiTheme="minorHAnsi"/>
                <w:iCs/>
                <w:szCs w:val="17"/>
                <w:lang w:eastAsia="en-US"/>
              </w:rPr>
              <w:t xml:space="preserve"> to be determined in consultation with Education Adviser</w:t>
            </w:r>
          </w:p>
        </w:tc>
      </w:tr>
      <w:tr w:rsidR="00D50787" w:rsidTr="00B83522">
        <w:trPr>
          <w:trHeight w:val="406"/>
        </w:trPr>
        <w:tc>
          <w:tcPr>
            <w:tcW w:w="799" w:type="pct"/>
            <w:vMerge/>
          </w:tcPr>
          <w:p w:rsidR="00D50787" w:rsidRPr="00085E5F" w:rsidRDefault="00D50787" w:rsidP="00B83522">
            <w:pPr>
              <w:pStyle w:val="NormalIndented"/>
              <w:rPr>
                <w:rFonts w:eastAsia="Times New Roman"/>
                <w:iCs/>
                <w:color w:val="FF0000"/>
                <w:szCs w:val="17"/>
              </w:rPr>
            </w:pPr>
          </w:p>
        </w:tc>
        <w:tc>
          <w:tcPr>
            <w:tcW w:w="867" w:type="pct"/>
          </w:tcPr>
          <w:p w:rsidR="00D50787" w:rsidRPr="00085E5F" w:rsidRDefault="00D50787" w:rsidP="00B83522">
            <w:pPr>
              <w:pStyle w:val="NormalIndented"/>
              <w:ind w:left="0"/>
              <w:rPr>
                <w:rFonts w:eastAsia="Times New Roman"/>
                <w:iCs/>
                <w:color w:val="FF0000"/>
                <w:szCs w:val="17"/>
              </w:rPr>
            </w:pPr>
            <w:r>
              <w:rPr>
                <w:rFonts w:ascii="Calibri Light" w:eastAsia="Times New Roman" w:hAnsi="Calibri Light" w:cs="Times New Roman"/>
                <w:iCs/>
                <w:color w:val="495965"/>
                <w:szCs w:val="17"/>
              </w:rPr>
              <w:t>Operational Account</w:t>
            </w:r>
          </w:p>
        </w:tc>
        <w:tc>
          <w:tcPr>
            <w:tcW w:w="1436" w:type="pct"/>
          </w:tcPr>
          <w:p w:rsidR="00D50787" w:rsidRPr="00B83522" w:rsidRDefault="00D50787" w:rsidP="00B83522">
            <w:pPr>
              <w:pStyle w:val="NormalIndented"/>
              <w:ind w:left="33"/>
              <w:jc w:val="center"/>
              <w:rPr>
                <w:color w:val="FF0000"/>
                <w:szCs w:val="20"/>
              </w:rPr>
            </w:pPr>
            <w:r>
              <w:rPr>
                <w:rFonts w:ascii="Calibri Light" w:eastAsia="Times New Roman" w:hAnsi="Calibri Light" w:cs="Times New Roman"/>
                <w:iCs/>
                <w:color w:val="495965"/>
                <w:szCs w:val="17"/>
              </w:rPr>
              <w:t>F</w:t>
            </w:r>
            <w:r w:rsidRPr="00042F58">
              <w:rPr>
                <w:rFonts w:ascii="Calibri Light" w:eastAsia="Times New Roman" w:hAnsi="Calibri Light" w:cs="Times New Roman"/>
                <w:iCs/>
                <w:color w:val="495965"/>
                <w:szCs w:val="17"/>
              </w:rPr>
              <w:t>unds administered appropriately on an agreed basis for activities to support the Education Strategic Plan</w:t>
            </w:r>
          </w:p>
        </w:tc>
        <w:tc>
          <w:tcPr>
            <w:tcW w:w="1898" w:type="pct"/>
          </w:tcPr>
          <w:p w:rsidR="00D50787" w:rsidRPr="00B83522" w:rsidRDefault="00D50787" w:rsidP="00B83522">
            <w:pPr>
              <w:pStyle w:val="NormalIndented"/>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F</w:t>
            </w:r>
            <w:r w:rsidRPr="00042F58">
              <w:rPr>
                <w:rFonts w:ascii="Calibri Light" w:eastAsia="Times New Roman" w:hAnsi="Calibri Light" w:cs="Times New Roman"/>
                <w:iCs/>
                <w:color w:val="495965"/>
                <w:szCs w:val="17"/>
              </w:rPr>
              <w:t>unds administered appropriately on an agreed basis for activities to support the Education Strategic Plan</w:t>
            </w:r>
          </w:p>
        </w:tc>
      </w:tr>
      <w:tr w:rsidR="00D50787" w:rsidTr="00B83522">
        <w:trPr>
          <w:trHeight w:val="730"/>
        </w:trPr>
        <w:tc>
          <w:tcPr>
            <w:tcW w:w="799" w:type="pct"/>
            <w:vMerge/>
          </w:tcPr>
          <w:p w:rsidR="00D50787" w:rsidRPr="00085E5F" w:rsidRDefault="00D50787" w:rsidP="00B83522">
            <w:pPr>
              <w:pStyle w:val="NormalIndented"/>
              <w:rPr>
                <w:rFonts w:eastAsia="Times New Roman"/>
                <w:iCs/>
                <w:color w:val="FF0000"/>
                <w:szCs w:val="17"/>
              </w:rPr>
            </w:pPr>
          </w:p>
        </w:tc>
        <w:tc>
          <w:tcPr>
            <w:tcW w:w="867" w:type="pct"/>
            <w:vMerge w:val="restart"/>
          </w:tcPr>
          <w:p w:rsidR="00D50787" w:rsidRPr="00085E5F" w:rsidRDefault="00D50787" w:rsidP="00B83522">
            <w:pPr>
              <w:pStyle w:val="NormalIndented"/>
              <w:ind w:left="0"/>
              <w:rPr>
                <w:rFonts w:eastAsia="Times New Roman"/>
                <w:iCs/>
                <w:color w:val="FF0000"/>
                <w:szCs w:val="17"/>
              </w:rPr>
            </w:pPr>
            <w:r>
              <w:rPr>
                <w:rFonts w:ascii="Calibri Light" w:eastAsia="Times New Roman" w:hAnsi="Calibri Light" w:cs="Times New Roman"/>
                <w:iCs/>
                <w:color w:val="495965"/>
                <w:szCs w:val="17"/>
              </w:rPr>
              <w:t>TVET</w:t>
            </w:r>
          </w:p>
        </w:tc>
        <w:tc>
          <w:tcPr>
            <w:tcW w:w="1436" w:type="pct"/>
          </w:tcPr>
          <w:p w:rsidR="00D50787" w:rsidRPr="00B83522" w:rsidRDefault="00D50787" w:rsidP="00B83522">
            <w:pPr>
              <w:pStyle w:val="NormalIndented"/>
              <w:ind w:left="33"/>
              <w:jc w:val="center"/>
              <w:rPr>
                <w:color w:val="FF0000"/>
                <w:szCs w:val="20"/>
              </w:rPr>
            </w:pPr>
            <w:r>
              <w:rPr>
                <w:rFonts w:ascii="Calibri Light" w:eastAsia="Times New Roman" w:hAnsi="Calibri Light" w:cs="Times New Roman"/>
                <w:iCs/>
                <w:color w:val="495965"/>
                <w:szCs w:val="17"/>
              </w:rPr>
              <w:t>A</w:t>
            </w:r>
            <w:r w:rsidRPr="00042F58">
              <w:rPr>
                <w:rFonts w:ascii="Calibri Light" w:eastAsia="Times New Roman" w:hAnsi="Calibri Light" w:cs="Times New Roman"/>
                <w:iCs/>
                <w:color w:val="495965"/>
                <w:szCs w:val="17"/>
              </w:rPr>
              <w:t xml:space="preserve"> range of courses for in-demand qualifications are delivered to adult learners in Nauru</w:t>
            </w:r>
          </w:p>
        </w:tc>
        <w:tc>
          <w:tcPr>
            <w:tcW w:w="1898" w:type="pct"/>
          </w:tcPr>
          <w:p w:rsidR="00D50787" w:rsidRPr="00B83522" w:rsidRDefault="00D50787" w:rsidP="00D50787">
            <w:pPr>
              <w:pStyle w:val="NormalIndented"/>
              <w:jc w:val="center"/>
              <w:rPr>
                <w:rFonts w:asciiTheme="minorHAnsi" w:eastAsia="Times New Roman" w:hAnsiTheme="minorHAnsi"/>
                <w:iCs/>
                <w:szCs w:val="17"/>
                <w:lang w:eastAsia="en-US"/>
              </w:rPr>
            </w:pPr>
            <w:r>
              <w:rPr>
                <w:rFonts w:asciiTheme="minorHAnsi" w:eastAsia="Times New Roman" w:hAnsiTheme="minorHAnsi"/>
                <w:iCs/>
                <w:szCs w:val="17"/>
                <w:lang w:eastAsia="en-US"/>
              </w:rPr>
              <w:t>At least 50 per cent graduation rate for TVET enrolments (total and for women)</w:t>
            </w:r>
          </w:p>
        </w:tc>
      </w:tr>
      <w:tr w:rsidR="00D50787" w:rsidTr="00B83522">
        <w:trPr>
          <w:trHeight w:val="730"/>
        </w:trPr>
        <w:tc>
          <w:tcPr>
            <w:tcW w:w="799" w:type="pct"/>
            <w:vMerge/>
          </w:tcPr>
          <w:p w:rsidR="00D50787" w:rsidRPr="00085E5F" w:rsidRDefault="00D50787" w:rsidP="00B83522">
            <w:pPr>
              <w:pStyle w:val="NormalIndented"/>
              <w:rPr>
                <w:rFonts w:eastAsia="Times New Roman"/>
                <w:iCs/>
                <w:color w:val="FF0000"/>
                <w:szCs w:val="17"/>
              </w:rPr>
            </w:pPr>
          </w:p>
        </w:tc>
        <w:tc>
          <w:tcPr>
            <w:tcW w:w="867" w:type="pct"/>
            <w:vMerge/>
          </w:tcPr>
          <w:p w:rsidR="00D50787" w:rsidRDefault="00D50787" w:rsidP="00B83522">
            <w:pPr>
              <w:pStyle w:val="NormalIndented"/>
              <w:ind w:left="0"/>
              <w:rPr>
                <w:rFonts w:ascii="Calibri Light" w:eastAsia="Times New Roman" w:hAnsi="Calibri Light" w:cs="Times New Roman"/>
                <w:iCs/>
                <w:color w:val="495965"/>
                <w:szCs w:val="17"/>
              </w:rPr>
            </w:pPr>
          </w:p>
        </w:tc>
        <w:tc>
          <w:tcPr>
            <w:tcW w:w="1436" w:type="pct"/>
          </w:tcPr>
          <w:p w:rsidR="00D50787" w:rsidRDefault="00D50787" w:rsidP="00B83522">
            <w:pPr>
              <w:pStyle w:val="NormalIndented"/>
              <w:ind w:left="33"/>
              <w:jc w:val="center"/>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N/A</w:t>
            </w:r>
          </w:p>
        </w:tc>
        <w:tc>
          <w:tcPr>
            <w:tcW w:w="1898" w:type="pct"/>
          </w:tcPr>
          <w:p w:rsidR="00D50787" w:rsidRPr="00B83522" w:rsidRDefault="00D50787" w:rsidP="00D50787">
            <w:pPr>
              <w:pStyle w:val="NormalIndented"/>
              <w:jc w:val="center"/>
              <w:rPr>
                <w:rFonts w:eastAsia="Times New Roman"/>
                <w:iCs/>
                <w:szCs w:val="17"/>
              </w:rPr>
            </w:pPr>
            <w:r>
              <w:rPr>
                <w:rFonts w:asciiTheme="minorHAnsi" w:eastAsia="Times New Roman" w:hAnsiTheme="minorHAnsi"/>
                <w:iCs/>
                <w:szCs w:val="17"/>
                <w:lang w:eastAsia="en-US"/>
              </w:rPr>
              <w:t>50</w:t>
            </w:r>
            <w:r w:rsidRPr="00D50787">
              <w:rPr>
                <w:rFonts w:asciiTheme="minorHAnsi" w:eastAsia="Times New Roman" w:hAnsiTheme="minorHAnsi"/>
                <w:iCs/>
                <w:szCs w:val="17"/>
                <w:lang w:eastAsia="en-US"/>
              </w:rPr>
              <w:t xml:space="preserve"> per cent of TVET enrolments are women, including </w:t>
            </w:r>
            <w:r>
              <w:rPr>
                <w:rFonts w:asciiTheme="minorHAnsi" w:eastAsia="Times New Roman" w:hAnsiTheme="minorHAnsi"/>
                <w:iCs/>
                <w:szCs w:val="17"/>
                <w:lang w:eastAsia="en-US"/>
              </w:rPr>
              <w:t>female representation in ‘non-traditional’ sectors</w:t>
            </w:r>
          </w:p>
        </w:tc>
      </w:tr>
      <w:tr w:rsidR="00D50787" w:rsidTr="00B83522">
        <w:trPr>
          <w:trHeight w:val="730"/>
        </w:trPr>
        <w:tc>
          <w:tcPr>
            <w:tcW w:w="799" w:type="pct"/>
            <w:vMerge/>
          </w:tcPr>
          <w:p w:rsidR="00D50787" w:rsidRPr="00085E5F" w:rsidRDefault="00D50787" w:rsidP="00B83522">
            <w:pPr>
              <w:pStyle w:val="NormalIndented"/>
              <w:rPr>
                <w:rFonts w:eastAsia="Times New Roman"/>
                <w:iCs/>
                <w:color w:val="FF0000"/>
                <w:szCs w:val="17"/>
              </w:rPr>
            </w:pPr>
          </w:p>
        </w:tc>
        <w:tc>
          <w:tcPr>
            <w:tcW w:w="867" w:type="pct"/>
          </w:tcPr>
          <w:p w:rsidR="00D50787" w:rsidRDefault="00F50C74" w:rsidP="00B83522">
            <w:pPr>
              <w:pStyle w:val="NormalIndented"/>
              <w:ind w:left="0"/>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Gender and d</w:t>
            </w:r>
            <w:r w:rsidR="00D50787">
              <w:rPr>
                <w:rFonts w:ascii="Calibri Light" w:eastAsia="Times New Roman" w:hAnsi="Calibri Light" w:cs="Times New Roman"/>
                <w:iCs/>
                <w:color w:val="495965"/>
                <w:szCs w:val="17"/>
              </w:rPr>
              <w:t>isability inclusion</w:t>
            </w:r>
          </w:p>
        </w:tc>
        <w:tc>
          <w:tcPr>
            <w:tcW w:w="1436" w:type="pct"/>
          </w:tcPr>
          <w:p w:rsidR="00D50787" w:rsidRDefault="00D50787" w:rsidP="00B83522">
            <w:pPr>
              <w:pStyle w:val="NormalIndented"/>
              <w:ind w:left="33"/>
              <w:jc w:val="center"/>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N/A</w:t>
            </w:r>
          </w:p>
        </w:tc>
        <w:tc>
          <w:tcPr>
            <w:tcW w:w="1898" w:type="pct"/>
          </w:tcPr>
          <w:p w:rsidR="00D50787" w:rsidRPr="00D50787" w:rsidRDefault="00F50C74" w:rsidP="00D50787">
            <w:pPr>
              <w:pStyle w:val="NormalIndented"/>
              <w:jc w:val="center"/>
              <w:rPr>
                <w:rFonts w:eastAsia="Times New Roman"/>
                <w:iCs/>
                <w:szCs w:val="17"/>
              </w:rPr>
            </w:pPr>
            <w:r>
              <w:rPr>
                <w:rFonts w:asciiTheme="minorHAnsi" w:eastAsia="Times New Roman" w:hAnsiTheme="minorHAnsi"/>
                <w:iCs/>
                <w:szCs w:val="17"/>
                <w:lang w:eastAsia="en-US"/>
              </w:rPr>
              <w:t>Gender and d</w:t>
            </w:r>
            <w:r w:rsidR="00D50787" w:rsidRPr="00D50787">
              <w:rPr>
                <w:rFonts w:asciiTheme="minorHAnsi" w:eastAsia="Times New Roman" w:hAnsiTheme="minorHAnsi"/>
                <w:iCs/>
                <w:szCs w:val="17"/>
                <w:lang w:eastAsia="en-US"/>
              </w:rPr>
              <w:t>isability-disaggregated data collected and reported in the education sector</w:t>
            </w:r>
          </w:p>
        </w:tc>
      </w:tr>
      <w:tr w:rsidR="00B83522" w:rsidTr="00B83522">
        <w:trPr>
          <w:trHeight w:val="730"/>
        </w:trPr>
        <w:tc>
          <w:tcPr>
            <w:tcW w:w="799" w:type="pct"/>
            <w:vMerge w:val="restart"/>
          </w:tcPr>
          <w:p w:rsidR="00B83522" w:rsidRPr="00085E5F" w:rsidRDefault="00B83522" w:rsidP="00B83522">
            <w:pPr>
              <w:pStyle w:val="NormalIndented"/>
              <w:ind w:left="0"/>
              <w:rPr>
                <w:rFonts w:eastAsia="Times New Roman"/>
                <w:iCs/>
                <w:color w:val="FF0000"/>
                <w:szCs w:val="17"/>
              </w:rPr>
            </w:pPr>
            <w:r w:rsidRPr="00CD4F30">
              <w:rPr>
                <w:rFonts w:ascii="Calibri Light" w:eastAsia="Times New Roman" w:hAnsi="Calibri Light" w:cs="Times New Roman"/>
                <w:iCs/>
                <w:color w:val="495965"/>
                <w:szCs w:val="17"/>
              </w:rPr>
              <w:t>Enhanced economic infrastructure</w:t>
            </w:r>
          </w:p>
        </w:tc>
        <w:tc>
          <w:tcPr>
            <w:tcW w:w="867" w:type="pct"/>
            <w:vAlign w:val="center"/>
          </w:tcPr>
          <w:p w:rsidR="00B83522" w:rsidRPr="00085E5F" w:rsidRDefault="00B83522" w:rsidP="00B83522">
            <w:pPr>
              <w:pStyle w:val="NormalIndented"/>
              <w:ind w:left="0"/>
              <w:rPr>
                <w:rFonts w:eastAsia="Times New Roman"/>
                <w:iCs/>
                <w:color w:val="FF0000"/>
                <w:szCs w:val="17"/>
              </w:rPr>
            </w:pPr>
            <w:r>
              <w:rPr>
                <w:rFonts w:ascii="Calibri Light" w:eastAsia="Times New Roman" w:hAnsi="Calibri Light" w:cs="Times New Roman"/>
                <w:iCs/>
                <w:color w:val="495965"/>
                <w:szCs w:val="17"/>
              </w:rPr>
              <w:t>Electricity supply</w:t>
            </w:r>
          </w:p>
        </w:tc>
        <w:tc>
          <w:tcPr>
            <w:tcW w:w="1436" w:type="pct"/>
          </w:tcPr>
          <w:p w:rsidR="00B83522" w:rsidRPr="00B83522" w:rsidRDefault="00B83522" w:rsidP="00B83522">
            <w:pPr>
              <w:pStyle w:val="NormalIndented"/>
              <w:ind w:left="33"/>
              <w:jc w:val="center"/>
              <w:rPr>
                <w:color w:val="FF0000"/>
                <w:szCs w:val="20"/>
              </w:rPr>
            </w:pPr>
            <w:r>
              <w:rPr>
                <w:rFonts w:ascii="Calibri Light" w:eastAsia="Times New Roman" w:hAnsi="Calibri Light" w:cs="Times New Roman"/>
                <w:iCs/>
                <w:color w:val="495965"/>
                <w:szCs w:val="17"/>
              </w:rPr>
              <w:t>E</w:t>
            </w:r>
            <w:r w:rsidRPr="00042F58">
              <w:rPr>
                <w:rFonts w:ascii="Calibri Light" w:eastAsia="Times New Roman" w:hAnsi="Calibri Light" w:cs="Times New Roman"/>
                <w:iCs/>
                <w:color w:val="495965"/>
                <w:szCs w:val="17"/>
              </w:rPr>
              <w:t>ffective maintenance of generators; documented reliable power supply; and proposals submitted to NUC for solar farm installation</w:t>
            </w:r>
          </w:p>
        </w:tc>
        <w:tc>
          <w:tcPr>
            <w:tcW w:w="1898" w:type="pct"/>
          </w:tcPr>
          <w:p w:rsidR="00B83522" w:rsidRPr="00B83522" w:rsidRDefault="00F50C74" w:rsidP="00F50C74">
            <w:pPr>
              <w:pStyle w:val="NormalIndented"/>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E</w:t>
            </w:r>
            <w:r w:rsidRPr="00042F58">
              <w:rPr>
                <w:rFonts w:ascii="Calibri Light" w:eastAsia="Times New Roman" w:hAnsi="Calibri Light" w:cs="Times New Roman"/>
                <w:iCs/>
                <w:color w:val="495965"/>
                <w:szCs w:val="17"/>
              </w:rPr>
              <w:t>ffective maintenance of generators</w:t>
            </w:r>
            <w:r w:rsidR="00A23801">
              <w:rPr>
                <w:rFonts w:ascii="Calibri Light" w:eastAsia="Times New Roman" w:hAnsi="Calibri Light" w:cs="Times New Roman"/>
                <w:iCs/>
                <w:color w:val="495965"/>
                <w:szCs w:val="17"/>
              </w:rPr>
              <w:t xml:space="preserve"> and</w:t>
            </w:r>
            <w:r w:rsidRPr="00042F58">
              <w:rPr>
                <w:rFonts w:ascii="Calibri Light" w:eastAsia="Times New Roman" w:hAnsi="Calibri Light" w:cs="Times New Roman"/>
                <w:iCs/>
                <w:color w:val="495965"/>
                <w:szCs w:val="17"/>
              </w:rPr>
              <w:t xml:space="preserve"> documented reliable power supply</w:t>
            </w:r>
          </w:p>
        </w:tc>
      </w:tr>
      <w:tr w:rsidR="00F50C74" w:rsidTr="00B83522">
        <w:trPr>
          <w:trHeight w:val="730"/>
        </w:trPr>
        <w:tc>
          <w:tcPr>
            <w:tcW w:w="799" w:type="pct"/>
            <w:vMerge/>
          </w:tcPr>
          <w:p w:rsidR="00F50C74" w:rsidRPr="00CD4F30" w:rsidRDefault="00F50C74" w:rsidP="00B83522">
            <w:pPr>
              <w:pStyle w:val="NormalIndented"/>
              <w:ind w:left="0"/>
              <w:rPr>
                <w:rFonts w:ascii="Calibri Light" w:eastAsia="Times New Roman" w:hAnsi="Calibri Light" w:cs="Times New Roman"/>
                <w:iCs/>
                <w:color w:val="495965"/>
                <w:szCs w:val="17"/>
              </w:rPr>
            </w:pPr>
          </w:p>
        </w:tc>
        <w:tc>
          <w:tcPr>
            <w:tcW w:w="867" w:type="pct"/>
            <w:vAlign w:val="center"/>
          </w:tcPr>
          <w:p w:rsidR="00F50C74" w:rsidRDefault="00F50C74" w:rsidP="00B83522">
            <w:pPr>
              <w:pStyle w:val="NormalIndented"/>
              <w:ind w:left="0"/>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Gender</w:t>
            </w:r>
          </w:p>
        </w:tc>
        <w:tc>
          <w:tcPr>
            <w:tcW w:w="1436" w:type="pct"/>
          </w:tcPr>
          <w:p w:rsidR="00F50C74" w:rsidRDefault="00F50C74" w:rsidP="00B83522">
            <w:pPr>
              <w:pStyle w:val="NormalIndented"/>
              <w:ind w:left="33"/>
              <w:jc w:val="center"/>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N/A</w:t>
            </w:r>
          </w:p>
        </w:tc>
        <w:tc>
          <w:tcPr>
            <w:tcW w:w="1898" w:type="pct"/>
          </w:tcPr>
          <w:p w:rsidR="00F50C74" w:rsidRDefault="00F50C74" w:rsidP="00F50C74">
            <w:pPr>
              <w:pStyle w:val="NormalIndented"/>
              <w:jc w:val="center"/>
              <w:rPr>
                <w:rFonts w:eastAsia="Times New Roman"/>
                <w:iCs/>
                <w:szCs w:val="17"/>
              </w:rPr>
            </w:pPr>
            <w:r>
              <w:rPr>
                <w:rFonts w:asciiTheme="minorHAnsi" w:eastAsia="Times New Roman" w:hAnsiTheme="minorHAnsi"/>
                <w:iCs/>
                <w:szCs w:val="17"/>
                <w:lang w:eastAsia="en-US"/>
              </w:rPr>
              <w:t>At least two gender-related initiatives identified and implemented in NUC, based on gender analysis</w:t>
            </w:r>
          </w:p>
        </w:tc>
      </w:tr>
      <w:tr w:rsidR="003805FF" w:rsidTr="00B83522">
        <w:trPr>
          <w:trHeight w:val="552"/>
        </w:trPr>
        <w:tc>
          <w:tcPr>
            <w:tcW w:w="799" w:type="pct"/>
            <w:vMerge/>
          </w:tcPr>
          <w:p w:rsidR="003805FF" w:rsidRPr="00085E5F" w:rsidRDefault="003805FF" w:rsidP="00B83522">
            <w:pPr>
              <w:pStyle w:val="NormalIndented"/>
              <w:rPr>
                <w:rFonts w:eastAsia="Times New Roman"/>
                <w:iCs/>
                <w:color w:val="FF0000"/>
                <w:szCs w:val="17"/>
              </w:rPr>
            </w:pPr>
          </w:p>
        </w:tc>
        <w:tc>
          <w:tcPr>
            <w:tcW w:w="867" w:type="pct"/>
            <w:vMerge w:val="restart"/>
            <w:vAlign w:val="center"/>
          </w:tcPr>
          <w:p w:rsidR="003805FF" w:rsidRPr="00085E5F" w:rsidRDefault="003805FF" w:rsidP="00B83522">
            <w:pPr>
              <w:pStyle w:val="NormalIndented"/>
              <w:ind w:left="0"/>
              <w:rPr>
                <w:rFonts w:eastAsia="Times New Roman"/>
                <w:iCs/>
                <w:color w:val="FF0000"/>
                <w:szCs w:val="17"/>
              </w:rPr>
            </w:pPr>
            <w:r w:rsidRPr="00042F58">
              <w:rPr>
                <w:rFonts w:ascii="Calibri Light" w:eastAsia="Times New Roman" w:hAnsi="Calibri Light" w:cs="Times New Roman"/>
                <w:iCs/>
                <w:color w:val="495965"/>
                <w:szCs w:val="17"/>
              </w:rPr>
              <w:t>Port Redevelopment</w:t>
            </w:r>
          </w:p>
        </w:tc>
        <w:tc>
          <w:tcPr>
            <w:tcW w:w="1436" w:type="pct"/>
          </w:tcPr>
          <w:p w:rsidR="003805FF" w:rsidRPr="00B83522" w:rsidRDefault="003805FF" w:rsidP="00B83522">
            <w:pPr>
              <w:pStyle w:val="NormalIndented"/>
              <w:ind w:left="33"/>
              <w:jc w:val="center"/>
              <w:rPr>
                <w:color w:val="FF0000"/>
                <w:szCs w:val="20"/>
              </w:rPr>
            </w:pPr>
            <w:r w:rsidRPr="00042F58">
              <w:rPr>
                <w:rFonts w:ascii="Calibri Light" w:eastAsia="Times New Roman" w:hAnsi="Calibri Light" w:cs="Times New Roman"/>
                <w:iCs/>
                <w:color w:val="495965"/>
                <w:szCs w:val="17"/>
              </w:rPr>
              <w:t>Progress in redevelopment works on track; and improved port operations</w:t>
            </w:r>
          </w:p>
        </w:tc>
        <w:tc>
          <w:tcPr>
            <w:tcW w:w="1898" w:type="pct"/>
          </w:tcPr>
          <w:p w:rsidR="003805FF" w:rsidRPr="00B83522" w:rsidRDefault="003805FF" w:rsidP="00B83522">
            <w:pPr>
              <w:pStyle w:val="NormalIndented"/>
              <w:jc w:val="center"/>
              <w:rPr>
                <w:rFonts w:asciiTheme="minorHAnsi" w:eastAsia="Times New Roman" w:hAnsiTheme="minorHAnsi"/>
                <w:iCs/>
                <w:szCs w:val="17"/>
                <w:lang w:eastAsia="en-US"/>
              </w:rPr>
            </w:pPr>
            <w:r>
              <w:rPr>
                <w:rFonts w:asciiTheme="minorHAnsi" w:eastAsia="Times New Roman" w:hAnsiTheme="minorHAnsi"/>
                <w:iCs/>
                <w:szCs w:val="17"/>
                <w:lang w:eastAsia="en-US"/>
              </w:rPr>
              <w:t>Redevelopment construction assessed as on track with expectations, as assessed by project steering committee</w:t>
            </w:r>
          </w:p>
        </w:tc>
      </w:tr>
      <w:tr w:rsidR="003805FF" w:rsidTr="00B83522">
        <w:trPr>
          <w:trHeight w:val="552"/>
        </w:trPr>
        <w:tc>
          <w:tcPr>
            <w:tcW w:w="799" w:type="pct"/>
            <w:vMerge/>
          </w:tcPr>
          <w:p w:rsidR="003805FF" w:rsidRPr="00085E5F" w:rsidRDefault="003805FF" w:rsidP="00B83522">
            <w:pPr>
              <w:pStyle w:val="NormalIndented"/>
              <w:rPr>
                <w:rFonts w:eastAsia="Times New Roman"/>
                <w:iCs/>
                <w:color w:val="FF0000"/>
                <w:szCs w:val="17"/>
              </w:rPr>
            </w:pPr>
          </w:p>
        </w:tc>
        <w:tc>
          <w:tcPr>
            <w:tcW w:w="867" w:type="pct"/>
            <w:vMerge/>
            <w:vAlign w:val="center"/>
          </w:tcPr>
          <w:p w:rsidR="003805FF" w:rsidRPr="00042F58" w:rsidRDefault="003805FF" w:rsidP="00B83522">
            <w:pPr>
              <w:pStyle w:val="NormalIndented"/>
              <w:ind w:left="0"/>
              <w:rPr>
                <w:rFonts w:ascii="Calibri Light" w:eastAsia="Times New Roman" w:hAnsi="Calibri Light" w:cs="Times New Roman"/>
                <w:iCs/>
                <w:color w:val="495965"/>
                <w:szCs w:val="17"/>
              </w:rPr>
            </w:pPr>
          </w:p>
        </w:tc>
        <w:tc>
          <w:tcPr>
            <w:tcW w:w="1436" w:type="pct"/>
          </w:tcPr>
          <w:p w:rsidR="003805FF" w:rsidRPr="00042F58" w:rsidRDefault="003805FF" w:rsidP="00B83522">
            <w:pPr>
              <w:pStyle w:val="NormalIndented"/>
              <w:ind w:left="33"/>
              <w:jc w:val="center"/>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 xml:space="preserve">N/A </w:t>
            </w:r>
          </w:p>
        </w:tc>
        <w:tc>
          <w:tcPr>
            <w:tcW w:w="1898" w:type="pct"/>
          </w:tcPr>
          <w:p w:rsidR="003805FF" w:rsidRPr="003805FF" w:rsidRDefault="003805FF" w:rsidP="00F50C74">
            <w:pPr>
              <w:pStyle w:val="NormalIndented"/>
              <w:jc w:val="center"/>
              <w:rPr>
                <w:rFonts w:asciiTheme="minorHAnsi" w:eastAsia="Times New Roman" w:hAnsiTheme="minorHAnsi"/>
                <w:iCs/>
                <w:szCs w:val="17"/>
                <w:lang w:eastAsia="en-US"/>
              </w:rPr>
            </w:pPr>
            <w:r w:rsidRPr="003805FF">
              <w:rPr>
                <w:rFonts w:asciiTheme="minorHAnsi" w:eastAsia="Times New Roman" w:hAnsiTheme="minorHAnsi"/>
                <w:iCs/>
                <w:szCs w:val="17"/>
                <w:lang w:eastAsia="en-US"/>
              </w:rPr>
              <w:t xml:space="preserve">Gender Action Plan </w:t>
            </w:r>
            <w:r w:rsidR="00F50C74">
              <w:rPr>
                <w:rFonts w:asciiTheme="minorHAnsi" w:eastAsia="Times New Roman" w:hAnsiTheme="minorHAnsi"/>
                <w:iCs/>
                <w:szCs w:val="17"/>
                <w:lang w:eastAsia="en-US"/>
              </w:rPr>
              <w:t>implemented</w:t>
            </w:r>
            <w:r w:rsidRPr="003805FF">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all</w:t>
            </w:r>
            <w:r w:rsidRPr="003805FF">
              <w:rPr>
                <w:rFonts w:asciiTheme="minorHAnsi" w:eastAsia="Times New Roman" w:hAnsiTheme="minorHAnsi"/>
                <w:iCs/>
                <w:szCs w:val="17"/>
                <w:lang w:eastAsia="en-US"/>
              </w:rPr>
              <w:t xml:space="preserve"> community consultations include women and/or girl representatives </w:t>
            </w:r>
          </w:p>
        </w:tc>
      </w:tr>
      <w:tr w:rsidR="00B83522" w:rsidTr="00B83522">
        <w:trPr>
          <w:trHeight w:val="617"/>
        </w:trPr>
        <w:tc>
          <w:tcPr>
            <w:tcW w:w="799" w:type="pct"/>
            <w:vMerge/>
          </w:tcPr>
          <w:p w:rsidR="00B83522" w:rsidRPr="00085E5F" w:rsidRDefault="00B83522" w:rsidP="00B83522">
            <w:pPr>
              <w:pStyle w:val="NormalIndented"/>
              <w:rPr>
                <w:rFonts w:eastAsia="Times New Roman"/>
                <w:iCs/>
                <w:color w:val="FF0000"/>
                <w:szCs w:val="17"/>
              </w:rPr>
            </w:pPr>
          </w:p>
        </w:tc>
        <w:tc>
          <w:tcPr>
            <w:tcW w:w="867" w:type="pct"/>
            <w:vAlign w:val="center"/>
          </w:tcPr>
          <w:p w:rsidR="00B83522" w:rsidRPr="00085E5F" w:rsidRDefault="00B83522" w:rsidP="00B83522">
            <w:pPr>
              <w:pStyle w:val="NormalIndented"/>
              <w:ind w:left="0"/>
              <w:rPr>
                <w:rFonts w:eastAsia="Times New Roman"/>
                <w:iCs/>
                <w:color w:val="FF0000"/>
                <w:szCs w:val="17"/>
              </w:rPr>
            </w:pPr>
            <w:r>
              <w:rPr>
                <w:rFonts w:ascii="Calibri Light" w:eastAsia="Times New Roman" w:hAnsi="Calibri Light" w:cs="Times New Roman"/>
                <w:iCs/>
                <w:color w:val="495965"/>
                <w:szCs w:val="17"/>
              </w:rPr>
              <w:t>Indoor Sports Facility</w:t>
            </w:r>
          </w:p>
        </w:tc>
        <w:tc>
          <w:tcPr>
            <w:tcW w:w="1436" w:type="pct"/>
          </w:tcPr>
          <w:p w:rsidR="00B83522" w:rsidRPr="00B83522" w:rsidRDefault="00B83522" w:rsidP="00B83522">
            <w:pPr>
              <w:pStyle w:val="NormalIndented"/>
              <w:ind w:left="33"/>
              <w:jc w:val="center"/>
              <w:rPr>
                <w:color w:val="FF0000"/>
                <w:szCs w:val="20"/>
              </w:rPr>
            </w:pPr>
            <w:r>
              <w:rPr>
                <w:rFonts w:ascii="Calibri Light" w:eastAsia="Times New Roman" w:hAnsi="Calibri Light" w:cs="Times New Roman"/>
                <w:iCs/>
                <w:color w:val="495965"/>
                <w:szCs w:val="17"/>
              </w:rPr>
              <w:t>M</w:t>
            </w:r>
            <w:r w:rsidRPr="00042F58">
              <w:rPr>
                <w:rFonts w:ascii="Calibri Light" w:eastAsia="Times New Roman" w:hAnsi="Calibri Light" w:cs="Times New Roman"/>
                <w:iCs/>
                <w:color w:val="495965"/>
                <w:szCs w:val="17"/>
              </w:rPr>
              <w:t>anaged, maintained and well utilised by men, women, boys and girls and disadvantaged groups</w:t>
            </w:r>
          </w:p>
        </w:tc>
        <w:tc>
          <w:tcPr>
            <w:tcW w:w="1898" w:type="pct"/>
          </w:tcPr>
          <w:p w:rsidR="00B83522" w:rsidRPr="00B83522" w:rsidRDefault="00F50C74" w:rsidP="0038311E">
            <w:pPr>
              <w:pStyle w:val="NormalIndented"/>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U</w:t>
            </w:r>
            <w:r w:rsidR="003805FF">
              <w:rPr>
                <w:rFonts w:ascii="Calibri Light" w:eastAsia="Times New Roman" w:hAnsi="Calibri Light" w:cs="Times New Roman"/>
                <w:iCs/>
                <w:color w:val="495965"/>
                <w:szCs w:val="17"/>
              </w:rPr>
              <w:t xml:space="preserve">tilisation data collection (including gender and disability disaggregation) </w:t>
            </w:r>
            <w:r w:rsidR="0038311E">
              <w:rPr>
                <w:rFonts w:ascii="Calibri Light" w:eastAsia="Times New Roman" w:hAnsi="Calibri Light" w:cs="Times New Roman"/>
                <w:iCs/>
                <w:color w:val="495965"/>
                <w:szCs w:val="17"/>
              </w:rPr>
              <w:t xml:space="preserve">initiated </w:t>
            </w:r>
            <w:r w:rsidR="003805FF">
              <w:rPr>
                <w:rFonts w:ascii="Calibri Light" w:eastAsia="Times New Roman" w:hAnsi="Calibri Light" w:cs="Times New Roman"/>
                <w:iCs/>
                <w:color w:val="495965"/>
                <w:szCs w:val="17"/>
              </w:rPr>
              <w:t>and baseline</w:t>
            </w:r>
            <w:r w:rsidR="003805FF" w:rsidRPr="00042F58">
              <w:rPr>
                <w:rFonts w:ascii="Calibri Light" w:eastAsia="Times New Roman" w:hAnsi="Calibri Light" w:cs="Times New Roman"/>
                <w:iCs/>
                <w:color w:val="495965"/>
                <w:szCs w:val="17"/>
              </w:rPr>
              <w:t xml:space="preserve"> </w:t>
            </w:r>
            <w:r w:rsidR="0038311E">
              <w:rPr>
                <w:rFonts w:ascii="Calibri Light" w:eastAsia="Times New Roman" w:hAnsi="Calibri Light" w:cs="Times New Roman"/>
                <w:iCs/>
                <w:color w:val="495965"/>
                <w:szCs w:val="17"/>
              </w:rPr>
              <w:t xml:space="preserve">identified </w:t>
            </w:r>
            <w:r w:rsidR="003805FF">
              <w:rPr>
                <w:rFonts w:ascii="Calibri Light" w:eastAsia="Times New Roman" w:hAnsi="Calibri Light" w:cs="Times New Roman"/>
                <w:iCs/>
                <w:color w:val="495965"/>
                <w:szCs w:val="17"/>
              </w:rPr>
              <w:t>for</w:t>
            </w:r>
            <w:r w:rsidR="003805FF" w:rsidRPr="00042F58">
              <w:rPr>
                <w:rFonts w:ascii="Calibri Light" w:eastAsia="Times New Roman" w:hAnsi="Calibri Light" w:cs="Times New Roman"/>
                <w:iCs/>
                <w:color w:val="495965"/>
                <w:szCs w:val="17"/>
              </w:rPr>
              <w:t xml:space="preserve"> men, women, boys and girls and disadvantaged groups</w:t>
            </w:r>
          </w:p>
        </w:tc>
      </w:tr>
      <w:tr w:rsidR="00B83522" w:rsidTr="00B83522">
        <w:trPr>
          <w:trHeight w:val="730"/>
        </w:trPr>
        <w:tc>
          <w:tcPr>
            <w:tcW w:w="799" w:type="pct"/>
          </w:tcPr>
          <w:p w:rsidR="00B83522" w:rsidRPr="00085E5F" w:rsidRDefault="00B83522" w:rsidP="00B83522">
            <w:pPr>
              <w:pStyle w:val="NormalIndented"/>
              <w:ind w:left="0"/>
              <w:rPr>
                <w:rFonts w:eastAsia="Times New Roman"/>
                <w:iCs/>
                <w:color w:val="FF0000"/>
                <w:szCs w:val="17"/>
              </w:rPr>
            </w:pPr>
            <w:r w:rsidRPr="00B83522">
              <w:rPr>
                <w:rFonts w:ascii="Calibri Light" w:eastAsia="Times New Roman" w:hAnsi="Calibri Light" w:cs="Times New Roman"/>
                <w:iCs/>
                <w:color w:val="495965"/>
                <w:szCs w:val="17"/>
              </w:rPr>
              <w:t>Gender</w:t>
            </w:r>
          </w:p>
        </w:tc>
        <w:tc>
          <w:tcPr>
            <w:tcW w:w="867" w:type="pct"/>
          </w:tcPr>
          <w:p w:rsidR="00B83522" w:rsidRPr="00085E5F" w:rsidRDefault="00B83522" w:rsidP="00B83522">
            <w:pPr>
              <w:pStyle w:val="NormalIndented"/>
              <w:ind w:left="0"/>
              <w:rPr>
                <w:rFonts w:eastAsia="Times New Roman"/>
                <w:iCs/>
                <w:color w:val="FF0000"/>
                <w:szCs w:val="17"/>
              </w:rPr>
            </w:pPr>
            <w:r w:rsidRPr="00CD4F30">
              <w:rPr>
                <w:rFonts w:ascii="Calibri Light" w:eastAsia="Times New Roman" w:hAnsi="Calibri Light" w:cs="Times New Roman"/>
                <w:iCs/>
                <w:color w:val="495965"/>
                <w:szCs w:val="17"/>
              </w:rPr>
              <w:t>Portfolio adequately addresses gender equality considerations</w:t>
            </w:r>
          </w:p>
        </w:tc>
        <w:tc>
          <w:tcPr>
            <w:tcW w:w="1436" w:type="pct"/>
          </w:tcPr>
          <w:p w:rsidR="00B83522" w:rsidRPr="00B83522" w:rsidRDefault="00B83522" w:rsidP="00B83522">
            <w:pPr>
              <w:pStyle w:val="NormalIndented"/>
              <w:ind w:left="33"/>
              <w:jc w:val="center"/>
              <w:rPr>
                <w:color w:val="FF0000"/>
                <w:szCs w:val="20"/>
              </w:rPr>
            </w:pPr>
            <w:r w:rsidRPr="00CD4F30">
              <w:rPr>
                <w:rFonts w:ascii="Calibri Light" w:eastAsia="Times New Roman" w:hAnsi="Calibri Light" w:cs="Arial"/>
                <w:color w:val="495965"/>
                <w:szCs w:val="17"/>
              </w:rPr>
              <w:t>80 per cent of activities adequately address gender issues (across Nauru’s major investments in public sector management, infrastructure</w:t>
            </w:r>
            <w:r>
              <w:rPr>
                <w:rFonts w:ascii="Calibri Light" w:eastAsia="Times New Roman" w:hAnsi="Calibri Light" w:cs="Arial"/>
                <w:color w:val="495965"/>
                <w:szCs w:val="17"/>
              </w:rPr>
              <w:t xml:space="preserve"> </w:t>
            </w:r>
            <w:r w:rsidRPr="00CD4F30">
              <w:rPr>
                <w:rFonts w:ascii="Calibri Light" w:eastAsia="Times New Roman" w:hAnsi="Calibri Light" w:cs="Arial"/>
                <w:color w:val="495965"/>
                <w:szCs w:val="17"/>
              </w:rPr>
              <w:t>and education</w:t>
            </w:r>
            <w:r>
              <w:rPr>
                <w:rFonts w:ascii="Calibri Light" w:eastAsia="Times New Roman" w:hAnsi="Calibri Light" w:cs="Arial"/>
                <w:color w:val="495965"/>
                <w:szCs w:val="17"/>
              </w:rPr>
              <w:t>)</w:t>
            </w:r>
          </w:p>
        </w:tc>
        <w:tc>
          <w:tcPr>
            <w:tcW w:w="1898" w:type="pct"/>
          </w:tcPr>
          <w:p w:rsidR="00B83522" w:rsidRPr="00B83522" w:rsidRDefault="0038311E" w:rsidP="00B83522">
            <w:pPr>
              <w:pStyle w:val="NormalIndented"/>
              <w:jc w:val="center"/>
              <w:rPr>
                <w:rFonts w:asciiTheme="minorHAnsi" w:eastAsia="Times New Roman" w:hAnsiTheme="minorHAnsi"/>
                <w:iCs/>
                <w:szCs w:val="17"/>
                <w:lang w:eastAsia="en-US"/>
              </w:rPr>
            </w:pPr>
            <w:r>
              <w:rPr>
                <w:rFonts w:asciiTheme="minorHAnsi" w:eastAsia="Times New Roman" w:hAnsiTheme="minorHAnsi"/>
                <w:iCs/>
                <w:szCs w:val="17"/>
                <w:lang w:eastAsia="en-US"/>
              </w:rPr>
              <w:t>At least t</w:t>
            </w:r>
            <w:r w:rsidR="003805FF">
              <w:rPr>
                <w:rFonts w:asciiTheme="minorHAnsi" w:eastAsia="Times New Roman" w:hAnsiTheme="minorHAnsi"/>
                <w:iCs/>
                <w:szCs w:val="17"/>
                <w:lang w:eastAsia="en-US"/>
              </w:rPr>
              <w:t>hree out of four investments (75 per cent) demonstrate improvements and are rated ‘adequate’ for gender</w:t>
            </w:r>
            <w:r>
              <w:rPr>
                <w:rFonts w:asciiTheme="minorHAnsi" w:eastAsia="Times New Roman" w:hAnsiTheme="minorHAnsi"/>
                <w:iCs/>
                <w:szCs w:val="17"/>
                <w:lang w:eastAsia="en-US"/>
              </w:rPr>
              <w:t>, and improvements identified and in progress for any investments not rated adequate</w:t>
            </w:r>
          </w:p>
        </w:tc>
      </w:tr>
    </w:tbl>
    <w:p w:rsidR="00AF1B85" w:rsidRPr="00EF26B5" w:rsidRDefault="00184F1E" w:rsidP="00BB648A">
      <w:pPr>
        <w:pStyle w:val="Subtitle"/>
        <w:spacing w:before="36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1 </w:t>
      </w:r>
      <w:r w:rsidR="00AF1B85" w:rsidRPr="00EF26B5">
        <w:rPr>
          <w:rFonts w:eastAsiaTheme="majorEastAsia" w:cstheme="minorHAnsi"/>
          <w:caps/>
          <w:sz w:val="36"/>
          <w:szCs w:val="36"/>
        </w:rPr>
        <w:t xml:space="preserve">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rsidTr="00E01E95">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Date Evaluation report Uploaded into </w:t>
            </w:r>
            <w:proofErr w:type="spellStart"/>
            <w:r w:rsidRPr="00812509">
              <w:rPr>
                <w:rFonts w:asciiTheme="minorHAnsi" w:eastAsia="Times New Roman" w:hAnsiTheme="minorHAnsi"/>
                <w:iCs/>
                <w:szCs w:val="17"/>
                <w:lang w:eastAsia="en-US"/>
              </w:rPr>
              <w:t>AidWorks</w:t>
            </w:r>
            <w:proofErr w:type="spellEnd"/>
          </w:p>
        </w:tc>
        <w:tc>
          <w:tcPr>
            <w:tcW w:w="1671"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Date Management response uploaded into </w:t>
            </w:r>
            <w:proofErr w:type="spellStart"/>
            <w:r w:rsidRPr="00812509">
              <w:rPr>
                <w:rFonts w:asciiTheme="minorHAnsi" w:eastAsia="Times New Roman" w:hAnsiTheme="minorHAnsi"/>
                <w:iCs/>
                <w:szCs w:val="17"/>
                <w:lang w:eastAsia="en-US"/>
              </w:rPr>
              <w:t>AidWorks</w:t>
            </w:r>
            <w:proofErr w:type="spellEnd"/>
          </w:p>
        </w:tc>
        <w:tc>
          <w:tcPr>
            <w:tcW w:w="2365"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3805FF" w:rsidRPr="003B5EE5" w:rsidTr="00E01E95">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rsidR="003805FF" w:rsidRPr="003805FF" w:rsidRDefault="003805FF" w:rsidP="003805FF">
            <w:pPr>
              <w:keepLines/>
              <w:spacing w:before="40" w:after="40" w:line="200" w:lineRule="atLeast"/>
              <w:rPr>
                <w:rFonts w:asciiTheme="minorHAnsi" w:eastAsia="Times New Roman" w:hAnsiTheme="minorHAnsi"/>
                <w:b w:val="0"/>
                <w:iCs/>
                <w:szCs w:val="17"/>
                <w:lang w:eastAsia="en-US"/>
              </w:rPr>
            </w:pPr>
            <w:r w:rsidRPr="001B1C29">
              <w:rPr>
                <w:rFonts w:asciiTheme="minorHAnsi" w:eastAsia="Times New Roman" w:hAnsiTheme="minorHAnsi"/>
                <w:b w:val="0"/>
                <w:bCs/>
                <w:iCs/>
                <w:szCs w:val="17"/>
                <w:lang w:eastAsia="en-US"/>
              </w:rPr>
              <w:t>Health sector investment review</w:t>
            </w:r>
          </w:p>
        </w:tc>
        <w:tc>
          <w:tcPr>
            <w:tcW w:w="3665" w:type="dxa"/>
            <w:tcBorders>
              <w:bottom w:val="none" w:sz="0" w:space="0" w:color="auto"/>
            </w:tcBorders>
          </w:tcPr>
          <w:p w:rsidR="003805FF" w:rsidRPr="003805FF" w:rsidRDefault="003805FF" w:rsidP="003805FF">
            <w:pPr>
              <w:keepLines/>
              <w:spacing w:before="40" w:after="40" w:line="200" w:lineRule="atLeast"/>
              <w:rPr>
                <w:rFonts w:asciiTheme="minorHAnsi" w:eastAsia="Times New Roman" w:hAnsiTheme="minorHAnsi"/>
                <w:b w:val="0"/>
                <w:iCs/>
                <w:szCs w:val="17"/>
                <w:lang w:eastAsia="en-US"/>
              </w:rPr>
            </w:pPr>
            <w:r w:rsidRPr="001B1C29">
              <w:rPr>
                <w:rFonts w:asciiTheme="minorHAnsi" w:eastAsia="Times New Roman" w:hAnsiTheme="minorHAnsi"/>
                <w:b w:val="0"/>
                <w:bCs/>
                <w:iCs/>
                <w:szCs w:val="17"/>
                <w:lang w:eastAsia="en-US"/>
              </w:rPr>
              <w:t>INI970 Nauru Improved Health</w:t>
            </w:r>
          </w:p>
        </w:tc>
        <w:tc>
          <w:tcPr>
            <w:tcW w:w="1397" w:type="dxa"/>
            <w:tcBorders>
              <w:bottom w:val="none" w:sz="0" w:space="0" w:color="auto"/>
            </w:tcBorders>
          </w:tcPr>
          <w:p w:rsidR="003805FF" w:rsidRPr="003805FF" w:rsidRDefault="003805FF" w:rsidP="003805FF">
            <w:pPr>
              <w:keepLines/>
              <w:spacing w:before="40" w:after="40" w:line="200" w:lineRule="atLeast"/>
              <w:rPr>
                <w:rFonts w:asciiTheme="minorHAnsi" w:eastAsia="Times New Roman" w:hAnsiTheme="minorHAnsi"/>
                <w:b w:val="0"/>
                <w:iCs/>
                <w:szCs w:val="17"/>
                <w:lang w:eastAsia="en-US"/>
              </w:rPr>
            </w:pPr>
            <w:r w:rsidRPr="00C551C6">
              <w:rPr>
                <w:rFonts w:asciiTheme="minorHAnsi" w:eastAsia="Times New Roman" w:hAnsiTheme="minorHAnsi"/>
                <w:b w:val="0"/>
                <w:bCs/>
                <w:iCs/>
                <w:szCs w:val="17"/>
                <w:lang w:eastAsia="en-US"/>
              </w:rPr>
              <w:t>December 2018</w:t>
            </w:r>
          </w:p>
        </w:tc>
        <w:tc>
          <w:tcPr>
            <w:tcW w:w="1953" w:type="dxa"/>
            <w:tcBorders>
              <w:bottom w:val="none" w:sz="0" w:space="0" w:color="auto"/>
            </w:tcBorders>
          </w:tcPr>
          <w:p w:rsidR="003805FF" w:rsidRPr="003805FF" w:rsidRDefault="00AD15DC" w:rsidP="003805FF">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Exempt</w:t>
            </w:r>
          </w:p>
        </w:tc>
        <w:tc>
          <w:tcPr>
            <w:tcW w:w="1671" w:type="dxa"/>
            <w:tcBorders>
              <w:bottom w:val="none" w:sz="0" w:space="0" w:color="auto"/>
            </w:tcBorders>
          </w:tcPr>
          <w:p w:rsidR="003805FF" w:rsidRPr="003805FF" w:rsidRDefault="00AD15DC" w:rsidP="003805FF">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Exempt</w:t>
            </w:r>
          </w:p>
        </w:tc>
        <w:tc>
          <w:tcPr>
            <w:tcW w:w="2365" w:type="dxa"/>
            <w:tcBorders>
              <w:bottom w:val="none" w:sz="0" w:space="0" w:color="auto"/>
            </w:tcBorders>
          </w:tcPr>
          <w:p w:rsidR="003805FF" w:rsidRPr="003805FF" w:rsidRDefault="002013EE" w:rsidP="003805FF">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bCs/>
                <w:iCs/>
                <w:szCs w:val="17"/>
                <w:lang w:eastAsia="en-US"/>
              </w:rPr>
              <w:t>Exempt</w:t>
            </w:r>
          </w:p>
        </w:tc>
      </w:tr>
      <w:tr w:rsidR="003805FF" w:rsidRPr="003B5EE5" w:rsidTr="00E01E95">
        <w:trPr>
          <w:cnfStyle w:val="100000000000" w:firstRow="1" w:lastRow="0" w:firstColumn="0" w:lastColumn="0" w:oddVBand="0" w:evenVBand="0" w:oddHBand="0" w:evenHBand="0" w:firstRowFirstColumn="0" w:firstRowLastColumn="0" w:lastRowFirstColumn="0" w:lastRowLastColumn="0"/>
        </w:trPr>
        <w:tc>
          <w:tcPr>
            <w:tcW w:w="3064" w:type="dxa"/>
          </w:tcPr>
          <w:p w:rsidR="003805FF" w:rsidRPr="003805FF" w:rsidRDefault="003805FF" w:rsidP="003805FF">
            <w:pPr>
              <w:keepLines/>
              <w:spacing w:before="40" w:after="40" w:line="200" w:lineRule="atLeast"/>
              <w:rPr>
                <w:rFonts w:eastAsia="Times New Roman"/>
                <w:b w:val="0"/>
                <w:iCs/>
                <w:szCs w:val="17"/>
              </w:rPr>
            </w:pPr>
            <w:r w:rsidRPr="001B1C29">
              <w:rPr>
                <w:rFonts w:asciiTheme="minorHAnsi" w:eastAsia="Times New Roman" w:hAnsiTheme="minorHAnsi"/>
                <w:b w:val="0"/>
                <w:bCs/>
                <w:iCs/>
                <w:szCs w:val="17"/>
                <w:lang w:eastAsia="en-US"/>
              </w:rPr>
              <w:t xml:space="preserve">Infrastructure sector investment review </w:t>
            </w:r>
          </w:p>
        </w:tc>
        <w:tc>
          <w:tcPr>
            <w:tcW w:w="3665" w:type="dxa"/>
          </w:tcPr>
          <w:p w:rsidR="003805FF" w:rsidRPr="003805FF" w:rsidRDefault="003805FF" w:rsidP="003805FF">
            <w:pPr>
              <w:keepLines/>
              <w:spacing w:before="40" w:after="40" w:line="200" w:lineRule="atLeast"/>
              <w:rPr>
                <w:rFonts w:eastAsia="Times New Roman"/>
                <w:b w:val="0"/>
                <w:iCs/>
                <w:szCs w:val="17"/>
              </w:rPr>
            </w:pPr>
            <w:r w:rsidRPr="001B1C29">
              <w:rPr>
                <w:rFonts w:asciiTheme="minorHAnsi" w:eastAsia="Times New Roman" w:hAnsiTheme="minorHAnsi"/>
                <w:b w:val="0"/>
                <w:bCs/>
                <w:iCs/>
                <w:szCs w:val="17"/>
                <w:lang w:eastAsia="en-US"/>
              </w:rPr>
              <w:t xml:space="preserve">INI949 Nauru Infrastructure and Services </w:t>
            </w:r>
          </w:p>
        </w:tc>
        <w:tc>
          <w:tcPr>
            <w:tcW w:w="1397" w:type="dxa"/>
          </w:tcPr>
          <w:p w:rsidR="003805FF" w:rsidRPr="003805FF" w:rsidRDefault="003805FF" w:rsidP="003805FF">
            <w:pPr>
              <w:keepLines/>
              <w:spacing w:before="40" w:after="40" w:line="200" w:lineRule="atLeast"/>
              <w:rPr>
                <w:rFonts w:eastAsia="Times New Roman"/>
                <w:b w:val="0"/>
                <w:iCs/>
                <w:szCs w:val="17"/>
              </w:rPr>
            </w:pPr>
            <w:r w:rsidRPr="00C551C6">
              <w:rPr>
                <w:rFonts w:asciiTheme="minorHAnsi" w:eastAsia="Times New Roman" w:hAnsiTheme="minorHAnsi"/>
                <w:b w:val="0"/>
                <w:bCs/>
                <w:iCs/>
                <w:szCs w:val="17"/>
                <w:lang w:eastAsia="en-US"/>
              </w:rPr>
              <w:t>December 2018</w:t>
            </w:r>
          </w:p>
        </w:tc>
        <w:tc>
          <w:tcPr>
            <w:tcW w:w="1953" w:type="dxa"/>
          </w:tcPr>
          <w:p w:rsidR="003805FF" w:rsidRPr="003805FF" w:rsidRDefault="0038311E" w:rsidP="003805FF">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 xml:space="preserve">Sep </w:t>
            </w:r>
            <w:r w:rsidR="002013EE">
              <w:rPr>
                <w:rFonts w:asciiTheme="minorHAnsi" w:eastAsia="Times New Roman" w:hAnsiTheme="minorHAnsi"/>
                <w:b w:val="0"/>
                <w:iCs/>
                <w:szCs w:val="17"/>
                <w:lang w:eastAsia="en-US"/>
              </w:rPr>
              <w:t>2019</w:t>
            </w:r>
          </w:p>
        </w:tc>
        <w:tc>
          <w:tcPr>
            <w:tcW w:w="1671" w:type="dxa"/>
          </w:tcPr>
          <w:p w:rsidR="003805FF" w:rsidRPr="003805FF" w:rsidRDefault="0038311E" w:rsidP="003805FF">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 xml:space="preserve">Sep </w:t>
            </w:r>
            <w:r w:rsidR="002013EE">
              <w:rPr>
                <w:rFonts w:asciiTheme="minorHAnsi" w:eastAsia="Times New Roman" w:hAnsiTheme="minorHAnsi"/>
                <w:b w:val="0"/>
                <w:iCs/>
                <w:szCs w:val="17"/>
                <w:lang w:eastAsia="en-US"/>
              </w:rPr>
              <w:t>2019</w:t>
            </w:r>
          </w:p>
        </w:tc>
        <w:tc>
          <w:tcPr>
            <w:tcW w:w="2365" w:type="dxa"/>
          </w:tcPr>
          <w:p w:rsidR="003805FF" w:rsidRPr="003805FF" w:rsidRDefault="002013EE" w:rsidP="003805FF">
            <w:pPr>
              <w:keepLines/>
              <w:spacing w:before="40" w:after="40" w:line="200" w:lineRule="atLeast"/>
              <w:rPr>
                <w:rFonts w:eastAsia="Times New Roman"/>
                <w:b w:val="0"/>
                <w:iCs/>
                <w:szCs w:val="17"/>
              </w:rPr>
            </w:pPr>
            <w:r>
              <w:rPr>
                <w:rFonts w:asciiTheme="minorHAnsi" w:eastAsia="Times New Roman" w:hAnsiTheme="minorHAnsi"/>
                <w:b w:val="0"/>
                <w:bCs/>
                <w:iCs/>
                <w:szCs w:val="17"/>
                <w:lang w:eastAsia="en-US"/>
              </w:rPr>
              <w:t>24 September 2018</w:t>
            </w:r>
          </w:p>
        </w:tc>
      </w:tr>
      <w:tr w:rsidR="003805FF" w:rsidRPr="003B5EE5" w:rsidTr="00E01E95">
        <w:trPr>
          <w:cnfStyle w:val="100000000000" w:firstRow="1" w:lastRow="0" w:firstColumn="0" w:lastColumn="0" w:oddVBand="0" w:evenVBand="0" w:oddHBand="0" w:evenHBand="0" w:firstRowFirstColumn="0" w:firstRowLastColumn="0" w:lastRowFirstColumn="0" w:lastRowLastColumn="0"/>
        </w:trPr>
        <w:tc>
          <w:tcPr>
            <w:tcW w:w="3064" w:type="dxa"/>
          </w:tcPr>
          <w:p w:rsidR="003805FF" w:rsidRPr="003805FF" w:rsidRDefault="003805FF" w:rsidP="003805FF">
            <w:pPr>
              <w:keepLines/>
              <w:spacing w:before="40" w:after="40" w:line="200" w:lineRule="atLeast"/>
              <w:rPr>
                <w:rFonts w:eastAsia="Times New Roman"/>
                <w:b w:val="0"/>
                <w:iCs/>
                <w:szCs w:val="17"/>
              </w:rPr>
            </w:pPr>
            <w:r w:rsidRPr="001B1C29">
              <w:rPr>
                <w:rFonts w:asciiTheme="minorHAnsi" w:eastAsia="Times New Roman" w:hAnsiTheme="minorHAnsi"/>
                <w:b w:val="0"/>
                <w:bCs/>
                <w:iCs/>
                <w:szCs w:val="17"/>
                <w:lang w:eastAsia="en-US"/>
              </w:rPr>
              <w:t xml:space="preserve">Education sector investment review </w:t>
            </w:r>
          </w:p>
        </w:tc>
        <w:tc>
          <w:tcPr>
            <w:tcW w:w="3665" w:type="dxa"/>
          </w:tcPr>
          <w:p w:rsidR="003805FF" w:rsidRPr="003805FF" w:rsidRDefault="003805FF" w:rsidP="003805FF">
            <w:pPr>
              <w:keepLines/>
              <w:spacing w:before="40" w:after="40" w:line="200" w:lineRule="atLeast"/>
              <w:rPr>
                <w:rFonts w:eastAsia="Times New Roman"/>
                <w:b w:val="0"/>
                <w:iCs/>
                <w:szCs w:val="17"/>
              </w:rPr>
            </w:pPr>
            <w:r w:rsidRPr="001B1C29">
              <w:rPr>
                <w:rFonts w:asciiTheme="minorHAnsi" w:eastAsia="Times New Roman" w:hAnsiTheme="minorHAnsi"/>
                <w:b w:val="0"/>
                <w:bCs/>
                <w:iCs/>
                <w:szCs w:val="17"/>
                <w:lang w:eastAsia="en-US"/>
              </w:rPr>
              <w:t>INI950 Nauru Improved Education</w:t>
            </w:r>
          </w:p>
        </w:tc>
        <w:tc>
          <w:tcPr>
            <w:tcW w:w="1397" w:type="dxa"/>
          </w:tcPr>
          <w:p w:rsidR="003805FF" w:rsidRPr="003805FF" w:rsidRDefault="003805FF" w:rsidP="003805FF">
            <w:pPr>
              <w:keepLines/>
              <w:spacing w:before="40" w:after="40" w:line="200" w:lineRule="atLeast"/>
              <w:rPr>
                <w:rFonts w:eastAsia="Times New Roman"/>
                <w:b w:val="0"/>
                <w:iCs/>
                <w:szCs w:val="17"/>
              </w:rPr>
            </w:pPr>
            <w:r w:rsidRPr="00C551C6">
              <w:rPr>
                <w:rFonts w:asciiTheme="minorHAnsi" w:eastAsia="Times New Roman" w:hAnsiTheme="minorHAnsi"/>
                <w:b w:val="0"/>
                <w:bCs/>
                <w:iCs/>
                <w:szCs w:val="17"/>
                <w:lang w:eastAsia="en-US"/>
              </w:rPr>
              <w:t>December 2018</w:t>
            </w:r>
          </w:p>
        </w:tc>
        <w:tc>
          <w:tcPr>
            <w:tcW w:w="1953" w:type="dxa"/>
          </w:tcPr>
          <w:p w:rsidR="003805FF" w:rsidRPr="003805FF" w:rsidRDefault="0038311E" w:rsidP="003805FF">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 xml:space="preserve">May </w:t>
            </w:r>
            <w:r w:rsidR="002013EE">
              <w:rPr>
                <w:rFonts w:asciiTheme="minorHAnsi" w:eastAsia="Times New Roman" w:hAnsiTheme="minorHAnsi"/>
                <w:b w:val="0"/>
                <w:iCs/>
                <w:szCs w:val="17"/>
                <w:lang w:eastAsia="en-US"/>
              </w:rPr>
              <w:t>2019</w:t>
            </w:r>
          </w:p>
        </w:tc>
        <w:tc>
          <w:tcPr>
            <w:tcW w:w="1671" w:type="dxa"/>
          </w:tcPr>
          <w:p w:rsidR="003805FF" w:rsidRPr="003805FF" w:rsidRDefault="0038311E" w:rsidP="003805FF">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 xml:space="preserve">May </w:t>
            </w:r>
            <w:r w:rsidR="002013EE">
              <w:rPr>
                <w:rFonts w:asciiTheme="minorHAnsi" w:eastAsia="Times New Roman" w:hAnsiTheme="minorHAnsi"/>
                <w:b w:val="0"/>
                <w:iCs/>
                <w:szCs w:val="17"/>
                <w:lang w:eastAsia="en-US"/>
              </w:rPr>
              <w:t>2019</w:t>
            </w:r>
          </w:p>
        </w:tc>
        <w:tc>
          <w:tcPr>
            <w:tcW w:w="2365" w:type="dxa"/>
          </w:tcPr>
          <w:p w:rsidR="003805FF" w:rsidRPr="003805FF" w:rsidRDefault="002013EE" w:rsidP="003805FF">
            <w:pPr>
              <w:keepLines/>
              <w:spacing w:before="40" w:after="40" w:line="200" w:lineRule="atLeast"/>
              <w:rPr>
                <w:rFonts w:eastAsia="Times New Roman"/>
                <w:b w:val="0"/>
                <w:iCs/>
                <w:szCs w:val="17"/>
              </w:rPr>
            </w:pPr>
            <w:r>
              <w:rPr>
                <w:rFonts w:asciiTheme="minorHAnsi" w:eastAsia="Times New Roman" w:hAnsiTheme="minorHAnsi"/>
                <w:b w:val="0"/>
                <w:bCs/>
                <w:iCs/>
                <w:szCs w:val="17"/>
                <w:lang w:eastAsia="en-US"/>
              </w:rPr>
              <w:t>2 October 2018</w:t>
            </w:r>
          </w:p>
        </w:tc>
      </w:tr>
      <w:tr w:rsidR="003805FF" w:rsidRPr="003B5EE5" w:rsidTr="00E01E95">
        <w:trPr>
          <w:cnfStyle w:val="100000000000" w:firstRow="1" w:lastRow="0" w:firstColumn="0" w:lastColumn="0" w:oddVBand="0" w:evenVBand="0" w:oddHBand="0" w:evenHBand="0" w:firstRowFirstColumn="0" w:firstRowLastColumn="0" w:lastRowFirstColumn="0" w:lastRowLastColumn="0"/>
        </w:trPr>
        <w:tc>
          <w:tcPr>
            <w:tcW w:w="3064" w:type="dxa"/>
          </w:tcPr>
          <w:p w:rsidR="003805FF" w:rsidRPr="003805FF" w:rsidRDefault="003805FF" w:rsidP="003805FF">
            <w:pPr>
              <w:keepLines/>
              <w:spacing w:before="40" w:after="40" w:line="200" w:lineRule="atLeast"/>
              <w:rPr>
                <w:rFonts w:eastAsia="Times New Roman"/>
                <w:b w:val="0"/>
                <w:iCs/>
                <w:szCs w:val="17"/>
              </w:rPr>
            </w:pPr>
            <w:r w:rsidRPr="00233EBC">
              <w:rPr>
                <w:rFonts w:asciiTheme="minorHAnsi" w:eastAsia="Times New Roman" w:hAnsiTheme="minorHAnsi"/>
                <w:b w:val="0"/>
                <w:bCs/>
                <w:iCs/>
                <w:szCs w:val="17"/>
                <w:lang w:eastAsia="en-US"/>
              </w:rPr>
              <w:t xml:space="preserve">PSM </w:t>
            </w:r>
            <w:r>
              <w:rPr>
                <w:rFonts w:asciiTheme="minorHAnsi" w:eastAsia="Times New Roman" w:hAnsiTheme="minorHAnsi"/>
                <w:b w:val="0"/>
                <w:bCs/>
                <w:iCs/>
                <w:szCs w:val="17"/>
                <w:lang w:eastAsia="en-US"/>
              </w:rPr>
              <w:t>investment review</w:t>
            </w:r>
          </w:p>
        </w:tc>
        <w:tc>
          <w:tcPr>
            <w:tcW w:w="3665" w:type="dxa"/>
          </w:tcPr>
          <w:p w:rsidR="003805FF" w:rsidRPr="003805FF" w:rsidRDefault="003805FF" w:rsidP="003805FF">
            <w:pPr>
              <w:keepLines/>
              <w:spacing w:before="40" w:after="40" w:line="200" w:lineRule="atLeast"/>
              <w:rPr>
                <w:rFonts w:eastAsia="Times New Roman"/>
                <w:b w:val="0"/>
                <w:iCs/>
                <w:szCs w:val="17"/>
              </w:rPr>
            </w:pPr>
            <w:r w:rsidRPr="0063156E">
              <w:rPr>
                <w:rFonts w:asciiTheme="minorHAnsi" w:eastAsia="Times New Roman" w:hAnsiTheme="minorHAnsi"/>
                <w:b w:val="0"/>
                <w:bCs/>
                <w:iCs/>
                <w:szCs w:val="17"/>
                <w:lang w:eastAsia="en-US"/>
              </w:rPr>
              <w:t>INI</w:t>
            </w:r>
            <w:r>
              <w:rPr>
                <w:rFonts w:asciiTheme="minorHAnsi" w:eastAsia="Times New Roman" w:hAnsiTheme="minorHAnsi"/>
                <w:b w:val="0"/>
                <w:bCs/>
                <w:iCs/>
                <w:szCs w:val="17"/>
                <w:lang w:eastAsia="en-US"/>
              </w:rPr>
              <w:t>943 Nauru Public Sector Reform</w:t>
            </w:r>
          </w:p>
        </w:tc>
        <w:tc>
          <w:tcPr>
            <w:tcW w:w="1397" w:type="dxa"/>
          </w:tcPr>
          <w:p w:rsidR="003805FF" w:rsidRPr="003805FF" w:rsidRDefault="003805FF" w:rsidP="003805FF">
            <w:pPr>
              <w:keepLines/>
              <w:spacing w:before="40" w:after="40" w:line="200" w:lineRule="atLeast"/>
              <w:rPr>
                <w:rFonts w:eastAsia="Times New Roman"/>
                <w:b w:val="0"/>
                <w:iCs/>
                <w:szCs w:val="17"/>
              </w:rPr>
            </w:pPr>
            <w:r w:rsidRPr="00C551C6">
              <w:rPr>
                <w:rFonts w:asciiTheme="minorHAnsi" w:eastAsia="Times New Roman" w:hAnsiTheme="minorHAnsi"/>
                <w:b w:val="0"/>
                <w:bCs/>
                <w:iCs/>
                <w:szCs w:val="17"/>
                <w:lang w:eastAsia="en-US"/>
              </w:rPr>
              <w:t>December 2018</w:t>
            </w:r>
          </w:p>
        </w:tc>
        <w:tc>
          <w:tcPr>
            <w:tcW w:w="1953" w:type="dxa"/>
          </w:tcPr>
          <w:p w:rsidR="003805FF" w:rsidRPr="003805FF" w:rsidRDefault="0038311E" w:rsidP="003805FF">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 xml:space="preserve">Sep </w:t>
            </w:r>
            <w:r w:rsidR="002013EE">
              <w:rPr>
                <w:rFonts w:asciiTheme="minorHAnsi" w:eastAsia="Times New Roman" w:hAnsiTheme="minorHAnsi"/>
                <w:b w:val="0"/>
                <w:iCs/>
                <w:szCs w:val="17"/>
                <w:lang w:eastAsia="en-US"/>
              </w:rPr>
              <w:t>2019</w:t>
            </w:r>
          </w:p>
        </w:tc>
        <w:tc>
          <w:tcPr>
            <w:tcW w:w="1671" w:type="dxa"/>
          </w:tcPr>
          <w:p w:rsidR="003805FF" w:rsidRPr="003805FF" w:rsidRDefault="0038311E" w:rsidP="003805FF">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 xml:space="preserve">Sep </w:t>
            </w:r>
            <w:r w:rsidR="002013EE">
              <w:rPr>
                <w:rFonts w:asciiTheme="minorHAnsi" w:eastAsia="Times New Roman" w:hAnsiTheme="minorHAnsi"/>
                <w:b w:val="0"/>
                <w:iCs/>
                <w:szCs w:val="17"/>
                <w:lang w:eastAsia="en-US"/>
              </w:rPr>
              <w:t>2019</w:t>
            </w:r>
          </w:p>
        </w:tc>
        <w:tc>
          <w:tcPr>
            <w:tcW w:w="2365" w:type="dxa"/>
          </w:tcPr>
          <w:p w:rsidR="003805FF" w:rsidRPr="003805FF" w:rsidRDefault="002013EE" w:rsidP="003805FF">
            <w:pPr>
              <w:keepLines/>
              <w:spacing w:before="40" w:after="40" w:line="200" w:lineRule="atLeast"/>
              <w:rPr>
                <w:rFonts w:eastAsia="Times New Roman"/>
                <w:b w:val="0"/>
                <w:iCs/>
                <w:szCs w:val="17"/>
              </w:rPr>
            </w:pPr>
            <w:r>
              <w:rPr>
                <w:rFonts w:asciiTheme="minorHAnsi" w:eastAsia="Times New Roman" w:hAnsiTheme="minorHAnsi"/>
                <w:b w:val="0"/>
                <w:bCs/>
                <w:iCs/>
                <w:szCs w:val="17"/>
                <w:lang w:eastAsia="en-US"/>
              </w:rPr>
              <w:t>29 October 2018</w:t>
            </w:r>
          </w:p>
        </w:tc>
      </w:tr>
    </w:tbl>
    <w:p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2 </w:t>
      </w:r>
      <w:r w:rsidR="00AF1B85" w:rsidRPr="00EF26B5">
        <w:rPr>
          <w:rFonts w:eastAsiaTheme="majorEastAsia" w:cstheme="minorHAnsi"/>
          <w:caps/>
          <w:sz w:val="36"/>
          <w:szCs w:val="36"/>
        </w:rPr>
        <w:t xml:space="preserve">List of program prioritised evaluations planned for the next 12 months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6"/>
        <w:gridCol w:w="2384"/>
        <w:gridCol w:w="2070"/>
        <w:gridCol w:w="2236"/>
        <w:gridCol w:w="2353"/>
        <w:gridCol w:w="2782"/>
      </w:tblGrid>
      <w:tr w:rsidR="00AF1B85" w:rsidRPr="00C61187" w:rsidTr="00E01E95">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2013EE" w:rsidRPr="00C61187" w:rsidTr="00E01E95">
        <w:tc>
          <w:tcPr>
            <w:tcW w:w="2444" w:type="dxa"/>
          </w:tcPr>
          <w:p w:rsidR="002013EE" w:rsidRPr="002013EE" w:rsidRDefault="006856CC" w:rsidP="002013EE">
            <w:pPr>
              <w:keepLines/>
              <w:spacing w:before="40" w:after="40" w:line="200" w:lineRule="atLeast"/>
              <w:rPr>
                <w:rFonts w:asciiTheme="minorHAnsi" w:eastAsia="Times New Roman" w:hAnsiTheme="minorHAnsi"/>
                <w:bCs/>
                <w:iCs/>
                <w:szCs w:val="17"/>
                <w:lang w:eastAsia="en-US"/>
              </w:rPr>
            </w:pPr>
            <w:r>
              <w:rPr>
                <w:rFonts w:asciiTheme="minorHAnsi" w:eastAsia="Times New Roman" w:hAnsiTheme="minorHAnsi"/>
                <w:bCs/>
                <w:iCs/>
                <w:szCs w:val="17"/>
                <w:lang w:eastAsia="en-US"/>
              </w:rPr>
              <w:t>N/A</w:t>
            </w:r>
          </w:p>
        </w:tc>
        <w:tc>
          <w:tcPr>
            <w:tcW w:w="2356" w:type="dxa"/>
          </w:tcPr>
          <w:p w:rsidR="002013EE" w:rsidRPr="002013EE" w:rsidRDefault="002013EE" w:rsidP="002013EE">
            <w:pPr>
              <w:keepLines/>
              <w:spacing w:before="40" w:after="40" w:line="200" w:lineRule="atLeast"/>
              <w:rPr>
                <w:rFonts w:asciiTheme="minorHAnsi" w:eastAsia="Times New Roman" w:hAnsiTheme="minorHAnsi"/>
                <w:bCs/>
                <w:iCs/>
                <w:szCs w:val="17"/>
                <w:lang w:eastAsia="en-US"/>
              </w:rPr>
            </w:pPr>
          </w:p>
        </w:tc>
        <w:tc>
          <w:tcPr>
            <w:tcW w:w="2042" w:type="dxa"/>
          </w:tcPr>
          <w:p w:rsidR="002013EE" w:rsidRPr="002013EE" w:rsidRDefault="002013EE" w:rsidP="002013EE">
            <w:pPr>
              <w:keepLines/>
              <w:spacing w:before="40" w:after="40" w:line="200" w:lineRule="atLeast"/>
              <w:rPr>
                <w:rFonts w:asciiTheme="minorHAnsi" w:eastAsia="Times New Roman" w:hAnsiTheme="minorHAnsi"/>
                <w:bCs/>
                <w:iCs/>
                <w:szCs w:val="17"/>
                <w:lang w:eastAsia="en-US"/>
              </w:rPr>
            </w:pPr>
          </w:p>
        </w:tc>
        <w:tc>
          <w:tcPr>
            <w:tcW w:w="2208" w:type="dxa"/>
          </w:tcPr>
          <w:p w:rsidR="002013EE" w:rsidRPr="002013EE" w:rsidRDefault="002013EE" w:rsidP="002013EE">
            <w:pPr>
              <w:keepLines/>
              <w:spacing w:before="40" w:after="40" w:line="200" w:lineRule="atLeast"/>
              <w:rPr>
                <w:rFonts w:asciiTheme="minorHAnsi" w:eastAsia="Times New Roman" w:hAnsiTheme="minorHAnsi"/>
                <w:bCs/>
                <w:iCs/>
                <w:szCs w:val="17"/>
                <w:lang w:eastAsia="en-US"/>
              </w:rPr>
            </w:pPr>
          </w:p>
        </w:tc>
        <w:tc>
          <w:tcPr>
            <w:tcW w:w="2325" w:type="dxa"/>
          </w:tcPr>
          <w:p w:rsidR="002013EE" w:rsidRPr="002013EE" w:rsidRDefault="002013EE" w:rsidP="002013EE">
            <w:pPr>
              <w:keepLines/>
              <w:spacing w:before="40" w:after="40" w:line="200" w:lineRule="atLeast"/>
              <w:rPr>
                <w:rFonts w:asciiTheme="minorHAnsi" w:eastAsia="Times New Roman" w:hAnsiTheme="minorHAnsi"/>
                <w:bCs/>
                <w:iCs/>
                <w:szCs w:val="17"/>
                <w:lang w:eastAsia="en-US"/>
              </w:rPr>
            </w:pPr>
          </w:p>
        </w:tc>
        <w:tc>
          <w:tcPr>
            <w:tcW w:w="2740" w:type="dxa"/>
          </w:tcPr>
          <w:p w:rsidR="002013EE" w:rsidRPr="002013EE" w:rsidRDefault="002013EE" w:rsidP="002013EE">
            <w:pPr>
              <w:keepLines/>
              <w:spacing w:before="40" w:after="40" w:line="200" w:lineRule="atLeast"/>
              <w:rPr>
                <w:rFonts w:asciiTheme="minorHAnsi" w:eastAsia="Times New Roman" w:hAnsiTheme="minorHAnsi"/>
                <w:bCs/>
                <w:iCs/>
                <w:szCs w:val="17"/>
                <w:lang w:eastAsia="en-US"/>
              </w:rPr>
            </w:pP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D2653F">
          <w:headerReference w:type="default" r:id="rId29"/>
          <w:headerReference w:type="first" r:id="rId30"/>
          <w:pgSz w:w="16838" w:h="11906" w:orient="landscape" w:code="9"/>
          <w:pgMar w:top="1134" w:right="1952" w:bottom="1134" w:left="851" w:header="1107" w:footer="567" w:gutter="0"/>
          <w:cols w:space="397"/>
          <w:docGrid w:linePitch="360"/>
        </w:sectPr>
      </w:pPr>
    </w:p>
    <w:p w:rsidR="0059146A" w:rsidRDefault="0059146A" w:rsidP="005B5769">
      <w:pPr>
        <w:pStyle w:val="ListBullet"/>
        <w:tabs>
          <w:tab w:val="clear" w:pos="284"/>
        </w:tabs>
      </w:pPr>
    </w:p>
    <w:p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rsidR="005E606B" w:rsidRPr="00EF26B5" w:rsidRDefault="00212FB7" w:rsidP="00A8197B">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 xml:space="preserve">1 </w:t>
      </w:r>
      <w:r w:rsidR="005E606B" w:rsidRPr="00EF26B5">
        <w:rPr>
          <w:rFonts w:asciiTheme="minorHAnsi" w:eastAsiaTheme="majorEastAsia" w:hAnsiTheme="minorHAnsi" w:cstheme="minorHAnsi"/>
          <w:caps/>
          <w:color w:val="495965" w:themeColor="text2"/>
          <w:sz w:val="36"/>
          <w:szCs w:val="36"/>
          <w:lang w:val="en-GB" w:eastAsia="en-US"/>
        </w:rPr>
        <w:t>AQC ratings</w:t>
      </w:r>
    </w:p>
    <w:tbl>
      <w:tblPr>
        <w:tblStyle w:val="APPR"/>
        <w:tblW w:w="487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893"/>
        <w:gridCol w:w="623"/>
        <w:gridCol w:w="618"/>
        <w:gridCol w:w="618"/>
        <w:gridCol w:w="618"/>
        <w:gridCol w:w="618"/>
        <w:gridCol w:w="618"/>
        <w:gridCol w:w="618"/>
        <w:gridCol w:w="1816"/>
      </w:tblGrid>
      <w:tr w:rsidR="000F52FD" w:rsidRPr="00C61187" w:rsidTr="00397A0B">
        <w:trPr>
          <w:cnfStyle w:val="000000010000" w:firstRow="0" w:lastRow="0" w:firstColumn="0" w:lastColumn="0" w:oddVBand="0" w:evenVBand="0" w:oddHBand="0" w:evenHBand="1" w:firstRowFirstColumn="0" w:firstRowLastColumn="0" w:lastRowFirstColumn="0" w:lastRowLastColumn="0"/>
          <w:trHeight w:val="1413"/>
        </w:trPr>
        <w:tc>
          <w:tcPr>
            <w:tcW w:w="1265" w:type="pct"/>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0E5D35DC" wp14:editId="28E7E368">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483"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7"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888" w:type="pct"/>
            <w:textDirection w:val="btLr"/>
            <w:vAlign w:val="center"/>
          </w:tcPr>
          <w:p w:rsidR="005E606B" w:rsidRPr="00812509" w:rsidRDefault="005E606B" w:rsidP="000F52F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397A0B"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val="restart"/>
            <w:vAlign w:val="center"/>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DE7320">
              <w:rPr>
                <w:rFonts w:ascii="Calibri Light" w:eastAsia="Times New Roman" w:hAnsi="Calibri Light" w:cs="Times New Roman"/>
                <w:iCs/>
                <w:color w:val="495965"/>
                <w:szCs w:val="17"/>
              </w:rPr>
              <w:t>Nauru Infrastructure and Services (INI949)</w:t>
            </w:r>
          </w:p>
        </w:tc>
        <w:tc>
          <w:tcPr>
            <w:tcW w:w="483" w:type="pct"/>
            <w:vMerge w:val="restart"/>
            <w:vAlign w:val="center"/>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7B4D5B">
              <w:rPr>
                <w:rFonts w:ascii="Calibri Light" w:eastAsia="Times New Roman" w:hAnsi="Calibri Light" w:cs="Times New Roman"/>
                <w:iCs/>
                <w:color w:val="495965"/>
                <w:szCs w:val="17"/>
              </w:rPr>
              <w:t>$6</w:t>
            </w:r>
            <w:r>
              <w:rPr>
                <w:rFonts w:ascii="Calibri Light" w:eastAsia="Times New Roman" w:hAnsi="Calibri Light" w:cs="Times New Roman"/>
                <w:iCs/>
                <w:color w:val="495965"/>
                <w:szCs w:val="17"/>
              </w:rPr>
              <w:t>6</w:t>
            </w:r>
            <w:r w:rsidRPr="007B4D5B">
              <w:rPr>
                <w:rFonts w:ascii="Calibri Light" w:eastAsia="Times New Roman" w:hAnsi="Calibri Light" w:cs="Times New Roman"/>
                <w:iCs/>
                <w:color w:val="495965"/>
                <w:szCs w:val="17"/>
              </w:rPr>
              <w:t>.</w:t>
            </w:r>
            <w:r>
              <w:rPr>
                <w:rFonts w:ascii="Calibri Light" w:eastAsia="Times New Roman" w:hAnsi="Calibri Light" w:cs="Times New Roman"/>
                <w:iCs/>
                <w:color w:val="495965"/>
                <w:szCs w:val="17"/>
              </w:rPr>
              <w:t>3</w:t>
            </w:r>
            <w:r w:rsidRPr="007B4D5B">
              <w:rPr>
                <w:rFonts w:ascii="Calibri Light" w:eastAsia="Times New Roman" w:hAnsi="Calibri Light" w:cs="Times New Roman"/>
                <w:iCs/>
                <w:color w:val="495965"/>
                <w:szCs w:val="17"/>
              </w:rPr>
              <w:t xml:space="preserve">m </w:t>
            </w:r>
          </w:p>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DE7320">
              <w:rPr>
                <w:rFonts w:ascii="Calibri Light" w:eastAsia="Times New Roman" w:hAnsi="Calibri Light" w:cs="Times New Roman"/>
                <w:iCs/>
                <w:color w:val="495965"/>
                <w:szCs w:val="17"/>
              </w:rPr>
              <w:t xml:space="preserve">2009-18 </w:t>
            </w:r>
          </w:p>
        </w:tc>
        <w:tc>
          <w:tcPr>
            <w:tcW w:w="317" w:type="pct"/>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N/A</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4</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4</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N/A</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N/A</w:t>
            </w:r>
          </w:p>
        </w:tc>
        <w:tc>
          <w:tcPr>
            <w:tcW w:w="314" w:type="pct"/>
            <w:shd w:val="clear" w:color="auto" w:fill="FFC0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3</w:t>
            </w:r>
          </w:p>
        </w:tc>
        <w:tc>
          <w:tcPr>
            <w:tcW w:w="888" w:type="pct"/>
            <w:shd w:val="clear" w:color="auto" w:fill="auto"/>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Yes</w:t>
            </w:r>
          </w:p>
        </w:tc>
      </w:tr>
      <w:tr w:rsidR="00397A0B"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p>
        </w:tc>
        <w:tc>
          <w:tcPr>
            <w:tcW w:w="483" w:type="pct"/>
            <w:vMerge/>
            <w:vAlign w:val="center"/>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p>
        </w:tc>
        <w:tc>
          <w:tcPr>
            <w:tcW w:w="317" w:type="pct"/>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4" w:type="pct"/>
            <w:shd w:val="clear" w:color="auto" w:fill="92D05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5</w:t>
            </w:r>
          </w:p>
        </w:tc>
        <w:tc>
          <w:tcPr>
            <w:tcW w:w="314" w:type="pct"/>
            <w:shd w:val="clear" w:color="auto" w:fill="92D05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5</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4</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4</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4</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4</w:t>
            </w:r>
          </w:p>
        </w:tc>
        <w:tc>
          <w:tcPr>
            <w:tcW w:w="888" w:type="pct"/>
            <w:shd w:val="clear" w:color="auto" w:fill="auto"/>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N/A</w:t>
            </w:r>
          </w:p>
        </w:tc>
      </w:tr>
      <w:tr w:rsidR="00397A0B"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val="restart"/>
            <w:vAlign w:val="center"/>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DE7320">
              <w:rPr>
                <w:rFonts w:ascii="Calibri Light" w:eastAsia="Times New Roman" w:hAnsi="Calibri Light" w:cs="Times New Roman"/>
                <w:iCs/>
                <w:color w:val="495965"/>
                <w:szCs w:val="17"/>
              </w:rPr>
              <w:t>Nauru Public Sector Reform (INI943)</w:t>
            </w:r>
          </w:p>
        </w:tc>
        <w:tc>
          <w:tcPr>
            <w:tcW w:w="483" w:type="pct"/>
            <w:vMerge w:val="restart"/>
            <w:vAlign w:val="center"/>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7B4D5B">
              <w:rPr>
                <w:rFonts w:ascii="Calibri Light" w:eastAsia="Times New Roman" w:hAnsi="Calibri Light" w:cs="Times New Roman"/>
                <w:iCs/>
                <w:color w:val="495965"/>
                <w:szCs w:val="17"/>
              </w:rPr>
              <w:t>$3</w:t>
            </w:r>
            <w:r>
              <w:rPr>
                <w:rFonts w:ascii="Calibri Light" w:eastAsia="Times New Roman" w:hAnsi="Calibri Light" w:cs="Times New Roman"/>
                <w:iCs/>
                <w:color w:val="495965"/>
                <w:szCs w:val="17"/>
              </w:rPr>
              <w:t>4</w:t>
            </w:r>
            <w:r w:rsidRPr="007B4D5B">
              <w:rPr>
                <w:rFonts w:ascii="Calibri Light" w:eastAsia="Times New Roman" w:hAnsi="Calibri Light" w:cs="Times New Roman"/>
                <w:iCs/>
                <w:color w:val="495965"/>
                <w:szCs w:val="17"/>
              </w:rPr>
              <w:t>.</w:t>
            </w:r>
            <w:r>
              <w:rPr>
                <w:rFonts w:ascii="Calibri Light" w:eastAsia="Times New Roman" w:hAnsi="Calibri Light" w:cs="Times New Roman"/>
                <w:iCs/>
                <w:color w:val="495965"/>
                <w:szCs w:val="17"/>
              </w:rPr>
              <w:t>1</w:t>
            </w:r>
            <w:r w:rsidRPr="007B4D5B">
              <w:rPr>
                <w:rFonts w:ascii="Calibri Light" w:eastAsia="Times New Roman" w:hAnsi="Calibri Light" w:cs="Times New Roman"/>
                <w:iCs/>
                <w:color w:val="495965"/>
                <w:szCs w:val="17"/>
              </w:rPr>
              <w:t xml:space="preserve">m </w:t>
            </w:r>
          </w:p>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DE7320">
              <w:rPr>
                <w:rFonts w:ascii="Calibri Light" w:eastAsia="Times New Roman" w:hAnsi="Calibri Light" w:cs="Times New Roman"/>
                <w:iCs/>
                <w:color w:val="495965"/>
                <w:szCs w:val="17"/>
              </w:rPr>
              <w:t xml:space="preserve">2009-18 </w:t>
            </w:r>
          </w:p>
        </w:tc>
        <w:tc>
          <w:tcPr>
            <w:tcW w:w="317" w:type="pct"/>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N/A</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4</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4</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N/A</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N/A</w:t>
            </w:r>
          </w:p>
        </w:tc>
        <w:tc>
          <w:tcPr>
            <w:tcW w:w="314" w:type="pct"/>
            <w:shd w:val="clear" w:color="auto" w:fill="FFC0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3</w:t>
            </w:r>
          </w:p>
        </w:tc>
        <w:tc>
          <w:tcPr>
            <w:tcW w:w="888" w:type="pct"/>
            <w:shd w:val="clear" w:color="auto" w:fill="auto"/>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Yes</w:t>
            </w:r>
          </w:p>
        </w:tc>
      </w:tr>
      <w:tr w:rsidR="000F52FD"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p>
        </w:tc>
        <w:tc>
          <w:tcPr>
            <w:tcW w:w="483" w:type="pct"/>
            <w:vMerge/>
            <w:vAlign w:val="center"/>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p>
        </w:tc>
        <w:tc>
          <w:tcPr>
            <w:tcW w:w="317" w:type="pct"/>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4" w:type="pct"/>
            <w:shd w:val="clear" w:color="000000" w:fill="92D05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sidRPr="00DE7320">
              <w:rPr>
                <w:rFonts w:ascii="Calibri Light" w:eastAsia="Times New Roman" w:hAnsi="Calibri Light" w:cs="Times New Roman"/>
                <w:iCs/>
                <w:color w:val="495965"/>
                <w:szCs w:val="17"/>
              </w:rPr>
              <w:t>5</w:t>
            </w:r>
          </w:p>
        </w:tc>
        <w:tc>
          <w:tcPr>
            <w:tcW w:w="314" w:type="pct"/>
            <w:shd w:val="clear" w:color="auto" w:fill="92D05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5</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4</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4</w:t>
            </w:r>
          </w:p>
        </w:tc>
        <w:tc>
          <w:tcPr>
            <w:tcW w:w="314" w:type="pct"/>
            <w:shd w:val="clear" w:color="auto" w:fill="92D05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5</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rPr>
              <w:t>4</w:t>
            </w:r>
          </w:p>
        </w:tc>
        <w:tc>
          <w:tcPr>
            <w:tcW w:w="888" w:type="pct"/>
            <w:shd w:val="clear" w:color="auto" w:fill="auto"/>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iCs/>
                <w:color w:val="495965"/>
                <w:szCs w:val="17"/>
              </w:rPr>
              <w:t>N/A</w:t>
            </w:r>
          </w:p>
        </w:tc>
      </w:tr>
      <w:tr w:rsidR="00397A0B"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val="restart"/>
            <w:vAlign w:val="center"/>
          </w:tcPr>
          <w:p w:rsidR="000F52FD" w:rsidRPr="00812509" w:rsidRDefault="000F52FD" w:rsidP="000F52FD">
            <w:pPr>
              <w:keepLines/>
              <w:spacing w:before="40" w:after="40" w:line="200" w:lineRule="atLeast"/>
              <w:rPr>
                <w:rFonts w:eastAsia="Times New Roman"/>
                <w:iCs/>
                <w:szCs w:val="17"/>
              </w:rPr>
            </w:pPr>
            <w:r w:rsidRPr="00DE7320">
              <w:rPr>
                <w:rFonts w:ascii="Calibri Light" w:eastAsia="Times New Roman" w:hAnsi="Calibri Light" w:cs="Times New Roman"/>
                <w:iCs/>
                <w:color w:val="495965"/>
                <w:szCs w:val="17"/>
              </w:rPr>
              <w:t>Nauru Improved Education (INI950)</w:t>
            </w:r>
          </w:p>
        </w:tc>
        <w:tc>
          <w:tcPr>
            <w:tcW w:w="483" w:type="pct"/>
            <w:vMerge w:val="restart"/>
            <w:vAlign w:val="center"/>
          </w:tcPr>
          <w:p w:rsidR="000F52FD" w:rsidRPr="00812509" w:rsidRDefault="000F52FD" w:rsidP="000F52FD">
            <w:pPr>
              <w:keepLines/>
              <w:spacing w:before="40" w:after="40" w:line="200" w:lineRule="atLeast"/>
              <w:rPr>
                <w:rFonts w:eastAsia="Times New Roman"/>
                <w:iCs/>
                <w:szCs w:val="17"/>
              </w:rPr>
            </w:pPr>
            <w:r w:rsidRPr="00DE7320">
              <w:rPr>
                <w:rFonts w:ascii="Calibri Light" w:eastAsia="Times New Roman" w:hAnsi="Calibri Light" w:cs="Times New Roman"/>
                <w:iCs/>
                <w:color w:val="495965"/>
                <w:szCs w:val="17"/>
              </w:rPr>
              <w:t>$</w:t>
            </w:r>
            <w:r>
              <w:rPr>
                <w:rFonts w:ascii="Calibri Light" w:eastAsia="Times New Roman" w:hAnsi="Calibri Light" w:cs="Times New Roman"/>
                <w:iCs/>
                <w:color w:val="495965"/>
                <w:szCs w:val="17"/>
              </w:rPr>
              <w:t>30</w:t>
            </w:r>
            <w:r w:rsidRPr="00DE7320">
              <w:rPr>
                <w:rFonts w:ascii="Calibri Light" w:eastAsia="Times New Roman" w:hAnsi="Calibri Light" w:cs="Times New Roman"/>
                <w:iCs/>
                <w:color w:val="495965"/>
                <w:szCs w:val="17"/>
              </w:rPr>
              <w:t>.</w:t>
            </w:r>
            <w:r>
              <w:rPr>
                <w:rFonts w:ascii="Calibri Light" w:eastAsia="Times New Roman" w:hAnsi="Calibri Light" w:cs="Times New Roman"/>
                <w:iCs/>
                <w:color w:val="495965"/>
                <w:szCs w:val="17"/>
              </w:rPr>
              <w:t>6</w:t>
            </w:r>
            <w:r w:rsidRPr="00DE7320">
              <w:rPr>
                <w:rFonts w:ascii="Calibri Light" w:eastAsia="Times New Roman" w:hAnsi="Calibri Light" w:cs="Times New Roman"/>
                <w:iCs/>
                <w:color w:val="495965"/>
                <w:szCs w:val="17"/>
              </w:rPr>
              <w:t>m</w:t>
            </w:r>
          </w:p>
          <w:p w:rsidR="000F52FD" w:rsidRPr="00812509" w:rsidRDefault="000F52FD" w:rsidP="000F52FD">
            <w:pPr>
              <w:keepLines/>
              <w:spacing w:before="40" w:after="40" w:line="200" w:lineRule="atLeast"/>
              <w:rPr>
                <w:rFonts w:eastAsia="Times New Roman"/>
                <w:iCs/>
                <w:szCs w:val="17"/>
              </w:rPr>
            </w:pPr>
            <w:r w:rsidRPr="00DE7320">
              <w:rPr>
                <w:rFonts w:ascii="Calibri Light" w:eastAsia="Times New Roman" w:hAnsi="Calibri Light" w:cs="Times New Roman"/>
                <w:iCs/>
                <w:color w:val="495965"/>
                <w:szCs w:val="17"/>
              </w:rPr>
              <w:t>2009-18</w:t>
            </w:r>
          </w:p>
        </w:tc>
        <w:tc>
          <w:tcPr>
            <w:tcW w:w="317" w:type="pct"/>
          </w:tcPr>
          <w:p w:rsidR="000F52FD" w:rsidRPr="00812509" w:rsidRDefault="000F52FD" w:rsidP="000F52FD">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color w:val="495965"/>
                <w:szCs w:val="17"/>
                <w:lang w:val="en-AU"/>
              </w:rPr>
              <w:t>N/A</w:t>
            </w:r>
          </w:p>
        </w:tc>
        <w:tc>
          <w:tcPr>
            <w:tcW w:w="314" w:type="pct"/>
            <w:shd w:val="clear" w:color="auto" w:fill="FFC000"/>
            <w:noWrap/>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color w:val="495965"/>
                <w:szCs w:val="17"/>
                <w:lang w:val="en-AU"/>
              </w:rPr>
              <w:t>3</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color w:val="495965"/>
                <w:szCs w:val="17"/>
                <w:lang w:val="en-AU"/>
              </w:rPr>
              <w:t>4</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eastAsia="Times New Roman"/>
                <w:iCs/>
                <w:szCs w:val="17"/>
              </w:rPr>
            </w:pPr>
            <w:r w:rsidRPr="00F41CB9">
              <w:rPr>
                <w:rFonts w:ascii="Calibri Light" w:eastAsia="Times New Roman" w:hAnsi="Calibri Light" w:cs="Times New Roman"/>
                <w:color w:val="495965"/>
                <w:szCs w:val="17"/>
                <w:lang w:val="en-AU"/>
              </w:rPr>
              <w:t>N/A</w:t>
            </w:r>
          </w:p>
        </w:tc>
        <w:tc>
          <w:tcPr>
            <w:tcW w:w="314" w:type="pct"/>
            <w:shd w:val="clear" w:color="auto" w:fill="auto"/>
            <w:noWrap/>
            <w:vAlign w:val="center"/>
          </w:tcPr>
          <w:p w:rsidR="000F52FD" w:rsidRPr="00812509" w:rsidRDefault="000F52FD" w:rsidP="000F52FD">
            <w:pPr>
              <w:keepLines/>
              <w:spacing w:before="40" w:after="40" w:line="200" w:lineRule="atLeast"/>
              <w:jc w:val="center"/>
              <w:rPr>
                <w:rFonts w:eastAsia="Times New Roman"/>
                <w:iCs/>
                <w:szCs w:val="17"/>
              </w:rPr>
            </w:pPr>
            <w:r w:rsidRPr="00F41CB9">
              <w:rPr>
                <w:rFonts w:ascii="Calibri Light" w:eastAsia="Times New Roman" w:hAnsi="Calibri Light" w:cs="Times New Roman"/>
                <w:color w:val="495965"/>
                <w:szCs w:val="17"/>
                <w:lang w:val="en-AU"/>
              </w:rPr>
              <w:t>N/A</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color w:val="495965"/>
                <w:szCs w:val="17"/>
                <w:lang w:val="en-AU"/>
              </w:rPr>
              <w:t>4</w:t>
            </w:r>
          </w:p>
        </w:tc>
        <w:tc>
          <w:tcPr>
            <w:tcW w:w="888" w:type="pct"/>
            <w:shd w:val="clear" w:color="auto" w:fill="auto"/>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iCs/>
                <w:color w:val="495965"/>
                <w:szCs w:val="17"/>
              </w:rPr>
              <w:t>Yes</w:t>
            </w:r>
          </w:p>
        </w:tc>
      </w:tr>
      <w:tr w:rsidR="000F52FD"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tcPr>
          <w:p w:rsidR="000F52FD" w:rsidRPr="00812509" w:rsidRDefault="000F52FD" w:rsidP="000F52FD">
            <w:pPr>
              <w:keepLines/>
              <w:spacing w:before="40" w:after="40" w:line="200" w:lineRule="atLeast"/>
              <w:rPr>
                <w:rFonts w:eastAsia="Times New Roman"/>
                <w:iCs/>
                <w:szCs w:val="17"/>
              </w:rPr>
            </w:pPr>
          </w:p>
        </w:tc>
        <w:tc>
          <w:tcPr>
            <w:tcW w:w="483" w:type="pct"/>
            <w:vMerge/>
            <w:vAlign w:val="center"/>
          </w:tcPr>
          <w:p w:rsidR="000F52FD" w:rsidRPr="00812509" w:rsidRDefault="000F52FD" w:rsidP="000F52FD">
            <w:pPr>
              <w:keepLines/>
              <w:spacing w:before="40" w:after="40" w:line="200" w:lineRule="atLeast"/>
              <w:rPr>
                <w:rFonts w:eastAsia="Times New Roman"/>
                <w:iCs/>
                <w:szCs w:val="17"/>
              </w:rPr>
            </w:pPr>
          </w:p>
        </w:tc>
        <w:tc>
          <w:tcPr>
            <w:tcW w:w="317" w:type="pct"/>
          </w:tcPr>
          <w:p w:rsidR="000F52FD" w:rsidRPr="00812509" w:rsidRDefault="000F52FD" w:rsidP="000F52FD">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4" w:type="pct"/>
            <w:shd w:val="clear" w:color="000000" w:fill="92D050"/>
            <w:noWrap/>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iCs/>
                <w:color w:val="495965"/>
                <w:szCs w:val="17"/>
              </w:rPr>
              <w:t>5</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eastAsia="Times New Roman"/>
                <w:iCs/>
                <w:szCs w:val="17"/>
              </w:rPr>
            </w:pPr>
            <w:r w:rsidRPr="00DE7320">
              <w:rPr>
                <w:rFonts w:ascii="Calibri Light" w:eastAsia="Times New Roman" w:hAnsi="Calibri Light" w:cs="Times New Roman"/>
                <w:iCs/>
                <w:color w:val="495965"/>
                <w:szCs w:val="17"/>
              </w:rPr>
              <w:t>4</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eastAsia="Times New Roman"/>
                <w:iCs/>
                <w:szCs w:val="17"/>
              </w:rPr>
            </w:pPr>
            <w:r w:rsidRPr="00DE7320">
              <w:rPr>
                <w:rFonts w:ascii="Calibri Light" w:eastAsia="Times New Roman" w:hAnsi="Calibri Light" w:cs="Times New Roman"/>
                <w:iCs/>
                <w:color w:val="495965"/>
                <w:szCs w:val="17"/>
              </w:rPr>
              <w:t>4</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color w:val="495965"/>
                <w:szCs w:val="17"/>
                <w:lang w:val="en-AU"/>
              </w:rPr>
              <w:t>4</w:t>
            </w:r>
          </w:p>
        </w:tc>
        <w:tc>
          <w:tcPr>
            <w:tcW w:w="314" w:type="pct"/>
            <w:shd w:val="clear" w:color="000000" w:fill="92D050"/>
            <w:noWrap/>
            <w:vAlign w:val="center"/>
          </w:tcPr>
          <w:p w:rsidR="000F52FD" w:rsidRPr="00812509" w:rsidRDefault="000F52FD" w:rsidP="000F52FD">
            <w:pPr>
              <w:keepLines/>
              <w:spacing w:before="40" w:after="40" w:line="200" w:lineRule="atLeast"/>
              <w:jc w:val="center"/>
              <w:rPr>
                <w:rFonts w:eastAsia="Times New Roman"/>
                <w:iCs/>
                <w:szCs w:val="17"/>
              </w:rPr>
            </w:pPr>
            <w:r w:rsidRPr="00DE7320">
              <w:rPr>
                <w:rFonts w:ascii="Calibri Light" w:eastAsia="Times New Roman" w:hAnsi="Calibri Light" w:cs="Times New Roman"/>
                <w:iCs/>
                <w:color w:val="495965"/>
                <w:szCs w:val="17"/>
              </w:rPr>
              <w:t>5</w:t>
            </w:r>
          </w:p>
        </w:tc>
        <w:tc>
          <w:tcPr>
            <w:tcW w:w="314" w:type="pct"/>
            <w:shd w:val="clear" w:color="auto" w:fill="FFFF00"/>
            <w:noWrap/>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color w:val="495965"/>
                <w:szCs w:val="17"/>
              </w:rPr>
              <w:t>4</w:t>
            </w:r>
          </w:p>
        </w:tc>
        <w:tc>
          <w:tcPr>
            <w:tcW w:w="888" w:type="pct"/>
            <w:shd w:val="clear" w:color="auto" w:fill="auto"/>
            <w:vAlign w:val="center"/>
          </w:tcPr>
          <w:p w:rsidR="000F52FD" w:rsidRPr="00812509" w:rsidRDefault="000F52FD" w:rsidP="000F52FD">
            <w:pPr>
              <w:keepLines/>
              <w:spacing w:before="40" w:after="40" w:line="200" w:lineRule="atLeast"/>
              <w:jc w:val="center"/>
              <w:rPr>
                <w:rFonts w:eastAsia="Times New Roman"/>
                <w:iCs/>
                <w:szCs w:val="17"/>
              </w:rPr>
            </w:pPr>
            <w:r>
              <w:rPr>
                <w:rFonts w:ascii="Calibri Light" w:eastAsia="Times New Roman" w:hAnsi="Calibri Light" w:cs="Times New Roman"/>
                <w:iCs/>
                <w:color w:val="495965"/>
                <w:szCs w:val="17"/>
              </w:rPr>
              <w:t>N/A</w:t>
            </w:r>
          </w:p>
        </w:tc>
      </w:tr>
      <w:tr w:rsidR="00397A0B"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val="restart"/>
            <w:vAlign w:val="center"/>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0F52FD">
              <w:rPr>
                <w:rFonts w:ascii="Calibri Light" w:eastAsia="Times New Roman" w:hAnsi="Calibri Light" w:cs="Times New Roman"/>
                <w:color w:val="495965"/>
                <w:szCs w:val="17"/>
                <w:lang w:val="en-AU"/>
              </w:rPr>
              <w:t>Nauru Improved Health (INI970)</w:t>
            </w:r>
          </w:p>
        </w:tc>
        <w:tc>
          <w:tcPr>
            <w:tcW w:w="483" w:type="pct"/>
            <w:vMerge w:val="restart"/>
            <w:vAlign w:val="center"/>
          </w:tcPr>
          <w:p w:rsidR="000F52FD" w:rsidRDefault="000F52FD" w:rsidP="000F52F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$22.4m</w:t>
            </w:r>
          </w:p>
          <w:p w:rsidR="000F52FD" w:rsidRPr="00812509" w:rsidRDefault="000F52FD" w:rsidP="000F52F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2009-18</w:t>
            </w:r>
          </w:p>
        </w:tc>
        <w:tc>
          <w:tcPr>
            <w:tcW w:w="317" w:type="pct"/>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2860" w:type="pct"/>
            <w:gridSpan w:val="7"/>
            <w:noWrap/>
            <w:vAlign w:val="center"/>
          </w:tcPr>
          <w:p w:rsidR="000F52FD" w:rsidRPr="00812509" w:rsidRDefault="000F52FD" w:rsidP="00397A0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Exempt</w:t>
            </w:r>
          </w:p>
        </w:tc>
      </w:tr>
      <w:tr w:rsidR="00397A0B" w:rsidRPr="00C61187" w:rsidTr="00397A0B">
        <w:trPr>
          <w:cnfStyle w:val="000000010000" w:firstRow="0" w:lastRow="0" w:firstColumn="0" w:lastColumn="0" w:oddVBand="0" w:evenVBand="0" w:oddHBand="0" w:evenHBand="1" w:firstRowFirstColumn="0" w:firstRowLastColumn="0" w:lastRowFirstColumn="0" w:lastRowLastColumn="0"/>
          <w:trHeight w:val="284"/>
        </w:trPr>
        <w:tc>
          <w:tcPr>
            <w:tcW w:w="1265" w:type="pct"/>
            <w:vMerge/>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p>
        </w:tc>
        <w:tc>
          <w:tcPr>
            <w:tcW w:w="483" w:type="pct"/>
            <w:vMerge/>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p>
        </w:tc>
        <w:tc>
          <w:tcPr>
            <w:tcW w:w="317" w:type="pct"/>
          </w:tcPr>
          <w:p w:rsidR="000F52FD" w:rsidRPr="00812509" w:rsidRDefault="000F52FD" w:rsidP="000F52F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F</w:t>
            </w:r>
            <w:r w:rsidRPr="00812509">
              <w:rPr>
                <w:rFonts w:asciiTheme="minorHAnsi" w:eastAsia="Times New Roman" w:hAnsiTheme="minorHAnsi"/>
                <w:iCs/>
                <w:szCs w:val="17"/>
                <w:lang w:eastAsia="en-US"/>
              </w:rPr>
              <w:t>AQC</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sidRPr="00DE7320">
              <w:rPr>
                <w:rFonts w:ascii="Calibri Light" w:eastAsia="Times New Roman" w:hAnsi="Calibri Light" w:cs="Times New Roman"/>
                <w:iCs/>
                <w:color w:val="495965"/>
                <w:szCs w:val="17"/>
              </w:rPr>
              <w:t>4</w:t>
            </w:r>
          </w:p>
        </w:tc>
        <w:tc>
          <w:tcPr>
            <w:tcW w:w="314" w:type="pct"/>
            <w:shd w:val="clear" w:color="auto" w:fill="FFC0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3</w:t>
            </w:r>
          </w:p>
        </w:tc>
        <w:tc>
          <w:tcPr>
            <w:tcW w:w="314" w:type="pct"/>
            <w:shd w:val="clear" w:color="auto" w:fill="FF00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14" w:type="pct"/>
            <w:shd w:val="clear" w:color="auto" w:fill="FFC0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3</w:t>
            </w:r>
          </w:p>
        </w:tc>
        <w:tc>
          <w:tcPr>
            <w:tcW w:w="314" w:type="pct"/>
            <w:shd w:val="clear" w:color="auto" w:fill="FFC0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Times New Roman"/>
                <w:color w:val="495965"/>
                <w:szCs w:val="17"/>
                <w:lang w:val="en-AU"/>
              </w:rPr>
              <w:t>3</w:t>
            </w:r>
          </w:p>
        </w:tc>
        <w:tc>
          <w:tcPr>
            <w:tcW w:w="314" w:type="pct"/>
            <w:shd w:val="clear" w:color="000000" w:fill="FFFF00"/>
            <w:noWrap/>
            <w:vAlign w:val="center"/>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r w:rsidRPr="00DE7320">
              <w:rPr>
                <w:rFonts w:ascii="Calibri Light" w:eastAsia="Times New Roman" w:hAnsi="Calibri Light" w:cs="Times New Roman"/>
                <w:iCs/>
                <w:color w:val="495965"/>
                <w:szCs w:val="17"/>
              </w:rPr>
              <w:t>4</w:t>
            </w:r>
          </w:p>
        </w:tc>
        <w:tc>
          <w:tcPr>
            <w:tcW w:w="888" w:type="pct"/>
          </w:tcPr>
          <w:p w:rsidR="000F52FD" w:rsidRPr="00812509" w:rsidRDefault="000F52FD" w:rsidP="000F52FD">
            <w:pPr>
              <w:keepLines/>
              <w:spacing w:before="40" w:after="40" w:line="200" w:lineRule="atLeast"/>
              <w:jc w:val="center"/>
              <w:rPr>
                <w:rFonts w:asciiTheme="minorHAnsi" w:eastAsia="Times New Roman" w:hAnsiTheme="minorHAnsi"/>
                <w:iCs/>
                <w:szCs w:val="17"/>
                <w:lang w:eastAsia="en-US"/>
              </w:rPr>
            </w:pP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A8197B" w:rsidRDefault="00A8197B" w:rsidP="00A8197B">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A92CF2" w:rsidRPr="00EF26B5" w:rsidRDefault="00A92CF2" w:rsidP="00A92CF2">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A92CF2" w:rsidTr="00254F79">
        <w:trPr>
          <w:trHeight w:val="1156"/>
        </w:trPr>
        <w:tc>
          <w:tcPr>
            <w:tcW w:w="1271" w:type="dxa"/>
            <w:shd w:val="clear" w:color="auto" w:fill="D7DEE2" w:themeFill="text2" w:themeFillTint="33"/>
          </w:tcPr>
          <w:p w:rsidR="00A92CF2" w:rsidRDefault="00A92CF2" w:rsidP="00254F79">
            <w:pPr>
              <w:spacing w:before="80" w:after="80"/>
            </w:pPr>
            <w:r w:rsidRPr="00F75380">
              <w:rPr>
                <w:noProof/>
                <w:lang w:val="en-AU" w:eastAsia="en-AU"/>
              </w:rPr>
              <w:drawing>
                <wp:inline distT="0" distB="0" distL="0" distR="0" wp14:anchorId="630BE63E" wp14:editId="5A8CD414">
                  <wp:extent cx="612000" cy="612000"/>
                  <wp:effectExtent l="0" t="0" r="0" b="0"/>
                  <wp:docPr id="11" name="Picture 1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67B0F142" wp14:editId="0A2463B2">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Reduce inequality within</w:t>
            </w:r>
            <w:r>
              <w:rPr>
                <w:sz w:val="16"/>
              </w:rPr>
              <w:t xml:space="preserve"> </w:t>
            </w:r>
            <w:r w:rsidRPr="00AB289B">
              <w:rPr>
                <w:sz w:val="16"/>
              </w:rPr>
              <w:t>and among countries</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31115AAA" wp14:editId="01CFEBAD">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2090FD01" wp14:editId="7546C8D5">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3793906F" wp14:editId="3318D24F">
                  <wp:extent cx="612000" cy="61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5A48EE53" wp14:editId="3AEBC6E3">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0239B90D" wp14:editId="7B7CDF3E">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008D3E39" wp14:editId="4598BC17">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0F749EB8" wp14:editId="07F9A80D">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0FB0BED6" wp14:editId="0A95CF7E">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3045CDA5" wp14:editId="00EF079D">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6D03CF40" wp14:editId="4632B373">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221B290E" wp14:editId="0702D59B">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12C954C8" wp14:editId="50C63C58">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6005E4F1" wp14:editId="5D2CDDBF">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1D43CD51" wp14:editId="4D28699A">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254F79">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A92CF2" w:rsidTr="00254F79">
        <w:tc>
          <w:tcPr>
            <w:tcW w:w="1271" w:type="dxa"/>
            <w:shd w:val="clear" w:color="auto" w:fill="D7DEE2" w:themeFill="text2" w:themeFillTint="33"/>
          </w:tcPr>
          <w:p w:rsidR="00A92CF2" w:rsidRDefault="00A92CF2" w:rsidP="00254F79">
            <w:pPr>
              <w:spacing w:before="80" w:after="80"/>
            </w:pPr>
            <w:r>
              <w:rPr>
                <w:noProof/>
                <w:lang w:val="en-AU" w:eastAsia="en-AU"/>
              </w:rPr>
              <w:drawing>
                <wp:inline distT="0" distB="0" distL="0" distR="0" wp14:anchorId="2268163C" wp14:editId="0E29B4BF">
                  <wp:extent cx="612000"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254F79">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A92CF2" w:rsidRDefault="00A92CF2" w:rsidP="00254F79"/>
        </w:tc>
        <w:tc>
          <w:tcPr>
            <w:tcW w:w="1276" w:type="dxa"/>
            <w:shd w:val="clear" w:color="auto" w:fill="D7DEE2" w:themeFill="text2" w:themeFillTint="33"/>
          </w:tcPr>
          <w:p w:rsidR="00A92CF2" w:rsidRPr="00AB289B" w:rsidRDefault="00A92CF2" w:rsidP="00254F79">
            <w:pPr>
              <w:spacing w:before="80" w:after="80"/>
              <w:rPr>
                <w:sz w:val="16"/>
              </w:rPr>
            </w:pPr>
          </w:p>
        </w:tc>
        <w:tc>
          <w:tcPr>
            <w:tcW w:w="3544" w:type="dxa"/>
            <w:shd w:val="clear" w:color="auto" w:fill="D7DEE2" w:themeFill="text2" w:themeFillTint="33"/>
          </w:tcPr>
          <w:p w:rsidR="00A92CF2" w:rsidRPr="00AB289B" w:rsidRDefault="00A92CF2" w:rsidP="00254F79">
            <w:pPr>
              <w:spacing w:before="80" w:after="80"/>
              <w:rPr>
                <w:sz w:val="16"/>
              </w:rPr>
            </w:pPr>
          </w:p>
        </w:tc>
      </w:tr>
    </w:tbl>
    <w:p w:rsidR="00A92CF2" w:rsidRPr="00EF26B5" w:rsidRDefault="00A92CF2" w:rsidP="00C73C66">
      <w:pPr>
        <w:spacing w:after="120"/>
        <w:rPr>
          <w:color w:val="FF0000"/>
        </w:rPr>
      </w:pPr>
    </w:p>
    <w:sectPr w:rsidR="00A92CF2" w:rsidRPr="00EF26B5" w:rsidSect="004839E3">
      <w:headerReference w:type="default" r:id="rId43"/>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7DA" w:rsidRDefault="001947DA" w:rsidP="00EF4574">
      <w:pPr>
        <w:spacing w:before="0" w:after="0" w:line="240" w:lineRule="auto"/>
      </w:pPr>
      <w:r>
        <w:separator/>
      </w:r>
    </w:p>
  </w:endnote>
  <w:endnote w:type="continuationSeparator" w:id="0">
    <w:p w:rsidR="001947DA" w:rsidRDefault="001947D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33" w:rsidRDefault="00C46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Default="008C46B7" w:rsidP="004839E3">
    <w:pPr>
      <w:pStyle w:val="Footer"/>
      <w:rPr>
        <w:lang w:val="en-AU"/>
      </w:rPr>
    </w:pPr>
  </w:p>
  <w:p w:rsidR="008C46B7" w:rsidRDefault="008C46B7" w:rsidP="004839E3">
    <w:pPr>
      <w:pStyle w:val="Footer"/>
    </w:pPr>
  </w:p>
  <w:p w:rsidR="008C46B7" w:rsidRPr="00CD0E4B" w:rsidRDefault="008C46B7" w:rsidP="004839E3">
    <w:pPr>
      <w:pStyle w:val="Footer"/>
    </w:pPr>
    <w:r w:rsidRPr="00CD0E4B">
      <w:rPr>
        <w:noProof/>
        <w:lang w:val="en-AU" w:eastAsia="en-AU"/>
      </w:rPr>
      <w:drawing>
        <wp:inline distT="0" distB="0" distL="0" distR="0" wp14:anchorId="16DD0BFE" wp14:editId="3921DD6D">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8C46B7" w:rsidRPr="00CD0E4B" w:rsidRDefault="008C46B7" w:rsidP="004839E3">
    <w:pPr>
      <w:pStyle w:val="Footer"/>
      <w:rPr>
        <w:color w:val="ACD08C" w:themeColor="accent3"/>
      </w:rPr>
    </w:pPr>
    <w:r w:rsidRPr="00CD0E4B">
      <w:rPr>
        <w:color w:val="ACD08C" w:themeColor="accent3"/>
      </w:rPr>
      <w:t>DFAT.GOV.AU</w:t>
    </w:r>
  </w:p>
  <w:p w:rsidR="008C46B7" w:rsidRPr="004839E3" w:rsidRDefault="008C46B7"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4839E3" w:rsidRDefault="008C46B7"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6E5B9188" wp14:editId="49EB0CC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8C46B7" w:rsidRDefault="008C46B7"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Default="008C46B7" w:rsidP="004839E3">
    <w:pPr>
      <w:pStyle w:val="Footer"/>
      <w:rPr>
        <w:lang w:val="en-AU"/>
      </w:rPr>
    </w:pPr>
  </w:p>
  <w:p w:rsidR="008C46B7" w:rsidRDefault="008C46B7" w:rsidP="004839E3">
    <w:pPr>
      <w:pStyle w:val="Footer"/>
    </w:pPr>
  </w:p>
  <w:p w:rsidR="008C46B7" w:rsidRPr="00CD0E4B" w:rsidRDefault="008C46B7" w:rsidP="004839E3">
    <w:pPr>
      <w:pStyle w:val="Footer"/>
    </w:pPr>
    <w:r w:rsidRPr="00CD0E4B">
      <w:rPr>
        <w:noProof/>
        <w:lang w:val="en-AU" w:eastAsia="en-AU"/>
      </w:rPr>
      <w:drawing>
        <wp:inline distT="0" distB="0" distL="0" distR="0" wp14:anchorId="64E149AB" wp14:editId="31D41F68">
          <wp:extent cx="90000" cy="74520"/>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8C46B7" w:rsidRPr="00CD0E4B" w:rsidRDefault="008C46B7" w:rsidP="004839E3">
    <w:pPr>
      <w:pStyle w:val="Footer"/>
      <w:rPr>
        <w:color w:val="ACD08C" w:themeColor="accent3"/>
      </w:rPr>
    </w:pPr>
    <w:r w:rsidRPr="00CD0E4B">
      <w:rPr>
        <w:color w:val="ACD08C" w:themeColor="accent3"/>
      </w:rPr>
      <w:t>DFAT.GOV.AU</w:t>
    </w:r>
  </w:p>
  <w:p w:rsidR="008C46B7" w:rsidRPr="004839E3" w:rsidRDefault="008C46B7"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7DA" w:rsidRPr="008C5A0E" w:rsidRDefault="001947DA" w:rsidP="001D663E">
      <w:pPr>
        <w:pStyle w:val="Footer"/>
        <w:pBdr>
          <w:top w:val="single" w:sz="4" w:space="1" w:color="495965" w:themeColor="text2"/>
        </w:pBdr>
      </w:pPr>
    </w:p>
  </w:footnote>
  <w:footnote w:type="continuationSeparator" w:id="0">
    <w:p w:rsidR="001947DA" w:rsidRDefault="001947DA" w:rsidP="00EF4574">
      <w:pPr>
        <w:spacing w:before="0" w:after="0" w:line="240" w:lineRule="auto"/>
      </w:pPr>
      <w:r>
        <w:continuationSeparator/>
      </w:r>
    </w:p>
  </w:footnote>
  <w:footnote w:id="1">
    <w:p w:rsidR="008C46B7" w:rsidRDefault="008C46B7" w:rsidP="00BD6B7F">
      <w:pPr>
        <w:pStyle w:val="FootnoteText"/>
        <w:rPr>
          <w:rFonts w:cs="Calibri"/>
        </w:rPr>
      </w:pPr>
      <w:r>
        <w:rPr>
          <w:rStyle w:val="FootnoteReference"/>
        </w:rPr>
        <w:footnoteRef/>
      </w:r>
      <w:r>
        <w:t xml:space="preserve"> Nauru Public Sector Management Review, 29 October 2018</w:t>
      </w:r>
    </w:p>
  </w:footnote>
  <w:footnote w:id="2">
    <w:p w:rsidR="008C46B7" w:rsidRDefault="008C46B7" w:rsidP="00BD6B7F">
      <w:pPr>
        <w:pStyle w:val="FootnoteText"/>
      </w:pPr>
      <w:r>
        <w:rPr>
          <w:rStyle w:val="FootnoteReference"/>
        </w:rPr>
        <w:footnoteRef/>
      </w:r>
      <w:r>
        <w:t xml:space="preserve"> PFTAC Quarterly Report November 2018</w:t>
      </w:r>
    </w:p>
  </w:footnote>
  <w:footnote w:id="3">
    <w:p w:rsidR="008C46B7" w:rsidRPr="00AE2E31" w:rsidRDefault="008C46B7" w:rsidP="00BD6B7F">
      <w:pPr>
        <w:pStyle w:val="FootnoteText"/>
        <w:rPr>
          <w:lang w:val="en-AU"/>
        </w:rPr>
      </w:pPr>
      <w:r>
        <w:rPr>
          <w:rStyle w:val="FootnoteReference"/>
        </w:rPr>
        <w:footnoteRef/>
      </w:r>
      <w:r>
        <w:t xml:space="preserve"> </w:t>
      </w:r>
      <w:r>
        <w:rPr>
          <w:lang w:val="en-AU"/>
        </w:rPr>
        <w:t xml:space="preserve">Intergenerational Trust Fund for the People of the Republic of Nauru, Annual Report 2019 (draft) </w:t>
      </w:r>
    </w:p>
  </w:footnote>
  <w:footnote w:id="4">
    <w:p w:rsidR="008C46B7" w:rsidRDefault="008C46B7" w:rsidP="00BD6B7F">
      <w:pPr>
        <w:pStyle w:val="FootnoteText"/>
      </w:pPr>
      <w:r>
        <w:rPr>
          <w:rStyle w:val="FootnoteReference"/>
        </w:rPr>
        <w:footnoteRef/>
      </w:r>
      <w:r>
        <w:t xml:space="preserve"> Nauru Public Sector Management Review, 29 October 2018</w:t>
      </w:r>
    </w:p>
  </w:footnote>
  <w:footnote w:id="5">
    <w:p w:rsidR="008C46B7" w:rsidRPr="00382391" w:rsidRDefault="008C46B7" w:rsidP="00BD6B7F">
      <w:pPr>
        <w:pStyle w:val="FootnoteText"/>
        <w:rPr>
          <w:lang w:val="en-AU"/>
        </w:rPr>
      </w:pPr>
      <w:r>
        <w:rPr>
          <w:rStyle w:val="FootnoteReference"/>
        </w:rPr>
        <w:footnoteRef/>
      </w:r>
      <w:r>
        <w:t xml:space="preserve"> Nauru Infrastructure Review Report, 24 September 2018</w:t>
      </w:r>
    </w:p>
  </w:footnote>
  <w:footnote w:id="6">
    <w:p w:rsidR="008C46B7" w:rsidRPr="004C3580" w:rsidRDefault="008C46B7" w:rsidP="00BD6B7F">
      <w:pPr>
        <w:pStyle w:val="FootnoteText"/>
        <w:rPr>
          <w:lang w:val="en-AU"/>
        </w:rPr>
      </w:pPr>
      <w:r>
        <w:rPr>
          <w:rStyle w:val="FootnoteReference"/>
        </w:rPr>
        <w:footnoteRef/>
      </w:r>
      <w:r>
        <w:t xml:space="preserve"> Ibid.</w:t>
      </w:r>
    </w:p>
  </w:footnote>
  <w:footnote w:id="7">
    <w:p w:rsidR="008C46B7" w:rsidRPr="004C3580" w:rsidRDefault="008C46B7" w:rsidP="00BD6B7F">
      <w:pPr>
        <w:pStyle w:val="FootnoteText"/>
        <w:rPr>
          <w:lang w:val="en-AU"/>
        </w:rPr>
      </w:pPr>
      <w:r>
        <w:rPr>
          <w:rStyle w:val="FootnoteReference"/>
        </w:rPr>
        <w:footnoteRef/>
      </w:r>
      <w:r>
        <w:t xml:space="preserve"> Ibid.</w:t>
      </w:r>
    </w:p>
  </w:footnote>
  <w:footnote w:id="8">
    <w:p w:rsidR="008C46B7" w:rsidRPr="00E473A0" w:rsidRDefault="008C46B7" w:rsidP="00BD6B7F">
      <w:pPr>
        <w:pStyle w:val="FootnoteText"/>
        <w:rPr>
          <w:lang w:val="en-AU"/>
        </w:rPr>
      </w:pPr>
      <w:r>
        <w:rPr>
          <w:rStyle w:val="FootnoteReference"/>
        </w:rPr>
        <w:footnoteRef/>
      </w:r>
      <w:r>
        <w:t xml:space="preserve"> NUC Annual Report 2018. </w:t>
      </w:r>
    </w:p>
  </w:footnote>
  <w:footnote w:id="9">
    <w:p w:rsidR="008C46B7" w:rsidRPr="00D37530" w:rsidRDefault="008C46B7" w:rsidP="00BD6B7F">
      <w:pPr>
        <w:pStyle w:val="FootnoteText"/>
        <w:rPr>
          <w:lang w:val="en-AU"/>
        </w:rPr>
      </w:pPr>
      <w:r>
        <w:rPr>
          <w:rStyle w:val="FootnoteReference"/>
        </w:rPr>
        <w:footnoteRef/>
      </w:r>
      <w:r>
        <w:t xml:space="preserve"> </w:t>
      </w:r>
      <w:r w:rsidRPr="00D37530">
        <w:t>Pacific Islands Literacy and Numeracy Assessment (PILNA)</w:t>
      </w:r>
      <w:r>
        <w:t>, October 2018</w:t>
      </w:r>
    </w:p>
  </w:footnote>
  <w:footnote w:id="10">
    <w:p w:rsidR="008C46B7" w:rsidRPr="00303EF1" w:rsidRDefault="008C46B7">
      <w:pPr>
        <w:pStyle w:val="FootnoteText"/>
        <w:rPr>
          <w:lang w:val="en-AU"/>
        </w:rPr>
      </w:pPr>
      <w:r>
        <w:rPr>
          <w:rStyle w:val="FootnoteReference"/>
        </w:rPr>
        <w:footnoteRef/>
      </w:r>
      <w:r>
        <w:t xml:space="preserve"> </w:t>
      </w:r>
      <w:r>
        <w:rPr>
          <w:lang w:val="en-AU"/>
        </w:rPr>
        <w:t xml:space="preserve">Note that due to the timing of the development of the Australian aid budget and actual expenditure, this figure is expected to increase to $5 million (19 per cent of ODA) in budget outcomes. </w:t>
      </w:r>
    </w:p>
  </w:footnote>
  <w:footnote w:id="11">
    <w:p w:rsidR="008C46B7" w:rsidRPr="00960E2F" w:rsidRDefault="008C46B7" w:rsidP="00BD6B7F">
      <w:pPr>
        <w:pStyle w:val="FootnoteText"/>
        <w:rPr>
          <w:lang w:val="en-AU"/>
        </w:rPr>
      </w:pPr>
      <w:r>
        <w:rPr>
          <w:rStyle w:val="FootnoteReference"/>
        </w:rPr>
        <w:footnoteRef/>
      </w:r>
      <w:r>
        <w:t xml:space="preserve"> Nauru Improved Education Partnership Investment Review 2018; Nauru EMIS data. </w:t>
      </w:r>
    </w:p>
  </w:footnote>
  <w:footnote w:id="12">
    <w:p w:rsidR="008C46B7" w:rsidRPr="0062074F" w:rsidRDefault="008C46B7" w:rsidP="004C30E5">
      <w:pPr>
        <w:pStyle w:val="FootnoteText"/>
        <w:rPr>
          <w:lang w:val="en-AU"/>
        </w:rPr>
      </w:pPr>
      <w:r>
        <w:rPr>
          <w:rStyle w:val="FootnoteReference"/>
        </w:rPr>
        <w:footnoteRef/>
      </w:r>
      <w:r>
        <w:t xml:space="preserve"> </w:t>
      </w:r>
      <w:r>
        <w:rPr>
          <w:lang w:val="en-AU"/>
        </w:rPr>
        <w:t>PILNA, October 2018</w:t>
      </w:r>
    </w:p>
  </w:footnote>
  <w:footnote w:id="13">
    <w:p w:rsidR="008C46B7" w:rsidRPr="00042F58" w:rsidRDefault="008C46B7">
      <w:pPr>
        <w:pStyle w:val="FootnoteText"/>
        <w:rPr>
          <w:lang w:val="en-AU"/>
        </w:rPr>
      </w:pPr>
      <w:r>
        <w:rPr>
          <w:rStyle w:val="FootnoteReference"/>
        </w:rPr>
        <w:footnoteRef/>
      </w:r>
      <w:r>
        <w:t xml:space="preserve"> </w:t>
      </w:r>
      <w:r>
        <w:rPr>
          <w:lang w:val="en-AU"/>
        </w:rPr>
        <w:t xml:space="preserve">2019-20 Performance Benchmarks are preliminary and may be revised during development of the new Aid Investment Plan in line with consolidated objectives. Note where 2018-19 benchmarks were not achieved or partly achieved, 2019-20 benchmarks may have minimal changes.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33" w:rsidRDefault="00C46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333501" w:rsidRDefault="008C46B7" w:rsidP="008F56A8">
    <w:pPr>
      <w:pStyle w:val="Header"/>
      <w:jc w:val="left"/>
    </w:pPr>
    <w:r>
      <w:rPr>
        <w:noProof/>
        <w:lang w:val="en-AU" w:eastAsia="en-AU"/>
      </w:rPr>
      <w:drawing>
        <wp:anchor distT="0" distB="0" distL="114300" distR="114300" simplePos="0" relativeHeight="251671552" behindDoc="1" locked="1" layoutInCell="1" allowOverlap="1" wp14:anchorId="34DC2FB8" wp14:editId="7E1F6E72">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3D352D" w:rsidRDefault="008C46B7" w:rsidP="003D352D">
    <w:pPr>
      <w:pStyle w:val="Header"/>
      <w:jc w:val="left"/>
    </w:pPr>
    <w:r>
      <w:rPr>
        <w:noProof/>
        <w:lang w:val="en-AU" w:eastAsia="en-AU"/>
      </w:rPr>
      <w:drawing>
        <wp:anchor distT="0" distB="0" distL="114300" distR="114300" simplePos="0" relativeHeight="251669504" behindDoc="1" locked="1" layoutInCell="1" allowOverlap="1" wp14:anchorId="63386361" wp14:editId="054976B4">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333501" w:rsidRDefault="008C46B7" w:rsidP="008F56A8">
    <w:pPr>
      <w:pStyle w:val="Header"/>
      <w:jc w:val="left"/>
    </w:pPr>
    <w:r>
      <w:rPr>
        <w:noProof/>
        <w:lang w:val="en-AU" w:eastAsia="en-AU"/>
      </w:rPr>
      <w:drawing>
        <wp:anchor distT="0" distB="0" distL="114300" distR="114300" simplePos="0" relativeHeight="251685888" behindDoc="1" locked="1" layoutInCell="1" allowOverlap="1" wp14:anchorId="59574B85" wp14:editId="04F923DB">
          <wp:simplePos x="0" y="0"/>
          <wp:positionH relativeFrom="margin">
            <wp:posOffset>-652145</wp:posOffset>
          </wp:positionH>
          <wp:positionV relativeFrom="page">
            <wp:posOffset>122555</wp:posOffset>
          </wp:positionV>
          <wp:extent cx="7409815" cy="10589895"/>
          <wp:effectExtent l="0" t="0" r="63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3D352D" w:rsidRDefault="008C46B7" w:rsidP="003D352D">
    <w:pPr>
      <w:pStyle w:val="Header"/>
      <w:jc w:val="left"/>
    </w:pPr>
    <w:r>
      <w:rPr>
        <w:noProof/>
        <w:lang w:val="en-AU" w:eastAsia="en-AU"/>
      </w:rPr>
      <w:drawing>
        <wp:anchor distT="0" distB="0" distL="114300" distR="114300" simplePos="0" relativeHeight="251673600" behindDoc="1" locked="1" layoutInCell="1" allowOverlap="1" wp14:anchorId="31C59D0B" wp14:editId="052674AF">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333501" w:rsidRDefault="008C46B7" w:rsidP="008F56A8">
    <w:pPr>
      <w:pStyle w:val="Header"/>
      <w:jc w:val="left"/>
    </w:pPr>
    <w:r>
      <w:rPr>
        <w:noProof/>
        <w:lang w:val="en-AU" w:eastAsia="en-AU"/>
      </w:rPr>
      <w:drawing>
        <wp:anchor distT="0" distB="0" distL="114300" distR="114300" simplePos="0" relativeHeight="251687936" behindDoc="1" locked="1" layoutInCell="1" allowOverlap="1" wp14:anchorId="2F570E34" wp14:editId="39C8B64F">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3D352D" w:rsidRDefault="008C46B7" w:rsidP="003D352D">
    <w:pPr>
      <w:pStyle w:val="Header"/>
      <w:jc w:val="left"/>
    </w:pPr>
    <w:r>
      <w:rPr>
        <w:noProof/>
        <w:lang w:val="en-AU" w:eastAsia="en-AU"/>
      </w:rPr>
      <w:drawing>
        <wp:anchor distT="0" distB="0" distL="114300" distR="114300" simplePos="0" relativeHeight="251675648" behindDoc="1" locked="1" layoutInCell="1" allowOverlap="1" wp14:anchorId="6406D13C" wp14:editId="7495D125">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6B7" w:rsidRPr="00333501" w:rsidRDefault="008C46B7" w:rsidP="008F56A8">
    <w:pPr>
      <w:pStyle w:val="Header"/>
      <w:jc w:val="left"/>
    </w:pPr>
    <w:r>
      <w:rPr>
        <w:noProof/>
        <w:lang w:val="en-AU" w:eastAsia="en-AU"/>
      </w:rPr>
      <w:drawing>
        <wp:anchor distT="0" distB="0" distL="114300" distR="114300" simplePos="0" relativeHeight="251683840" behindDoc="1" locked="1" layoutInCell="1" allowOverlap="1" wp14:anchorId="32857D4A" wp14:editId="46245BAB">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3B0D9C"/>
    <w:multiLevelType w:val="hybridMultilevel"/>
    <w:tmpl w:val="89C48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F09C2"/>
    <w:multiLevelType w:val="hybridMultilevel"/>
    <w:tmpl w:val="FF4005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43428892"/>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3"/>
  </w:num>
  <w:num w:numId="23">
    <w:abstractNumId w:val="13"/>
  </w:num>
  <w:num w:numId="24">
    <w:abstractNumId w:val="21"/>
  </w:num>
  <w:num w:numId="25">
    <w:abstractNumId w:val="21"/>
  </w:num>
  <w:num w:numId="26">
    <w:abstractNumId w:val="21"/>
  </w:num>
  <w:num w:numId="27">
    <w:abstractNumId w:val="20"/>
  </w:num>
  <w:num w:numId="28">
    <w:abstractNumId w:val="10"/>
  </w:num>
  <w:num w:numId="29">
    <w:abstractNumId w:val="10"/>
  </w:num>
  <w:num w:numId="30">
    <w:abstractNumId w:val="10"/>
  </w:num>
  <w:num w:numId="31">
    <w:abstractNumId w:val="14"/>
  </w:num>
  <w:num w:numId="32">
    <w:abstractNumId w:val="19"/>
  </w:num>
  <w:num w:numId="33">
    <w:abstractNumId w:val="24"/>
  </w:num>
  <w:num w:numId="34">
    <w:abstractNumId w:val="17"/>
  </w:num>
  <w:num w:numId="35">
    <w:abstractNumId w:val="12"/>
  </w:num>
  <w:num w:numId="36">
    <w:abstractNumId w:val="15"/>
  </w:num>
  <w:num w:numId="37">
    <w:abstractNumId w:val="1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154FE"/>
    <w:rsid w:val="0002080A"/>
    <w:rsid w:val="0002782F"/>
    <w:rsid w:val="00031512"/>
    <w:rsid w:val="00042F58"/>
    <w:rsid w:val="00054E4D"/>
    <w:rsid w:val="00057C66"/>
    <w:rsid w:val="00060073"/>
    <w:rsid w:val="00060268"/>
    <w:rsid w:val="00076806"/>
    <w:rsid w:val="00084483"/>
    <w:rsid w:val="000847AD"/>
    <w:rsid w:val="00085E5F"/>
    <w:rsid w:val="0009201C"/>
    <w:rsid w:val="000C5EFA"/>
    <w:rsid w:val="000D4490"/>
    <w:rsid w:val="000D66D6"/>
    <w:rsid w:val="000E1E2C"/>
    <w:rsid w:val="000E314A"/>
    <w:rsid w:val="000F52FD"/>
    <w:rsid w:val="00141AA1"/>
    <w:rsid w:val="001446E7"/>
    <w:rsid w:val="001541EA"/>
    <w:rsid w:val="00162DE2"/>
    <w:rsid w:val="00166DDA"/>
    <w:rsid w:val="001827E8"/>
    <w:rsid w:val="00184F1E"/>
    <w:rsid w:val="001947DA"/>
    <w:rsid w:val="001A49BB"/>
    <w:rsid w:val="001B3F62"/>
    <w:rsid w:val="001C1044"/>
    <w:rsid w:val="001C45FF"/>
    <w:rsid w:val="001D38B5"/>
    <w:rsid w:val="001D663E"/>
    <w:rsid w:val="001E1DC0"/>
    <w:rsid w:val="001F5C34"/>
    <w:rsid w:val="002013EE"/>
    <w:rsid w:val="00210385"/>
    <w:rsid w:val="00212FB7"/>
    <w:rsid w:val="00233473"/>
    <w:rsid w:val="00236A53"/>
    <w:rsid w:val="00240C52"/>
    <w:rsid w:val="00254F79"/>
    <w:rsid w:val="00272B5F"/>
    <w:rsid w:val="00275DB7"/>
    <w:rsid w:val="00284957"/>
    <w:rsid w:val="0028602A"/>
    <w:rsid w:val="00297307"/>
    <w:rsid w:val="002A405F"/>
    <w:rsid w:val="002A4A0E"/>
    <w:rsid w:val="002A51CA"/>
    <w:rsid w:val="002A62C8"/>
    <w:rsid w:val="002B3E95"/>
    <w:rsid w:val="002B5E10"/>
    <w:rsid w:val="002C1C24"/>
    <w:rsid w:val="002E56C3"/>
    <w:rsid w:val="002E79E3"/>
    <w:rsid w:val="003002C0"/>
    <w:rsid w:val="00301144"/>
    <w:rsid w:val="00303EF1"/>
    <w:rsid w:val="003148B7"/>
    <w:rsid w:val="003158C3"/>
    <w:rsid w:val="003239E5"/>
    <w:rsid w:val="00323E53"/>
    <w:rsid w:val="003274CD"/>
    <w:rsid w:val="00333501"/>
    <w:rsid w:val="00335CC7"/>
    <w:rsid w:val="003457C4"/>
    <w:rsid w:val="00347EC3"/>
    <w:rsid w:val="0035119D"/>
    <w:rsid w:val="00353365"/>
    <w:rsid w:val="00355299"/>
    <w:rsid w:val="00375EB5"/>
    <w:rsid w:val="00380104"/>
    <w:rsid w:val="003805FF"/>
    <w:rsid w:val="0038311E"/>
    <w:rsid w:val="00397A0B"/>
    <w:rsid w:val="003B4F12"/>
    <w:rsid w:val="003C14B0"/>
    <w:rsid w:val="003D352D"/>
    <w:rsid w:val="003E0450"/>
    <w:rsid w:val="003E305C"/>
    <w:rsid w:val="0040060D"/>
    <w:rsid w:val="00400B0F"/>
    <w:rsid w:val="00402ACC"/>
    <w:rsid w:val="004120EC"/>
    <w:rsid w:val="00416FD4"/>
    <w:rsid w:val="0042041F"/>
    <w:rsid w:val="00423F31"/>
    <w:rsid w:val="004311BD"/>
    <w:rsid w:val="00431899"/>
    <w:rsid w:val="00433A3D"/>
    <w:rsid w:val="00436526"/>
    <w:rsid w:val="004527D9"/>
    <w:rsid w:val="0046212A"/>
    <w:rsid w:val="00471908"/>
    <w:rsid w:val="00480422"/>
    <w:rsid w:val="00480CF2"/>
    <w:rsid w:val="00483108"/>
    <w:rsid w:val="004839E3"/>
    <w:rsid w:val="00486804"/>
    <w:rsid w:val="004977A1"/>
    <w:rsid w:val="004A2867"/>
    <w:rsid w:val="004B3775"/>
    <w:rsid w:val="004C30E5"/>
    <w:rsid w:val="004C3BF9"/>
    <w:rsid w:val="004D0BA0"/>
    <w:rsid w:val="004E0264"/>
    <w:rsid w:val="004E058F"/>
    <w:rsid w:val="004E3B87"/>
    <w:rsid w:val="004F6B1D"/>
    <w:rsid w:val="00510921"/>
    <w:rsid w:val="00510AD3"/>
    <w:rsid w:val="00513348"/>
    <w:rsid w:val="00533B5D"/>
    <w:rsid w:val="00543553"/>
    <w:rsid w:val="00550890"/>
    <w:rsid w:val="005511BF"/>
    <w:rsid w:val="005526D8"/>
    <w:rsid w:val="00580A64"/>
    <w:rsid w:val="0059146A"/>
    <w:rsid w:val="00593595"/>
    <w:rsid w:val="005A06C8"/>
    <w:rsid w:val="005A0F33"/>
    <w:rsid w:val="005B027B"/>
    <w:rsid w:val="005B1F70"/>
    <w:rsid w:val="005B5769"/>
    <w:rsid w:val="005B6CF8"/>
    <w:rsid w:val="005C4130"/>
    <w:rsid w:val="005C78DB"/>
    <w:rsid w:val="005D3655"/>
    <w:rsid w:val="005D5723"/>
    <w:rsid w:val="005E606B"/>
    <w:rsid w:val="005F5517"/>
    <w:rsid w:val="0061449D"/>
    <w:rsid w:val="00623BA1"/>
    <w:rsid w:val="0062799E"/>
    <w:rsid w:val="006346BC"/>
    <w:rsid w:val="006545B9"/>
    <w:rsid w:val="0066508D"/>
    <w:rsid w:val="0066652A"/>
    <w:rsid w:val="00680522"/>
    <w:rsid w:val="00680D03"/>
    <w:rsid w:val="00681F08"/>
    <w:rsid w:val="00682167"/>
    <w:rsid w:val="006856CC"/>
    <w:rsid w:val="00695730"/>
    <w:rsid w:val="006A20E0"/>
    <w:rsid w:val="006C42AF"/>
    <w:rsid w:val="006E1C9E"/>
    <w:rsid w:val="006F27B1"/>
    <w:rsid w:val="006F4992"/>
    <w:rsid w:val="006F5FD5"/>
    <w:rsid w:val="00711D8E"/>
    <w:rsid w:val="00712672"/>
    <w:rsid w:val="00725653"/>
    <w:rsid w:val="00731C79"/>
    <w:rsid w:val="00734E3F"/>
    <w:rsid w:val="007367F9"/>
    <w:rsid w:val="00736985"/>
    <w:rsid w:val="00736A8B"/>
    <w:rsid w:val="00741900"/>
    <w:rsid w:val="00745DF5"/>
    <w:rsid w:val="00757E82"/>
    <w:rsid w:val="007604A6"/>
    <w:rsid w:val="0076250F"/>
    <w:rsid w:val="00762D05"/>
    <w:rsid w:val="00771B53"/>
    <w:rsid w:val="00784031"/>
    <w:rsid w:val="0079783F"/>
    <w:rsid w:val="007A13AE"/>
    <w:rsid w:val="007A3F5B"/>
    <w:rsid w:val="007A6119"/>
    <w:rsid w:val="007A61AD"/>
    <w:rsid w:val="007B6200"/>
    <w:rsid w:val="007C4717"/>
    <w:rsid w:val="007E500C"/>
    <w:rsid w:val="007E6475"/>
    <w:rsid w:val="007F3395"/>
    <w:rsid w:val="007F65D8"/>
    <w:rsid w:val="00801B9F"/>
    <w:rsid w:val="00802E8A"/>
    <w:rsid w:val="008057FD"/>
    <w:rsid w:val="00812509"/>
    <w:rsid w:val="008433E9"/>
    <w:rsid w:val="008475F0"/>
    <w:rsid w:val="008606D8"/>
    <w:rsid w:val="00864210"/>
    <w:rsid w:val="00865EA0"/>
    <w:rsid w:val="00877607"/>
    <w:rsid w:val="00894844"/>
    <w:rsid w:val="00896367"/>
    <w:rsid w:val="008A5AFE"/>
    <w:rsid w:val="008A5F04"/>
    <w:rsid w:val="008B68D7"/>
    <w:rsid w:val="008C2F58"/>
    <w:rsid w:val="008C46B7"/>
    <w:rsid w:val="008C5364"/>
    <w:rsid w:val="008C5A0E"/>
    <w:rsid w:val="008C79BA"/>
    <w:rsid w:val="008D4779"/>
    <w:rsid w:val="008E12CC"/>
    <w:rsid w:val="008F56A8"/>
    <w:rsid w:val="00902B83"/>
    <w:rsid w:val="00913F5F"/>
    <w:rsid w:val="00916FB1"/>
    <w:rsid w:val="00930032"/>
    <w:rsid w:val="00931E0B"/>
    <w:rsid w:val="00936D02"/>
    <w:rsid w:val="009646DE"/>
    <w:rsid w:val="00973577"/>
    <w:rsid w:val="00974C1F"/>
    <w:rsid w:val="009903F3"/>
    <w:rsid w:val="00992C76"/>
    <w:rsid w:val="00993042"/>
    <w:rsid w:val="009B4D3B"/>
    <w:rsid w:val="009B6356"/>
    <w:rsid w:val="009D7407"/>
    <w:rsid w:val="009E0866"/>
    <w:rsid w:val="009E125B"/>
    <w:rsid w:val="009E708D"/>
    <w:rsid w:val="009F0969"/>
    <w:rsid w:val="009F5488"/>
    <w:rsid w:val="009F6423"/>
    <w:rsid w:val="00A10CE8"/>
    <w:rsid w:val="00A14C1F"/>
    <w:rsid w:val="00A16ABA"/>
    <w:rsid w:val="00A219D9"/>
    <w:rsid w:val="00A23801"/>
    <w:rsid w:val="00A24A62"/>
    <w:rsid w:val="00A31C9F"/>
    <w:rsid w:val="00A4144F"/>
    <w:rsid w:val="00A44EEF"/>
    <w:rsid w:val="00A56F14"/>
    <w:rsid w:val="00A56FC0"/>
    <w:rsid w:val="00A6124B"/>
    <w:rsid w:val="00A70265"/>
    <w:rsid w:val="00A80F95"/>
    <w:rsid w:val="00A8197B"/>
    <w:rsid w:val="00A84162"/>
    <w:rsid w:val="00A92CF2"/>
    <w:rsid w:val="00A938DA"/>
    <w:rsid w:val="00A94E8A"/>
    <w:rsid w:val="00AA7BE3"/>
    <w:rsid w:val="00AB5E7F"/>
    <w:rsid w:val="00AC164A"/>
    <w:rsid w:val="00AD15DC"/>
    <w:rsid w:val="00AD27EB"/>
    <w:rsid w:val="00AE2B01"/>
    <w:rsid w:val="00AE768C"/>
    <w:rsid w:val="00AF0F3F"/>
    <w:rsid w:val="00AF18C7"/>
    <w:rsid w:val="00AF1B85"/>
    <w:rsid w:val="00AF2050"/>
    <w:rsid w:val="00B03CA8"/>
    <w:rsid w:val="00B12980"/>
    <w:rsid w:val="00B17707"/>
    <w:rsid w:val="00B25939"/>
    <w:rsid w:val="00B32B6A"/>
    <w:rsid w:val="00B331DC"/>
    <w:rsid w:val="00B438D3"/>
    <w:rsid w:val="00B55E19"/>
    <w:rsid w:val="00B717A8"/>
    <w:rsid w:val="00B754C8"/>
    <w:rsid w:val="00B83522"/>
    <w:rsid w:val="00B8475C"/>
    <w:rsid w:val="00B907C7"/>
    <w:rsid w:val="00BA4B6D"/>
    <w:rsid w:val="00BB26C5"/>
    <w:rsid w:val="00BB648A"/>
    <w:rsid w:val="00BC055A"/>
    <w:rsid w:val="00BC1C72"/>
    <w:rsid w:val="00BC5C57"/>
    <w:rsid w:val="00BD29CD"/>
    <w:rsid w:val="00BD6B7F"/>
    <w:rsid w:val="00BE1BEB"/>
    <w:rsid w:val="00BE506E"/>
    <w:rsid w:val="00BF3260"/>
    <w:rsid w:val="00BF3E9D"/>
    <w:rsid w:val="00BF4DE6"/>
    <w:rsid w:val="00C27E2E"/>
    <w:rsid w:val="00C33BA3"/>
    <w:rsid w:val="00C36720"/>
    <w:rsid w:val="00C42CDE"/>
    <w:rsid w:val="00C46533"/>
    <w:rsid w:val="00C5182A"/>
    <w:rsid w:val="00C523F9"/>
    <w:rsid w:val="00C56C26"/>
    <w:rsid w:val="00C56C62"/>
    <w:rsid w:val="00C6297B"/>
    <w:rsid w:val="00C63EE9"/>
    <w:rsid w:val="00C6626C"/>
    <w:rsid w:val="00C7139B"/>
    <w:rsid w:val="00C73C66"/>
    <w:rsid w:val="00C94347"/>
    <w:rsid w:val="00CA18F3"/>
    <w:rsid w:val="00CA37B1"/>
    <w:rsid w:val="00CA7371"/>
    <w:rsid w:val="00CB1959"/>
    <w:rsid w:val="00CB6E12"/>
    <w:rsid w:val="00CC00C6"/>
    <w:rsid w:val="00CC4767"/>
    <w:rsid w:val="00CD0E4B"/>
    <w:rsid w:val="00CD1652"/>
    <w:rsid w:val="00CE0155"/>
    <w:rsid w:val="00CE2B3E"/>
    <w:rsid w:val="00CF670F"/>
    <w:rsid w:val="00CF6FF5"/>
    <w:rsid w:val="00D00802"/>
    <w:rsid w:val="00D00F27"/>
    <w:rsid w:val="00D0296C"/>
    <w:rsid w:val="00D061BB"/>
    <w:rsid w:val="00D07A79"/>
    <w:rsid w:val="00D146A2"/>
    <w:rsid w:val="00D15A00"/>
    <w:rsid w:val="00D2653F"/>
    <w:rsid w:val="00D50787"/>
    <w:rsid w:val="00D55F71"/>
    <w:rsid w:val="00D64598"/>
    <w:rsid w:val="00D64BD1"/>
    <w:rsid w:val="00D723A2"/>
    <w:rsid w:val="00D72760"/>
    <w:rsid w:val="00DC25B1"/>
    <w:rsid w:val="00DC4348"/>
    <w:rsid w:val="00DD1986"/>
    <w:rsid w:val="00DD3362"/>
    <w:rsid w:val="00DD3FAF"/>
    <w:rsid w:val="00DE084C"/>
    <w:rsid w:val="00DF007E"/>
    <w:rsid w:val="00DF178A"/>
    <w:rsid w:val="00DF55AA"/>
    <w:rsid w:val="00E01C62"/>
    <w:rsid w:val="00E01E95"/>
    <w:rsid w:val="00E04C32"/>
    <w:rsid w:val="00E3522B"/>
    <w:rsid w:val="00E357B7"/>
    <w:rsid w:val="00E5163B"/>
    <w:rsid w:val="00E53800"/>
    <w:rsid w:val="00E6081F"/>
    <w:rsid w:val="00E65105"/>
    <w:rsid w:val="00E80CA6"/>
    <w:rsid w:val="00E9577E"/>
    <w:rsid w:val="00E976C7"/>
    <w:rsid w:val="00EA04B2"/>
    <w:rsid w:val="00EA20F3"/>
    <w:rsid w:val="00EA30A9"/>
    <w:rsid w:val="00EA6E81"/>
    <w:rsid w:val="00EC4214"/>
    <w:rsid w:val="00ED1CD6"/>
    <w:rsid w:val="00ED2831"/>
    <w:rsid w:val="00ED43D1"/>
    <w:rsid w:val="00EE3C65"/>
    <w:rsid w:val="00EE4EE1"/>
    <w:rsid w:val="00EF26B5"/>
    <w:rsid w:val="00EF4574"/>
    <w:rsid w:val="00EF4AD9"/>
    <w:rsid w:val="00F06182"/>
    <w:rsid w:val="00F06893"/>
    <w:rsid w:val="00F2684E"/>
    <w:rsid w:val="00F27D08"/>
    <w:rsid w:val="00F30714"/>
    <w:rsid w:val="00F4140A"/>
    <w:rsid w:val="00F50C74"/>
    <w:rsid w:val="00F51130"/>
    <w:rsid w:val="00F51CE8"/>
    <w:rsid w:val="00F5404C"/>
    <w:rsid w:val="00F64C90"/>
    <w:rsid w:val="00F729EF"/>
    <w:rsid w:val="00F731B2"/>
    <w:rsid w:val="00F74EB5"/>
    <w:rsid w:val="00F7583B"/>
    <w:rsid w:val="00F77CAE"/>
    <w:rsid w:val="00F813BC"/>
    <w:rsid w:val="00F8189A"/>
    <w:rsid w:val="00F81B6E"/>
    <w:rsid w:val="00F82271"/>
    <w:rsid w:val="00F83428"/>
    <w:rsid w:val="00F84330"/>
    <w:rsid w:val="00F96BB9"/>
    <w:rsid w:val="00FB4F75"/>
    <w:rsid w:val="00FD64C4"/>
    <w:rsid w:val="00FE17D4"/>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B7F"/>
    <w:rPr>
      <w:sz w:val="16"/>
      <w:szCs w:val="16"/>
    </w:rPr>
  </w:style>
  <w:style w:type="paragraph" w:styleId="CommentText">
    <w:name w:val="annotation text"/>
    <w:basedOn w:val="Normal"/>
    <w:link w:val="CommentTextChar"/>
    <w:uiPriority w:val="99"/>
    <w:unhideWhenUsed/>
    <w:rsid w:val="00BD6B7F"/>
    <w:pPr>
      <w:suppressAutoHyphens w:val="0"/>
      <w:spacing w:before="0" w:after="160" w:line="240" w:lineRule="auto"/>
    </w:pPr>
    <w:rPr>
      <w:color w:val="auto"/>
      <w:sz w:val="20"/>
      <w:szCs w:val="20"/>
      <w:lang w:val="en-AU"/>
    </w:rPr>
  </w:style>
  <w:style w:type="character" w:customStyle="1" w:styleId="CommentTextChar">
    <w:name w:val="Comment Text Char"/>
    <w:basedOn w:val="DefaultParagraphFont"/>
    <w:link w:val="CommentText"/>
    <w:uiPriority w:val="99"/>
    <w:rsid w:val="00BD6B7F"/>
    <w:rPr>
      <w:sz w:val="20"/>
      <w:szCs w:val="20"/>
    </w:rPr>
  </w:style>
  <w:style w:type="paragraph" w:styleId="CommentSubject">
    <w:name w:val="annotation subject"/>
    <w:basedOn w:val="CommentText"/>
    <w:next w:val="CommentText"/>
    <w:link w:val="CommentSubjectChar"/>
    <w:uiPriority w:val="99"/>
    <w:semiHidden/>
    <w:unhideWhenUsed/>
    <w:rsid w:val="00F51CE8"/>
    <w:pPr>
      <w:suppressAutoHyphens/>
      <w:spacing w:before="120" w:after="60"/>
    </w:pPr>
    <w:rPr>
      <w:b/>
      <w:bCs/>
      <w:color w:val="495965" w:themeColor="text2"/>
      <w:lang w:val="en-GB"/>
    </w:rPr>
  </w:style>
  <w:style w:type="character" w:customStyle="1" w:styleId="CommentSubjectChar">
    <w:name w:val="Comment Subject Char"/>
    <w:basedOn w:val="CommentTextChar"/>
    <w:link w:val="CommentSubject"/>
    <w:uiPriority w:val="99"/>
    <w:semiHidden/>
    <w:rsid w:val="00F51CE8"/>
    <w:rPr>
      <w:b/>
      <w:bCs/>
      <w:color w:val="495965" w:themeColor="text2"/>
      <w:sz w:val="20"/>
      <w:szCs w:val="20"/>
      <w:lang w:val="en-GB"/>
    </w:rPr>
  </w:style>
  <w:style w:type="paragraph" w:styleId="Revision">
    <w:name w:val="Revision"/>
    <w:hidden/>
    <w:uiPriority w:val="99"/>
    <w:semiHidden/>
    <w:rsid w:val="00974C1F"/>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352">
      <w:bodyDiv w:val="1"/>
      <w:marLeft w:val="0"/>
      <w:marRight w:val="0"/>
      <w:marTop w:val="0"/>
      <w:marBottom w:val="0"/>
      <w:divBdr>
        <w:top w:val="none" w:sz="0" w:space="0" w:color="auto"/>
        <w:left w:val="none" w:sz="0" w:space="0" w:color="auto"/>
        <w:bottom w:val="none" w:sz="0" w:space="0" w:color="auto"/>
        <w:right w:val="none" w:sz="0" w:space="0" w:color="auto"/>
      </w:divBdr>
    </w:div>
    <w:div w:id="227109339">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960646707">
      <w:bodyDiv w:val="1"/>
      <w:marLeft w:val="0"/>
      <w:marRight w:val="0"/>
      <w:marTop w:val="0"/>
      <w:marBottom w:val="0"/>
      <w:divBdr>
        <w:top w:val="none" w:sz="0" w:space="0" w:color="auto"/>
        <w:left w:val="none" w:sz="0" w:space="0" w:color="auto"/>
        <w:bottom w:val="none" w:sz="0" w:space="0" w:color="auto"/>
        <w:right w:val="none" w:sz="0" w:space="0" w:color="auto"/>
      </w:divBdr>
    </w:div>
    <w:div w:id="1120343345">
      <w:bodyDiv w:val="1"/>
      <w:marLeft w:val="0"/>
      <w:marRight w:val="0"/>
      <w:marTop w:val="0"/>
      <w:marBottom w:val="0"/>
      <w:divBdr>
        <w:top w:val="none" w:sz="0" w:space="0" w:color="auto"/>
        <w:left w:val="none" w:sz="0" w:space="0" w:color="auto"/>
        <w:bottom w:val="none" w:sz="0" w:space="0" w:color="auto"/>
        <w:right w:val="none" w:sz="0" w:space="0" w:color="auto"/>
      </w:divBdr>
    </w:div>
    <w:div w:id="1272392081">
      <w:bodyDiv w:val="1"/>
      <w:marLeft w:val="0"/>
      <w:marRight w:val="0"/>
      <w:marTop w:val="0"/>
      <w:marBottom w:val="0"/>
      <w:divBdr>
        <w:top w:val="none" w:sz="0" w:space="0" w:color="auto"/>
        <w:left w:val="none" w:sz="0" w:space="0" w:color="auto"/>
        <w:bottom w:val="none" w:sz="0" w:space="0" w:color="auto"/>
        <w:right w:val="none" w:sz="0" w:space="0" w:color="auto"/>
      </w:divBdr>
    </w:div>
    <w:div w:id="1327051469">
      <w:bodyDiv w:val="1"/>
      <w:marLeft w:val="0"/>
      <w:marRight w:val="0"/>
      <w:marTop w:val="0"/>
      <w:marBottom w:val="0"/>
      <w:divBdr>
        <w:top w:val="none" w:sz="0" w:space="0" w:color="auto"/>
        <w:left w:val="none" w:sz="0" w:space="0" w:color="auto"/>
        <w:bottom w:val="none" w:sz="0" w:space="0" w:color="auto"/>
        <w:right w:val="none" w:sz="0" w:space="0" w:color="auto"/>
      </w:divBdr>
    </w:div>
    <w:div w:id="1450930909">
      <w:bodyDiv w:val="1"/>
      <w:marLeft w:val="0"/>
      <w:marRight w:val="0"/>
      <w:marTop w:val="0"/>
      <w:marBottom w:val="0"/>
      <w:divBdr>
        <w:top w:val="none" w:sz="0" w:space="0" w:color="auto"/>
        <w:left w:val="none" w:sz="0" w:space="0" w:color="auto"/>
        <w:bottom w:val="none" w:sz="0" w:space="0" w:color="auto"/>
        <w:right w:val="none" w:sz="0" w:space="0" w:color="auto"/>
      </w:divBdr>
    </w:div>
    <w:div w:id="1657997867">
      <w:bodyDiv w:val="1"/>
      <w:marLeft w:val="0"/>
      <w:marRight w:val="0"/>
      <w:marTop w:val="0"/>
      <w:marBottom w:val="0"/>
      <w:divBdr>
        <w:top w:val="none" w:sz="0" w:space="0" w:color="auto"/>
        <w:left w:val="none" w:sz="0" w:space="0" w:color="auto"/>
        <w:bottom w:val="none" w:sz="0" w:space="0" w:color="auto"/>
        <w:right w:val="none" w:sz="0" w:space="0" w:color="auto"/>
      </w:divBdr>
    </w:div>
    <w:div w:id="20996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4.xml"/><Relationship Id="rId39" Type="http://schemas.openxmlformats.org/officeDocument/2006/relationships/image" Target="media/image23.png"/><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image" Target="media/image26.png"/><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5.xml"/><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image" Target="media/image19.jpeg"/><Relationship Id="rId43" Type="http://schemas.openxmlformats.org/officeDocument/2006/relationships/header" Target="header8.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17.png"/><Relationship Id="rId38" Type="http://schemas.openxmlformats.org/officeDocument/2006/relationships/image" Target="media/image22.jpeg"/><Relationship Id="rId46" Type="http://schemas.openxmlformats.org/officeDocument/2006/relationships/customXml" Target="../customXml/item2.xml"/><Relationship Id="rId20" Type="http://schemas.openxmlformats.org/officeDocument/2006/relationships/image" Target="media/image9.png"/><Relationship Id="rId41" Type="http://schemas.openxmlformats.org/officeDocument/2006/relationships/image" Target="media/image2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EBFFA9-6760-4F16-8022-909AA65E4095}"/>
</file>

<file path=customXml/itemProps2.xml><?xml version="1.0" encoding="utf-8"?>
<ds:datastoreItem xmlns:ds="http://schemas.openxmlformats.org/officeDocument/2006/customXml" ds:itemID="{F572140D-D1D2-4EE0-8B44-849AEE12CD41}"/>
</file>

<file path=customXml/itemProps3.xml><?xml version="1.0" encoding="utf-8"?>
<ds:datastoreItem xmlns:ds="http://schemas.openxmlformats.org/officeDocument/2006/customXml" ds:itemID="{30C22139-B11B-4A45-80AF-384A1C04FE2C}"/>
</file>

<file path=customXml/itemProps4.xml><?xml version="1.0" encoding="utf-8"?>
<ds:datastoreItem xmlns:ds="http://schemas.openxmlformats.org/officeDocument/2006/customXml" ds:itemID="{443BF4DF-D363-4A6B-B31A-3D0D0A8815A4}"/>
</file>

<file path=docProps/app.xml><?xml version="1.0" encoding="utf-8"?>
<Properties xmlns="http://schemas.openxmlformats.org/officeDocument/2006/extended-properties" xmlns:vt="http://schemas.openxmlformats.org/officeDocument/2006/docPropsVTypes">
  <Template>Normal.dotm</Template>
  <TotalTime>0</TotalTime>
  <Pages>15</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2019-09-20T00:21:00Z</dcterms:created>
  <dcterms:modified xsi:type="dcterms:W3CDTF">2019-09-20T00:22:00Z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11a8bf8f-ec57-42a8-b1fb-47d556b2b4c6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1263200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