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01" w:rsidRPr="00F05829" w:rsidRDefault="00C44501" w:rsidP="00C44501">
      <w:pPr>
        <w:pStyle w:val="Header1"/>
        <w:jc w:val="both"/>
        <w:rPr>
          <w:rFonts w:ascii="Arial Bold" w:hAnsi="Arial Bold"/>
          <w:color w:val="auto"/>
          <w:sz w:val="28"/>
        </w:rPr>
      </w:pPr>
    </w:p>
    <w:p w:rsidR="00C44501" w:rsidRPr="00F05829" w:rsidRDefault="00C44501" w:rsidP="00C44501">
      <w:pPr>
        <w:pStyle w:val="Header1"/>
        <w:jc w:val="center"/>
        <w:rPr>
          <w:rFonts w:ascii="Arial Bold" w:hAnsi="Arial Bold"/>
          <w:color w:val="auto"/>
        </w:rPr>
      </w:pPr>
      <w:r w:rsidRPr="00F05829">
        <w:rPr>
          <w:rFonts w:ascii="Arial Bold" w:hAnsi="Arial Bold"/>
          <w:color w:val="auto"/>
          <w:sz w:val="28"/>
        </w:rPr>
        <w:t>SCHEDULE TO THE NAURU - AUSTRALIA PARTNERSHIP FOR DEVELOPMENT</w:t>
      </w:r>
    </w:p>
    <w:p w:rsidR="00C44501" w:rsidRPr="00F05829" w:rsidRDefault="00C44501" w:rsidP="00C44501">
      <w:pPr>
        <w:pStyle w:val="Header1"/>
        <w:jc w:val="center"/>
        <w:rPr>
          <w:rFonts w:ascii="Arial Bold" w:hAnsi="Arial Bold"/>
          <w:color w:val="auto"/>
        </w:rPr>
      </w:pPr>
    </w:p>
    <w:p w:rsidR="00C44501" w:rsidRPr="00F05829" w:rsidRDefault="00C44501" w:rsidP="00C44501">
      <w:pPr>
        <w:pStyle w:val="Header1"/>
        <w:jc w:val="center"/>
        <w:rPr>
          <w:rFonts w:ascii="Arial Bold" w:hAnsi="Arial Bold"/>
          <w:color w:val="auto"/>
        </w:rPr>
      </w:pPr>
    </w:p>
    <w:p w:rsidR="00C44501" w:rsidRPr="00F05829" w:rsidRDefault="00C44501" w:rsidP="00C44501">
      <w:pPr>
        <w:pStyle w:val="Header1"/>
        <w:jc w:val="center"/>
        <w:rPr>
          <w:rFonts w:ascii="Arial" w:hAnsi="Arial"/>
          <w:color w:val="auto"/>
        </w:rPr>
      </w:pPr>
    </w:p>
    <w:p w:rsidR="00C44501" w:rsidRPr="00F05829" w:rsidRDefault="00C44501" w:rsidP="00C44501">
      <w:pPr>
        <w:jc w:val="center"/>
        <w:rPr>
          <w:rFonts w:ascii="Arial Bold" w:hAnsi="Arial Bold"/>
          <w:color w:val="auto"/>
        </w:rPr>
      </w:pPr>
      <w:r w:rsidRPr="00F05829">
        <w:rPr>
          <w:rFonts w:ascii="Arial Bold" w:hAnsi="Arial Bold"/>
          <w:color w:val="auto"/>
        </w:rPr>
        <w:t>Partnership Priority Outcome 2: Improved Education</w:t>
      </w:r>
    </w:p>
    <w:p w:rsidR="00C44501" w:rsidRPr="00F05829" w:rsidRDefault="00C44501" w:rsidP="00C44501">
      <w:pPr>
        <w:jc w:val="center"/>
        <w:rPr>
          <w:rFonts w:ascii="Arial Bold" w:hAnsi="Arial Bold"/>
          <w:color w:val="auto"/>
        </w:rPr>
      </w:pPr>
    </w:p>
    <w:p w:rsidR="00C44501" w:rsidRPr="00F05829" w:rsidRDefault="00C44501" w:rsidP="00C44501">
      <w:pPr>
        <w:jc w:val="center"/>
        <w:rPr>
          <w:rFonts w:ascii="Arial Bold" w:hAnsi="Arial Bold"/>
          <w:color w:val="auto"/>
        </w:rPr>
      </w:pPr>
    </w:p>
    <w:p w:rsidR="00C44501" w:rsidRPr="00F05829" w:rsidRDefault="00C44501" w:rsidP="00C44501">
      <w:pPr>
        <w:jc w:val="center"/>
        <w:rPr>
          <w:rFonts w:ascii="Arial Bold" w:hAnsi="Arial Bold"/>
          <w:color w:val="auto"/>
        </w:rPr>
      </w:pPr>
      <w:r w:rsidRPr="00F05829">
        <w:rPr>
          <w:rFonts w:ascii="Arial Bold" w:hAnsi="Arial Bold"/>
          <w:color w:val="auto"/>
        </w:rPr>
        <w:t>Implementation Strategy</w:t>
      </w:r>
    </w:p>
    <w:p w:rsidR="00C44501" w:rsidRPr="00F05829" w:rsidRDefault="00C44501" w:rsidP="00C44501">
      <w:pPr>
        <w:jc w:val="center"/>
        <w:rPr>
          <w:rFonts w:ascii="Arial Bold" w:hAnsi="Arial Bold"/>
          <w:color w:val="auto"/>
        </w:rPr>
      </w:pPr>
    </w:p>
    <w:p w:rsidR="00C44501" w:rsidRPr="00F05829" w:rsidRDefault="00C44501" w:rsidP="00C44501">
      <w:pPr>
        <w:jc w:val="center"/>
        <w:rPr>
          <w:rFonts w:ascii="Arial Bold" w:hAnsi="Arial Bold"/>
          <w:color w:val="auto"/>
        </w:rPr>
      </w:pPr>
    </w:p>
    <w:p w:rsidR="00C44501" w:rsidRPr="00F05829" w:rsidRDefault="00C44501" w:rsidP="00C44501">
      <w:pPr>
        <w:jc w:val="center"/>
        <w:rPr>
          <w:rFonts w:ascii="Arial Bold" w:hAnsi="Arial Bold"/>
          <w:color w:val="auto"/>
          <w:sz w:val="28"/>
        </w:rPr>
      </w:pPr>
    </w:p>
    <w:p w:rsidR="00C44501" w:rsidRPr="00F05829" w:rsidRDefault="00C44501" w:rsidP="00C44501">
      <w:pPr>
        <w:jc w:val="center"/>
        <w:rPr>
          <w:rFonts w:ascii="Arial Bold" w:hAnsi="Arial Bold"/>
          <w:color w:val="auto"/>
          <w:sz w:val="28"/>
        </w:rPr>
      </w:pPr>
      <w:r w:rsidRPr="00F05829">
        <w:rPr>
          <w:rFonts w:ascii="Arial Bold" w:hAnsi="Arial Bold"/>
          <w:color w:val="auto"/>
          <w:sz w:val="28"/>
        </w:rPr>
        <w:t>PARTNERSHIP FOR DEVELOPMENT</w:t>
      </w:r>
    </w:p>
    <w:p w:rsidR="00C44501" w:rsidRPr="00F05829" w:rsidRDefault="00C44501" w:rsidP="00C44501">
      <w:pPr>
        <w:jc w:val="center"/>
        <w:rPr>
          <w:rFonts w:ascii="Arial Bold" w:hAnsi="Arial Bold"/>
          <w:color w:val="auto"/>
          <w:sz w:val="28"/>
        </w:rPr>
      </w:pPr>
    </w:p>
    <w:p w:rsidR="00C44501" w:rsidRPr="00F05829" w:rsidRDefault="00C44501" w:rsidP="00C44501">
      <w:pPr>
        <w:jc w:val="center"/>
        <w:rPr>
          <w:rFonts w:ascii="Arial Bold" w:hAnsi="Arial Bold"/>
          <w:color w:val="auto"/>
          <w:sz w:val="28"/>
        </w:rPr>
      </w:pPr>
      <w:r w:rsidRPr="00F05829">
        <w:rPr>
          <w:rFonts w:ascii="Arial Bold" w:hAnsi="Arial Bold"/>
          <w:color w:val="auto"/>
          <w:sz w:val="28"/>
        </w:rPr>
        <w:t>BETWEEN</w:t>
      </w:r>
    </w:p>
    <w:p w:rsidR="00C44501" w:rsidRPr="00F05829" w:rsidRDefault="00C44501" w:rsidP="00C44501">
      <w:pPr>
        <w:jc w:val="center"/>
        <w:rPr>
          <w:rFonts w:ascii="Arial Bold" w:hAnsi="Arial Bold"/>
          <w:color w:val="auto"/>
          <w:sz w:val="28"/>
        </w:rPr>
      </w:pPr>
    </w:p>
    <w:p w:rsidR="00C44501" w:rsidRPr="00F05829" w:rsidRDefault="00C44501" w:rsidP="00C44501">
      <w:pPr>
        <w:jc w:val="center"/>
        <w:rPr>
          <w:rFonts w:ascii="Arial Bold" w:hAnsi="Arial Bold"/>
          <w:color w:val="auto"/>
          <w:sz w:val="28"/>
        </w:rPr>
      </w:pPr>
      <w:r w:rsidRPr="00F05829">
        <w:rPr>
          <w:rFonts w:ascii="Arial Bold" w:hAnsi="Arial Bold"/>
          <w:color w:val="auto"/>
          <w:sz w:val="28"/>
        </w:rPr>
        <w:t>THE GOVERNMENT OF NAURU</w:t>
      </w:r>
    </w:p>
    <w:p w:rsidR="00C44501" w:rsidRPr="00F05829" w:rsidRDefault="00C44501" w:rsidP="00C44501">
      <w:pPr>
        <w:jc w:val="center"/>
        <w:rPr>
          <w:rFonts w:ascii="Arial Bold" w:hAnsi="Arial Bold"/>
          <w:color w:val="auto"/>
          <w:sz w:val="28"/>
        </w:rPr>
      </w:pPr>
    </w:p>
    <w:p w:rsidR="00C44501" w:rsidRPr="00F05829" w:rsidRDefault="00C44501" w:rsidP="00C44501">
      <w:pPr>
        <w:jc w:val="center"/>
        <w:rPr>
          <w:rFonts w:ascii="Arial Bold" w:hAnsi="Arial Bold"/>
          <w:color w:val="auto"/>
          <w:sz w:val="28"/>
        </w:rPr>
      </w:pPr>
      <w:r w:rsidRPr="00F05829">
        <w:rPr>
          <w:rFonts w:ascii="Arial Bold" w:hAnsi="Arial Bold"/>
          <w:color w:val="auto"/>
          <w:sz w:val="28"/>
        </w:rPr>
        <w:t>AND</w:t>
      </w:r>
    </w:p>
    <w:p w:rsidR="00C44501" w:rsidRPr="00F05829" w:rsidRDefault="00C44501" w:rsidP="00C44501">
      <w:pPr>
        <w:jc w:val="center"/>
        <w:rPr>
          <w:rFonts w:ascii="Arial Bold" w:hAnsi="Arial Bold"/>
          <w:color w:val="auto"/>
          <w:sz w:val="28"/>
        </w:rPr>
      </w:pPr>
    </w:p>
    <w:p w:rsidR="00C44501" w:rsidRPr="00F05829" w:rsidRDefault="00C44501" w:rsidP="00C44501">
      <w:pPr>
        <w:jc w:val="center"/>
        <w:rPr>
          <w:rFonts w:ascii="Arial Bold" w:hAnsi="Arial Bold"/>
          <w:color w:val="auto"/>
          <w:sz w:val="22"/>
        </w:rPr>
      </w:pPr>
      <w:r w:rsidRPr="00F05829">
        <w:rPr>
          <w:rFonts w:ascii="Arial Bold" w:hAnsi="Arial Bold"/>
          <w:color w:val="auto"/>
          <w:sz w:val="28"/>
        </w:rPr>
        <w:t>THE GOVERNMENT OF AUSTRALIA</w:t>
      </w:r>
    </w:p>
    <w:p w:rsidR="00C44501" w:rsidRPr="00F05829" w:rsidRDefault="00C44501" w:rsidP="00C44501">
      <w:pPr>
        <w:jc w:val="center"/>
        <w:rPr>
          <w:rFonts w:ascii="Arial Bold" w:hAnsi="Arial Bold"/>
          <w:color w:val="auto"/>
          <w:sz w:val="22"/>
        </w:rPr>
      </w:pPr>
    </w:p>
    <w:p w:rsidR="00C44501" w:rsidRPr="00F05829" w:rsidRDefault="00C44501" w:rsidP="00C44501">
      <w:pPr>
        <w:jc w:val="both"/>
        <w:rPr>
          <w:rFonts w:ascii="Arial Bold" w:hAnsi="Arial Bold"/>
          <w:color w:val="auto"/>
          <w:sz w:val="22"/>
        </w:rPr>
      </w:pPr>
    </w:p>
    <w:p w:rsidR="00C44501" w:rsidRPr="00F05829" w:rsidRDefault="00C44501" w:rsidP="00C44501">
      <w:pPr>
        <w:jc w:val="both"/>
        <w:rPr>
          <w:rFonts w:ascii="Arial Bold" w:hAnsi="Arial Bold"/>
          <w:color w:val="auto"/>
          <w:sz w:val="22"/>
        </w:rPr>
      </w:pPr>
    </w:p>
    <w:p w:rsidR="00C44501" w:rsidRPr="00F05829" w:rsidRDefault="00C44501" w:rsidP="00C44501">
      <w:pPr>
        <w:jc w:val="both"/>
        <w:rPr>
          <w:rFonts w:ascii="Arial Bold" w:hAnsi="Arial Bold"/>
          <w:color w:val="auto"/>
          <w:sz w:val="22"/>
        </w:rPr>
      </w:pPr>
    </w:p>
    <w:p w:rsidR="00C44501" w:rsidRPr="00F05829" w:rsidRDefault="00C44501" w:rsidP="00C44501">
      <w:pPr>
        <w:jc w:val="both"/>
        <w:rPr>
          <w:rFonts w:ascii="Arial Bold Italic" w:hAnsi="Arial Bold Italic"/>
          <w:color w:val="auto"/>
          <w:sz w:val="22"/>
        </w:rPr>
      </w:pPr>
      <w:r w:rsidRPr="00F05829">
        <w:rPr>
          <w:rFonts w:ascii="Arial Bold Italic" w:hAnsi="Arial Bold Italic"/>
          <w:color w:val="auto"/>
          <w:sz w:val="22"/>
        </w:rPr>
        <w:t xml:space="preserve">The Nauru - Australia Partnership for Development was formalised by President Marcus Stephen and Prime Minister Kevin Rudd during the Pacific Forum Leaders’ Meeting held in Cairns in August 2009.  The Partnership for Development Initiative, a series of Partnerships between Australia and PNG and other Pacific Island Nations, including Nauru, represents a new era of development co-operation between parties.  The initiative provides the guiding and practical framework for the Implementation of the Port Moresby Declaration that the Australian Government announced on 6 March 2008. </w:t>
      </w:r>
    </w:p>
    <w:p w:rsidR="00C44501" w:rsidRPr="00F05829" w:rsidRDefault="00C44501" w:rsidP="00C44501">
      <w:pPr>
        <w:jc w:val="both"/>
        <w:rPr>
          <w:rFonts w:ascii="Arial Bold" w:hAnsi="Arial Bold"/>
          <w:color w:val="auto"/>
          <w:sz w:val="22"/>
        </w:rPr>
      </w:pPr>
    </w:p>
    <w:p w:rsidR="00C44501" w:rsidRPr="00F05829" w:rsidRDefault="00C44501" w:rsidP="00C44501">
      <w:pPr>
        <w:jc w:val="both"/>
        <w:rPr>
          <w:rFonts w:ascii="Arial Bold" w:hAnsi="Arial Bold"/>
          <w:color w:val="auto"/>
          <w:sz w:val="22"/>
        </w:rPr>
      </w:pPr>
      <w:r w:rsidRPr="00F05829">
        <w:rPr>
          <w:rFonts w:ascii="Arial Bold Italic" w:hAnsi="Arial Bold Italic"/>
          <w:color w:val="auto"/>
          <w:sz w:val="22"/>
        </w:rPr>
        <w:t>The Nauru - Australia Partnership for Development is founded on the principles of mutual understanding, mutual respect and mutual responsibility for improved development outcomes. The Partnership reflects the shared vision of the two governments to work together to meet the common challenges and to improve the quality of life of all Nauruans.  Specifically, the Partnership seeks more rapid progress towards poverty reduction and the other Millennium Development Goals by 2015.  To this end, the Nauru - Australia Partnership has identified an initial five priority outcomes that will help improve living standards in Nauru.  This Schedule sets out Priority Outcome 2: Improved Education</w:t>
      </w:r>
      <w:r w:rsidRPr="00F05829">
        <w:rPr>
          <w:rFonts w:ascii="Arial Bold" w:hAnsi="Arial Bold"/>
          <w:color w:val="auto"/>
          <w:sz w:val="22"/>
        </w:rPr>
        <w:t>.</w:t>
      </w:r>
      <w:r w:rsidRPr="00F05829">
        <w:rPr>
          <w:rFonts w:ascii="Arial Bold Italic" w:hAnsi="Arial Bold Italic"/>
          <w:color w:val="auto"/>
          <w:sz w:val="22"/>
          <w:vertAlign w:val="superscript"/>
        </w:rPr>
        <w:footnoteReference w:id="1"/>
      </w:r>
      <w:r w:rsidRPr="00F05829">
        <w:rPr>
          <w:rFonts w:ascii="Arial Bold" w:hAnsi="Arial Bold"/>
          <w:color w:val="auto"/>
          <w:sz w:val="22"/>
        </w:rPr>
        <w:cr/>
      </w:r>
      <w:r w:rsidRPr="00F05829">
        <w:br w:type="page"/>
      </w:r>
      <w:r w:rsidRPr="00F05829">
        <w:rPr>
          <w:rFonts w:ascii="Arial Bold" w:hAnsi="Arial Bold"/>
          <w:color w:val="auto"/>
          <w:sz w:val="22"/>
        </w:rPr>
        <w:lastRenderedPageBreak/>
        <w:t>PRIORITY OUTCOME 2: IMPROVED EDUCATION</w:t>
      </w:r>
    </w:p>
    <w:p w:rsidR="00C44501" w:rsidRPr="00F05829" w:rsidRDefault="00C44501" w:rsidP="00C44501">
      <w:pPr>
        <w:jc w:val="both"/>
        <w:rPr>
          <w:rFonts w:ascii="Arial Bold" w:hAnsi="Arial Bold"/>
          <w:color w:val="auto"/>
          <w:sz w:val="22"/>
        </w:rPr>
      </w:pPr>
    </w:p>
    <w:p w:rsidR="00C44501" w:rsidRPr="00F05829" w:rsidRDefault="00C44501" w:rsidP="00C44501">
      <w:pPr>
        <w:jc w:val="both"/>
        <w:rPr>
          <w:rFonts w:ascii="Arial Bold" w:hAnsi="Arial Bold"/>
          <w:color w:val="auto"/>
          <w:sz w:val="22"/>
        </w:rPr>
      </w:pPr>
    </w:p>
    <w:p w:rsidR="00C44501" w:rsidRDefault="00C44501" w:rsidP="00C44501">
      <w:pPr>
        <w:numPr>
          <w:ilvl w:val="0"/>
          <w:numId w:val="1"/>
        </w:numPr>
        <w:ind w:hanging="720"/>
        <w:jc w:val="both"/>
        <w:rPr>
          <w:rFonts w:ascii="Arial Bold" w:hAnsi="Arial Bold"/>
          <w:color w:val="auto"/>
        </w:rPr>
      </w:pPr>
      <w:r w:rsidRPr="00F05829">
        <w:rPr>
          <w:rFonts w:ascii="Arial Bold" w:hAnsi="Arial Bold"/>
          <w:color w:val="auto"/>
        </w:rPr>
        <w:t>Aim of the Partnership</w:t>
      </w:r>
    </w:p>
    <w:p w:rsidR="00C44501" w:rsidRPr="00F05829" w:rsidRDefault="00C44501" w:rsidP="00C44501">
      <w:pPr>
        <w:jc w:val="both"/>
        <w:rPr>
          <w:rFonts w:ascii="Arial Bold" w:hAnsi="Arial Bold"/>
          <w:color w:val="auto"/>
        </w:rPr>
      </w:pPr>
    </w:p>
    <w:p w:rsidR="00C44501" w:rsidRPr="00F05829" w:rsidRDefault="00C44501" w:rsidP="00C44501">
      <w:pPr>
        <w:jc w:val="both"/>
        <w:rPr>
          <w:rFonts w:ascii="Arial Bold" w:hAnsi="Arial Bold"/>
          <w:color w:val="auto"/>
        </w:rPr>
      </w:pPr>
    </w:p>
    <w:p w:rsidR="00C44501" w:rsidRPr="00F05829" w:rsidRDefault="00C44501" w:rsidP="00C44501">
      <w:pPr>
        <w:jc w:val="both"/>
        <w:rPr>
          <w:rFonts w:ascii="Arial" w:hAnsi="Arial"/>
          <w:color w:val="auto"/>
        </w:rPr>
      </w:pPr>
      <w:r w:rsidRPr="00F05829">
        <w:rPr>
          <w:rFonts w:ascii="Arial" w:hAnsi="Arial"/>
          <w:color w:val="auto"/>
        </w:rPr>
        <w:t xml:space="preserve">The Governments of Nauru and Australia have agreed to pursue significant measurable progress towards the Improvement of Education in Nauru by 2015. </w:t>
      </w:r>
    </w:p>
    <w:p w:rsidR="00C44501" w:rsidRPr="00F05829" w:rsidRDefault="00C44501" w:rsidP="00C44501">
      <w:pPr>
        <w:jc w:val="both"/>
        <w:rPr>
          <w:rFonts w:ascii="Arial" w:hAnsi="Arial"/>
          <w:color w:val="auto"/>
        </w:rPr>
      </w:pPr>
    </w:p>
    <w:p w:rsidR="00C44501" w:rsidRPr="00F05829" w:rsidRDefault="00C44501" w:rsidP="00C44501">
      <w:pPr>
        <w:jc w:val="both"/>
        <w:rPr>
          <w:rFonts w:ascii="Arial" w:hAnsi="Arial"/>
          <w:color w:val="auto"/>
        </w:rPr>
      </w:pPr>
      <w:r w:rsidRPr="00F05829">
        <w:rPr>
          <w:rFonts w:ascii="Arial" w:hAnsi="Arial"/>
          <w:color w:val="auto"/>
        </w:rPr>
        <w:t xml:space="preserve">The Partnership will support and strengthen Nauru’s implementation of its new policy framework, set out in </w:t>
      </w:r>
      <w:r w:rsidRPr="00F05829">
        <w:rPr>
          <w:rFonts w:ascii="Arial" w:hAnsi="Arial"/>
          <w:i/>
          <w:color w:val="auto"/>
        </w:rPr>
        <w:t>Footpath II</w:t>
      </w:r>
      <w:r w:rsidRPr="00F05829">
        <w:rPr>
          <w:rFonts w:ascii="Arial" w:hAnsi="Arial"/>
          <w:color w:val="auto"/>
        </w:rPr>
        <w:t xml:space="preserve"> (the education sector’s Strategic Plan 2008-13), toward </w:t>
      </w:r>
      <w:r>
        <w:rPr>
          <w:rFonts w:ascii="Arial" w:hAnsi="Arial"/>
          <w:color w:val="auto"/>
        </w:rPr>
        <w:t xml:space="preserve">the target results </w:t>
      </w:r>
      <w:r w:rsidRPr="00F05829">
        <w:rPr>
          <w:rFonts w:ascii="Arial" w:hAnsi="Arial"/>
          <w:color w:val="auto"/>
        </w:rPr>
        <w:t>of:</w:t>
      </w:r>
    </w:p>
    <w:p w:rsidR="00C44501" w:rsidRPr="00F05829" w:rsidRDefault="00C44501" w:rsidP="00C44501">
      <w:pPr>
        <w:jc w:val="both"/>
        <w:rPr>
          <w:rFonts w:ascii="Arial" w:hAnsi="Arial"/>
          <w:color w:val="auto"/>
        </w:rPr>
      </w:pPr>
    </w:p>
    <w:p w:rsidR="00C44501" w:rsidRPr="00F05829" w:rsidRDefault="00C44501" w:rsidP="00C44501">
      <w:pPr>
        <w:numPr>
          <w:ilvl w:val="0"/>
          <w:numId w:val="43"/>
        </w:numPr>
        <w:jc w:val="both"/>
        <w:rPr>
          <w:rFonts w:ascii="Arial" w:hAnsi="Arial"/>
          <w:color w:val="auto"/>
          <w:sz w:val="22"/>
        </w:rPr>
      </w:pPr>
      <w:r w:rsidRPr="00F05829">
        <w:rPr>
          <w:rFonts w:ascii="Arial" w:hAnsi="Arial"/>
          <w:color w:val="auto"/>
          <w:sz w:val="22"/>
        </w:rPr>
        <w:t>Increased number of teaching staff meet regional resourcing and student teacher ratio norms;</w:t>
      </w:r>
    </w:p>
    <w:p w:rsidR="00C44501" w:rsidRPr="00F05829" w:rsidRDefault="00C44501" w:rsidP="00C44501">
      <w:pPr>
        <w:numPr>
          <w:ilvl w:val="0"/>
          <w:numId w:val="43"/>
        </w:numPr>
        <w:jc w:val="both"/>
        <w:rPr>
          <w:rFonts w:ascii="Arial" w:hAnsi="Arial"/>
          <w:color w:val="auto"/>
          <w:sz w:val="22"/>
        </w:rPr>
      </w:pPr>
      <w:r w:rsidRPr="00F05829">
        <w:rPr>
          <w:rFonts w:ascii="Arial" w:hAnsi="Arial"/>
          <w:color w:val="auto"/>
          <w:sz w:val="22"/>
        </w:rPr>
        <w:t>Increased net enrolment rate for primary and secondary students;</w:t>
      </w:r>
    </w:p>
    <w:p w:rsidR="00C44501" w:rsidRPr="00F05829" w:rsidRDefault="00C44501" w:rsidP="00C44501">
      <w:pPr>
        <w:numPr>
          <w:ilvl w:val="0"/>
          <w:numId w:val="43"/>
        </w:numPr>
        <w:jc w:val="both"/>
        <w:rPr>
          <w:rFonts w:ascii="Arial" w:hAnsi="Arial"/>
          <w:color w:val="auto"/>
          <w:sz w:val="22"/>
        </w:rPr>
      </w:pPr>
      <w:r w:rsidRPr="00F05829">
        <w:rPr>
          <w:rFonts w:ascii="Arial" w:hAnsi="Arial"/>
          <w:color w:val="auto"/>
          <w:sz w:val="22"/>
        </w:rPr>
        <w:t>Increased number of primary and secondary students meeting literacy and numeracy benchmarks</w:t>
      </w:r>
      <w:r>
        <w:rPr>
          <w:rFonts w:ascii="Arial" w:hAnsi="Arial"/>
          <w:color w:val="auto"/>
          <w:sz w:val="22"/>
        </w:rPr>
        <w:t>;</w:t>
      </w:r>
    </w:p>
    <w:p w:rsidR="00C44501" w:rsidRPr="00F05829" w:rsidRDefault="00C44501" w:rsidP="00C44501">
      <w:pPr>
        <w:numPr>
          <w:ilvl w:val="0"/>
          <w:numId w:val="43"/>
        </w:numPr>
        <w:jc w:val="both"/>
        <w:rPr>
          <w:rFonts w:ascii="Arial" w:hAnsi="Arial"/>
          <w:color w:val="auto"/>
          <w:sz w:val="22"/>
        </w:rPr>
      </w:pPr>
      <w:r w:rsidRPr="00F05829">
        <w:rPr>
          <w:rFonts w:ascii="Arial" w:hAnsi="Arial"/>
          <w:color w:val="auto"/>
          <w:sz w:val="22"/>
        </w:rPr>
        <w:t>Increased number of students graduating from regionally recognised tertiary, and technical and vocational training courses</w:t>
      </w:r>
      <w:r>
        <w:rPr>
          <w:rFonts w:ascii="Arial" w:hAnsi="Arial"/>
          <w:color w:val="auto"/>
          <w:sz w:val="22"/>
        </w:rPr>
        <w:t>.</w:t>
      </w:r>
    </w:p>
    <w:p w:rsidR="00C44501" w:rsidRPr="00F05829" w:rsidRDefault="00C44501" w:rsidP="00C44501">
      <w:pPr>
        <w:jc w:val="both"/>
        <w:rPr>
          <w:rFonts w:ascii="Arial" w:hAnsi="Arial"/>
          <w:color w:val="auto"/>
          <w:sz w:val="22"/>
        </w:rPr>
      </w:pPr>
    </w:p>
    <w:p w:rsidR="00C44501" w:rsidRDefault="00C44501" w:rsidP="00C44501">
      <w:pPr>
        <w:jc w:val="both"/>
        <w:rPr>
          <w:rFonts w:ascii="Arial" w:hAnsi="Arial"/>
          <w:color w:val="auto"/>
          <w:sz w:val="22"/>
        </w:rPr>
      </w:pPr>
      <w:r w:rsidRPr="00F05829">
        <w:rPr>
          <w:rFonts w:ascii="Arial" w:hAnsi="Arial"/>
          <w:color w:val="auto"/>
          <w:sz w:val="22"/>
        </w:rPr>
        <w:t xml:space="preserve">The Partnership will assist the GoN to develop, establish and maintain an education system that provides full enrolment in and completion of basic education. It will also assist the GoN to increase the number of Nauru’s population gaining locally, regionally and internationally recognized professional, technical and vocational skills in areas of industry, commercial and public sector demand both locally and abroad. </w:t>
      </w:r>
    </w:p>
    <w:p w:rsidR="00C44501" w:rsidRDefault="00C44501" w:rsidP="00C44501">
      <w:pPr>
        <w:jc w:val="both"/>
        <w:rPr>
          <w:rFonts w:ascii="Arial" w:hAnsi="Arial"/>
          <w:color w:val="auto"/>
          <w:sz w:val="22"/>
        </w:rPr>
      </w:pPr>
      <w:r>
        <w:rPr>
          <w:rFonts w:ascii="Arial" w:hAnsi="Arial"/>
          <w:color w:val="auto"/>
          <w:sz w:val="22"/>
        </w:rPr>
        <w:t>To further support the Partnership it is suggested that there be annual bilateral Partnership Talks. This will provide the opportunity for amendments and relevant changes to programming as agreed to by both parties.</w:t>
      </w:r>
    </w:p>
    <w:p w:rsidR="00C44501" w:rsidRDefault="00C44501" w:rsidP="00C44501">
      <w:pPr>
        <w:jc w:val="both"/>
        <w:rPr>
          <w:rFonts w:ascii="Arial" w:hAnsi="Arial"/>
          <w:color w:val="auto"/>
          <w:sz w:val="22"/>
        </w:rPr>
      </w:pPr>
    </w:p>
    <w:p w:rsidR="00C44501" w:rsidRDefault="00C44501" w:rsidP="00C44501">
      <w:pPr>
        <w:numPr>
          <w:ilvl w:val="0"/>
          <w:numId w:val="1"/>
        </w:numPr>
        <w:ind w:hanging="720"/>
        <w:jc w:val="both"/>
        <w:rPr>
          <w:rFonts w:ascii="Arial Bold" w:hAnsi="Arial Bold"/>
          <w:color w:val="auto"/>
        </w:rPr>
      </w:pPr>
      <w:r>
        <w:rPr>
          <w:rFonts w:ascii="Arial Bold" w:hAnsi="Arial Bold"/>
          <w:color w:val="auto"/>
        </w:rPr>
        <w:t>Context</w:t>
      </w:r>
    </w:p>
    <w:p w:rsidR="00C44501" w:rsidRPr="00F05829" w:rsidRDefault="00C44501" w:rsidP="00C44501">
      <w:pPr>
        <w:jc w:val="both"/>
        <w:rPr>
          <w:rFonts w:ascii="Arial" w:hAnsi="Arial"/>
          <w:color w:val="auto"/>
          <w:sz w:val="22"/>
        </w:rPr>
      </w:pPr>
    </w:p>
    <w:p w:rsidR="00C44501" w:rsidRPr="00F05829" w:rsidRDefault="00C44501" w:rsidP="00C44501">
      <w:pPr>
        <w:jc w:val="both"/>
        <w:rPr>
          <w:rFonts w:ascii="Arial" w:hAnsi="Arial"/>
          <w:color w:val="auto"/>
          <w:sz w:val="22"/>
        </w:rPr>
      </w:pPr>
      <w:r w:rsidRPr="00F05829">
        <w:rPr>
          <w:rFonts w:ascii="Arial" w:hAnsi="Arial"/>
          <w:color w:val="auto"/>
          <w:sz w:val="22"/>
        </w:rPr>
        <w:t>The</w:t>
      </w:r>
      <w:r>
        <w:rPr>
          <w:rFonts w:ascii="Arial" w:hAnsi="Arial"/>
          <w:color w:val="auto"/>
          <w:sz w:val="22"/>
        </w:rPr>
        <w:t xml:space="preserve"> </w:t>
      </w:r>
      <w:r w:rsidRPr="00F05829">
        <w:rPr>
          <w:rFonts w:ascii="Arial" w:hAnsi="Arial"/>
          <w:color w:val="auto"/>
          <w:sz w:val="22"/>
        </w:rPr>
        <w:t xml:space="preserve">link between education and improved development outcomes is well-documented </w:t>
      </w:r>
      <w:r>
        <w:rPr>
          <w:rFonts w:ascii="Arial" w:hAnsi="Arial"/>
          <w:color w:val="auto"/>
          <w:sz w:val="22"/>
        </w:rPr>
        <w:t>and i</w:t>
      </w:r>
      <w:r w:rsidRPr="00F05829">
        <w:rPr>
          <w:rFonts w:ascii="Arial" w:hAnsi="Arial"/>
          <w:color w:val="auto"/>
          <w:sz w:val="22"/>
        </w:rPr>
        <w:t>mproved education is key to Nauru’s achieving the Millennium Development Goals (MDGs)</w:t>
      </w:r>
      <w:r>
        <w:rPr>
          <w:rStyle w:val="FootnoteReference"/>
          <w:rFonts w:ascii="Arial" w:hAnsi="Arial"/>
          <w:color w:val="auto"/>
          <w:sz w:val="22"/>
        </w:rPr>
        <w:footnoteReference w:id="2"/>
      </w:r>
      <w:r w:rsidRPr="00F05829">
        <w:rPr>
          <w:rFonts w:ascii="Arial" w:hAnsi="Arial"/>
          <w:color w:val="auto"/>
          <w:sz w:val="22"/>
        </w:rPr>
        <w:t xml:space="preserve"> by 2015, including MDG3 - achieving universal primary education. Nauru’s education policy framework is set out in </w:t>
      </w:r>
      <w:r w:rsidRPr="00F05829">
        <w:rPr>
          <w:rFonts w:ascii="Arial" w:hAnsi="Arial"/>
          <w:i/>
          <w:color w:val="auto"/>
          <w:sz w:val="22"/>
        </w:rPr>
        <w:t>Footpath II</w:t>
      </w:r>
      <w:r w:rsidRPr="00F05829">
        <w:rPr>
          <w:rFonts w:ascii="Arial" w:hAnsi="Arial"/>
          <w:color w:val="auto"/>
          <w:sz w:val="22"/>
        </w:rPr>
        <w:t xml:space="preserve">, which identifies a range of necessary reforms that will be needed to revitalise the sector to meet MDG targets, as well as the aspirations set out in Nauru’s </w:t>
      </w:r>
      <w:r w:rsidRPr="00F05829">
        <w:rPr>
          <w:rFonts w:ascii="Arial" w:hAnsi="Arial"/>
          <w:i/>
          <w:color w:val="auto"/>
          <w:sz w:val="22"/>
        </w:rPr>
        <w:t>National Sustainable Development Strategy 2005-2025</w:t>
      </w:r>
      <w:r w:rsidRPr="00F05829">
        <w:rPr>
          <w:rFonts w:ascii="Arial" w:hAnsi="Arial"/>
          <w:color w:val="auto"/>
          <w:sz w:val="22"/>
        </w:rPr>
        <w:t xml:space="preserve"> (NSDS).   </w:t>
      </w:r>
    </w:p>
    <w:p w:rsidR="00C44501" w:rsidRDefault="00C44501" w:rsidP="00C44501">
      <w:pPr>
        <w:jc w:val="both"/>
        <w:rPr>
          <w:rFonts w:ascii="Arial" w:hAnsi="Arial"/>
          <w:color w:val="auto"/>
          <w:sz w:val="22"/>
        </w:rPr>
      </w:pPr>
    </w:p>
    <w:p w:rsidR="00C44501" w:rsidRDefault="00C44501" w:rsidP="00C44501">
      <w:pPr>
        <w:jc w:val="both"/>
        <w:rPr>
          <w:rFonts w:ascii="Arial" w:hAnsi="Arial"/>
          <w:color w:val="auto"/>
          <w:sz w:val="22"/>
        </w:rPr>
      </w:pPr>
      <w:r w:rsidRPr="00265D79">
        <w:rPr>
          <w:rFonts w:ascii="Arial" w:hAnsi="Arial"/>
          <w:color w:val="auto"/>
          <w:sz w:val="22"/>
        </w:rPr>
        <w:t>Roughly 17% of Nauru’s GNP is directed to education</w:t>
      </w:r>
      <w:r>
        <w:rPr>
          <w:rFonts w:ascii="Arial" w:hAnsi="Arial"/>
          <w:color w:val="auto"/>
          <w:sz w:val="22"/>
        </w:rPr>
        <w:t>, with a</w:t>
      </w:r>
      <w:r w:rsidRPr="00265D79">
        <w:rPr>
          <w:rFonts w:ascii="Arial" w:hAnsi="Arial"/>
          <w:color w:val="auto"/>
          <w:sz w:val="22"/>
        </w:rPr>
        <w:t xml:space="preserve">bout 60% of the education budget finances </w:t>
      </w:r>
      <w:r>
        <w:rPr>
          <w:rFonts w:ascii="Arial" w:hAnsi="Arial"/>
          <w:color w:val="auto"/>
          <w:sz w:val="22"/>
        </w:rPr>
        <w:t xml:space="preserve">directed to </w:t>
      </w:r>
      <w:r w:rsidRPr="00265D79">
        <w:rPr>
          <w:rFonts w:ascii="Arial" w:hAnsi="Arial"/>
          <w:color w:val="auto"/>
          <w:sz w:val="22"/>
        </w:rPr>
        <w:t>teacher salaries.</w:t>
      </w:r>
      <w:r>
        <w:rPr>
          <w:rFonts w:ascii="Arial" w:hAnsi="Arial"/>
          <w:color w:val="auto"/>
          <w:sz w:val="22"/>
        </w:rPr>
        <w:t xml:space="preserve">  The per student budget allocation is </w:t>
      </w:r>
      <w:r w:rsidRPr="00265D79">
        <w:rPr>
          <w:rFonts w:ascii="Arial" w:hAnsi="Arial"/>
          <w:color w:val="auto"/>
          <w:sz w:val="22"/>
        </w:rPr>
        <w:t>approximately $1,500</w:t>
      </w:r>
      <w:r>
        <w:rPr>
          <w:rFonts w:ascii="Arial" w:hAnsi="Arial"/>
          <w:color w:val="auto"/>
          <w:sz w:val="22"/>
        </w:rPr>
        <w:t>,</w:t>
      </w:r>
      <w:r w:rsidRPr="00265D79">
        <w:rPr>
          <w:rFonts w:ascii="Arial" w:hAnsi="Arial"/>
          <w:color w:val="auto"/>
          <w:sz w:val="22"/>
        </w:rPr>
        <w:t xml:space="preserve"> compared with the OECD average of $8,000 per student. </w:t>
      </w:r>
    </w:p>
    <w:p w:rsidR="00C44501" w:rsidRDefault="00C44501" w:rsidP="00C44501">
      <w:pPr>
        <w:jc w:val="both"/>
        <w:rPr>
          <w:rFonts w:ascii="Arial" w:hAnsi="Arial"/>
          <w:color w:val="auto"/>
          <w:sz w:val="22"/>
        </w:rPr>
      </w:pPr>
    </w:p>
    <w:p w:rsidR="00C44501" w:rsidRDefault="00C44501" w:rsidP="00C44501">
      <w:pPr>
        <w:jc w:val="both"/>
        <w:rPr>
          <w:rFonts w:ascii="Arial" w:hAnsi="Arial" w:cs="Arial"/>
          <w:sz w:val="22"/>
          <w:szCs w:val="22"/>
        </w:rPr>
      </w:pPr>
      <w:r w:rsidRPr="005241BE">
        <w:rPr>
          <w:rFonts w:ascii="Arial" w:hAnsi="Arial" w:cs="Arial"/>
          <w:sz w:val="22"/>
          <w:szCs w:val="22"/>
        </w:rPr>
        <w:t xml:space="preserve">Currently 81% </w:t>
      </w:r>
      <w:r>
        <w:rPr>
          <w:rFonts w:ascii="Arial" w:hAnsi="Arial" w:cs="Arial"/>
          <w:sz w:val="22"/>
          <w:szCs w:val="22"/>
        </w:rPr>
        <w:t>of students complete school to Y</w:t>
      </w:r>
      <w:r w:rsidRPr="005241BE">
        <w:rPr>
          <w:rFonts w:ascii="Arial" w:hAnsi="Arial" w:cs="Arial"/>
          <w:sz w:val="22"/>
          <w:szCs w:val="22"/>
        </w:rPr>
        <w:t xml:space="preserve">ear 6. </w:t>
      </w:r>
      <w:r>
        <w:rPr>
          <w:rFonts w:ascii="Arial" w:hAnsi="Arial" w:cs="Arial"/>
          <w:sz w:val="22"/>
          <w:szCs w:val="22"/>
        </w:rPr>
        <w:t>Grade 6 Literacy levels are relatively strong, with 72% of tested students achieving the minimum expected score(based on current PM Benchmarking Kit [Australia])</w:t>
      </w:r>
      <w:r w:rsidRPr="00F05829">
        <w:rPr>
          <w:rStyle w:val="FootnoteReference"/>
          <w:rFonts w:ascii="Arial" w:hAnsi="Arial"/>
          <w:color w:val="auto"/>
          <w:sz w:val="18"/>
        </w:rPr>
        <w:footnoteReference w:id="3"/>
      </w:r>
      <w:r>
        <w:rPr>
          <w:rFonts w:ascii="Arial" w:hAnsi="Arial" w:cs="Arial"/>
          <w:sz w:val="22"/>
          <w:szCs w:val="22"/>
        </w:rPr>
        <w:t>.  However, Grade 6 Numeracy rates are poor, with only 10% achieving the minimum expected score</w:t>
      </w:r>
      <w:r w:rsidRPr="00F05829">
        <w:rPr>
          <w:rStyle w:val="FootnoteReference"/>
          <w:rFonts w:ascii="Arial" w:hAnsi="Arial"/>
          <w:color w:val="auto"/>
          <w:sz w:val="18"/>
        </w:rPr>
        <w:footnoteReference w:id="4"/>
      </w:r>
      <w:r>
        <w:rPr>
          <w:rFonts w:ascii="Arial" w:hAnsi="Arial" w:cs="Arial"/>
          <w:sz w:val="22"/>
          <w:szCs w:val="22"/>
        </w:rPr>
        <w:t xml:space="preserve">.  </w:t>
      </w:r>
    </w:p>
    <w:p w:rsidR="00C44501" w:rsidRDefault="00C44501" w:rsidP="00C44501">
      <w:pPr>
        <w:jc w:val="both"/>
        <w:rPr>
          <w:rFonts w:ascii="Arial" w:hAnsi="Arial" w:cs="Arial"/>
          <w:sz w:val="22"/>
          <w:szCs w:val="22"/>
        </w:rPr>
      </w:pPr>
    </w:p>
    <w:p w:rsidR="00C44501" w:rsidRDefault="00C44501" w:rsidP="00C44501">
      <w:pPr>
        <w:jc w:val="both"/>
        <w:rPr>
          <w:rFonts w:ascii="Arial" w:hAnsi="Arial" w:cs="Arial"/>
          <w:sz w:val="22"/>
          <w:szCs w:val="22"/>
        </w:rPr>
      </w:pPr>
      <w:r>
        <w:rPr>
          <w:rFonts w:ascii="Arial" w:hAnsi="Arial" w:cs="Arial"/>
          <w:sz w:val="22"/>
          <w:szCs w:val="22"/>
        </w:rPr>
        <w:lastRenderedPageBreak/>
        <w:t xml:space="preserve">Low retention rates at the secondary level (25%) and high levels of truancy (34%) result in a Year 12 enrolment rate of 32%. Only four out of 35 secondary level teachers have a degree </w:t>
      </w:r>
      <w:r w:rsidRPr="006B5824">
        <w:rPr>
          <w:rFonts w:ascii="Arial" w:hAnsi="Arial" w:cs="Arial"/>
          <w:sz w:val="22"/>
          <w:szCs w:val="22"/>
        </w:rPr>
        <w:t>and 32%</w:t>
      </w:r>
      <w:r>
        <w:rPr>
          <w:rFonts w:ascii="Arial" w:hAnsi="Arial" w:cs="Arial"/>
          <w:sz w:val="22"/>
          <w:szCs w:val="22"/>
        </w:rPr>
        <w:t xml:space="preserve"> of all teachers have no tertiary level or teaching qualifications. </w:t>
      </w:r>
    </w:p>
    <w:p w:rsidR="00C44501" w:rsidRDefault="00C44501" w:rsidP="00C44501">
      <w:pPr>
        <w:rPr>
          <w:rFonts w:ascii="Arial" w:hAnsi="Arial" w:cs="Arial"/>
          <w:sz w:val="22"/>
          <w:szCs w:val="22"/>
        </w:rPr>
      </w:pPr>
    </w:p>
    <w:p w:rsidR="00C44501" w:rsidRPr="00F05829" w:rsidRDefault="00C44501" w:rsidP="00C44501">
      <w:pPr>
        <w:jc w:val="both"/>
        <w:rPr>
          <w:rFonts w:ascii="Arial" w:hAnsi="Arial"/>
          <w:color w:val="auto"/>
          <w:sz w:val="22"/>
        </w:rPr>
      </w:pPr>
      <w:r w:rsidRPr="00EC3716">
        <w:rPr>
          <w:rFonts w:ascii="Arial" w:hAnsi="Arial" w:cs="Arial"/>
          <w:sz w:val="22"/>
          <w:szCs w:val="22"/>
        </w:rPr>
        <w:t>Poor levels of literacy and numeracy are common among 16 – 25 year olds</w:t>
      </w:r>
      <w:r>
        <w:rPr>
          <w:rFonts w:ascii="Arial" w:hAnsi="Arial" w:cs="Arial"/>
          <w:sz w:val="22"/>
          <w:szCs w:val="22"/>
        </w:rPr>
        <w:t>, particularly</w:t>
      </w:r>
      <w:r w:rsidRPr="00EC3716">
        <w:rPr>
          <w:rFonts w:ascii="Arial" w:hAnsi="Arial" w:cs="Arial"/>
          <w:sz w:val="22"/>
          <w:szCs w:val="22"/>
        </w:rPr>
        <w:t xml:space="preserve"> as their</w:t>
      </w:r>
      <w:r>
        <w:rPr>
          <w:rFonts w:ascii="Arial" w:hAnsi="Arial" w:cs="Arial"/>
          <w:sz w:val="22"/>
          <w:szCs w:val="22"/>
        </w:rPr>
        <w:t xml:space="preserve"> school years coincided with Nauru’s economic decline. </w:t>
      </w:r>
      <w:r w:rsidRPr="00F05829">
        <w:rPr>
          <w:rFonts w:ascii="Arial" w:hAnsi="Arial"/>
          <w:color w:val="auto"/>
          <w:sz w:val="22"/>
        </w:rPr>
        <w:t>This “lost generation” comprising a high number of disillusioned and unemployed youth provides GoN a substantial challenge, given the lack of ready opportunities for young people in Nauru.  Disabled children have until recently been largely absent from Nauru’s schooling system.</w:t>
      </w:r>
    </w:p>
    <w:p w:rsidR="00C44501" w:rsidRDefault="00C44501" w:rsidP="00C44501">
      <w:pPr>
        <w:rPr>
          <w:rFonts w:ascii="Arial" w:hAnsi="Arial" w:cs="Arial"/>
          <w:sz w:val="22"/>
          <w:szCs w:val="22"/>
        </w:rPr>
      </w:pPr>
    </w:p>
    <w:p w:rsidR="00C44501" w:rsidRPr="00F05829" w:rsidRDefault="00C44501" w:rsidP="00C44501">
      <w:pPr>
        <w:jc w:val="both"/>
        <w:rPr>
          <w:rFonts w:ascii="Arial" w:hAnsi="Arial"/>
          <w:color w:val="auto"/>
          <w:sz w:val="22"/>
        </w:rPr>
      </w:pPr>
      <w:r>
        <w:rPr>
          <w:rFonts w:ascii="Arial" w:hAnsi="Arial"/>
          <w:color w:val="auto"/>
          <w:sz w:val="22"/>
        </w:rPr>
        <w:t>Limited capacity</w:t>
      </w:r>
      <w:r w:rsidRPr="00F05829">
        <w:rPr>
          <w:rFonts w:ascii="Arial" w:hAnsi="Arial"/>
          <w:color w:val="auto"/>
          <w:sz w:val="22"/>
        </w:rPr>
        <w:t xml:space="preserve"> and t</w:t>
      </w:r>
      <w:r>
        <w:rPr>
          <w:rFonts w:ascii="Arial" w:hAnsi="Arial"/>
          <w:color w:val="auto"/>
          <w:sz w:val="22"/>
        </w:rPr>
        <w:t>he need for succession planning</w:t>
      </w:r>
      <w:r w:rsidRPr="00F05829">
        <w:rPr>
          <w:rFonts w:ascii="Arial" w:hAnsi="Arial"/>
          <w:color w:val="auto"/>
          <w:sz w:val="22"/>
        </w:rPr>
        <w:t xml:space="preserve"> are significant challenges for DET. Schools lack financial management and accountability skills. There is no evidence of annual school business plans or reports being prepared, nor is there understanding of their role in helping DET to more effectively monitor schools. There is currently no coordination of financial management across government agencies, with finance officers largely left to manage their department’s budget.  </w:t>
      </w:r>
    </w:p>
    <w:p w:rsidR="00C44501" w:rsidRDefault="00C44501" w:rsidP="00C44501">
      <w:pPr>
        <w:rPr>
          <w:rFonts w:ascii="Arial" w:hAnsi="Arial" w:cs="Arial"/>
          <w:sz w:val="22"/>
          <w:szCs w:val="22"/>
        </w:rPr>
      </w:pPr>
    </w:p>
    <w:p w:rsidR="00C44501" w:rsidRDefault="00C44501" w:rsidP="00C44501">
      <w:pPr>
        <w:jc w:val="both"/>
        <w:rPr>
          <w:rFonts w:ascii="Arial" w:hAnsi="Arial" w:cs="Arial"/>
          <w:sz w:val="22"/>
          <w:szCs w:val="22"/>
        </w:rPr>
      </w:pPr>
      <w:r>
        <w:rPr>
          <w:rFonts w:ascii="Arial" w:hAnsi="Arial" w:cs="Arial"/>
          <w:sz w:val="22"/>
          <w:szCs w:val="22"/>
        </w:rPr>
        <w:t xml:space="preserve">A series of sector development approaches have been put in place, or are planned:  </w:t>
      </w:r>
    </w:p>
    <w:p w:rsidR="00C44501" w:rsidRDefault="00C44501" w:rsidP="00C44501">
      <w:pPr>
        <w:numPr>
          <w:ilvl w:val="0"/>
          <w:numId w:val="50"/>
        </w:numPr>
        <w:jc w:val="both"/>
        <w:rPr>
          <w:rFonts w:ascii="Arial" w:hAnsi="Arial" w:cs="Arial"/>
          <w:sz w:val="22"/>
          <w:szCs w:val="22"/>
        </w:rPr>
      </w:pPr>
      <w:r>
        <w:rPr>
          <w:rFonts w:ascii="Arial" w:hAnsi="Arial" w:cs="Arial"/>
          <w:sz w:val="22"/>
          <w:szCs w:val="22"/>
        </w:rPr>
        <w:t xml:space="preserve">A secondary level technical and vocational education and training pathway has been introduced, with a focus on practical learning. In the first year of delivery (2010), 88 students enrolled in the TVET pathway </w:t>
      </w:r>
    </w:p>
    <w:p w:rsidR="00C44501" w:rsidRDefault="00C44501" w:rsidP="00C44501">
      <w:pPr>
        <w:numPr>
          <w:ilvl w:val="1"/>
          <w:numId w:val="50"/>
        </w:numPr>
        <w:jc w:val="both"/>
        <w:rPr>
          <w:rFonts w:ascii="Arial" w:hAnsi="Arial" w:cs="Arial"/>
          <w:sz w:val="22"/>
          <w:szCs w:val="22"/>
        </w:rPr>
      </w:pPr>
      <w:r>
        <w:rPr>
          <w:rFonts w:ascii="Arial" w:hAnsi="Arial" w:cs="Arial"/>
          <w:sz w:val="22"/>
          <w:szCs w:val="22"/>
        </w:rPr>
        <w:t xml:space="preserve">To ensure that enrolment growth can be sustained it will be important to ensure that courses are accredited and recognised beyond Nauru’s borders </w:t>
      </w:r>
    </w:p>
    <w:p w:rsidR="00C44501" w:rsidRDefault="00C44501" w:rsidP="00C44501">
      <w:pPr>
        <w:numPr>
          <w:ilvl w:val="0"/>
          <w:numId w:val="50"/>
        </w:numPr>
        <w:jc w:val="both"/>
        <w:rPr>
          <w:rFonts w:ascii="Arial" w:hAnsi="Arial" w:cs="Arial"/>
          <w:sz w:val="22"/>
          <w:szCs w:val="22"/>
        </w:rPr>
      </w:pPr>
      <w:r>
        <w:rPr>
          <w:rFonts w:ascii="Arial" w:hAnsi="Arial" w:cs="Arial"/>
          <w:sz w:val="22"/>
          <w:szCs w:val="22"/>
        </w:rPr>
        <w:t xml:space="preserve">The Department of Education and Training (DET) has established a teacher upgrading programme.  There is strong uptake, with 70% of Nauruan teachers (122 out of 168) participating </w:t>
      </w:r>
    </w:p>
    <w:p w:rsidR="00C44501" w:rsidRDefault="00C44501" w:rsidP="00C44501">
      <w:pPr>
        <w:numPr>
          <w:ilvl w:val="1"/>
          <w:numId w:val="50"/>
        </w:numPr>
        <w:jc w:val="both"/>
        <w:rPr>
          <w:rFonts w:ascii="Arial" w:hAnsi="Arial" w:cs="Arial"/>
          <w:sz w:val="22"/>
          <w:szCs w:val="22"/>
        </w:rPr>
      </w:pPr>
      <w:r>
        <w:rPr>
          <w:rFonts w:ascii="Arial" w:hAnsi="Arial" w:cs="Arial"/>
          <w:sz w:val="22"/>
          <w:szCs w:val="22"/>
        </w:rPr>
        <w:t xml:space="preserve">In 2011, DET will identify suitable secondary level candidates for diploma and degree studies </w:t>
      </w:r>
    </w:p>
    <w:p w:rsidR="00C44501" w:rsidRDefault="00C44501" w:rsidP="00C44501">
      <w:pPr>
        <w:numPr>
          <w:ilvl w:val="0"/>
          <w:numId w:val="50"/>
        </w:numPr>
        <w:jc w:val="both"/>
        <w:rPr>
          <w:rFonts w:ascii="Arial" w:hAnsi="Arial" w:cs="Arial"/>
          <w:sz w:val="22"/>
          <w:szCs w:val="22"/>
        </w:rPr>
      </w:pPr>
      <w:r>
        <w:rPr>
          <w:rFonts w:ascii="Arial" w:hAnsi="Arial" w:cs="Arial"/>
          <w:sz w:val="22"/>
          <w:szCs w:val="22"/>
        </w:rPr>
        <w:t xml:space="preserve">DET plans a series of “back to school” initiatives, with a focus on the Learning Village” campus   </w:t>
      </w:r>
    </w:p>
    <w:p w:rsidR="00C44501" w:rsidRDefault="00C44501" w:rsidP="00C44501">
      <w:pPr>
        <w:numPr>
          <w:ilvl w:val="0"/>
          <w:numId w:val="50"/>
        </w:numPr>
        <w:jc w:val="both"/>
        <w:rPr>
          <w:rFonts w:ascii="Arial" w:hAnsi="Arial" w:cs="Arial"/>
          <w:sz w:val="22"/>
          <w:szCs w:val="22"/>
        </w:rPr>
      </w:pPr>
      <w:r>
        <w:rPr>
          <w:rFonts w:ascii="Arial" w:hAnsi="Arial" w:cs="Arial"/>
          <w:sz w:val="22"/>
          <w:szCs w:val="22"/>
        </w:rPr>
        <w:t>Targeted learning support strategies are planned for 2011. These include: scheduled study support sessions for students; and appointment  from within the current staff of a learning support teacher at NSS</w:t>
      </w:r>
    </w:p>
    <w:p w:rsidR="00C44501" w:rsidRDefault="00C44501" w:rsidP="00C44501">
      <w:pPr>
        <w:numPr>
          <w:ilvl w:val="0"/>
          <w:numId w:val="50"/>
        </w:numPr>
        <w:jc w:val="both"/>
        <w:rPr>
          <w:rFonts w:ascii="Arial" w:hAnsi="Arial" w:cs="Arial"/>
          <w:sz w:val="22"/>
          <w:szCs w:val="22"/>
        </w:rPr>
      </w:pPr>
      <w:r>
        <w:rPr>
          <w:rFonts w:ascii="Arial" w:hAnsi="Arial" w:cs="Arial"/>
          <w:sz w:val="22"/>
          <w:szCs w:val="22"/>
        </w:rPr>
        <w:t xml:space="preserve">Provision of targeted services for disabled children is a high priority in the Nauru </w:t>
      </w:r>
      <w:r w:rsidRPr="00111084">
        <w:rPr>
          <w:rFonts w:ascii="Arial" w:hAnsi="Arial" w:cs="Arial"/>
          <w:sz w:val="22"/>
          <w:szCs w:val="22"/>
        </w:rPr>
        <w:t>National Sustainable Development Strategy 2005 – 2015</w:t>
      </w:r>
      <w:r>
        <w:rPr>
          <w:rFonts w:ascii="Arial" w:hAnsi="Arial" w:cs="Arial"/>
          <w:sz w:val="22"/>
          <w:szCs w:val="22"/>
        </w:rPr>
        <w:t xml:space="preserve"> (also a Partnership indicator), as well as being a focus area within Nauru’s education sector strategic plan.  In 2011, the emphasis is on providing teachers and adequate facilities and resources at the Able/Disabled Centre. NSS has disabled access, allowing for a move to inclusive education in the longer term  </w:t>
      </w:r>
    </w:p>
    <w:p w:rsidR="00C44501" w:rsidRDefault="00C44501" w:rsidP="00C44501">
      <w:pPr>
        <w:numPr>
          <w:ilvl w:val="1"/>
          <w:numId w:val="50"/>
        </w:numPr>
        <w:jc w:val="both"/>
        <w:rPr>
          <w:rFonts w:ascii="Arial" w:hAnsi="Arial" w:cs="Arial"/>
          <w:sz w:val="22"/>
          <w:szCs w:val="22"/>
        </w:rPr>
      </w:pPr>
      <w:r>
        <w:rPr>
          <w:rFonts w:ascii="Arial" w:hAnsi="Arial" w:cs="Arial"/>
          <w:sz w:val="22"/>
          <w:szCs w:val="22"/>
        </w:rPr>
        <w:t xml:space="preserve">Current staff at the Able/Disabled Centre do not have specialised training. The provision of a trained special needs teacher to work with teachers at Able/Disabled Centre will see a customised curriculum developed along with targeted training for staff in pedagogical approaches for working with students with special needs and disabilities </w:t>
      </w:r>
    </w:p>
    <w:p w:rsidR="00C44501" w:rsidRPr="009156BE" w:rsidRDefault="00C44501" w:rsidP="00C44501">
      <w:pPr>
        <w:numPr>
          <w:ilvl w:val="0"/>
          <w:numId w:val="50"/>
        </w:numPr>
        <w:jc w:val="both"/>
        <w:rPr>
          <w:rFonts w:ascii="Arial" w:hAnsi="Arial" w:cs="Arial"/>
          <w:sz w:val="22"/>
          <w:szCs w:val="22"/>
        </w:rPr>
      </w:pPr>
      <w:r>
        <w:rPr>
          <w:rFonts w:ascii="Arial" w:hAnsi="Arial" w:cs="Arial"/>
          <w:sz w:val="22"/>
          <w:szCs w:val="22"/>
        </w:rPr>
        <w:t xml:space="preserve">In terms of financial systems, </w:t>
      </w:r>
      <w:r w:rsidRPr="009B4ED9">
        <w:rPr>
          <w:rFonts w:ascii="Arial" w:hAnsi="Arial" w:cs="Arial"/>
          <w:sz w:val="22"/>
          <w:szCs w:val="22"/>
        </w:rPr>
        <w:t xml:space="preserve">the planned </w:t>
      </w:r>
      <w:r>
        <w:rPr>
          <w:rFonts w:ascii="Arial" w:hAnsi="Arial" w:cs="Arial"/>
          <w:sz w:val="22"/>
          <w:szCs w:val="22"/>
        </w:rPr>
        <w:t>Department of Finance (DoF)</w:t>
      </w:r>
      <w:r w:rsidRPr="009B4ED9">
        <w:rPr>
          <w:rFonts w:ascii="Arial" w:hAnsi="Arial" w:cs="Arial"/>
          <w:sz w:val="22"/>
          <w:szCs w:val="22"/>
        </w:rPr>
        <w:t xml:space="preserve"> implementation of a new finance system, along with the development of new budget codes and proces</w:t>
      </w:r>
      <w:r>
        <w:rPr>
          <w:rFonts w:ascii="Arial" w:hAnsi="Arial" w:cs="Arial"/>
          <w:sz w:val="22"/>
          <w:szCs w:val="22"/>
        </w:rPr>
        <w:t>sing procedures within DET, will see enhanced financial reporting and tracking of expenditure against specified activities, as opposed to broad project headings.</w:t>
      </w:r>
      <w:r w:rsidRPr="00F05829">
        <w:rPr>
          <w:rFonts w:ascii="Arial" w:hAnsi="Arial"/>
          <w:color w:val="auto"/>
          <w:sz w:val="22"/>
        </w:rPr>
        <w:t xml:space="preserve"> The use of a monitoring and evaluation system in parallel with the processes associated with development, review and reporting o</w:t>
      </w:r>
      <w:r>
        <w:rPr>
          <w:rFonts w:ascii="Arial" w:hAnsi="Arial"/>
          <w:color w:val="auto"/>
          <w:sz w:val="22"/>
        </w:rPr>
        <w:t>f the DET Annual Operation Plan</w:t>
      </w:r>
      <w:r w:rsidRPr="00F05829">
        <w:rPr>
          <w:rFonts w:ascii="Arial" w:hAnsi="Arial"/>
          <w:color w:val="auto"/>
          <w:sz w:val="22"/>
        </w:rPr>
        <w:t>/Strategic Plan will help identify and mitigate these risks</w:t>
      </w:r>
    </w:p>
    <w:p w:rsidR="00C44501" w:rsidRDefault="00C44501" w:rsidP="00C44501">
      <w:pPr>
        <w:numPr>
          <w:ilvl w:val="0"/>
          <w:numId w:val="50"/>
        </w:numPr>
        <w:jc w:val="both"/>
        <w:rPr>
          <w:rFonts w:ascii="Arial" w:hAnsi="Arial" w:cs="Arial"/>
          <w:sz w:val="22"/>
          <w:szCs w:val="22"/>
        </w:rPr>
      </w:pPr>
      <w:r w:rsidRPr="008C6429">
        <w:rPr>
          <w:rFonts w:ascii="Arial" w:hAnsi="Arial" w:cs="Arial"/>
          <w:i/>
          <w:sz w:val="22"/>
          <w:szCs w:val="22"/>
        </w:rPr>
        <w:t>Footpath II</w:t>
      </w:r>
      <w:r>
        <w:rPr>
          <w:rFonts w:ascii="Arial" w:hAnsi="Arial" w:cs="Arial"/>
          <w:sz w:val="22"/>
          <w:szCs w:val="22"/>
        </w:rPr>
        <w:t xml:space="preserve"> </w:t>
      </w:r>
      <w:r w:rsidRPr="008C6429">
        <w:rPr>
          <w:rFonts w:ascii="Arial" w:hAnsi="Arial" w:cs="Arial"/>
          <w:sz w:val="22"/>
          <w:szCs w:val="22"/>
        </w:rPr>
        <w:t xml:space="preserve">outlines </w:t>
      </w:r>
      <w:r w:rsidRPr="00476AA7">
        <w:rPr>
          <w:rFonts w:ascii="Arial" w:hAnsi="Arial" w:cs="Arial"/>
          <w:sz w:val="22"/>
          <w:szCs w:val="22"/>
        </w:rPr>
        <w:t>a clear vision for the education sector, strategies to achieve that vision and performance indicators to help measure progress against the baseline statistics</w:t>
      </w:r>
      <w:r>
        <w:rPr>
          <w:rFonts w:ascii="Arial" w:hAnsi="Arial" w:cs="Arial"/>
          <w:sz w:val="22"/>
          <w:szCs w:val="22"/>
        </w:rPr>
        <w:t xml:space="preserve">. This plan has recently been reviewed to ensure currency and relevance of </w:t>
      </w:r>
      <w:r>
        <w:rPr>
          <w:rFonts w:ascii="Arial" w:hAnsi="Arial" w:cs="Arial"/>
          <w:sz w:val="22"/>
          <w:szCs w:val="22"/>
        </w:rPr>
        <w:lastRenderedPageBreak/>
        <w:t>strategies and indicators</w:t>
      </w:r>
      <w:r w:rsidRPr="00F05829">
        <w:rPr>
          <w:rFonts w:ascii="Arial" w:hAnsi="Arial"/>
          <w:color w:val="auto"/>
          <w:sz w:val="22"/>
        </w:rPr>
        <w:t>.</w:t>
      </w:r>
      <w:r>
        <w:rPr>
          <w:rFonts w:ascii="Arial" w:hAnsi="Arial"/>
          <w:color w:val="auto"/>
          <w:sz w:val="22"/>
        </w:rPr>
        <w:t xml:space="preserve"> An Education Policy is under development.</w:t>
      </w:r>
      <w:r>
        <w:rPr>
          <w:rFonts w:ascii="Arial" w:hAnsi="Arial" w:cs="Arial"/>
          <w:sz w:val="22"/>
          <w:szCs w:val="22"/>
        </w:rPr>
        <w:br/>
      </w:r>
    </w:p>
    <w:p w:rsidR="00C44501" w:rsidRPr="00F05829" w:rsidRDefault="00C44501" w:rsidP="00C44501">
      <w:pPr>
        <w:jc w:val="both"/>
        <w:rPr>
          <w:rFonts w:ascii="Arial" w:hAnsi="Arial"/>
          <w:color w:val="auto"/>
          <w:sz w:val="22"/>
        </w:rPr>
      </w:pPr>
      <w:r>
        <w:rPr>
          <w:rFonts w:ascii="Arial" w:hAnsi="Arial"/>
          <w:color w:val="auto"/>
          <w:sz w:val="22"/>
        </w:rPr>
        <w:t xml:space="preserve">While these initiatives </w:t>
      </w:r>
      <w:r>
        <w:rPr>
          <w:rFonts w:ascii="Arial" w:hAnsi="Arial" w:cs="Arial"/>
          <w:sz w:val="22"/>
          <w:szCs w:val="22"/>
        </w:rPr>
        <w:t xml:space="preserve">articulate a program of sector development, </w:t>
      </w:r>
      <w:r w:rsidRPr="00476AA7">
        <w:rPr>
          <w:rFonts w:ascii="Arial" w:hAnsi="Arial" w:cs="Arial"/>
          <w:sz w:val="22"/>
          <w:szCs w:val="22"/>
        </w:rPr>
        <w:t xml:space="preserve">Nauru </w:t>
      </w:r>
      <w:r>
        <w:rPr>
          <w:rFonts w:ascii="Arial" w:hAnsi="Arial" w:cs="Arial"/>
          <w:sz w:val="22"/>
          <w:szCs w:val="22"/>
        </w:rPr>
        <w:t xml:space="preserve">is in the early stages of establishing the reforms necessary to revitalize the sector and to meet MDG targets and NSDS </w:t>
      </w:r>
      <w:r w:rsidRPr="00476AA7">
        <w:rPr>
          <w:rFonts w:ascii="Arial" w:hAnsi="Arial" w:cs="Arial"/>
          <w:sz w:val="22"/>
          <w:szCs w:val="22"/>
        </w:rPr>
        <w:t>aspirations</w:t>
      </w:r>
      <w:r>
        <w:rPr>
          <w:rFonts w:ascii="Arial" w:hAnsi="Arial" w:cs="Arial"/>
          <w:sz w:val="22"/>
          <w:szCs w:val="22"/>
        </w:rPr>
        <w:t xml:space="preserve">. </w:t>
      </w:r>
      <w:r w:rsidRPr="00476AA7">
        <w:rPr>
          <w:rFonts w:ascii="Arial" w:hAnsi="Arial" w:cs="Arial"/>
          <w:sz w:val="22"/>
          <w:szCs w:val="22"/>
        </w:rPr>
        <w:t xml:space="preserve"> </w:t>
      </w:r>
      <w:r>
        <w:rPr>
          <w:rFonts w:ascii="Arial" w:hAnsi="Arial" w:cs="Arial"/>
          <w:sz w:val="22"/>
          <w:szCs w:val="22"/>
        </w:rPr>
        <w:t>Considerable on-going Development Partner support will be needed to build and sustain capacity if Nauru is to meet its policy objectives.</w:t>
      </w:r>
      <w:r w:rsidRPr="00476AA7">
        <w:rPr>
          <w:rFonts w:ascii="Arial" w:hAnsi="Arial" w:cs="Arial"/>
          <w:sz w:val="22"/>
          <w:szCs w:val="22"/>
        </w:rPr>
        <w:t xml:space="preserve"> </w:t>
      </w:r>
      <w:r w:rsidRPr="00265D79">
        <w:rPr>
          <w:rFonts w:ascii="Arial" w:hAnsi="Arial"/>
          <w:color w:val="auto"/>
          <w:sz w:val="22"/>
        </w:rPr>
        <w:t xml:space="preserve">Given the wide-ranging resource needs in the education sector and Nauru’s limited resources overall, it is unlikely that Government can sustain any increases in education funding. </w:t>
      </w:r>
      <w:r w:rsidRPr="00F05829">
        <w:rPr>
          <w:rFonts w:ascii="Arial" w:hAnsi="Arial"/>
          <w:color w:val="auto"/>
          <w:sz w:val="22"/>
        </w:rPr>
        <w:t>Identifying alternative educational resources, funding options and operational efficiencies is therefore a priority for the Partnership.</w:t>
      </w:r>
    </w:p>
    <w:p w:rsidR="00C44501" w:rsidRPr="00F05829" w:rsidRDefault="00C44501" w:rsidP="00C44501">
      <w:pPr>
        <w:jc w:val="both"/>
        <w:rPr>
          <w:rFonts w:ascii="Arial" w:hAnsi="Arial"/>
          <w:color w:val="auto"/>
          <w:sz w:val="22"/>
        </w:rPr>
      </w:pPr>
    </w:p>
    <w:p w:rsidR="00C44501" w:rsidRDefault="00C44501" w:rsidP="00C44501">
      <w:pPr>
        <w:numPr>
          <w:ilvl w:val="0"/>
          <w:numId w:val="1"/>
        </w:numPr>
        <w:tabs>
          <w:tab w:val="clear" w:pos="720"/>
          <w:tab w:val="num" w:pos="142"/>
        </w:tabs>
        <w:ind w:hanging="578"/>
        <w:jc w:val="both"/>
        <w:rPr>
          <w:rFonts w:ascii="Arial Bold" w:hAnsi="Arial Bold"/>
          <w:color w:val="auto"/>
          <w:sz w:val="22"/>
        </w:rPr>
      </w:pPr>
      <w:r>
        <w:rPr>
          <w:rFonts w:ascii="Arial Bold" w:hAnsi="Arial Bold"/>
          <w:color w:val="auto"/>
          <w:sz w:val="22"/>
        </w:rPr>
        <w:t>Priority Areas for Partnership Support</w:t>
      </w:r>
    </w:p>
    <w:p w:rsidR="00C44501" w:rsidRPr="00F05829" w:rsidRDefault="00C44501" w:rsidP="00C44501">
      <w:pPr>
        <w:jc w:val="both"/>
        <w:rPr>
          <w:rFonts w:ascii="Arial Bold" w:hAnsi="Arial Bold"/>
          <w:color w:val="auto"/>
          <w:sz w:val="22"/>
        </w:rPr>
      </w:pPr>
    </w:p>
    <w:p w:rsidR="00C44501" w:rsidRPr="00F05829" w:rsidRDefault="00C44501" w:rsidP="00C44501">
      <w:pPr>
        <w:jc w:val="both"/>
        <w:rPr>
          <w:rFonts w:ascii="Arial" w:hAnsi="Arial"/>
          <w:color w:val="auto"/>
          <w:sz w:val="22"/>
        </w:rPr>
      </w:pPr>
      <w:r w:rsidRPr="00F05829">
        <w:rPr>
          <w:rFonts w:ascii="Arial" w:hAnsi="Arial"/>
          <w:color w:val="auto"/>
          <w:sz w:val="22"/>
        </w:rPr>
        <w:t xml:space="preserve">To meet joint commitments agreed under this Partnership Strategy, Australia will work with GoN to increase </w:t>
      </w:r>
      <w:r w:rsidRPr="00F05829">
        <w:rPr>
          <w:rFonts w:ascii="Arial" w:hAnsi="Arial"/>
          <w:b/>
          <w:color w:val="auto"/>
          <w:sz w:val="22"/>
        </w:rPr>
        <w:t>net enrolment and completion rates</w:t>
      </w:r>
      <w:r w:rsidRPr="00F05829">
        <w:rPr>
          <w:rFonts w:ascii="Arial" w:hAnsi="Arial"/>
          <w:color w:val="auto"/>
          <w:sz w:val="22"/>
        </w:rPr>
        <w:t xml:space="preserve"> for primary and secondary students.  At the secondary and post secondary level, Australia will support enrolment in and completion of accredited, quality-assured professional, technical and vocational education and training, including in courses provided by the Nauru Secondary School (NSS).</w:t>
      </w:r>
    </w:p>
    <w:p w:rsidR="00C44501" w:rsidRPr="00F05829" w:rsidRDefault="00C44501" w:rsidP="00C44501">
      <w:pPr>
        <w:jc w:val="both"/>
        <w:rPr>
          <w:rFonts w:ascii="Arial" w:hAnsi="Arial"/>
          <w:color w:val="auto"/>
          <w:sz w:val="22"/>
        </w:rPr>
      </w:pPr>
    </w:p>
    <w:p w:rsidR="00C44501" w:rsidRPr="00F05829" w:rsidRDefault="00C44501" w:rsidP="00C44501">
      <w:pPr>
        <w:jc w:val="both"/>
        <w:rPr>
          <w:rFonts w:ascii="Arial" w:hAnsi="Arial"/>
          <w:color w:val="auto"/>
          <w:sz w:val="22"/>
        </w:rPr>
      </w:pPr>
      <w:r w:rsidRPr="00F05829">
        <w:rPr>
          <w:rFonts w:ascii="Arial" w:hAnsi="Arial"/>
          <w:color w:val="auto"/>
          <w:sz w:val="22"/>
        </w:rPr>
        <w:t xml:space="preserve">Australia will support GoN to improve </w:t>
      </w:r>
      <w:r w:rsidRPr="00F05829">
        <w:rPr>
          <w:rFonts w:ascii="Arial Bold" w:hAnsi="Arial Bold"/>
          <w:color w:val="auto"/>
          <w:sz w:val="22"/>
        </w:rPr>
        <w:t xml:space="preserve">the Quality of Primary and Secondary Schooling </w:t>
      </w:r>
      <w:r w:rsidRPr="00F05829">
        <w:rPr>
          <w:rFonts w:ascii="Arial" w:hAnsi="Arial" w:cs="Arial"/>
          <w:color w:val="auto"/>
          <w:sz w:val="22"/>
        </w:rPr>
        <w:t>in Nauru.</w:t>
      </w:r>
      <w:r w:rsidRPr="00F05829">
        <w:rPr>
          <w:rFonts w:ascii="Arial Bold" w:hAnsi="Arial Bold"/>
          <w:color w:val="auto"/>
          <w:sz w:val="22"/>
        </w:rPr>
        <w:t xml:space="preserve"> </w:t>
      </w:r>
      <w:r w:rsidRPr="00F05829">
        <w:rPr>
          <w:rFonts w:ascii="Arial" w:hAnsi="Arial"/>
          <w:color w:val="auto"/>
          <w:sz w:val="22"/>
        </w:rPr>
        <w:t xml:space="preserve">Both GoN and GoA place a high priority on improving student learning outcomes and increasing achievement in literacy and numeracy (particularly in the early primary years).  These targets will be met through increased attention to teacher quality and supply issues.  </w:t>
      </w:r>
      <w:r>
        <w:rPr>
          <w:rFonts w:ascii="Arial" w:hAnsi="Arial" w:cs="Arial"/>
          <w:sz w:val="22"/>
          <w:szCs w:val="22"/>
        </w:rPr>
        <w:t xml:space="preserve">Australia will support GoN’s efforts to consolidate core curriculum and review the use of Rich Tasks as just one strategy through which to deliver core curriculum. </w:t>
      </w:r>
      <w:r>
        <w:rPr>
          <w:sz w:val="22"/>
          <w:szCs w:val="22"/>
          <w:lang w:val="en-GB"/>
        </w:rPr>
        <w:t xml:space="preserve"> </w:t>
      </w:r>
      <w:r w:rsidRPr="00890418">
        <w:rPr>
          <w:rFonts w:ascii="Arial" w:hAnsi="Arial" w:cs="Arial"/>
          <w:sz w:val="22"/>
          <w:szCs w:val="22"/>
        </w:rPr>
        <w:t>Rich tasks are a set of assessable and reportable outcomes of a curriculum plan.</w:t>
      </w:r>
      <w:r w:rsidRPr="00F05829">
        <w:rPr>
          <w:rFonts w:ascii="Arial" w:hAnsi="Arial"/>
          <w:color w:val="auto"/>
          <w:sz w:val="22"/>
        </w:rPr>
        <w:t xml:space="preserve"> </w:t>
      </w:r>
      <w:r w:rsidRPr="00F05829">
        <w:rPr>
          <w:color w:val="auto"/>
          <w:sz w:val="22"/>
          <w:lang w:val="en-GB"/>
        </w:rPr>
        <w:t xml:space="preserve"> </w:t>
      </w:r>
    </w:p>
    <w:p w:rsidR="00C44501" w:rsidRPr="00F05829" w:rsidRDefault="00C44501" w:rsidP="00C44501">
      <w:pPr>
        <w:jc w:val="both"/>
        <w:rPr>
          <w:rFonts w:ascii="Arial" w:hAnsi="Arial"/>
          <w:color w:val="auto"/>
          <w:sz w:val="22"/>
        </w:rPr>
      </w:pPr>
    </w:p>
    <w:p w:rsidR="00C44501" w:rsidRPr="00F05829" w:rsidRDefault="00C44501" w:rsidP="00C44501">
      <w:pPr>
        <w:jc w:val="both"/>
        <w:rPr>
          <w:rFonts w:ascii="Arial" w:hAnsi="Arial"/>
          <w:color w:val="auto"/>
          <w:sz w:val="22"/>
        </w:rPr>
      </w:pPr>
      <w:r w:rsidRPr="00F05829">
        <w:rPr>
          <w:rFonts w:ascii="Arial" w:hAnsi="Arial" w:cs="Arial"/>
          <w:color w:val="auto"/>
          <w:sz w:val="22"/>
          <w:lang w:val="en-GB"/>
        </w:rPr>
        <w:t xml:space="preserve">Australia will continue to assist GoN to </w:t>
      </w:r>
      <w:r w:rsidRPr="00F05829">
        <w:rPr>
          <w:rFonts w:ascii="Arial" w:hAnsi="Arial"/>
          <w:color w:val="auto"/>
          <w:sz w:val="22"/>
        </w:rPr>
        <w:t xml:space="preserve">provide </w:t>
      </w:r>
      <w:r w:rsidRPr="00F05829">
        <w:rPr>
          <w:rFonts w:ascii="Arial" w:hAnsi="Arial"/>
          <w:b/>
          <w:color w:val="auto"/>
          <w:sz w:val="22"/>
        </w:rPr>
        <w:t>targeted education for those with disabilities,</w:t>
      </w:r>
      <w:r w:rsidRPr="00F05829">
        <w:rPr>
          <w:rFonts w:ascii="Arial" w:hAnsi="Arial"/>
          <w:color w:val="auto"/>
          <w:sz w:val="22"/>
        </w:rPr>
        <w:t xml:space="preserve"> and will help establish the newly opened NSS as Nauru’s </w:t>
      </w:r>
      <w:r w:rsidRPr="00F05829">
        <w:rPr>
          <w:rFonts w:ascii="Arial Italic" w:hAnsi="Arial Italic"/>
          <w:color w:val="auto"/>
          <w:sz w:val="22"/>
        </w:rPr>
        <w:t>Learning Village</w:t>
      </w:r>
      <w:r w:rsidRPr="00F05829">
        <w:rPr>
          <w:rFonts w:ascii="Arial" w:hAnsi="Arial"/>
          <w:color w:val="auto"/>
          <w:sz w:val="22"/>
        </w:rPr>
        <w:t xml:space="preserve"> (a campus designed for secondary education</w:t>
      </w:r>
      <w:r>
        <w:rPr>
          <w:rFonts w:ascii="Arial" w:hAnsi="Arial"/>
          <w:color w:val="auto"/>
          <w:sz w:val="22"/>
        </w:rPr>
        <w:t>,</w:t>
      </w:r>
      <w:r w:rsidRPr="00F05829">
        <w:rPr>
          <w:rFonts w:ascii="Arial" w:hAnsi="Arial"/>
          <w:color w:val="auto"/>
          <w:sz w:val="22"/>
        </w:rPr>
        <w:t xml:space="preserve"> youth and adult education).  In addition, the introduction of Minimum Service Standards (MSS) will help assess the quality of primary and secondary education through GoN</w:t>
      </w:r>
      <w:r>
        <w:rPr>
          <w:rFonts w:ascii="Arial" w:hAnsi="Arial"/>
          <w:color w:val="auto"/>
          <w:sz w:val="22"/>
        </w:rPr>
        <w:t>-</w:t>
      </w:r>
      <w:r w:rsidRPr="00F05829">
        <w:rPr>
          <w:rFonts w:ascii="Arial" w:hAnsi="Arial"/>
          <w:color w:val="auto"/>
          <w:sz w:val="22"/>
        </w:rPr>
        <w:t>determined standards for teachers, teaching practices, curriculum, facilities, leadership, and student achievement.</w:t>
      </w:r>
    </w:p>
    <w:p w:rsidR="00C44501" w:rsidRPr="00F05829" w:rsidRDefault="00C44501" w:rsidP="00C44501">
      <w:pPr>
        <w:jc w:val="both"/>
        <w:rPr>
          <w:rFonts w:ascii="Arial" w:hAnsi="Arial"/>
          <w:color w:val="auto"/>
          <w:sz w:val="22"/>
        </w:rPr>
      </w:pPr>
    </w:p>
    <w:p w:rsidR="00C44501" w:rsidRDefault="00C44501" w:rsidP="00C44501">
      <w:pPr>
        <w:jc w:val="both"/>
        <w:rPr>
          <w:rFonts w:ascii="Arial" w:hAnsi="Arial" w:cs="Arial"/>
          <w:sz w:val="22"/>
          <w:szCs w:val="22"/>
        </w:rPr>
      </w:pPr>
      <w:r w:rsidRPr="00F05829">
        <w:rPr>
          <w:rFonts w:ascii="Arial" w:hAnsi="Arial"/>
          <w:color w:val="auto"/>
          <w:sz w:val="22"/>
        </w:rPr>
        <w:t xml:space="preserve">Australia and Nauru will work together to strengthen and sustain the “multiple footpaths” approach to teaching qualifications and training being offered in Nauru. This approach </w:t>
      </w:r>
      <w:r>
        <w:rPr>
          <w:rFonts w:ascii="Arial" w:hAnsi="Arial"/>
          <w:color w:val="auto"/>
          <w:sz w:val="22"/>
        </w:rPr>
        <w:t xml:space="preserve">will support </w:t>
      </w:r>
      <w:r w:rsidRPr="00F05829">
        <w:rPr>
          <w:rFonts w:ascii="Arial" w:hAnsi="Arial"/>
          <w:color w:val="auto"/>
          <w:sz w:val="22"/>
        </w:rPr>
        <w:t xml:space="preserve">the teaching workforce </w:t>
      </w:r>
      <w:r>
        <w:rPr>
          <w:rFonts w:ascii="Arial" w:hAnsi="Arial"/>
          <w:color w:val="auto"/>
          <w:sz w:val="22"/>
        </w:rPr>
        <w:t>to gain relevant teaching</w:t>
      </w:r>
      <w:r w:rsidRPr="00F05829">
        <w:rPr>
          <w:rFonts w:ascii="Arial" w:hAnsi="Arial"/>
          <w:color w:val="auto"/>
          <w:sz w:val="22"/>
        </w:rPr>
        <w:t xml:space="preserve"> qualifications</w:t>
      </w:r>
      <w:r>
        <w:rPr>
          <w:rFonts w:ascii="Arial" w:hAnsi="Arial"/>
          <w:color w:val="auto"/>
          <w:sz w:val="22"/>
        </w:rPr>
        <w:t>, through</w:t>
      </w:r>
      <w:r w:rsidRPr="00F05829">
        <w:rPr>
          <w:rFonts w:ascii="Arial" w:hAnsi="Arial"/>
          <w:color w:val="auto"/>
          <w:sz w:val="22"/>
        </w:rPr>
        <w:t xml:space="preserve"> a range of </w:t>
      </w:r>
      <w:r w:rsidRPr="00F05829">
        <w:rPr>
          <w:rFonts w:ascii="Arial" w:hAnsi="Arial"/>
          <w:b/>
          <w:color w:val="auto"/>
          <w:sz w:val="22"/>
        </w:rPr>
        <w:t>training programs</w:t>
      </w:r>
      <w:r w:rsidRPr="00F05829">
        <w:rPr>
          <w:rFonts w:ascii="Arial" w:hAnsi="Arial"/>
          <w:color w:val="auto"/>
          <w:sz w:val="22"/>
        </w:rPr>
        <w:t>. These multiple footpaths include the UNESCO training program (whereby Kiribati Teacher’s College will provide accreditation) and the University of South Pacific (USP) Fast Track Training Program where candidates are eligible for a certificate</w:t>
      </w:r>
      <w:r>
        <w:rPr>
          <w:rFonts w:ascii="Arial" w:hAnsi="Arial"/>
          <w:color w:val="auto"/>
          <w:sz w:val="22"/>
        </w:rPr>
        <w:t xml:space="preserve"> issued from Kiribati Teacher’s College.</w:t>
      </w:r>
      <w:r w:rsidRPr="00F05829">
        <w:rPr>
          <w:rFonts w:ascii="Arial" w:hAnsi="Arial"/>
          <w:color w:val="auto"/>
          <w:sz w:val="22"/>
        </w:rPr>
        <w:t xml:space="preserve"> Those next on the qualifications ladder (those with certificates) </w:t>
      </w:r>
      <w:r>
        <w:rPr>
          <w:rFonts w:ascii="Arial" w:hAnsi="Arial"/>
          <w:color w:val="auto"/>
          <w:sz w:val="22"/>
        </w:rPr>
        <w:t xml:space="preserve">will </w:t>
      </w:r>
      <w:r w:rsidRPr="00F05829">
        <w:rPr>
          <w:rFonts w:ascii="Arial" w:hAnsi="Arial"/>
          <w:color w:val="auto"/>
          <w:sz w:val="22"/>
        </w:rPr>
        <w:t xml:space="preserve">have the opportunity to seek a Diploma through Divine Word </w:t>
      </w:r>
      <w:r>
        <w:rPr>
          <w:rFonts w:ascii="Arial" w:hAnsi="Arial"/>
          <w:color w:val="auto"/>
          <w:sz w:val="22"/>
        </w:rPr>
        <w:t xml:space="preserve">University </w:t>
      </w:r>
      <w:r w:rsidRPr="00F05829">
        <w:rPr>
          <w:rFonts w:ascii="Arial" w:hAnsi="Arial"/>
          <w:color w:val="auto"/>
          <w:sz w:val="22"/>
        </w:rPr>
        <w:t xml:space="preserve">or USP, with Bachelor Degrees available from Divine Word University. </w:t>
      </w:r>
      <w:r>
        <w:rPr>
          <w:rFonts w:ascii="Arial" w:hAnsi="Arial"/>
          <w:color w:val="auto"/>
          <w:sz w:val="22"/>
        </w:rPr>
        <w:t xml:space="preserve"> </w:t>
      </w:r>
      <w:r>
        <w:rPr>
          <w:rFonts w:ascii="Arial" w:hAnsi="Arial" w:cs="Arial"/>
          <w:sz w:val="22"/>
          <w:szCs w:val="22"/>
        </w:rPr>
        <w:t xml:space="preserve">These various training programs are multi-modal, delivered face-to-face and via self-paced learning modules. A school based practicum is undertaken as part of course requirements.  </w:t>
      </w:r>
    </w:p>
    <w:p w:rsidR="00C44501" w:rsidRDefault="00C44501" w:rsidP="00C44501">
      <w:pPr>
        <w:jc w:val="both"/>
        <w:rPr>
          <w:rFonts w:ascii="Arial" w:hAnsi="Arial" w:cs="Arial"/>
          <w:sz w:val="22"/>
          <w:szCs w:val="22"/>
        </w:rPr>
      </w:pPr>
    </w:p>
    <w:p w:rsidR="00C44501" w:rsidRDefault="00C44501" w:rsidP="00C44501">
      <w:pPr>
        <w:rPr>
          <w:rFonts w:ascii="Arial" w:hAnsi="Arial"/>
          <w:color w:val="auto"/>
          <w:sz w:val="22"/>
        </w:rPr>
      </w:pPr>
      <w:r>
        <w:rPr>
          <w:rFonts w:ascii="Arial" w:hAnsi="Arial" w:cs="Arial"/>
          <w:sz w:val="22"/>
          <w:szCs w:val="22"/>
        </w:rPr>
        <w:t xml:space="preserve">Attention will be paid to attracting and placing a new generation of younger, qualified teachers into the system and to increasing the </w:t>
      </w:r>
      <w:r w:rsidRPr="00D64827">
        <w:rPr>
          <w:rFonts w:ascii="Arial" w:hAnsi="Arial" w:cs="Arial"/>
          <w:sz w:val="22"/>
          <w:szCs w:val="22"/>
        </w:rPr>
        <w:t xml:space="preserve">number of </w:t>
      </w:r>
      <w:r>
        <w:rPr>
          <w:rFonts w:ascii="Arial" w:hAnsi="Arial" w:cs="Arial"/>
          <w:sz w:val="22"/>
          <w:szCs w:val="22"/>
        </w:rPr>
        <w:t xml:space="preserve">trained </w:t>
      </w:r>
      <w:r w:rsidRPr="00D64827">
        <w:rPr>
          <w:rFonts w:ascii="Arial" w:hAnsi="Arial" w:cs="Arial"/>
          <w:sz w:val="22"/>
          <w:szCs w:val="22"/>
        </w:rPr>
        <w:t>secondary teachers with specialist qualifications</w:t>
      </w:r>
      <w:r>
        <w:rPr>
          <w:rFonts w:ascii="Arial" w:hAnsi="Arial" w:cs="Arial"/>
          <w:sz w:val="22"/>
          <w:szCs w:val="22"/>
        </w:rPr>
        <w:t xml:space="preserve">. </w:t>
      </w:r>
      <w:r w:rsidRPr="00F05829">
        <w:rPr>
          <w:rFonts w:ascii="Arial" w:hAnsi="Arial"/>
          <w:color w:val="auto"/>
          <w:sz w:val="22"/>
        </w:rPr>
        <w:t xml:space="preserve">Greater access for Nauru’s students and teachers to regional </w:t>
      </w:r>
      <w:r w:rsidRPr="00F05829">
        <w:rPr>
          <w:rFonts w:ascii="Arial" w:hAnsi="Arial"/>
          <w:b/>
          <w:color w:val="auto"/>
          <w:sz w:val="22"/>
        </w:rPr>
        <w:t>scholarships</w:t>
      </w:r>
      <w:r w:rsidRPr="00F05829">
        <w:rPr>
          <w:rFonts w:ascii="Arial" w:hAnsi="Arial"/>
          <w:color w:val="auto"/>
          <w:sz w:val="22"/>
        </w:rPr>
        <w:t xml:space="preserve"> (ARDS, ALA, AFA)</w:t>
      </w:r>
      <w:r>
        <w:rPr>
          <w:rFonts w:ascii="Arial" w:hAnsi="Arial"/>
          <w:color w:val="auto"/>
          <w:sz w:val="22"/>
        </w:rPr>
        <w:t>,</w:t>
      </w:r>
      <w:r w:rsidRPr="00F05829">
        <w:rPr>
          <w:rFonts w:ascii="Arial" w:hAnsi="Arial"/>
          <w:color w:val="auto"/>
          <w:sz w:val="22"/>
        </w:rPr>
        <w:t xml:space="preserve"> as well as short term training opportunities</w:t>
      </w:r>
      <w:r>
        <w:rPr>
          <w:rFonts w:ascii="Arial" w:hAnsi="Arial"/>
          <w:color w:val="auto"/>
          <w:sz w:val="22"/>
        </w:rPr>
        <w:t>,</w:t>
      </w:r>
      <w:r w:rsidRPr="00F05829">
        <w:rPr>
          <w:rFonts w:ascii="Arial" w:hAnsi="Arial"/>
          <w:color w:val="auto"/>
          <w:sz w:val="22"/>
        </w:rPr>
        <w:t xml:space="preserve"> </w:t>
      </w:r>
      <w:r>
        <w:rPr>
          <w:rFonts w:ascii="Arial" w:hAnsi="Arial"/>
          <w:color w:val="auto"/>
          <w:sz w:val="22"/>
        </w:rPr>
        <w:t>will provide</w:t>
      </w:r>
      <w:r w:rsidR="00A70C94">
        <w:rPr>
          <w:rFonts w:ascii="Arial" w:hAnsi="Arial"/>
          <w:color w:val="auto"/>
          <w:sz w:val="22"/>
        </w:rPr>
        <w:t xml:space="preserve"> </w:t>
      </w:r>
      <w:r w:rsidRPr="00F05829">
        <w:rPr>
          <w:rFonts w:ascii="Arial" w:hAnsi="Arial"/>
          <w:color w:val="auto"/>
          <w:sz w:val="22"/>
        </w:rPr>
        <w:t xml:space="preserve">useful </w:t>
      </w:r>
      <w:r w:rsidRPr="00F05829">
        <w:rPr>
          <w:rFonts w:ascii="Arial" w:hAnsi="Arial"/>
          <w:b/>
          <w:color w:val="auto"/>
          <w:sz w:val="22"/>
        </w:rPr>
        <w:t>capacity building</w:t>
      </w:r>
      <w:r w:rsidRPr="00F05829">
        <w:rPr>
          <w:rFonts w:ascii="Arial" w:hAnsi="Arial"/>
          <w:color w:val="auto"/>
          <w:sz w:val="22"/>
        </w:rPr>
        <w:t xml:space="preserve">. </w:t>
      </w:r>
      <w:r>
        <w:rPr>
          <w:rFonts w:ascii="Arial" w:hAnsi="Arial"/>
          <w:color w:val="auto"/>
          <w:sz w:val="22"/>
        </w:rPr>
        <w:t xml:space="preserve">Under the Partnership agreement a range of flexible opportunities will be explored so that </w:t>
      </w:r>
      <w:r w:rsidRPr="005D1D5E">
        <w:rPr>
          <w:rFonts w:ascii="Arial" w:hAnsi="Arial"/>
          <w:color w:val="auto"/>
          <w:sz w:val="22"/>
        </w:rPr>
        <w:t>scholarships more effectively m</w:t>
      </w:r>
      <w:r>
        <w:rPr>
          <w:rFonts w:ascii="Arial" w:hAnsi="Arial"/>
          <w:color w:val="auto"/>
          <w:sz w:val="22"/>
        </w:rPr>
        <w:t>eets identified needs and align</w:t>
      </w:r>
      <w:r w:rsidRPr="005D1D5E">
        <w:rPr>
          <w:rFonts w:ascii="Arial" w:hAnsi="Arial"/>
          <w:color w:val="auto"/>
          <w:sz w:val="22"/>
        </w:rPr>
        <w:t xml:space="preserve"> with strategic plans. It is suggested that </w:t>
      </w:r>
      <w:r>
        <w:rPr>
          <w:rFonts w:ascii="Arial" w:hAnsi="Arial"/>
          <w:color w:val="auto"/>
          <w:sz w:val="22"/>
        </w:rPr>
        <w:t>the provision of</w:t>
      </w:r>
      <w:r w:rsidRPr="005D1D5E">
        <w:rPr>
          <w:rFonts w:ascii="Arial" w:hAnsi="Arial"/>
          <w:color w:val="auto"/>
          <w:sz w:val="22"/>
        </w:rPr>
        <w:t xml:space="preserve"> training opportunities suc</w:t>
      </w:r>
      <w:r>
        <w:rPr>
          <w:rFonts w:ascii="Arial" w:hAnsi="Arial"/>
          <w:color w:val="auto"/>
          <w:sz w:val="22"/>
        </w:rPr>
        <w:t>h as placement of</w:t>
      </w:r>
      <w:r w:rsidRPr="005D1D5E">
        <w:rPr>
          <w:rFonts w:ascii="Arial" w:hAnsi="Arial"/>
          <w:color w:val="auto"/>
          <w:sz w:val="22"/>
        </w:rPr>
        <w:t xml:space="preserve"> students in TVET institutions in Australia </w:t>
      </w:r>
      <w:r>
        <w:rPr>
          <w:rFonts w:ascii="Arial" w:hAnsi="Arial"/>
          <w:color w:val="auto"/>
          <w:sz w:val="22"/>
        </w:rPr>
        <w:t xml:space="preserve">or the region </w:t>
      </w:r>
      <w:r w:rsidRPr="005D1D5E">
        <w:rPr>
          <w:rFonts w:ascii="Arial" w:hAnsi="Arial"/>
          <w:color w:val="auto"/>
          <w:sz w:val="22"/>
        </w:rPr>
        <w:t xml:space="preserve">for areas of trade not available via </w:t>
      </w:r>
      <w:r w:rsidRPr="005D1D5E">
        <w:rPr>
          <w:rFonts w:ascii="Arial" w:hAnsi="Arial"/>
          <w:color w:val="auto"/>
          <w:sz w:val="22"/>
        </w:rPr>
        <w:lastRenderedPageBreak/>
        <w:t>NSS or APTC. This might</w:t>
      </w:r>
      <w:r>
        <w:t xml:space="preserve"> </w:t>
      </w:r>
      <w:r w:rsidRPr="005D1D5E">
        <w:rPr>
          <w:rFonts w:ascii="Arial" w:hAnsi="Arial"/>
          <w:color w:val="auto"/>
          <w:sz w:val="22"/>
        </w:rPr>
        <w:t>take the form of school based apprenticeships or traineeships through these organisati</w:t>
      </w:r>
      <w:r>
        <w:rPr>
          <w:rFonts w:ascii="Arial" w:hAnsi="Arial"/>
          <w:color w:val="auto"/>
          <w:sz w:val="22"/>
        </w:rPr>
        <w:t>ons.</w:t>
      </w:r>
    </w:p>
    <w:p w:rsidR="00C44501" w:rsidRPr="005D1D5E" w:rsidRDefault="00C44501" w:rsidP="00C44501">
      <w:pPr>
        <w:rPr>
          <w:rFonts w:ascii="Arial" w:hAnsi="Arial"/>
          <w:color w:val="auto"/>
          <w:sz w:val="22"/>
        </w:rPr>
      </w:pPr>
    </w:p>
    <w:p w:rsidR="00C44501" w:rsidRPr="00F05829" w:rsidRDefault="00C44501" w:rsidP="00C44501">
      <w:pPr>
        <w:jc w:val="both"/>
        <w:rPr>
          <w:rFonts w:ascii="Arial" w:hAnsi="Arial"/>
          <w:color w:val="auto"/>
          <w:sz w:val="22"/>
        </w:rPr>
      </w:pPr>
      <w:r w:rsidRPr="00F05829">
        <w:rPr>
          <w:rFonts w:ascii="Arial" w:hAnsi="Arial"/>
          <w:color w:val="auto"/>
          <w:sz w:val="22"/>
        </w:rPr>
        <w:t xml:space="preserve">To </w:t>
      </w:r>
      <w:r>
        <w:rPr>
          <w:rFonts w:ascii="Arial" w:hAnsi="Arial"/>
          <w:color w:val="auto"/>
          <w:sz w:val="22"/>
        </w:rPr>
        <w:t xml:space="preserve">assist </w:t>
      </w:r>
      <w:r w:rsidRPr="00F05829">
        <w:rPr>
          <w:rFonts w:ascii="Arial" w:hAnsi="Arial"/>
          <w:color w:val="auto"/>
          <w:sz w:val="22"/>
        </w:rPr>
        <w:t xml:space="preserve"> GoN encourage teachers to remain in the school system, Australia will facilitate specialist support to teachers in the areas of literacy, numeracy and assessment through more strategic in-service programs provided by the </w:t>
      </w:r>
      <w:r>
        <w:rPr>
          <w:rFonts w:ascii="Arial" w:hAnsi="Arial"/>
          <w:color w:val="auto"/>
          <w:sz w:val="22"/>
        </w:rPr>
        <w:t xml:space="preserve">DET </w:t>
      </w:r>
      <w:r w:rsidRPr="00F05829">
        <w:rPr>
          <w:rFonts w:ascii="Arial" w:hAnsi="Arial"/>
          <w:color w:val="auto"/>
          <w:sz w:val="22"/>
        </w:rPr>
        <w:t>Curriculum</w:t>
      </w:r>
      <w:r>
        <w:rPr>
          <w:rFonts w:ascii="Arial" w:hAnsi="Arial"/>
          <w:color w:val="auto"/>
          <w:sz w:val="22"/>
        </w:rPr>
        <w:t>,</w:t>
      </w:r>
      <w:r w:rsidRPr="00F05829">
        <w:rPr>
          <w:rFonts w:ascii="Arial" w:hAnsi="Arial"/>
          <w:color w:val="auto"/>
          <w:sz w:val="22"/>
        </w:rPr>
        <w:t xml:space="preserve"> Assessment, Statistics and Examinations (CASE) </w:t>
      </w:r>
      <w:r>
        <w:rPr>
          <w:rFonts w:ascii="Arial" w:hAnsi="Arial"/>
          <w:color w:val="auto"/>
          <w:sz w:val="22"/>
        </w:rPr>
        <w:t>U</w:t>
      </w:r>
      <w:r w:rsidRPr="00F05829">
        <w:rPr>
          <w:rFonts w:ascii="Arial" w:hAnsi="Arial"/>
          <w:color w:val="auto"/>
          <w:sz w:val="22"/>
        </w:rPr>
        <w:t>nit</w:t>
      </w:r>
      <w:r w:rsidRPr="00F05829">
        <w:rPr>
          <w:rStyle w:val="FootnoteReference1"/>
          <w:rFonts w:ascii="Arial" w:hAnsi="Arial"/>
          <w:color w:val="auto"/>
          <w:sz w:val="22"/>
        </w:rPr>
        <w:footnoteReference w:id="5"/>
      </w:r>
      <w:r w:rsidRPr="00F05829">
        <w:rPr>
          <w:rFonts w:ascii="Arial" w:hAnsi="Arial"/>
          <w:color w:val="auto"/>
          <w:sz w:val="22"/>
        </w:rPr>
        <w:t>.</w:t>
      </w:r>
    </w:p>
    <w:p w:rsidR="00C44501" w:rsidRPr="00F05829" w:rsidRDefault="00C44501" w:rsidP="00C44501">
      <w:pPr>
        <w:jc w:val="both"/>
        <w:rPr>
          <w:rFonts w:ascii="Arial" w:hAnsi="Arial"/>
          <w:color w:val="auto"/>
          <w:sz w:val="22"/>
        </w:rPr>
      </w:pPr>
    </w:p>
    <w:p w:rsidR="00C44501" w:rsidRPr="00F05829" w:rsidRDefault="00C44501" w:rsidP="00C44501">
      <w:pPr>
        <w:jc w:val="both"/>
        <w:rPr>
          <w:rFonts w:ascii="Arial Bold" w:hAnsi="Arial Bold"/>
          <w:color w:val="auto"/>
          <w:sz w:val="22"/>
        </w:rPr>
      </w:pPr>
      <w:r w:rsidRPr="00F05829">
        <w:rPr>
          <w:rFonts w:ascii="Arial" w:hAnsi="Arial"/>
          <w:color w:val="auto"/>
          <w:sz w:val="22"/>
        </w:rPr>
        <w:t xml:space="preserve">To increase the </w:t>
      </w:r>
      <w:r w:rsidRPr="00F05829">
        <w:rPr>
          <w:rFonts w:ascii="Arial" w:hAnsi="Arial"/>
          <w:b/>
          <w:color w:val="auto"/>
          <w:sz w:val="22"/>
        </w:rPr>
        <w:t>mobility</w:t>
      </w:r>
      <w:r w:rsidRPr="00F05829">
        <w:rPr>
          <w:rFonts w:ascii="Arial" w:hAnsi="Arial"/>
          <w:color w:val="auto"/>
          <w:sz w:val="22"/>
        </w:rPr>
        <w:t xml:space="preserve"> and </w:t>
      </w:r>
      <w:r w:rsidRPr="00F05829">
        <w:rPr>
          <w:rFonts w:ascii="Arial" w:hAnsi="Arial"/>
          <w:b/>
          <w:color w:val="auto"/>
          <w:sz w:val="22"/>
        </w:rPr>
        <w:t>employability of students</w:t>
      </w:r>
      <w:r w:rsidRPr="00F05829">
        <w:rPr>
          <w:rFonts w:ascii="Arial" w:hAnsi="Arial"/>
          <w:color w:val="auto"/>
          <w:sz w:val="22"/>
        </w:rPr>
        <w:t xml:space="preserve">, </w:t>
      </w:r>
      <w:r>
        <w:rPr>
          <w:rFonts w:ascii="Arial" w:hAnsi="Arial"/>
          <w:color w:val="auto"/>
          <w:sz w:val="22"/>
        </w:rPr>
        <w:t xml:space="preserve">the Partnership </w:t>
      </w:r>
      <w:r w:rsidRPr="00F05829">
        <w:rPr>
          <w:rFonts w:ascii="Arial" w:hAnsi="Arial"/>
          <w:color w:val="auto"/>
          <w:sz w:val="22"/>
        </w:rPr>
        <w:t xml:space="preserve">will focus on establishing an internationally accredited senior secondary school curriculum and assessment model at NSS.  That accreditation will provide school leavers a much-needed pathway for progression to higher learning opportunities </w:t>
      </w:r>
      <w:r>
        <w:rPr>
          <w:rFonts w:ascii="Arial" w:hAnsi="Arial"/>
          <w:color w:val="auto"/>
          <w:sz w:val="22"/>
        </w:rPr>
        <w:t>both overseas and at the USP campus in Nauru.</w:t>
      </w:r>
      <w:r w:rsidRPr="00F05829">
        <w:rPr>
          <w:rFonts w:ascii="Arial" w:hAnsi="Arial"/>
          <w:color w:val="auto"/>
          <w:sz w:val="22"/>
        </w:rPr>
        <w:t xml:space="preserve"> With Australia</w:t>
      </w:r>
      <w:r>
        <w:rPr>
          <w:rFonts w:ascii="Arial" w:hAnsi="Arial"/>
          <w:color w:val="auto"/>
          <w:sz w:val="22"/>
        </w:rPr>
        <w:t>’s</w:t>
      </w:r>
      <w:r w:rsidRPr="00F05829">
        <w:rPr>
          <w:rFonts w:ascii="Arial" w:hAnsi="Arial"/>
          <w:color w:val="auto"/>
          <w:sz w:val="22"/>
        </w:rPr>
        <w:t xml:space="preserve"> support, GoN will offer internationally accredited technical and vocational courses at NSS, providing a pathway to further skills development offshore, either via the Australia-Pacific Technical College (APTC) or other regional providers.  It is expected that each of these initiatives will lead to </w:t>
      </w:r>
      <w:r w:rsidRPr="00F05829">
        <w:rPr>
          <w:rFonts w:ascii="Arial" w:hAnsi="Arial"/>
          <w:b/>
          <w:color w:val="auto"/>
          <w:sz w:val="22"/>
        </w:rPr>
        <w:t>increased remittances</w:t>
      </w:r>
      <w:r w:rsidRPr="00F05829">
        <w:rPr>
          <w:rFonts w:ascii="Arial" w:hAnsi="Arial"/>
          <w:color w:val="auto"/>
          <w:sz w:val="22"/>
        </w:rPr>
        <w:t xml:space="preserve"> through skilled employment opportunities offshore and to more skilled locals engaged in </w:t>
      </w:r>
      <w:r>
        <w:rPr>
          <w:rFonts w:ascii="Arial" w:hAnsi="Arial"/>
          <w:color w:val="auto"/>
          <w:sz w:val="22"/>
        </w:rPr>
        <w:t xml:space="preserve">the </w:t>
      </w:r>
      <w:r w:rsidRPr="00F05829">
        <w:rPr>
          <w:rFonts w:ascii="Arial" w:hAnsi="Arial"/>
          <w:color w:val="auto"/>
          <w:sz w:val="22"/>
        </w:rPr>
        <w:t>local economy (including in key DET positions).</w:t>
      </w:r>
    </w:p>
    <w:p w:rsidR="00C44501" w:rsidRPr="00F05829" w:rsidRDefault="00C44501" w:rsidP="00C44501">
      <w:pPr>
        <w:jc w:val="both"/>
        <w:rPr>
          <w:rFonts w:ascii="Arial Bold" w:hAnsi="Arial Bold"/>
          <w:color w:val="auto"/>
          <w:sz w:val="22"/>
        </w:rPr>
      </w:pPr>
    </w:p>
    <w:p w:rsidR="00C44501" w:rsidRPr="00F05829" w:rsidRDefault="00C44501" w:rsidP="00C44501">
      <w:pPr>
        <w:spacing w:before="120"/>
        <w:jc w:val="both"/>
        <w:rPr>
          <w:rFonts w:ascii="Arial" w:hAnsi="Arial"/>
          <w:color w:val="auto"/>
          <w:sz w:val="22"/>
        </w:rPr>
      </w:pPr>
      <w:r w:rsidRPr="00F05829">
        <w:rPr>
          <w:rFonts w:ascii="Arial" w:hAnsi="Arial" w:cs="Arial"/>
          <w:color w:val="auto"/>
          <w:sz w:val="22"/>
        </w:rPr>
        <w:t xml:space="preserve">Under the Partnership, </w:t>
      </w:r>
      <w:r w:rsidRPr="00F05829">
        <w:rPr>
          <w:rFonts w:ascii="Arial" w:hAnsi="Arial" w:cs="Arial"/>
          <w:b/>
          <w:color w:val="auto"/>
          <w:sz w:val="22"/>
        </w:rPr>
        <w:t>Australia will support the GoN to strengthen financial management, procurement, accountability, and monitoring within the education system</w:t>
      </w:r>
      <w:r w:rsidRPr="00F05829">
        <w:rPr>
          <w:rFonts w:ascii="Arial" w:hAnsi="Arial" w:cs="Arial"/>
          <w:color w:val="auto"/>
          <w:sz w:val="22"/>
        </w:rPr>
        <w:t xml:space="preserve">.  </w:t>
      </w:r>
      <w:r w:rsidRPr="00F05829">
        <w:rPr>
          <w:rFonts w:ascii="Arial" w:hAnsi="Arial"/>
          <w:color w:val="auto"/>
          <w:sz w:val="22"/>
        </w:rPr>
        <w:t xml:space="preserve">DET requires considerable financial management training at both the corporate and school levels. Support with the development of a department-wide procurement system is needed. The development of an asset management plan, supported via appropriate software and training is about to commence.  </w:t>
      </w:r>
    </w:p>
    <w:p w:rsidR="00C44501" w:rsidRPr="00F05829" w:rsidRDefault="00C44501" w:rsidP="00C44501">
      <w:pPr>
        <w:jc w:val="both"/>
        <w:rPr>
          <w:rFonts w:ascii="Arial Bold" w:hAnsi="Arial Bold"/>
          <w:color w:val="auto"/>
          <w:sz w:val="22"/>
        </w:rPr>
      </w:pPr>
    </w:p>
    <w:p w:rsidR="00C44501" w:rsidRPr="00F05829" w:rsidRDefault="00C44501" w:rsidP="00C44501">
      <w:pPr>
        <w:jc w:val="both"/>
        <w:rPr>
          <w:rFonts w:ascii="Arial Bold" w:hAnsi="Arial Bold"/>
          <w:color w:val="auto"/>
          <w:sz w:val="22"/>
        </w:rPr>
      </w:pPr>
    </w:p>
    <w:p w:rsidR="00C44501" w:rsidRPr="00F05829" w:rsidRDefault="00C44501" w:rsidP="00C44501">
      <w:pPr>
        <w:jc w:val="both"/>
        <w:rPr>
          <w:rFonts w:ascii="Arial Bold" w:hAnsi="Arial Bold"/>
          <w:color w:val="auto"/>
          <w:sz w:val="22"/>
        </w:rPr>
      </w:pPr>
    </w:p>
    <w:p w:rsidR="00C44501" w:rsidRPr="00F05829" w:rsidRDefault="00C44501" w:rsidP="00C44501">
      <w:pPr>
        <w:jc w:val="both"/>
        <w:rPr>
          <w:rFonts w:ascii="Arial Bold" w:hAnsi="Arial Bold"/>
          <w:color w:val="auto"/>
          <w:sz w:val="22"/>
        </w:rPr>
      </w:pPr>
      <w:r w:rsidRPr="00F05829">
        <w:rPr>
          <w:rFonts w:ascii="Arial Bold" w:hAnsi="Arial Bold"/>
          <w:color w:val="auto"/>
          <w:sz w:val="22"/>
        </w:rPr>
        <w:t>Policy References</w:t>
      </w:r>
    </w:p>
    <w:p w:rsidR="00C44501" w:rsidRPr="00F05829" w:rsidRDefault="00C44501" w:rsidP="00C44501">
      <w:pPr>
        <w:jc w:val="both"/>
        <w:rPr>
          <w:rFonts w:ascii="Arial Bold" w:hAnsi="Arial Bold"/>
          <w:color w:val="auto"/>
          <w:sz w:val="22"/>
        </w:rPr>
      </w:pPr>
    </w:p>
    <w:p w:rsidR="00C44501" w:rsidRPr="00F05829" w:rsidRDefault="00C44501" w:rsidP="00C44501">
      <w:pPr>
        <w:numPr>
          <w:ilvl w:val="0"/>
          <w:numId w:val="45"/>
        </w:numPr>
        <w:spacing w:line="360" w:lineRule="auto"/>
        <w:ind w:left="714" w:hanging="357"/>
        <w:jc w:val="both"/>
        <w:rPr>
          <w:rFonts w:ascii="Arial" w:hAnsi="Arial" w:cs="Arial"/>
          <w:color w:val="auto"/>
          <w:sz w:val="22"/>
        </w:rPr>
      </w:pPr>
      <w:r w:rsidRPr="00F05829">
        <w:rPr>
          <w:rFonts w:ascii="Arial" w:hAnsi="Arial" w:cs="Arial"/>
          <w:color w:val="auto"/>
          <w:sz w:val="22"/>
        </w:rPr>
        <w:t>2010-11 Nauru Budget Documents</w:t>
      </w:r>
    </w:p>
    <w:p w:rsidR="00C44501" w:rsidRPr="00F05829" w:rsidRDefault="00C44501" w:rsidP="00C44501">
      <w:pPr>
        <w:numPr>
          <w:ilvl w:val="0"/>
          <w:numId w:val="45"/>
        </w:numPr>
        <w:spacing w:line="360" w:lineRule="auto"/>
        <w:ind w:left="714" w:hanging="357"/>
        <w:jc w:val="both"/>
        <w:rPr>
          <w:rFonts w:ascii="Arial" w:hAnsi="Arial" w:cs="Arial"/>
          <w:color w:val="auto"/>
          <w:sz w:val="22"/>
        </w:rPr>
      </w:pPr>
      <w:r w:rsidRPr="00F05829">
        <w:rPr>
          <w:rFonts w:ascii="Arial" w:hAnsi="Arial" w:cs="Arial"/>
          <w:color w:val="auto"/>
          <w:sz w:val="22"/>
        </w:rPr>
        <w:t>Partnership for Development Between the Government of Australia and the Government of Nauru 2008</w:t>
      </w:r>
    </w:p>
    <w:p w:rsidR="00C44501" w:rsidRPr="00F05829" w:rsidRDefault="00C44501" w:rsidP="00C44501">
      <w:pPr>
        <w:numPr>
          <w:ilvl w:val="0"/>
          <w:numId w:val="45"/>
        </w:numPr>
        <w:spacing w:line="360" w:lineRule="auto"/>
        <w:ind w:left="714" w:hanging="357"/>
        <w:jc w:val="both"/>
        <w:rPr>
          <w:rFonts w:ascii="Arial" w:hAnsi="Arial" w:cs="Arial"/>
          <w:color w:val="auto"/>
          <w:sz w:val="22"/>
        </w:rPr>
      </w:pPr>
      <w:r w:rsidRPr="00F05829">
        <w:rPr>
          <w:rFonts w:ascii="Arial" w:hAnsi="Arial" w:cs="Arial"/>
          <w:color w:val="auto"/>
          <w:sz w:val="22"/>
        </w:rPr>
        <w:t>Education Strategic Plan 2008-13 (Nauru)</w:t>
      </w:r>
    </w:p>
    <w:p w:rsidR="00C44501" w:rsidRPr="00F05829" w:rsidRDefault="00C44501" w:rsidP="00C44501">
      <w:pPr>
        <w:numPr>
          <w:ilvl w:val="0"/>
          <w:numId w:val="45"/>
        </w:numPr>
        <w:spacing w:line="360" w:lineRule="auto"/>
        <w:ind w:left="714" w:hanging="357"/>
        <w:jc w:val="both"/>
        <w:rPr>
          <w:rFonts w:ascii="Arial" w:hAnsi="Arial" w:cs="Arial"/>
          <w:color w:val="auto"/>
          <w:sz w:val="22"/>
        </w:rPr>
      </w:pPr>
      <w:r w:rsidRPr="00F05829">
        <w:rPr>
          <w:rFonts w:ascii="Arial" w:hAnsi="Arial" w:cs="Arial"/>
          <w:color w:val="auto"/>
          <w:sz w:val="22"/>
        </w:rPr>
        <w:t>Footp</w:t>
      </w:r>
      <w:r>
        <w:rPr>
          <w:rFonts w:ascii="Arial" w:hAnsi="Arial" w:cs="Arial"/>
          <w:color w:val="auto"/>
          <w:sz w:val="22"/>
        </w:rPr>
        <w:t>ath</w:t>
      </w:r>
      <w:r w:rsidRPr="00F05829">
        <w:rPr>
          <w:rFonts w:ascii="Arial" w:hAnsi="Arial" w:cs="Arial"/>
          <w:color w:val="auto"/>
          <w:sz w:val="22"/>
        </w:rPr>
        <w:t xml:space="preserve"> II</w:t>
      </w:r>
    </w:p>
    <w:p w:rsidR="00C44501" w:rsidRPr="00EF28D9" w:rsidRDefault="00C44501" w:rsidP="00C44501">
      <w:pPr>
        <w:numPr>
          <w:ilvl w:val="0"/>
          <w:numId w:val="45"/>
        </w:numPr>
        <w:spacing w:line="360" w:lineRule="auto"/>
        <w:ind w:left="714" w:hanging="357"/>
        <w:jc w:val="both"/>
        <w:rPr>
          <w:rFonts w:ascii="Arial" w:hAnsi="Arial" w:cs="Arial"/>
          <w:color w:val="auto"/>
          <w:sz w:val="22"/>
        </w:rPr>
      </w:pPr>
      <w:r w:rsidRPr="00EF28D9">
        <w:rPr>
          <w:rFonts w:ascii="Arial" w:hAnsi="Arial" w:cs="Arial"/>
          <w:color w:val="auto"/>
          <w:sz w:val="22"/>
        </w:rPr>
        <w:t>Draft Education Plans/Polic</w:t>
      </w:r>
      <w:r>
        <w:rPr>
          <w:rFonts w:ascii="Arial" w:hAnsi="Arial" w:cs="Arial"/>
          <w:color w:val="auto"/>
          <w:sz w:val="22"/>
        </w:rPr>
        <w:t>y</w:t>
      </w:r>
    </w:p>
    <w:p w:rsidR="00C44501" w:rsidRPr="00F05829" w:rsidRDefault="00C44501" w:rsidP="00C44501">
      <w:pPr>
        <w:numPr>
          <w:ilvl w:val="0"/>
          <w:numId w:val="45"/>
        </w:numPr>
        <w:spacing w:line="360" w:lineRule="auto"/>
        <w:ind w:left="714" w:hanging="357"/>
        <w:jc w:val="both"/>
        <w:rPr>
          <w:rFonts w:ascii="Arial" w:hAnsi="Arial" w:cs="Arial"/>
          <w:color w:val="auto"/>
          <w:sz w:val="22"/>
        </w:rPr>
      </w:pPr>
      <w:r w:rsidRPr="00F05829">
        <w:rPr>
          <w:rFonts w:ascii="Arial" w:hAnsi="Arial" w:cs="Arial"/>
          <w:color w:val="auto"/>
          <w:sz w:val="22"/>
        </w:rPr>
        <w:t>Pacific Education and Training Agenda (Australia)</w:t>
      </w:r>
    </w:p>
    <w:p w:rsidR="00C44501" w:rsidRPr="00F05829" w:rsidRDefault="00C44501" w:rsidP="00C44501">
      <w:pPr>
        <w:jc w:val="both"/>
        <w:rPr>
          <w:rFonts w:ascii="Arial Bold" w:hAnsi="Arial Bold"/>
          <w:color w:val="auto"/>
          <w:sz w:val="22"/>
        </w:rPr>
      </w:pPr>
    </w:p>
    <w:p w:rsidR="00C44501" w:rsidRDefault="00C44501" w:rsidP="00C44501">
      <w:pPr>
        <w:jc w:val="both"/>
        <w:rPr>
          <w:rFonts w:ascii="Arial" w:hAnsi="Arial"/>
          <w:color w:val="auto"/>
          <w:sz w:val="22"/>
        </w:rPr>
      </w:pPr>
    </w:p>
    <w:p w:rsidR="00C44501" w:rsidRPr="00D24E87" w:rsidRDefault="00C44501" w:rsidP="00C44501">
      <w:pPr>
        <w:numPr>
          <w:ilvl w:val="0"/>
          <w:numId w:val="1"/>
        </w:numPr>
        <w:ind w:hanging="720"/>
        <w:jc w:val="both"/>
        <w:rPr>
          <w:rFonts w:ascii="Arial Bold" w:hAnsi="Arial Bold"/>
          <w:color w:val="auto"/>
        </w:rPr>
      </w:pPr>
      <w:r w:rsidRPr="00DF5CEE">
        <w:rPr>
          <w:rFonts w:ascii="Arial" w:hAnsi="Arial" w:cs="Arial"/>
          <w:b/>
        </w:rPr>
        <w:t>Aid Effectiveness and Development Partner Coordination</w:t>
      </w:r>
    </w:p>
    <w:p w:rsidR="00C44501" w:rsidRPr="00F05829" w:rsidRDefault="00C44501" w:rsidP="00C44501">
      <w:pPr>
        <w:jc w:val="both"/>
        <w:rPr>
          <w:rFonts w:ascii="Arial" w:hAnsi="Arial"/>
          <w:color w:val="auto"/>
          <w:sz w:val="22"/>
        </w:rPr>
      </w:pPr>
    </w:p>
    <w:p w:rsidR="00C44501" w:rsidRPr="00F05829" w:rsidRDefault="00C44501" w:rsidP="00C44501">
      <w:pPr>
        <w:jc w:val="both"/>
        <w:rPr>
          <w:rFonts w:ascii="Arial" w:hAnsi="Arial"/>
          <w:color w:val="auto"/>
          <w:sz w:val="22"/>
        </w:rPr>
      </w:pPr>
      <w:r w:rsidRPr="00F05829">
        <w:rPr>
          <w:rFonts w:ascii="Arial" w:hAnsi="Arial"/>
          <w:color w:val="auto"/>
          <w:sz w:val="22"/>
        </w:rPr>
        <w:t xml:space="preserve">In the spirit of the </w:t>
      </w:r>
      <w:r w:rsidRPr="00F05829">
        <w:rPr>
          <w:rFonts w:ascii="Arial" w:hAnsi="Arial"/>
          <w:i/>
          <w:color w:val="auto"/>
          <w:sz w:val="22"/>
        </w:rPr>
        <w:t xml:space="preserve">Paris Declaration on Aid Effectiveness </w:t>
      </w:r>
      <w:r w:rsidRPr="00F05829">
        <w:rPr>
          <w:rFonts w:ascii="Arial" w:hAnsi="Arial"/>
          <w:color w:val="auto"/>
          <w:sz w:val="22"/>
        </w:rPr>
        <w:t xml:space="preserve">and the </w:t>
      </w:r>
      <w:r w:rsidRPr="00F05829">
        <w:rPr>
          <w:rFonts w:ascii="Arial" w:hAnsi="Arial"/>
          <w:i/>
          <w:color w:val="auto"/>
          <w:sz w:val="22"/>
        </w:rPr>
        <w:t xml:space="preserve">Accra Agenda for </w:t>
      </w:r>
      <w:r w:rsidRPr="00F05829">
        <w:rPr>
          <w:rFonts w:ascii="Arial" w:hAnsi="Arial"/>
          <w:color w:val="auto"/>
          <w:sz w:val="22"/>
        </w:rPr>
        <w:t xml:space="preserve">Action, and as set out in the </w:t>
      </w:r>
      <w:r w:rsidRPr="00F05829">
        <w:rPr>
          <w:rFonts w:ascii="Arial" w:hAnsi="Arial"/>
          <w:i/>
          <w:color w:val="auto"/>
          <w:sz w:val="22"/>
        </w:rPr>
        <w:t>Partnership for Development</w:t>
      </w:r>
      <w:r w:rsidRPr="00F05829">
        <w:rPr>
          <w:rFonts w:ascii="Arial" w:hAnsi="Arial"/>
          <w:color w:val="auto"/>
          <w:sz w:val="22"/>
        </w:rPr>
        <w:t xml:space="preserve">, both Governments are actively promoting co-ordination between development partners engaged in the education sector, particularly </w:t>
      </w:r>
      <w:r w:rsidRPr="00F05829">
        <w:rPr>
          <w:rFonts w:ascii="Arial" w:hAnsi="Arial"/>
          <w:color w:val="auto"/>
          <w:sz w:val="22"/>
        </w:rPr>
        <w:lastRenderedPageBreak/>
        <w:t xml:space="preserve">AusAID and NZAID (the two major sectoral </w:t>
      </w:r>
      <w:r>
        <w:rPr>
          <w:rFonts w:ascii="Arial" w:hAnsi="Arial"/>
          <w:color w:val="auto"/>
          <w:sz w:val="22"/>
        </w:rPr>
        <w:t>DP</w:t>
      </w:r>
      <w:r w:rsidRPr="00F05829">
        <w:rPr>
          <w:rFonts w:ascii="Arial" w:hAnsi="Arial"/>
          <w:color w:val="auto"/>
          <w:sz w:val="22"/>
        </w:rPr>
        <w:t>s).</w:t>
      </w:r>
      <w:r w:rsidRPr="00F05829">
        <w:rPr>
          <w:rStyle w:val="FootnoteReference"/>
          <w:rFonts w:ascii="Arial" w:hAnsi="Arial"/>
          <w:color w:val="auto"/>
          <w:sz w:val="22"/>
        </w:rPr>
        <w:footnoteReference w:id="6"/>
      </w:r>
      <w:r w:rsidRPr="00F05829">
        <w:rPr>
          <w:rFonts w:ascii="Arial" w:hAnsi="Arial"/>
          <w:color w:val="auto"/>
          <w:sz w:val="22"/>
        </w:rPr>
        <w:t xml:space="preserve">  Collaborative analytical and design work, delegated aid delivery, pooled funding, and joint monitoring for the education sector are all consistent with the Cairns Compact and will contribute towards reduced aid fragmentation and ease the burden of aid administration on the GoN.  </w:t>
      </w:r>
    </w:p>
    <w:p w:rsidR="00C44501" w:rsidRDefault="00C44501" w:rsidP="00C44501">
      <w:pPr>
        <w:jc w:val="both"/>
        <w:rPr>
          <w:rFonts w:ascii="Arial" w:hAnsi="Arial"/>
          <w:color w:val="auto"/>
          <w:sz w:val="22"/>
        </w:rPr>
      </w:pPr>
    </w:p>
    <w:p w:rsidR="00C44501" w:rsidRDefault="00C44501" w:rsidP="00C44501">
      <w:pPr>
        <w:jc w:val="both"/>
        <w:rPr>
          <w:rFonts w:ascii="Arial" w:hAnsi="Arial" w:cs="Arial"/>
          <w:sz w:val="22"/>
          <w:szCs w:val="22"/>
        </w:rPr>
      </w:pPr>
      <w:r>
        <w:rPr>
          <w:rFonts w:ascii="Arial" w:hAnsi="Arial" w:cs="Arial"/>
          <w:sz w:val="22"/>
          <w:szCs w:val="22"/>
        </w:rPr>
        <w:t>AusAID’s financial support to date has been directed to the RON AusAID account. The intention is to move to scheduled tranche payments at key juncture points, triggered by receipt of timely reports and reconciliation of expenditure. Through the strategic planning process, DET staff will draft Annual Operation Plans (AOP) incorporating planned program activities along with standard operational priorities of the GoN (e.g. asset and facilities maintenance plans, policy development, resourcing schools).</w:t>
      </w:r>
    </w:p>
    <w:p w:rsidR="00C44501" w:rsidRDefault="00C44501" w:rsidP="00C44501">
      <w:pPr>
        <w:jc w:val="both"/>
        <w:rPr>
          <w:rFonts w:ascii="Arial" w:hAnsi="Arial" w:cs="Arial"/>
          <w:sz w:val="22"/>
          <w:szCs w:val="22"/>
        </w:rPr>
      </w:pPr>
    </w:p>
    <w:p w:rsidR="00C44501" w:rsidRDefault="00C44501" w:rsidP="00C44501">
      <w:pPr>
        <w:jc w:val="both"/>
        <w:rPr>
          <w:rFonts w:ascii="Arial" w:hAnsi="Arial" w:cs="Arial"/>
          <w:sz w:val="22"/>
          <w:szCs w:val="22"/>
        </w:rPr>
      </w:pPr>
      <w:r>
        <w:rPr>
          <w:rFonts w:ascii="Arial" w:hAnsi="Arial" w:cs="Arial"/>
          <w:sz w:val="22"/>
          <w:szCs w:val="22"/>
        </w:rPr>
        <w:t xml:space="preserve">A series of mechanisms are in place or are planned to increase DP alignment with GoN systems.  Within the DET, senior officers currently develop annual work plans based on the AOP. These plans will see the inclusion, allocation and responsibility for specific aspects of the program assigned to senior staff through a collaborative whole of department planning process. With the support of the Education Advisor, senior staff will manage components including implementation, budgeting and reporting, acquittal, monitoring and evaluation of activities. Annual reports are based on the AOP and this will provide a cross reference mechanism with reports to development partners.  As a means of ensuring compliance, and monitoring of expenditure, payment vouchers will pass through the Aid Management Unit as a means of tracking. AMU will establish clear schedules for reporting timeframes to DPs. </w:t>
      </w:r>
    </w:p>
    <w:p w:rsidR="00C44501" w:rsidRDefault="00C44501" w:rsidP="00C44501">
      <w:pPr>
        <w:jc w:val="both"/>
        <w:rPr>
          <w:rFonts w:ascii="Arial" w:hAnsi="Arial" w:cs="Arial"/>
          <w:sz w:val="22"/>
          <w:szCs w:val="22"/>
        </w:rPr>
      </w:pPr>
    </w:p>
    <w:p w:rsidR="00C44501" w:rsidRPr="00171AF6" w:rsidRDefault="00C44501" w:rsidP="00C44501">
      <w:pPr>
        <w:jc w:val="both"/>
        <w:rPr>
          <w:rFonts w:ascii="Arial" w:hAnsi="Arial" w:cs="Arial"/>
          <w:sz w:val="22"/>
          <w:szCs w:val="22"/>
        </w:rPr>
      </w:pPr>
      <w:r>
        <w:rPr>
          <w:rFonts w:ascii="Arial" w:hAnsi="Arial" w:cs="Arial"/>
          <w:sz w:val="22"/>
          <w:szCs w:val="22"/>
        </w:rPr>
        <w:t xml:space="preserve">As outlined in the Implementation Strategy section, </w:t>
      </w:r>
      <w:r>
        <w:rPr>
          <w:rFonts w:ascii="Arial" w:hAnsi="Arial"/>
          <w:color w:val="auto"/>
          <w:sz w:val="22"/>
        </w:rPr>
        <w:t xml:space="preserve">the </w:t>
      </w:r>
      <w:r w:rsidRPr="00F05829">
        <w:rPr>
          <w:rFonts w:ascii="Arial" w:hAnsi="Arial"/>
          <w:color w:val="auto"/>
          <w:sz w:val="22"/>
        </w:rPr>
        <w:t>GoN</w:t>
      </w:r>
      <w:r>
        <w:rPr>
          <w:rFonts w:ascii="Arial" w:hAnsi="Arial"/>
          <w:color w:val="auto"/>
          <w:sz w:val="22"/>
        </w:rPr>
        <w:t>, AusAID and NZAID</w:t>
      </w:r>
      <w:r w:rsidRPr="00F05829">
        <w:rPr>
          <w:rFonts w:ascii="Arial" w:hAnsi="Arial"/>
          <w:color w:val="auto"/>
          <w:sz w:val="22"/>
        </w:rPr>
        <w:t xml:space="preserve"> will design a joint </w:t>
      </w:r>
      <w:r>
        <w:rPr>
          <w:rFonts w:ascii="Arial" w:hAnsi="Arial"/>
          <w:color w:val="auto"/>
          <w:sz w:val="22"/>
        </w:rPr>
        <w:t>DP</w:t>
      </w:r>
      <w:r w:rsidRPr="00F05829">
        <w:rPr>
          <w:rFonts w:ascii="Arial" w:hAnsi="Arial"/>
          <w:color w:val="auto"/>
          <w:sz w:val="22"/>
        </w:rPr>
        <w:t xml:space="preserve"> funding mechanism</w:t>
      </w:r>
      <w:r>
        <w:rPr>
          <w:rFonts w:ascii="Arial" w:hAnsi="Arial"/>
          <w:color w:val="auto"/>
          <w:sz w:val="22"/>
        </w:rPr>
        <w:t>,</w:t>
      </w:r>
      <w:r w:rsidRPr="00F05829">
        <w:rPr>
          <w:rFonts w:ascii="Arial" w:hAnsi="Arial"/>
          <w:color w:val="auto"/>
          <w:sz w:val="22"/>
        </w:rPr>
        <w:t xml:space="preserve"> to become operational by 2012</w:t>
      </w:r>
      <w:r>
        <w:rPr>
          <w:rFonts w:ascii="Arial" w:hAnsi="Arial"/>
          <w:color w:val="auto"/>
          <w:sz w:val="22"/>
        </w:rPr>
        <w:t>.</w:t>
      </w:r>
      <w:r w:rsidRPr="00F05829">
        <w:rPr>
          <w:rFonts w:ascii="Arial" w:hAnsi="Arial"/>
          <w:color w:val="auto"/>
          <w:sz w:val="22"/>
        </w:rPr>
        <w:t xml:space="preserve"> </w:t>
      </w:r>
      <w:r>
        <w:rPr>
          <w:rFonts w:ascii="Arial" w:hAnsi="Arial" w:cs="Arial"/>
          <w:sz w:val="22"/>
          <w:szCs w:val="22"/>
        </w:rPr>
        <w:t xml:space="preserve">This new mechanism will likely include the utilisation of a single Special Purposes Account, with pooled funding from NZAID and AusAID. Delegation by NZAID of aid delivery to AusAID is envisaged. This move to harmonisation will assist significantly in relieving the burden of reporting and tracking of expenditure. Under a joint funding model, a clear identification of DP focus within the design and activities will be retained. </w:t>
      </w:r>
    </w:p>
    <w:p w:rsidR="00C44501" w:rsidRPr="00F05829" w:rsidRDefault="00C44501" w:rsidP="00C44501">
      <w:pPr>
        <w:jc w:val="both"/>
        <w:rPr>
          <w:rFonts w:ascii="Arial" w:hAnsi="Arial"/>
          <w:color w:val="auto"/>
          <w:sz w:val="22"/>
        </w:rPr>
      </w:pPr>
    </w:p>
    <w:p w:rsidR="00C44501" w:rsidRPr="00F05829" w:rsidRDefault="00C44501" w:rsidP="00C44501">
      <w:pPr>
        <w:jc w:val="both"/>
        <w:rPr>
          <w:rFonts w:ascii="Arial" w:hAnsi="Arial"/>
          <w:color w:val="auto"/>
          <w:sz w:val="22"/>
        </w:rPr>
      </w:pPr>
      <w:r w:rsidRPr="00F05829">
        <w:rPr>
          <w:rFonts w:ascii="Arial" w:hAnsi="Arial"/>
          <w:color w:val="auto"/>
          <w:sz w:val="22"/>
        </w:rPr>
        <w:t xml:space="preserve">The Partnership aligns fully with </w:t>
      </w:r>
      <w:r>
        <w:rPr>
          <w:rFonts w:ascii="Arial" w:hAnsi="Arial"/>
          <w:color w:val="auto"/>
          <w:sz w:val="22"/>
        </w:rPr>
        <w:t xml:space="preserve">Nauru’s National Sustainable Development Strategy, Footpaths II and </w:t>
      </w:r>
      <w:r w:rsidRPr="00F05829">
        <w:rPr>
          <w:rFonts w:ascii="Arial" w:hAnsi="Arial"/>
          <w:color w:val="auto"/>
          <w:sz w:val="22"/>
        </w:rPr>
        <w:t>Australia’s Pacific Education and Training Agenda, the three goals of which are</w:t>
      </w:r>
      <w:r>
        <w:rPr>
          <w:rFonts w:ascii="Arial" w:hAnsi="Arial"/>
          <w:color w:val="auto"/>
          <w:sz w:val="22"/>
        </w:rPr>
        <w:t>:</w:t>
      </w:r>
      <w:r w:rsidRPr="00F05829">
        <w:rPr>
          <w:rFonts w:ascii="Arial" w:hAnsi="Arial"/>
          <w:color w:val="auto"/>
          <w:sz w:val="22"/>
        </w:rPr>
        <w:t xml:space="preserve"> to ensure full student enrolment in and completion of basic education</w:t>
      </w:r>
      <w:r>
        <w:rPr>
          <w:rFonts w:ascii="Arial" w:hAnsi="Arial"/>
          <w:color w:val="auto"/>
          <w:sz w:val="22"/>
        </w:rPr>
        <w:t>;</w:t>
      </w:r>
      <w:r w:rsidRPr="00F05829">
        <w:rPr>
          <w:rFonts w:ascii="Arial" w:hAnsi="Arial"/>
          <w:color w:val="auto"/>
          <w:sz w:val="22"/>
        </w:rPr>
        <w:t xml:space="preserve"> to increase literacy and numeracy rates at all levels of basic education, with a focus on the early grades</w:t>
      </w:r>
      <w:r>
        <w:rPr>
          <w:rFonts w:ascii="Arial" w:hAnsi="Arial"/>
          <w:color w:val="auto"/>
          <w:sz w:val="22"/>
        </w:rPr>
        <w:t>;</w:t>
      </w:r>
      <w:r w:rsidRPr="00F05829">
        <w:rPr>
          <w:rFonts w:ascii="Arial" w:hAnsi="Arial"/>
          <w:color w:val="auto"/>
          <w:sz w:val="22"/>
        </w:rPr>
        <w:t xml:space="preserve"> and to increase the employability of Pacific Islanders. The Partnership also aligns with the Australian aid program’s policies on gender and disability.</w:t>
      </w:r>
    </w:p>
    <w:p w:rsidR="00C44501" w:rsidRDefault="00C44501" w:rsidP="00C44501">
      <w:pPr>
        <w:jc w:val="both"/>
        <w:rPr>
          <w:rFonts w:ascii="Arial Bold" w:hAnsi="Arial Bold"/>
          <w:color w:val="auto"/>
          <w:sz w:val="22"/>
        </w:rPr>
      </w:pPr>
    </w:p>
    <w:p w:rsidR="00C44501" w:rsidRPr="00F05829" w:rsidRDefault="00C44501" w:rsidP="00C44501">
      <w:pPr>
        <w:jc w:val="both"/>
        <w:rPr>
          <w:rFonts w:ascii="Arial Bold" w:hAnsi="Arial Bold"/>
          <w:color w:val="auto"/>
        </w:rPr>
      </w:pPr>
      <w:r>
        <w:rPr>
          <w:rFonts w:ascii="Arial Bold" w:hAnsi="Arial Bold"/>
          <w:color w:val="auto"/>
        </w:rPr>
        <w:t xml:space="preserve">5. </w:t>
      </w:r>
      <w:r>
        <w:rPr>
          <w:rFonts w:ascii="Arial Bold" w:hAnsi="Arial Bold"/>
          <w:color w:val="auto"/>
        </w:rPr>
        <w:tab/>
      </w:r>
      <w:r w:rsidRPr="00F05829">
        <w:rPr>
          <w:rFonts w:ascii="Arial Bold" w:hAnsi="Arial Bold"/>
          <w:color w:val="auto"/>
        </w:rPr>
        <w:t>Implementation Strategy</w:t>
      </w:r>
    </w:p>
    <w:p w:rsidR="00C44501" w:rsidRPr="00F05829" w:rsidRDefault="00C44501" w:rsidP="00C44501">
      <w:pPr>
        <w:jc w:val="both"/>
        <w:rPr>
          <w:rFonts w:ascii="Arial Bold" w:hAnsi="Arial Bold"/>
          <w:color w:val="auto"/>
          <w:sz w:val="22"/>
        </w:rPr>
      </w:pPr>
    </w:p>
    <w:p w:rsidR="00C44501" w:rsidRDefault="00C44501" w:rsidP="00C44501">
      <w:pPr>
        <w:jc w:val="both"/>
        <w:rPr>
          <w:rFonts w:ascii="Arial" w:hAnsi="Arial" w:cs="Arial"/>
          <w:sz w:val="22"/>
          <w:szCs w:val="22"/>
        </w:rPr>
      </w:pPr>
      <w:r w:rsidRPr="00F05829">
        <w:rPr>
          <w:rFonts w:ascii="Arial" w:hAnsi="Arial"/>
          <w:color w:val="auto"/>
          <w:sz w:val="22"/>
        </w:rPr>
        <w:t xml:space="preserve">This Implementation Strategy for Improved Education under the Nauru-Australia Partnership for Development spans five years and comprises two phases. During Phase 1 </w:t>
      </w:r>
      <w:r>
        <w:rPr>
          <w:rFonts w:ascii="Arial" w:hAnsi="Arial"/>
          <w:color w:val="auto"/>
          <w:sz w:val="22"/>
        </w:rPr>
        <w:t xml:space="preserve">(2011) </w:t>
      </w:r>
      <w:r w:rsidRPr="00F05829">
        <w:rPr>
          <w:rFonts w:ascii="Arial" w:hAnsi="Arial"/>
          <w:color w:val="auto"/>
          <w:sz w:val="22"/>
        </w:rPr>
        <w:t xml:space="preserve">the present Partnership Arrangement between GoN and NZAID (November 2008 – November 2011) supporting </w:t>
      </w:r>
      <w:r w:rsidRPr="00F05829">
        <w:rPr>
          <w:rFonts w:ascii="Arial" w:hAnsi="Arial"/>
          <w:i/>
          <w:color w:val="auto"/>
          <w:sz w:val="22"/>
        </w:rPr>
        <w:t>Footpath II</w:t>
      </w:r>
      <w:r w:rsidRPr="00F05829">
        <w:rPr>
          <w:rFonts w:ascii="Arial" w:hAnsi="Arial"/>
          <w:color w:val="auto"/>
          <w:sz w:val="22"/>
        </w:rPr>
        <w:t xml:space="preserve"> will continue as planned.  Over the same period, AusAID funding will complement the work of the GoN and NZAID, with AusAID funds advanced to, and acquitted separately by, the GoN. </w:t>
      </w:r>
      <w:r>
        <w:rPr>
          <w:rFonts w:ascii="Arial" w:hAnsi="Arial"/>
          <w:color w:val="auto"/>
          <w:sz w:val="22"/>
        </w:rPr>
        <w:t>P</w:t>
      </w:r>
      <w:r>
        <w:rPr>
          <w:rFonts w:ascii="Arial" w:hAnsi="Arial" w:cs="Arial"/>
          <w:sz w:val="22"/>
          <w:szCs w:val="22"/>
        </w:rPr>
        <w:t xml:space="preserve">hase 1 represents a stabilisation and consolidation phase, whereby priorities and emergent issues are addressed. </w:t>
      </w:r>
      <w:r w:rsidRPr="00F05829">
        <w:rPr>
          <w:rFonts w:ascii="Arial" w:hAnsi="Arial"/>
          <w:color w:val="auto"/>
          <w:sz w:val="22"/>
        </w:rPr>
        <w:t>During Phase</w:t>
      </w:r>
      <w:r>
        <w:rPr>
          <w:rFonts w:ascii="Arial" w:hAnsi="Arial"/>
          <w:color w:val="auto"/>
          <w:sz w:val="22"/>
        </w:rPr>
        <w:t xml:space="preserve"> 1</w:t>
      </w:r>
      <w:r w:rsidRPr="00F05829">
        <w:rPr>
          <w:rFonts w:ascii="Arial" w:hAnsi="Arial"/>
          <w:color w:val="auto"/>
          <w:sz w:val="22"/>
        </w:rPr>
        <w:t xml:space="preserve">, </w:t>
      </w:r>
      <w:r>
        <w:rPr>
          <w:rFonts w:ascii="Arial" w:hAnsi="Arial"/>
          <w:color w:val="auto"/>
          <w:sz w:val="22"/>
        </w:rPr>
        <w:t xml:space="preserve">the </w:t>
      </w:r>
      <w:r w:rsidRPr="00F05829">
        <w:rPr>
          <w:rFonts w:ascii="Arial" w:hAnsi="Arial"/>
          <w:color w:val="auto"/>
          <w:sz w:val="22"/>
        </w:rPr>
        <w:t>GoN</w:t>
      </w:r>
      <w:r>
        <w:rPr>
          <w:rFonts w:ascii="Arial" w:hAnsi="Arial"/>
          <w:color w:val="auto"/>
          <w:sz w:val="22"/>
        </w:rPr>
        <w:t>, AusAID and NZAID</w:t>
      </w:r>
      <w:r w:rsidRPr="00F05829">
        <w:rPr>
          <w:rFonts w:ascii="Arial" w:hAnsi="Arial"/>
          <w:color w:val="auto"/>
          <w:sz w:val="22"/>
        </w:rPr>
        <w:t xml:space="preserve"> will design a joint </w:t>
      </w:r>
      <w:r>
        <w:rPr>
          <w:rFonts w:ascii="Arial" w:hAnsi="Arial"/>
          <w:color w:val="auto"/>
          <w:sz w:val="22"/>
        </w:rPr>
        <w:t>DP</w:t>
      </w:r>
      <w:r w:rsidRPr="00F05829">
        <w:rPr>
          <w:rFonts w:ascii="Arial" w:hAnsi="Arial"/>
          <w:color w:val="auto"/>
          <w:sz w:val="22"/>
        </w:rPr>
        <w:t xml:space="preserve"> funding mechanism</w:t>
      </w:r>
      <w:r>
        <w:rPr>
          <w:rFonts w:ascii="Arial" w:hAnsi="Arial"/>
          <w:color w:val="auto"/>
          <w:sz w:val="22"/>
        </w:rPr>
        <w:t>,</w:t>
      </w:r>
      <w:r w:rsidRPr="00F05829">
        <w:rPr>
          <w:rFonts w:ascii="Arial" w:hAnsi="Arial"/>
          <w:color w:val="auto"/>
          <w:sz w:val="22"/>
        </w:rPr>
        <w:t xml:space="preserve"> to become operational by 2012</w:t>
      </w:r>
      <w:r>
        <w:rPr>
          <w:rFonts w:ascii="Arial" w:hAnsi="Arial"/>
          <w:color w:val="auto"/>
          <w:sz w:val="22"/>
        </w:rPr>
        <w:t>.</w:t>
      </w:r>
      <w:r>
        <w:rPr>
          <w:rFonts w:ascii="Arial" w:hAnsi="Arial" w:cs="Arial"/>
          <w:sz w:val="22"/>
          <w:szCs w:val="22"/>
        </w:rPr>
        <w:t xml:space="preserve">  In Phase 2, delegation by NZAID of aid delivery to AusAID is envisaged. </w:t>
      </w:r>
      <w:r>
        <w:rPr>
          <w:rFonts w:ascii="Arial" w:hAnsi="Arial"/>
          <w:color w:val="auto"/>
          <w:sz w:val="22"/>
        </w:rPr>
        <w:t>Phase 2 will run for four years (2012-2015)</w:t>
      </w:r>
      <w:r>
        <w:rPr>
          <w:rFonts w:ascii="Arial" w:hAnsi="Arial" w:cs="Arial"/>
          <w:sz w:val="22"/>
          <w:szCs w:val="22"/>
        </w:rPr>
        <w:t xml:space="preserve"> </w:t>
      </w:r>
    </w:p>
    <w:p w:rsidR="00C44501" w:rsidRPr="00F05829" w:rsidRDefault="00C44501" w:rsidP="00C44501">
      <w:pPr>
        <w:jc w:val="both"/>
        <w:rPr>
          <w:rFonts w:ascii="Arial" w:hAnsi="Arial"/>
          <w:color w:val="auto"/>
          <w:sz w:val="22"/>
        </w:rPr>
      </w:pPr>
    </w:p>
    <w:p w:rsidR="00C44501" w:rsidRDefault="00C44501" w:rsidP="00C44501">
      <w:pPr>
        <w:jc w:val="both"/>
        <w:rPr>
          <w:rFonts w:ascii="Arial" w:hAnsi="Arial"/>
          <w:color w:val="auto"/>
          <w:sz w:val="22"/>
        </w:rPr>
      </w:pPr>
      <w:r w:rsidRPr="00F05829">
        <w:rPr>
          <w:rFonts w:ascii="Arial" w:hAnsi="Arial"/>
          <w:color w:val="auto"/>
          <w:sz w:val="22"/>
        </w:rPr>
        <w:lastRenderedPageBreak/>
        <w:t xml:space="preserve">Phase 2 will see the implementation of the </w:t>
      </w:r>
      <w:r w:rsidRPr="00F05829">
        <w:rPr>
          <w:rFonts w:ascii="Arial" w:hAnsi="Arial"/>
          <w:b/>
          <w:color w:val="auto"/>
          <w:sz w:val="22"/>
        </w:rPr>
        <w:t>Nauru Education Improvement Pro</w:t>
      </w:r>
      <w:r>
        <w:rPr>
          <w:rFonts w:ascii="Arial" w:hAnsi="Arial"/>
          <w:b/>
          <w:color w:val="auto"/>
          <w:sz w:val="22"/>
        </w:rPr>
        <w:t>gram</w:t>
      </w:r>
      <w:r w:rsidRPr="00F05829">
        <w:rPr>
          <w:rFonts w:ascii="Arial" w:hAnsi="Arial"/>
          <w:color w:val="auto"/>
          <w:sz w:val="22"/>
        </w:rPr>
        <w:t>, which will provide longer term, more predictable support aligned with GoN’s own policy frameworks and systems. Th</w:t>
      </w:r>
      <w:r>
        <w:rPr>
          <w:rFonts w:ascii="Arial" w:hAnsi="Arial"/>
          <w:color w:val="auto"/>
          <w:sz w:val="22"/>
        </w:rPr>
        <w:t>e</w:t>
      </w:r>
      <w:r w:rsidRPr="00F05829">
        <w:rPr>
          <w:rFonts w:ascii="Arial" w:hAnsi="Arial"/>
          <w:color w:val="auto"/>
          <w:sz w:val="22"/>
        </w:rPr>
        <w:t xml:space="preserve"> pro</w:t>
      </w:r>
      <w:r>
        <w:rPr>
          <w:rFonts w:ascii="Arial" w:hAnsi="Arial"/>
          <w:color w:val="auto"/>
          <w:sz w:val="22"/>
        </w:rPr>
        <w:t>gram</w:t>
      </w:r>
      <w:r w:rsidRPr="00F05829">
        <w:rPr>
          <w:rFonts w:ascii="Arial" w:hAnsi="Arial"/>
          <w:color w:val="auto"/>
          <w:sz w:val="22"/>
        </w:rPr>
        <w:t xml:space="preserve"> design </w:t>
      </w:r>
      <w:r>
        <w:rPr>
          <w:rFonts w:ascii="Arial" w:hAnsi="Arial"/>
          <w:color w:val="auto"/>
          <w:sz w:val="22"/>
        </w:rPr>
        <w:t>will be</w:t>
      </w:r>
      <w:r w:rsidRPr="00F05829">
        <w:rPr>
          <w:rFonts w:ascii="Arial" w:hAnsi="Arial"/>
          <w:color w:val="auto"/>
          <w:sz w:val="22"/>
        </w:rPr>
        <w:t xml:space="preserve"> based on internationally accepted good practice</w:t>
      </w:r>
      <w:r>
        <w:rPr>
          <w:rFonts w:ascii="Arial" w:hAnsi="Arial"/>
          <w:color w:val="auto"/>
          <w:sz w:val="22"/>
        </w:rPr>
        <w:t xml:space="preserve"> </w:t>
      </w:r>
      <w:r w:rsidRPr="00F05829">
        <w:rPr>
          <w:rFonts w:ascii="Arial" w:hAnsi="Arial"/>
          <w:color w:val="auto"/>
          <w:sz w:val="22"/>
        </w:rPr>
        <w:t>which seeks to ensure each system is sound and effective in its own right, as well as interdependent with the other two. These message systems are in turn supported by human and financial resources, an effective administrative system and evidence-based and -driven policy.   The pro</w:t>
      </w:r>
      <w:r>
        <w:rPr>
          <w:rFonts w:ascii="Arial" w:hAnsi="Arial"/>
          <w:color w:val="auto"/>
          <w:sz w:val="22"/>
        </w:rPr>
        <w:t>gram</w:t>
      </w:r>
      <w:r w:rsidRPr="00F05829">
        <w:rPr>
          <w:rFonts w:ascii="Arial" w:hAnsi="Arial"/>
          <w:color w:val="auto"/>
          <w:sz w:val="22"/>
        </w:rPr>
        <w:t xml:space="preserve"> will be subject to Annual Review involving all key stakeholders (GoN, NZAID, AusAID). </w:t>
      </w:r>
      <w:r>
        <w:rPr>
          <w:rFonts w:ascii="Arial" w:hAnsi="Arial" w:cs="Arial"/>
          <w:sz w:val="22"/>
          <w:szCs w:val="22"/>
        </w:rPr>
        <w:t>DET</w:t>
      </w:r>
      <w:r w:rsidRPr="00476AA7">
        <w:rPr>
          <w:rFonts w:ascii="Arial" w:hAnsi="Arial" w:cs="Arial"/>
          <w:sz w:val="22"/>
          <w:szCs w:val="22"/>
        </w:rPr>
        <w:t xml:space="preserve"> operates on an annual budget cycle</w:t>
      </w:r>
      <w:r>
        <w:rPr>
          <w:rFonts w:ascii="Arial" w:hAnsi="Arial" w:cs="Arial"/>
          <w:sz w:val="22"/>
          <w:szCs w:val="22"/>
        </w:rPr>
        <w:t xml:space="preserve">. </w:t>
      </w:r>
      <w:r w:rsidRPr="00476AA7">
        <w:rPr>
          <w:rFonts w:ascii="Arial" w:hAnsi="Arial" w:cs="Arial"/>
          <w:sz w:val="22"/>
          <w:szCs w:val="22"/>
        </w:rPr>
        <w:t>The Partnership will therefore</w:t>
      </w:r>
      <w:r w:rsidRPr="00F05829" w:rsidDel="00341B10">
        <w:rPr>
          <w:rFonts w:ascii="Arial" w:hAnsi="Arial"/>
          <w:color w:val="auto"/>
          <w:sz w:val="22"/>
        </w:rPr>
        <w:t xml:space="preserve"> </w:t>
      </w:r>
      <w:r w:rsidRPr="00F05829">
        <w:rPr>
          <w:rFonts w:ascii="Arial" w:hAnsi="Arial"/>
          <w:color w:val="auto"/>
          <w:sz w:val="22"/>
        </w:rPr>
        <w:t xml:space="preserve">support development of an Annual Operation Plan (AOP) detailing annual DET targets, budgets, performance indicators and funding sources, with commentary on progress towards NSDS milestones.  </w:t>
      </w:r>
    </w:p>
    <w:p w:rsidR="00C44501" w:rsidRDefault="00C44501" w:rsidP="00C44501">
      <w:pPr>
        <w:jc w:val="both"/>
        <w:rPr>
          <w:rFonts w:ascii="Arial" w:hAnsi="Arial"/>
          <w:color w:val="auto"/>
          <w:sz w:val="22"/>
        </w:rPr>
      </w:pPr>
    </w:p>
    <w:p w:rsidR="00C44501" w:rsidRDefault="00C44501" w:rsidP="00C44501">
      <w:pPr>
        <w:ind w:left="720"/>
        <w:jc w:val="both"/>
        <w:rPr>
          <w:rFonts w:ascii="Arial" w:hAnsi="Arial"/>
          <w:b/>
          <w:color w:val="auto"/>
          <w:sz w:val="22"/>
        </w:rPr>
      </w:pPr>
      <w:r>
        <w:rPr>
          <w:rFonts w:ascii="Arial" w:hAnsi="Arial"/>
          <w:b/>
          <w:color w:val="auto"/>
          <w:sz w:val="22"/>
        </w:rPr>
        <w:t>Technical Assistance to support Implementation Strategy</w:t>
      </w:r>
    </w:p>
    <w:p w:rsidR="00C44501" w:rsidRDefault="00C44501" w:rsidP="00C44501">
      <w:pPr>
        <w:ind w:left="720"/>
        <w:jc w:val="both"/>
        <w:rPr>
          <w:rFonts w:ascii="Arial" w:hAnsi="Arial"/>
          <w:b/>
          <w:color w:val="auto"/>
          <w:sz w:val="22"/>
        </w:rPr>
      </w:pPr>
    </w:p>
    <w:p w:rsidR="00C44501" w:rsidRPr="00A70C94" w:rsidRDefault="00C44501" w:rsidP="00C44501">
      <w:pPr>
        <w:jc w:val="both"/>
        <w:rPr>
          <w:rFonts w:ascii="Arial" w:hAnsi="Arial"/>
          <w:color w:val="auto"/>
          <w:sz w:val="22"/>
        </w:rPr>
      </w:pPr>
      <w:r w:rsidRPr="00A70C94">
        <w:rPr>
          <w:rFonts w:ascii="Arial" w:hAnsi="Arial"/>
          <w:color w:val="auto"/>
          <w:sz w:val="22"/>
        </w:rPr>
        <w:t xml:space="preserve">To effectively support the Implementation Strategy, the provision of a range of technical assistance is planned via a range of mechanisms. This includes long term support via the placement of an Education Advisor within the Department of Education.  To support the newly established Nauru Secondary School (NSS), an experienced Principal will be recruited from Australia to act in the role of a mentor to the newly appointed NSS Principal. Other mechanisms for possible TA support include volunteers in areas such as special needs </w:t>
      </w:r>
      <w:r w:rsidR="00A70C94" w:rsidRPr="00A70C94">
        <w:rPr>
          <w:rFonts w:ascii="Arial" w:hAnsi="Arial"/>
          <w:color w:val="auto"/>
          <w:sz w:val="22"/>
        </w:rPr>
        <w:t>education;</w:t>
      </w:r>
      <w:r w:rsidRPr="00A70C94">
        <w:rPr>
          <w:rFonts w:ascii="Arial" w:hAnsi="Arial"/>
          <w:color w:val="auto"/>
          <w:sz w:val="22"/>
        </w:rPr>
        <w:t xml:space="preserve"> youth support programs and community outreach. The Learning Village has the potential to act as a community hub for a range of cross sectoral initiatives, including health, public library, adult education as well as formal and non formal education opportunities.  </w:t>
      </w:r>
    </w:p>
    <w:p w:rsidR="00C44501" w:rsidRPr="00A70C94" w:rsidRDefault="00C44501" w:rsidP="00C44501">
      <w:pPr>
        <w:jc w:val="both"/>
        <w:rPr>
          <w:rFonts w:ascii="Arial" w:hAnsi="Arial"/>
          <w:color w:val="auto"/>
          <w:sz w:val="22"/>
        </w:rPr>
      </w:pPr>
    </w:p>
    <w:p w:rsidR="00C44501" w:rsidRPr="00A70C94" w:rsidRDefault="00C44501" w:rsidP="00C44501">
      <w:pPr>
        <w:jc w:val="both"/>
        <w:rPr>
          <w:rFonts w:ascii="Arial" w:hAnsi="Arial"/>
          <w:color w:val="auto"/>
          <w:sz w:val="22"/>
        </w:rPr>
      </w:pPr>
      <w:r w:rsidRPr="00A70C94">
        <w:rPr>
          <w:rFonts w:ascii="Arial" w:hAnsi="Arial"/>
          <w:color w:val="auto"/>
          <w:sz w:val="22"/>
        </w:rPr>
        <w:t xml:space="preserve">In addition, short term technical assistance in specialist areas such as behaviour management, literacy and numeracy and policy development will also be accessed. </w:t>
      </w:r>
    </w:p>
    <w:p w:rsidR="00C44501" w:rsidRPr="00A70C94" w:rsidRDefault="00C44501" w:rsidP="00C44501">
      <w:pPr>
        <w:jc w:val="both"/>
        <w:rPr>
          <w:rFonts w:ascii="Arial" w:hAnsi="Arial"/>
          <w:color w:val="auto"/>
          <w:sz w:val="22"/>
        </w:rPr>
      </w:pPr>
    </w:p>
    <w:p w:rsidR="00C44501" w:rsidRPr="00A70C94" w:rsidRDefault="00C44501" w:rsidP="00C44501">
      <w:pPr>
        <w:jc w:val="both"/>
        <w:rPr>
          <w:rFonts w:ascii="Arial" w:hAnsi="Arial"/>
          <w:color w:val="auto"/>
          <w:sz w:val="22"/>
        </w:rPr>
      </w:pPr>
      <w:r w:rsidRPr="00A70C94">
        <w:rPr>
          <w:rFonts w:ascii="Arial" w:hAnsi="Arial"/>
          <w:color w:val="auto"/>
          <w:sz w:val="22"/>
        </w:rPr>
        <w:t xml:space="preserve">Within the Partnership Agreement, the GoN would seek to establish a twinning arrangement with an Australian State or Territory Department of Education or non government system (e.g. Catholic or Independent Education). This has the potential to provide GoN with access to current practitioners, expertise, knowledge and support from an experienced system. </w:t>
      </w:r>
    </w:p>
    <w:p w:rsidR="00C44501" w:rsidRPr="00011697" w:rsidRDefault="00C44501" w:rsidP="00C44501">
      <w:pPr>
        <w:jc w:val="both"/>
        <w:rPr>
          <w:rFonts w:ascii="Arial" w:hAnsi="Arial"/>
          <w:b/>
          <w:color w:val="auto"/>
          <w:sz w:val="22"/>
        </w:rPr>
      </w:pPr>
    </w:p>
    <w:p w:rsidR="00C44501" w:rsidRPr="00F05829" w:rsidRDefault="00C44501" w:rsidP="00C44501">
      <w:pPr>
        <w:jc w:val="both"/>
        <w:rPr>
          <w:rFonts w:ascii="Arial" w:hAnsi="Arial" w:cs="Arial"/>
          <w:color w:val="auto"/>
          <w:sz w:val="18"/>
          <w:szCs w:val="18"/>
        </w:rPr>
      </w:pPr>
      <w:r w:rsidRPr="00F05829">
        <w:rPr>
          <w:rFonts w:ascii="Arial" w:hAnsi="Arial" w:cs="Arial"/>
          <w:color w:val="auto"/>
          <w:sz w:val="18"/>
          <w:szCs w:val="18"/>
        </w:rPr>
        <w:t xml:space="preserve">Table 3. </w:t>
      </w:r>
    </w:p>
    <w:p w:rsidR="00C44501" w:rsidRPr="00F05829" w:rsidRDefault="00C44501" w:rsidP="00C44501">
      <w:pPr>
        <w:jc w:val="both"/>
        <w:rPr>
          <w:rFonts w:ascii="Arial" w:hAnsi="Arial" w:cs="Arial"/>
          <w:color w:val="auto"/>
          <w:sz w:val="18"/>
          <w:szCs w:val="18"/>
        </w:rPr>
      </w:pPr>
      <w:r w:rsidRPr="00F05829">
        <w:rPr>
          <w:rFonts w:ascii="Arial" w:hAnsi="Arial" w:cs="Arial"/>
          <w:color w:val="auto"/>
          <w:sz w:val="18"/>
          <w:szCs w:val="18"/>
        </w:rPr>
        <w:t>Implementation Plan (Phases 1 and 2)</w:t>
      </w:r>
    </w:p>
    <w:p w:rsidR="00C44501" w:rsidRPr="00F05829" w:rsidRDefault="00C44501" w:rsidP="00C44501">
      <w:pPr>
        <w:jc w:val="both"/>
        <w:rPr>
          <w:rFonts w:ascii="Arial" w:hAnsi="Arial" w:cs="Arial"/>
          <w:color w:val="auto"/>
          <w:sz w:val="18"/>
          <w:szCs w:val="18"/>
        </w:rPr>
      </w:pPr>
    </w:p>
    <w:tbl>
      <w:tblPr>
        <w:tblW w:w="0" w:type="auto"/>
        <w:tblInd w:w="5" w:type="dxa"/>
        <w:tblLayout w:type="fixed"/>
        <w:tblLook w:val="0000"/>
      </w:tblPr>
      <w:tblGrid>
        <w:gridCol w:w="1857"/>
        <w:gridCol w:w="1857"/>
        <w:gridCol w:w="1856"/>
        <w:gridCol w:w="1857"/>
      </w:tblGrid>
      <w:tr w:rsidR="00C44501" w:rsidRPr="00F05829" w:rsidTr="00E26ADF">
        <w:trPr>
          <w:cantSplit/>
          <w:trHeight w:val="310"/>
        </w:trPr>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b/>
                <w:color w:val="auto"/>
                <w:sz w:val="18"/>
                <w:szCs w:val="18"/>
              </w:rPr>
            </w:pPr>
            <w:r w:rsidRPr="00F05829">
              <w:rPr>
                <w:rFonts w:ascii="Arial" w:hAnsi="Arial" w:cs="Arial"/>
                <w:b/>
                <w:color w:val="auto"/>
                <w:sz w:val="18"/>
                <w:szCs w:val="18"/>
              </w:rPr>
              <w:t>Phase 1</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b/>
                <w:color w:val="auto"/>
                <w:sz w:val="18"/>
                <w:szCs w:val="18"/>
              </w:rPr>
            </w:pPr>
            <w:r w:rsidRPr="00F05829">
              <w:rPr>
                <w:rFonts w:ascii="Arial" w:hAnsi="Arial" w:cs="Arial"/>
                <w:b/>
                <w:color w:val="auto"/>
                <w:sz w:val="18"/>
                <w:szCs w:val="18"/>
              </w:rPr>
              <w:t>Method</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b/>
                <w:color w:val="auto"/>
                <w:sz w:val="18"/>
                <w:szCs w:val="18"/>
              </w:rPr>
            </w:pPr>
            <w:r w:rsidRPr="00F05829">
              <w:rPr>
                <w:rFonts w:ascii="Arial" w:hAnsi="Arial" w:cs="Arial"/>
                <w:b/>
                <w:color w:val="auto"/>
                <w:sz w:val="18"/>
                <w:szCs w:val="18"/>
              </w:rPr>
              <w:t>Responsibility</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b/>
                <w:color w:val="auto"/>
                <w:sz w:val="18"/>
                <w:szCs w:val="18"/>
              </w:rPr>
            </w:pPr>
            <w:r w:rsidRPr="00F05829">
              <w:rPr>
                <w:rFonts w:ascii="Arial" w:hAnsi="Arial" w:cs="Arial"/>
                <w:b/>
                <w:color w:val="auto"/>
                <w:sz w:val="18"/>
                <w:szCs w:val="18"/>
              </w:rPr>
              <w:t>Timing</w:t>
            </w:r>
          </w:p>
        </w:tc>
      </w:tr>
      <w:tr w:rsidR="00C44501" w:rsidRPr="00F05829" w:rsidTr="00E26ADF">
        <w:trPr>
          <w:cantSplit/>
          <w:trHeight w:val="880"/>
        </w:trPr>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Mid 2010-2011</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 xml:space="preserve">Direct funding by </w:t>
            </w:r>
            <w:r>
              <w:rPr>
                <w:rFonts w:ascii="Arial" w:hAnsi="Arial" w:cs="Arial"/>
                <w:color w:val="auto"/>
                <w:sz w:val="18"/>
                <w:szCs w:val="18"/>
              </w:rPr>
              <w:t>DP</w:t>
            </w:r>
            <w:r w:rsidRPr="00F05829">
              <w:rPr>
                <w:rFonts w:ascii="Arial" w:hAnsi="Arial" w:cs="Arial"/>
                <w:color w:val="auto"/>
                <w:sz w:val="18"/>
                <w:szCs w:val="18"/>
              </w:rPr>
              <w:t>s into trust account for each phase.</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Pr>
                <w:rFonts w:ascii="Arial" w:hAnsi="Arial" w:cs="Arial"/>
                <w:color w:val="auto"/>
                <w:sz w:val="18"/>
                <w:szCs w:val="18"/>
              </w:rPr>
              <w:t>DP</w:t>
            </w:r>
            <w:r w:rsidRPr="00F05829">
              <w:rPr>
                <w:rFonts w:ascii="Arial" w:hAnsi="Arial" w:cs="Arial"/>
                <w:color w:val="auto"/>
                <w:sz w:val="18"/>
                <w:szCs w:val="18"/>
              </w:rPr>
              <w:t>s</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Annual tranches</w:t>
            </w:r>
          </w:p>
        </w:tc>
      </w:tr>
      <w:tr w:rsidR="00C44501" w:rsidRPr="00F05829" w:rsidTr="00E26ADF">
        <w:trPr>
          <w:cantSplit/>
          <w:trHeight w:val="880"/>
        </w:trPr>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Development of monitoring and evaluation framework</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Pr>
                <w:rFonts w:ascii="Arial" w:hAnsi="Arial" w:cs="Arial"/>
                <w:color w:val="auto"/>
                <w:sz w:val="18"/>
                <w:szCs w:val="18"/>
              </w:rPr>
              <w:t>DET</w:t>
            </w:r>
            <w:r w:rsidRPr="00F05829">
              <w:rPr>
                <w:rFonts w:ascii="Arial" w:hAnsi="Arial" w:cs="Arial"/>
                <w:color w:val="auto"/>
                <w:sz w:val="18"/>
                <w:szCs w:val="18"/>
              </w:rPr>
              <w:t xml:space="preserve"> with support of Education Advisor</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May 2011</w:t>
            </w:r>
          </w:p>
        </w:tc>
      </w:tr>
      <w:tr w:rsidR="00C44501" w:rsidRPr="00F05829" w:rsidTr="00E26ADF">
        <w:trPr>
          <w:cantSplit/>
          <w:trHeight w:val="1320"/>
        </w:trPr>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Drafting of AOP that incorporates phase 1 activities and reflects NZAID and AusAID sources of funding</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 xml:space="preserve">GoN/ </w:t>
            </w:r>
            <w:r>
              <w:rPr>
                <w:rFonts w:ascii="Arial" w:hAnsi="Arial" w:cs="Arial"/>
                <w:color w:val="auto"/>
                <w:sz w:val="18"/>
                <w:szCs w:val="18"/>
              </w:rPr>
              <w:t>DET</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Current  government and departmental strategic planning cycle</w:t>
            </w:r>
          </w:p>
        </w:tc>
      </w:tr>
      <w:tr w:rsidR="00C44501" w:rsidRPr="00F05829" w:rsidTr="00E26ADF">
        <w:trPr>
          <w:cantSplit/>
          <w:trHeight w:val="1540"/>
        </w:trPr>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Scheduled reporting and acquittal processes on expenditure</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 xml:space="preserve">Senior Finance Officer </w:t>
            </w:r>
            <w:r>
              <w:rPr>
                <w:rFonts w:ascii="Arial" w:hAnsi="Arial" w:cs="Arial"/>
                <w:color w:val="auto"/>
                <w:sz w:val="18"/>
                <w:szCs w:val="18"/>
              </w:rPr>
              <w:t>DET</w:t>
            </w:r>
          </w:p>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 xml:space="preserve">Senior </w:t>
            </w:r>
            <w:r>
              <w:rPr>
                <w:rFonts w:ascii="Arial" w:hAnsi="Arial" w:cs="Arial"/>
                <w:color w:val="auto"/>
                <w:sz w:val="18"/>
                <w:szCs w:val="18"/>
              </w:rPr>
              <w:t>DET</w:t>
            </w:r>
            <w:r w:rsidRPr="00F05829">
              <w:rPr>
                <w:rFonts w:ascii="Arial" w:hAnsi="Arial" w:cs="Arial"/>
                <w:color w:val="auto"/>
                <w:sz w:val="18"/>
                <w:szCs w:val="18"/>
              </w:rPr>
              <w:t xml:space="preserve"> officers supported by Education Advisor</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Pr>
                <w:rFonts w:ascii="Arial" w:hAnsi="Arial" w:cs="Arial"/>
                <w:color w:val="auto"/>
                <w:sz w:val="18"/>
                <w:szCs w:val="18"/>
              </w:rPr>
              <w:t>DET</w:t>
            </w:r>
            <w:r w:rsidRPr="00F05829">
              <w:rPr>
                <w:rFonts w:ascii="Arial" w:hAnsi="Arial" w:cs="Arial"/>
                <w:color w:val="auto"/>
                <w:sz w:val="18"/>
                <w:szCs w:val="18"/>
              </w:rPr>
              <w:t xml:space="preserve"> has established a budget committee that meets every fortnight to review and assess budget expenditure and achieved outcomes.</w:t>
            </w:r>
          </w:p>
        </w:tc>
      </w:tr>
      <w:tr w:rsidR="00C44501" w:rsidRPr="00F05829" w:rsidTr="00E26ADF">
        <w:trPr>
          <w:cantSplit/>
          <w:trHeight w:val="880"/>
        </w:trPr>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lastRenderedPageBreak/>
              <w:t>Dec 2011-2013</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 xml:space="preserve">Joint funding model(design and activities to reflect focus of each </w:t>
            </w:r>
            <w:r>
              <w:rPr>
                <w:rFonts w:ascii="Arial" w:hAnsi="Arial" w:cs="Arial"/>
                <w:color w:val="auto"/>
                <w:sz w:val="18"/>
                <w:szCs w:val="18"/>
              </w:rPr>
              <w:t>DP</w:t>
            </w:r>
            <w:r w:rsidRPr="00F05829">
              <w:rPr>
                <w:rFonts w:ascii="Arial" w:hAnsi="Arial" w:cs="Arial"/>
                <w:color w:val="auto"/>
                <w:sz w:val="18"/>
                <w:szCs w:val="18"/>
              </w:rPr>
              <w:t>)</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Pr>
                <w:rFonts w:ascii="Arial" w:hAnsi="Arial" w:cs="Arial"/>
                <w:color w:val="auto"/>
                <w:sz w:val="18"/>
                <w:szCs w:val="18"/>
              </w:rPr>
              <w:t>DP</w:t>
            </w:r>
            <w:r w:rsidRPr="00F05829">
              <w:rPr>
                <w:rFonts w:ascii="Arial" w:hAnsi="Arial" w:cs="Arial"/>
                <w:color w:val="auto"/>
                <w:sz w:val="18"/>
                <w:szCs w:val="18"/>
              </w:rPr>
              <w:t>s and GoN</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Proposed timing October 2011.</w:t>
            </w:r>
          </w:p>
        </w:tc>
      </w:tr>
      <w:tr w:rsidR="00C44501" w:rsidRPr="00F05829" w:rsidTr="00E26ADF">
        <w:trPr>
          <w:cantSplit/>
          <w:trHeight w:val="660"/>
        </w:trPr>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Design developed for part 2 of Phase 1</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Pr>
                <w:rFonts w:ascii="Arial" w:hAnsi="Arial" w:cs="Arial"/>
                <w:color w:val="auto"/>
                <w:sz w:val="18"/>
                <w:szCs w:val="18"/>
              </w:rPr>
              <w:t>DET</w:t>
            </w:r>
            <w:r w:rsidRPr="00F05829">
              <w:rPr>
                <w:rFonts w:ascii="Arial" w:hAnsi="Arial" w:cs="Arial"/>
                <w:color w:val="auto"/>
                <w:sz w:val="18"/>
                <w:szCs w:val="18"/>
              </w:rPr>
              <w:t xml:space="preserve"> senior staff supported by Education Advisor</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August 2011</w:t>
            </w:r>
          </w:p>
        </w:tc>
      </w:tr>
      <w:tr w:rsidR="00C44501" w:rsidRPr="00F05829" w:rsidTr="00E26ADF">
        <w:trPr>
          <w:cantSplit/>
          <w:trHeight w:val="1100"/>
        </w:trPr>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AOP developed –incorporating GoN priorities as per Strategic Plan and Phase activities</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Pr>
                <w:rFonts w:ascii="Arial" w:hAnsi="Arial" w:cs="Arial"/>
                <w:color w:val="auto"/>
                <w:sz w:val="18"/>
                <w:szCs w:val="18"/>
              </w:rPr>
              <w:t>DET</w:t>
            </w:r>
            <w:r w:rsidRPr="00F05829">
              <w:rPr>
                <w:rFonts w:ascii="Arial" w:hAnsi="Arial" w:cs="Arial"/>
                <w:color w:val="auto"/>
                <w:sz w:val="18"/>
                <w:szCs w:val="18"/>
              </w:rPr>
              <w:t xml:space="preserve"> senior officers</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As per current planning cycle (June)</w:t>
            </w:r>
          </w:p>
        </w:tc>
      </w:tr>
      <w:tr w:rsidR="00C44501" w:rsidRPr="00F05829" w:rsidTr="00E26ADF">
        <w:trPr>
          <w:cantSplit/>
          <w:trHeight w:val="2200"/>
        </w:trPr>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Scheduled reporting and acquittal processes on expenditure featuring an integrated reporting regime and monitoring and evaluation framework.</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Pr>
                <w:rFonts w:ascii="Arial" w:hAnsi="Arial" w:cs="Arial"/>
                <w:color w:val="auto"/>
                <w:sz w:val="18"/>
                <w:szCs w:val="18"/>
              </w:rPr>
              <w:t>DET</w:t>
            </w:r>
            <w:r w:rsidRPr="00F05829">
              <w:rPr>
                <w:rFonts w:ascii="Arial" w:hAnsi="Arial" w:cs="Arial"/>
                <w:color w:val="auto"/>
                <w:sz w:val="18"/>
                <w:szCs w:val="18"/>
              </w:rPr>
              <w:t xml:space="preserve"> staff supported by Education Advisor</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Quarterly reports on progress and expenditure.</w:t>
            </w:r>
          </w:p>
        </w:tc>
      </w:tr>
    </w:tbl>
    <w:p w:rsidR="00C44501" w:rsidRPr="00F05829" w:rsidRDefault="00C44501" w:rsidP="00C44501">
      <w:pPr>
        <w:jc w:val="both"/>
        <w:rPr>
          <w:rFonts w:ascii="Arial" w:hAnsi="Arial" w:cs="Arial"/>
          <w:color w:val="auto"/>
          <w:sz w:val="18"/>
          <w:szCs w:val="18"/>
        </w:rPr>
      </w:pPr>
    </w:p>
    <w:p w:rsidR="00C44501" w:rsidRPr="00F05829" w:rsidRDefault="00C44501" w:rsidP="00C44501">
      <w:pPr>
        <w:jc w:val="both"/>
        <w:rPr>
          <w:rFonts w:ascii="Arial" w:hAnsi="Arial" w:cs="Arial"/>
          <w:color w:val="auto"/>
          <w:sz w:val="18"/>
          <w:szCs w:val="18"/>
        </w:rPr>
      </w:pPr>
    </w:p>
    <w:tbl>
      <w:tblPr>
        <w:tblW w:w="0" w:type="auto"/>
        <w:tblInd w:w="5" w:type="dxa"/>
        <w:tblLayout w:type="fixed"/>
        <w:tblLook w:val="0000"/>
      </w:tblPr>
      <w:tblGrid>
        <w:gridCol w:w="1857"/>
        <w:gridCol w:w="1857"/>
        <w:gridCol w:w="1856"/>
        <w:gridCol w:w="1857"/>
      </w:tblGrid>
      <w:tr w:rsidR="00C44501" w:rsidRPr="00F05829" w:rsidTr="00E26ADF">
        <w:trPr>
          <w:cantSplit/>
          <w:trHeight w:val="1100"/>
        </w:trPr>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b/>
                <w:color w:val="auto"/>
                <w:sz w:val="18"/>
                <w:szCs w:val="18"/>
              </w:rPr>
            </w:pPr>
            <w:r w:rsidRPr="00F05829">
              <w:rPr>
                <w:rFonts w:ascii="Arial" w:hAnsi="Arial" w:cs="Arial"/>
                <w:b/>
                <w:color w:val="auto"/>
                <w:sz w:val="18"/>
                <w:szCs w:val="18"/>
              </w:rPr>
              <w:t>Phase 2</w:t>
            </w:r>
          </w:p>
          <w:p w:rsidR="00C44501" w:rsidRPr="00F05829" w:rsidRDefault="00C44501" w:rsidP="00E26ADF">
            <w:pPr>
              <w:jc w:val="center"/>
              <w:rPr>
                <w:rFonts w:ascii="Arial" w:hAnsi="Arial" w:cs="Arial"/>
                <w:color w:val="auto"/>
                <w:sz w:val="18"/>
                <w:szCs w:val="18"/>
              </w:rPr>
            </w:pPr>
            <w:r w:rsidRPr="00F05829">
              <w:rPr>
                <w:rFonts w:ascii="Arial" w:hAnsi="Arial" w:cs="Arial"/>
                <w:b/>
                <w:color w:val="auto"/>
                <w:sz w:val="18"/>
                <w:szCs w:val="18"/>
              </w:rPr>
              <w:t>2014-</w:t>
            </w:r>
            <w:r>
              <w:rPr>
                <w:rFonts w:ascii="Arial" w:hAnsi="Arial" w:cs="Arial"/>
                <w:b/>
                <w:color w:val="auto"/>
                <w:sz w:val="18"/>
                <w:szCs w:val="18"/>
              </w:rPr>
              <w:t>2016</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b/>
                <w:color w:val="auto"/>
                <w:sz w:val="18"/>
                <w:szCs w:val="18"/>
              </w:rPr>
              <w:t>Method</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b/>
                <w:color w:val="auto"/>
                <w:sz w:val="18"/>
                <w:szCs w:val="18"/>
              </w:rPr>
              <w:t>Responsibility</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b/>
                <w:color w:val="auto"/>
                <w:sz w:val="18"/>
                <w:szCs w:val="18"/>
              </w:rPr>
              <w:t>Responsibility</w:t>
            </w:r>
          </w:p>
        </w:tc>
      </w:tr>
      <w:tr w:rsidR="00C44501" w:rsidRPr="00F05829" w:rsidTr="00E26ADF">
        <w:trPr>
          <w:cantSplit/>
          <w:trHeight w:val="1100"/>
        </w:trPr>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p>
          <w:p w:rsidR="00C44501" w:rsidRPr="00F05829" w:rsidRDefault="00C44501" w:rsidP="00E26ADF">
            <w:pPr>
              <w:jc w:val="center"/>
              <w:rPr>
                <w:rFonts w:ascii="Arial" w:hAnsi="Arial" w:cs="Arial"/>
                <w:color w:val="auto"/>
                <w:sz w:val="18"/>
                <w:szCs w:val="18"/>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Design developed based on review and analysis of Phase 1 results and outcomes</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Pr>
                <w:rFonts w:ascii="Arial" w:hAnsi="Arial" w:cs="Arial"/>
                <w:color w:val="auto"/>
                <w:sz w:val="18"/>
                <w:szCs w:val="18"/>
              </w:rPr>
              <w:t>DET</w:t>
            </w:r>
            <w:r w:rsidRPr="00F05829">
              <w:rPr>
                <w:rFonts w:ascii="Arial" w:hAnsi="Arial" w:cs="Arial"/>
                <w:color w:val="auto"/>
                <w:sz w:val="18"/>
                <w:szCs w:val="18"/>
              </w:rPr>
              <w:t xml:space="preserve"> staff supported by Education Advisor</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September 2013</w:t>
            </w:r>
          </w:p>
        </w:tc>
      </w:tr>
      <w:tr w:rsidR="00C44501" w:rsidRPr="00F05829" w:rsidTr="00E26ADF">
        <w:trPr>
          <w:cantSplit/>
          <w:trHeight w:val="880"/>
        </w:trPr>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Development of monitoring and evaluation framework</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Pr>
                <w:rFonts w:ascii="Arial" w:hAnsi="Arial" w:cs="Arial"/>
                <w:color w:val="auto"/>
                <w:sz w:val="18"/>
                <w:szCs w:val="18"/>
              </w:rPr>
              <w:t>DET</w:t>
            </w:r>
            <w:r w:rsidRPr="00F05829">
              <w:rPr>
                <w:rFonts w:ascii="Arial" w:hAnsi="Arial" w:cs="Arial"/>
                <w:color w:val="auto"/>
                <w:sz w:val="18"/>
                <w:szCs w:val="18"/>
              </w:rPr>
              <w:t xml:space="preserve"> staff supported by Education Advisor</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center"/>
              <w:rPr>
                <w:rFonts w:ascii="Arial" w:hAnsi="Arial" w:cs="Arial"/>
                <w:color w:val="auto"/>
                <w:sz w:val="18"/>
                <w:szCs w:val="18"/>
              </w:rPr>
            </w:pPr>
            <w:r w:rsidRPr="00F05829">
              <w:rPr>
                <w:rFonts w:ascii="Arial" w:hAnsi="Arial" w:cs="Arial"/>
                <w:color w:val="auto"/>
                <w:sz w:val="18"/>
                <w:szCs w:val="18"/>
              </w:rPr>
              <w:t>November 2013</w:t>
            </w:r>
          </w:p>
        </w:tc>
      </w:tr>
    </w:tbl>
    <w:p w:rsidR="00C44501" w:rsidRPr="00F05829" w:rsidRDefault="00C44501" w:rsidP="00C44501">
      <w:pPr>
        <w:pStyle w:val="FreeForm"/>
        <w:ind w:left="778"/>
        <w:jc w:val="both"/>
        <w:rPr>
          <w:rFonts w:ascii="Arial" w:hAnsi="Arial" w:cs="Arial"/>
          <w:color w:val="auto"/>
          <w:sz w:val="18"/>
          <w:szCs w:val="18"/>
        </w:rPr>
      </w:pPr>
    </w:p>
    <w:p w:rsidR="00C44501" w:rsidRPr="00F05829" w:rsidRDefault="00C44501" w:rsidP="00C44501">
      <w:pPr>
        <w:jc w:val="both"/>
        <w:rPr>
          <w:rFonts w:ascii="Arial" w:hAnsi="Arial"/>
          <w:color w:val="auto"/>
          <w:sz w:val="22"/>
        </w:rPr>
      </w:pPr>
    </w:p>
    <w:p w:rsidR="00C44501" w:rsidRDefault="00C44501" w:rsidP="00C44501">
      <w:pPr>
        <w:jc w:val="both"/>
        <w:rPr>
          <w:rFonts w:ascii="Arial" w:hAnsi="Arial"/>
          <w:color w:val="auto"/>
          <w:sz w:val="22"/>
        </w:rPr>
      </w:pPr>
      <w:r w:rsidRPr="00F05829">
        <w:rPr>
          <w:rFonts w:ascii="Arial" w:hAnsi="Arial"/>
          <w:color w:val="auto"/>
          <w:sz w:val="22"/>
        </w:rPr>
        <w:t>Nauru’s draft Education Policy</w:t>
      </w:r>
      <w:r>
        <w:rPr>
          <w:rFonts w:ascii="Arial" w:hAnsi="Arial"/>
          <w:color w:val="auto"/>
          <w:sz w:val="22"/>
        </w:rPr>
        <w:t xml:space="preserve"> will need to reviewed</w:t>
      </w:r>
      <w:r w:rsidRPr="00F05829">
        <w:rPr>
          <w:rFonts w:ascii="Arial" w:hAnsi="Arial"/>
          <w:color w:val="auto"/>
          <w:sz w:val="22"/>
        </w:rPr>
        <w:t xml:space="preserve"> to align with Nauru’s Education Bill, to be tabled in Parliament in 2011.  The policy implications flowing from its expected passage are significant, and their continued appraisal will be an important factor in the </w:t>
      </w:r>
      <w:r>
        <w:rPr>
          <w:rFonts w:ascii="Arial" w:hAnsi="Arial"/>
          <w:color w:val="auto"/>
          <w:sz w:val="22"/>
        </w:rPr>
        <w:t>ongoing</w:t>
      </w:r>
      <w:r w:rsidRPr="00F05829">
        <w:rPr>
          <w:rFonts w:ascii="Arial" w:hAnsi="Arial"/>
          <w:color w:val="auto"/>
          <w:sz w:val="22"/>
        </w:rPr>
        <w:t xml:space="preserve"> development of the Education Policy</w:t>
      </w:r>
      <w:r>
        <w:rPr>
          <w:rFonts w:ascii="Arial" w:hAnsi="Arial"/>
          <w:color w:val="auto"/>
          <w:sz w:val="22"/>
        </w:rPr>
        <w:t xml:space="preserve"> (planned completion 2012)</w:t>
      </w:r>
      <w:r w:rsidRPr="00F05829">
        <w:rPr>
          <w:rFonts w:ascii="Arial" w:hAnsi="Arial"/>
          <w:color w:val="auto"/>
          <w:sz w:val="22"/>
        </w:rPr>
        <w:t>.</w:t>
      </w:r>
    </w:p>
    <w:p w:rsidR="00C44501" w:rsidRPr="00F05829" w:rsidRDefault="00C44501" w:rsidP="00C44501">
      <w:pPr>
        <w:jc w:val="both"/>
        <w:rPr>
          <w:rFonts w:ascii="Arial" w:hAnsi="Arial"/>
          <w:color w:val="auto"/>
          <w:sz w:val="22"/>
        </w:rPr>
      </w:pPr>
    </w:p>
    <w:p w:rsidR="00C44501" w:rsidRDefault="00C44501" w:rsidP="00C44501">
      <w:pPr>
        <w:jc w:val="both"/>
        <w:rPr>
          <w:rFonts w:ascii="Arial Bold" w:hAnsi="Arial Bold"/>
          <w:color w:val="auto"/>
          <w:sz w:val="22"/>
        </w:rPr>
      </w:pPr>
    </w:p>
    <w:p w:rsidR="00C44501" w:rsidRDefault="00C44501" w:rsidP="00C44501">
      <w:pPr>
        <w:jc w:val="both"/>
        <w:rPr>
          <w:rFonts w:ascii="Arial Bold" w:hAnsi="Arial Bold"/>
          <w:color w:val="auto"/>
          <w:sz w:val="22"/>
        </w:rPr>
      </w:pPr>
    </w:p>
    <w:p w:rsidR="00C44501" w:rsidRPr="00D24E87" w:rsidRDefault="00C44501" w:rsidP="00C44501">
      <w:pPr>
        <w:jc w:val="both"/>
        <w:rPr>
          <w:rFonts w:ascii="Arial" w:hAnsi="Arial" w:cs="Arial"/>
          <w:b/>
          <w:color w:val="auto"/>
        </w:rPr>
      </w:pPr>
      <w:r>
        <w:rPr>
          <w:rFonts w:ascii="Arial" w:hAnsi="Arial" w:cs="Arial"/>
          <w:b/>
          <w:color w:val="auto"/>
        </w:rPr>
        <w:t>6.</w:t>
      </w:r>
      <w:r>
        <w:rPr>
          <w:rFonts w:ascii="Arial" w:hAnsi="Arial" w:cs="Arial"/>
          <w:b/>
          <w:color w:val="auto"/>
        </w:rPr>
        <w:tab/>
      </w:r>
      <w:r w:rsidRPr="00D24E87">
        <w:rPr>
          <w:rFonts w:ascii="Arial" w:hAnsi="Arial" w:cs="Arial"/>
          <w:b/>
          <w:color w:val="auto"/>
        </w:rPr>
        <w:t>Costing and Timeframe</w:t>
      </w:r>
    </w:p>
    <w:p w:rsidR="00C44501" w:rsidRPr="00F05829" w:rsidRDefault="00C44501" w:rsidP="00C44501">
      <w:pPr>
        <w:jc w:val="both"/>
        <w:rPr>
          <w:rFonts w:ascii="Arial" w:hAnsi="Arial"/>
          <w:color w:val="auto"/>
          <w:sz w:val="22"/>
        </w:rPr>
      </w:pPr>
      <w:r w:rsidRPr="00F05829">
        <w:rPr>
          <w:rFonts w:ascii="Arial" w:hAnsi="Arial"/>
          <w:color w:val="auto"/>
          <w:sz w:val="22"/>
        </w:rPr>
        <w:t xml:space="preserve">Table 1 presents the costing and financial implications </w:t>
      </w:r>
      <w:r>
        <w:rPr>
          <w:rFonts w:ascii="Arial" w:hAnsi="Arial"/>
          <w:color w:val="auto"/>
          <w:sz w:val="22"/>
        </w:rPr>
        <w:t>for</w:t>
      </w:r>
      <w:r w:rsidRPr="00F05829">
        <w:rPr>
          <w:rFonts w:ascii="Arial" w:hAnsi="Arial"/>
          <w:color w:val="auto"/>
          <w:sz w:val="22"/>
        </w:rPr>
        <w:t xml:space="preserve"> Nauru’s education sector </w:t>
      </w:r>
      <w:r>
        <w:rPr>
          <w:rFonts w:ascii="Arial" w:hAnsi="Arial"/>
          <w:color w:val="auto"/>
          <w:sz w:val="22"/>
        </w:rPr>
        <w:t xml:space="preserve">to </w:t>
      </w:r>
      <w:r w:rsidRPr="00F05829">
        <w:rPr>
          <w:rFonts w:ascii="Arial" w:hAnsi="Arial"/>
          <w:color w:val="auto"/>
          <w:sz w:val="22"/>
        </w:rPr>
        <w:t>achiev</w:t>
      </w:r>
      <w:r>
        <w:rPr>
          <w:rFonts w:ascii="Arial" w:hAnsi="Arial"/>
          <w:color w:val="auto"/>
          <w:sz w:val="22"/>
        </w:rPr>
        <w:t>e</w:t>
      </w:r>
      <w:r w:rsidRPr="00F05829">
        <w:rPr>
          <w:rFonts w:ascii="Arial" w:hAnsi="Arial"/>
          <w:color w:val="auto"/>
          <w:sz w:val="22"/>
        </w:rPr>
        <w:t xml:space="preserve"> the outcomes set out in this document. </w:t>
      </w:r>
      <w:r>
        <w:rPr>
          <w:rFonts w:ascii="Arial" w:hAnsi="Arial"/>
          <w:color w:val="auto"/>
          <w:sz w:val="22"/>
        </w:rPr>
        <w:t>DET b</w:t>
      </w:r>
      <w:r w:rsidRPr="00F05829">
        <w:rPr>
          <w:rFonts w:ascii="Arial" w:hAnsi="Arial"/>
          <w:color w:val="auto"/>
          <w:sz w:val="22"/>
        </w:rPr>
        <w:t xml:space="preserve">udget reporting for 2009-10 is </w:t>
      </w:r>
      <w:r>
        <w:rPr>
          <w:rFonts w:ascii="Arial" w:hAnsi="Arial"/>
          <w:color w:val="auto"/>
          <w:sz w:val="22"/>
        </w:rPr>
        <w:t xml:space="preserve">shown at </w:t>
      </w:r>
      <w:r w:rsidRPr="00F05829">
        <w:rPr>
          <w:rFonts w:ascii="Arial" w:hAnsi="Arial"/>
          <w:b/>
          <w:color w:val="auto"/>
          <w:sz w:val="22"/>
        </w:rPr>
        <w:t>Annex 1</w:t>
      </w:r>
      <w:r w:rsidRPr="00F05829">
        <w:rPr>
          <w:rFonts w:ascii="Arial" w:hAnsi="Arial"/>
          <w:color w:val="auto"/>
          <w:sz w:val="22"/>
        </w:rPr>
        <w:t xml:space="preserve">. It should be noted that budget reporting within DET, Footpath II and </w:t>
      </w:r>
      <w:r>
        <w:rPr>
          <w:rFonts w:ascii="Arial" w:hAnsi="Arial"/>
          <w:color w:val="auto"/>
          <w:sz w:val="22"/>
        </w:rPr>
        <w:t xml:space="preserve">the </w:t>
      </w:r>
      <w:r w:rsidRPr="00F05829">
        <w:rPr>
          <w:rFonts w:ascii="Arial" w:hAnsi="Arial"/>
          <w:color w:val="auto"/>
          <w:sz w:val="22"/>
        </w:rPr>
        <w:t>NSDS are poorly connected.   Work will continue in refining costings as outstanding policy issues are resolved</w:t>
      </w:r>
      <w:r>
        <w:rPr>
          <w:rFonts w:ascii="Arial" w:hAnsi="Arial"/>
          <w:color w:val="auto"/>
          <w:sz w:val="22"/>
        </w:rPr>
        <w:t xml:space="preserve">. For instance, the </w:t>
      </w:r>
      <w:r>
        <w:rPr>
          <w:rFonts w:ascii="Arial" w:hAnsi="Arial" w:cs="Arial"/>
          <w:sz w:val="22"/>
          <w:szCs w:val="22"/>
        </w:rPr>
        <w:t xml:space="preserve">Education Bill and subsequent Act will drive significant reform (e.g. extending age of compulsory education). </w:t>
      </w:r>
      <w:r>
        <w:rPr>
          <w:rFonts w:ascii="Arial" w:hAnsi="Arial"/>
          <w:color w:val="auto"/>
          <w:sz w:val="22"/>
        </w:rPr>
        <w:t xml:space="preserve"> Given this context, provisional costings have been developed</w:t>
      </w:r>
      <w:r w:rsidRPr="00F05829">
        <w:rPr>
          <w:rFonts w:ascii="Arial" w:hAnsi="Arial"/>
          <w:color w:val="auto"/>
          <w:sz w:val="22"/>
        </w:rPr>
        <w:t>:</w:t>
      </w:r>
    </w:p>
    <w:p w:rsidR="00C44501" w:rsidRPr="00F05829" w:rsidRDefault="00C44501" w:rsidP="00C44501">
      <w:pPr>
        <w:jc w:val="both"/>
        <w:rPr>
          <w:rFonts w:ascii="Arial" w:hAnsi="Arial"/>
          <w:color w:val="auto"/>
          <w:sz w:val="22"/>
        </w:rPr>
      </w:pPr>
    </w:p>
    <w:p w:rsidR="00C44501" w:rsidRPr="00F05829" w:rsidRDefault="00C44501" w:rsidP="00C44501">
      <w:pPr>
        <w:jc w:val="both"/>
        <w:rPr>
          <w:rFonts w:ascii="Arial" w:hAnsi="Arial"/>
          <w:color w:val="auto"/>
          <w:sz w:val="18"/>
          <w:szCs w:val="18"/>
        </w:rPr>
      </w:pPr>
      <w:r w:rsidRPr="00F05829">
        <w:rPr>
          <w:rFonts w:ascii="Arial" w:hAnsi="Arial"/>
          <w:color w:val="auto"/>
          <w:sz w:val="18"/>
          <w:szCs w:val="18"/>
        </w:rPr>
        <w:t>Table 1.  Footpath II Costing 2010-2015 (AUD millions)</w:t>
      </w:r>
      <w:r w:rsidRPr="00F05829">
        <w:rPr>
          <w:rStyle w:val="FootnoteReference"/>
          <w:rFonts w:ascii="Arial" w:hAnsi="Arial"/>
          <w:color w:val="auto"/>
          <w:sz w:val="18"/>
          <w:szCs w:val="18"/>
        </w:rPr>
        <w:footnoteReference w:id="7"/>
      </w:r>
    </w:p>
    <w:p w:rsidR="00C44501" w:rsidRPr="00F05829" w:rsidRDefault="00C44501" w:rsidP="00C44501">
      <w:pPr>
        <w:jc w:val="both"/>
        <w:rPr>
          <w:rFonts w:ascii="Arial" w:hAnsi="Arial"/>
          <w:color w:val="auto"/>
          <w:sz w:val="18"/>
          <w:szCs w:val="18"/>
        </w:rPr>
      </w:pPr>
    </w:p>
    <w:p w:rsidR="00C44501" w:rsidRPr="00F05829" w:rsidRDefault="00C44501" w:rsidP="00C44501">
      <w:pPr>
        <w:jc w:val="both"/>
        <w:rPr>
          <w:rFonts w:ascii="Arial" w:hAnsi="Arial"/>
          <w:color w:val="auto"/>
          <w:sz w:val="18"/>
          <w:szCs w:val="18"/>
        </w:rPr>
      </w:pPr>
      <w:r w:rsidRPr="00F05829">
        <w:rPr>
          <w:rFonts w:ascii="Arial" w:hAnsi="Arial"/>
          <w:color w:val="auto"/>
          <w:sz w:val="18"/>
          <w:szCs w:val="18"/>
        </w:rPr>
        <w:lastRenderedPageBreak/>
        <w:t>_______________________________________________________________________________________</w:t>
      </w:r>
    </w:p>
    <w:p w:rsidR="00C44501" w:rsidRDefault="00C44501" w:rsidP="00C44501">
      <w:pPr>
        <w:jc w:val="both"/>
        <w:rPr>
          <w:rFonts w:ascii="Arial" w:hAnsi="Arial"/>
          <w:color w:val="auto"/>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1079"/>
        <w:gridCol w:w="1080"/>
        <w:gridCol w:w="1080"/>
        <w:gridCol w:w="1079"/>
        <w:gridCol w:w="1080"/>
        <w:gridCol w:w="1080"/>
      </w:tblGrid>
      <w:tr w:rsidR="00C44501" w:rsidRPr="00CD09AA" w:rsidTr="00E26ADF">
        <w:tc>
          <w:tcPr>
            <w:tcW w:w="2802" w:type="dxa"/>
          </w:tcPr>
          <w:p w:rsidR="00C44501" w:rsidRPr="00CD09AA" w:rsidRDefault="00C44501" w:rsidP="00E26ADF">
            <w:pPr>
              <w:jc w:val="both"/>
              <w:rPr>
                <w:rFonts w:ascii="Arial" w:hAnsi="Arial"/>
                <w:color w:val="auto"/>
                <w:sz w:val="18"/>
                <w:szCs w:val="18"/>
              </w:rPr>
            </w:pPr>
          </w:p>
        </w:tc>
        <w:tc>
          <w:tcPr>
            <w:tcW w:w="1079" w:type="dxa"/>
          </w:tcPr>
          <w:p w:rsidR="00C44501" w:rsidRPr="00CD09AA" w:rsidRDefault="00C44501" w:rsidP="00E26ADF">
            <w:pPr>
              <w:jc w:val="center"/>
              <w:rPr>
                <w:rFonts w:ascii="Arial" w:hAnsi="Arial"/>
                <w:b/>
                <w:color w:val="auto"/>
                <w:sz w:val="18"/>
                <w:szCs w:val="18"/>
              </w:rPr>
            </w:pPr>
            <w:r>
              <w:rPr>
                <w:rFonts w:ascii="Arial" w:hAnsi="Arial"/>
                <w:b/>
                <w:color w:val="auto"/>
                <w:sz w:val="18"/>
                <w:szCs w:val="18"/>
              </w:rPr>
              <w:t>2009/</w:t>
            </w:r>
            <w:r w:rsidRPr="00CD09AA">
              <w:rPr>
                <w:rFonts w:ascii="Arial" w:hAnsi="Arial"/>
                <w:b/>
                <w:color w:val="auto"/>
                <w:sz w:val="18"/>
                <w:szCs w:val="18"/>
              </w:rPr>
              <w:t>2010</w:t>
            </w:r>
          </w:p>
        </w:tc>
        <w:tc>
          <w:tcPr>
            <w:tcW w:w="1080" w:type="dxa"/>
          </w:tcPr>
          <w:p w:rsidR="00C44501" w:rsidRPr="00CD09AA" w:rsidRDefault="00C44501" w:rsidP="00E26ADF">
            <w:pPr>
              <w:jc w:val="center"/>
              <w:rPr>
                <w:rFonts w:ascii="Arial" w:hAnsi="Arial"/>
                <w:b/>
                <w:color w:val="auto"/>
                <w:sz w:val="18"/>
                <w:szCs w:val="18"/>
              </w:rPr>
            </w:pPr>
            <w:r>
              <w:rPr>
                <w:rFonts w:ascii="Arial" w:hAnsi="Arial"/>
                <w:b/>
                <w:color w:val="auto"/>
                <w:sz w:val="18"/>
                <w:szCs w:val="18"/>
              </w:rPr>
              <w:t>2010/</w:t>
            </w:r>
            <w:r w:rsidRPr="00CD09AA">
              <w:rPr>
                <w:rFonts w:ascii="Arial" w:hAnsi="Arial"/>
                <w:b/>
                <w:color w:val="auto"/>
                <w:sz w:val="18"/>
                <w:szCs w:val="18"/>
              </w:rPr>
              <w:t>2011</w:t>
            </w:r>
          </w:p>
        </w:tc>
        <w:tc>
          <w:tcPr>
            <w:tcW w:w="1080" w:type="dxa"/>
          </w:tcPr>
          <w:p w:rsidR="00C44501" w:rsidRPr="00CD09AA" w:rsidRDefault="00C44501" w:rsidP="00E26ADF">
            <w:pPr>
              <w:jc w:val="center"/>
              <w:rPr>
                <w:rFonts w:ascii="Arial" w:hAnsi="Arial"/>
                <w:b/>
                <w:color w:val="auto"/>
                <w:sz w:val="18"/>
                <w:szCs w:val="18"/>
              </w:rPr>
            </w:pPr>
            <w:r>
              <w:rPr>
                <w:rFonts w:ascii="Arial" w:hAnsi="Arial"/>
                <w:b/>
                <w:color w:val="auto"/>
                <w:sz w:val="18"/>
                <w:szCs w:val="18"/>
              </w:rPr>
              <w:t>2011/</w:t>
            </w:r>
            <w:r w:rsidRPr="00CD09AA">
              <w:rPr>
                <w:rFonts w:ascii="Arial" w:hAnsi="Arial"/>
                <w:b/>
                <w:color w:val="auto"/>
                <w:sz w:val="18"/>
                <w:szCs w:val="18"/>
              </w:rPr>
              <w:t>2012</w:t>
            </w:r>
          </w:p>
        </w:tc>
        <w:tc>
          <w:tcPr>
            <w:tcW w:w="1079" w:type="dxa"/>
          </w:tcPr>
          <w:p w:rsidR="00C44501" w:rsidRPr="00CD09AA" w:rsidRDefault="00C44501" w:rsidP="00E26ADF">
            <w:pPr>
              <w:jc w:val="center"/>
              <w:rPr>
                <w:rFonts w:ascii="Arial" w:hAnsi="Arial"/>
                <w:b/>
                <w:color w:val="auto"/>
                <w:sz w:val="18"/>
                <w:szCs w:val="18"/>
              </w:rPr>
            </w:pPr>
            <w:r>
              <w:rPr>
                <w:rFonts w:ascii="Arial" w:hAnsi="Arial"/>
                <w:b/>
                <w:color w:val="auto"/>
                <w:sz w:val="18"/>
                <w:szCs w:val="18"/>
              </w:rPr>
              <w:t>2012/</w:t>
            </w:r>
            <w:r w:rsidRPr="00CD09AA">
              <w:rPr>
                <w:rFonts w:ascii="Arial" w:hAnsi="Arial"/>
                <w:b/>
                <w:color w:val="auto"/>
                <w:sz w:val="18"/>
                <w:szCs w:val="18"/>
              </w:rPr>
              <w:t>2013</w:t>
            </w:r>
          </w:p>
        </w:tc>
        <w:tc>
          <w:tcPr>
            <w:tcW w:w="1080" w:type="dxa"/>
          </w:tcPr>
          <w:p w:rsidR="00C44501" w:rsidRPr="00CD09AA" w:rsidRDefault="00C44501" w:rsidP="00E26ADF">
            <w:pPr>
              <w:jc w:val="center"/>
              <w:rPr>
                <w:rFonts w:ascii="Arial" w:hAnsi="Arial"/>
                <w:b/>
                <w:color w:val="auto"/>
                <w:sz w:val="18"/>
                <w:szCs w:val="18"/>
              </w:rPr>
            </w:pPr>
            <w:r>
              <w:rPr>
                <w:rFonts w:ascii="Arial" w:hAnsi="Arial"/>
                <w:b/>
                <w:color w:val="auto"/>
                <w:sz w:val="18"/>
                <w:szCs w:val="18"/>
              </w:rPr>
              <w:t>2013/</w:t>
            </w:r>
            <w:r w:rsidRPr="00CD09AA">
              <w:rPr>
                <w:rFonts w:ascii="Arial" w:hAnsi="Arial"/>
                <w:b/>
                <w:color w:val="auto"/>
                <w:sz w:val="18"/>
                <w:szCs w:val="18"/>
              </w:rPr>
              <w:t>2014</w:t>
            </w:r>
          </w:p>
        </w:tc>
        <w:tc>
          <w:tcPr>
            <w:tcW w:w="1080" w:type="dxa"/>
          </w:tcPr>
          <w:p w:rsidR="00C44501" w:rsidRPr="00CD09AA" w:rsidRDefault="00C44501" w:rsidP="00E26ADF">
            <w:pPr>
              <w:jc w:val="center"/>
              <w:rPr>
                <w:rFonts w:ascii="Arial" w:hAnsi="Arial"/>
                <w:b/>
                <w:color w:val="auto"/>
                <w:sz w:val="18"/>
                <w:szCs w:val="18"/>
              </w:rPr>
            </w:pPr>
            <w:r>
              <w:rPr>
                <w:rFonts w:ascii="Arial" w:hAnsi="Arial"/>
                <w:b/>
                <w:color w:val="auto"/>
                <w:sz w:val="18"/>
                <w:szCs w:val="18"/>
              </w:rPr>
              <w:t>2014/</w:t>
            </w:r>
            <w:r w:rsidRPr="00CD09AA">
              <w:rPr>
                <w:rFonts w:ascii="Arial" w:hAnsi="Arial"/>
                <w:b/>
                <w:color w:val="auto"/>
                <w:sz w:val="18"/>
                <w:szCs w:val="18"/>
              </w:rPr>
              <w:t>2015</w:t>
            </w:r>
          </w:p>
        </w:tc>
      </w:tr>
      <w:tr w:rsidR="00C44501" w:rsidRPr="00CD09AA" w:rsidTr="00E26ADF">
        <w:tc>
          <w:tcPr>
            <w:tcW w:w="2802" w:type="dxa"/>
          </w:tcPr>
          <w:p w:rsidR="00C44501" w:rsidRPr="00CD09AA" w:rsidRDefault="00C44501" w:rsidP="00E26ADF">
            <w:pPr>
              <w:rPr>
                <w:rFonts w:ascii="Arial" w:hAnsi="Arial"/>
                <w:b/>
                <w:color w:val="auto"/>
                <w:sz w:val="18"/>
                <w:szCs w:val="18"/>
              </w:rPr>
            </w:pPr>
            <w:r w:rsidRPr="00CD09AA">
              <w:rPr>
                <w:rFonts w:ascii="Arial" w:hAnsi="Arial"/>
                <w:b/>
                <w:color w:val="auto"/>
                <w:sz w:val="18"/>
                <w:szCs w:val="18"/>
              </w:rPr>
              <w:t>Total Funding Requirement</w:t>
            </w:r>
          </w:p>
        </w:tc>
        <w:tc>
          <w:tcPr>
            <w:tcW w:w="1079"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6.1</w:t>
            </w:r>
          </w:p>
        </w:tc>
        <w:tc>
          <w:tcPr>
            <w:tcW w:w="1080"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6.2</w:t>
            </w:r>
          </w:p>
        </w:tc>
        <w:tc>
          <w:tcPr>
            <w:tcW w:w="1080"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7.2</w:t>
            </w:r>
          </w:p>
        </w:tc>
        <w:tc>
          <w:tcPr>
            <w:tcW w:w="1079"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7.2</w:t>
            </w:r>
          </w:p>
        </w:tc>
        <w:tc>
          <w:tcPr>
            <w:tcW w:w="1080"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7.5</w:t>
            </w:r>
          </w:p>
        </w:tc>
        <w:tc>
          <w:tcPr>
            <w:tcW w:w="1080"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7.5</w:t>
            </w:r>
          </w:p>
        </w:tc>
      </w:tr>
      <w:tr w:rsidR="00C44501" w:rsidRPr="00CD09AA" w:rsidTr="00E26ADF">
        <w:tc>
          <w:tcPr>
            <w:tcW w:w="2802" w:type="dxa"/>
          </w:tcPr>
          <w:p w:rsidR="00C44501" w:rsidRPr="00CD09AA" w:rsidRDefault="00C44501" w:rsidP="00E26ADF">
            <w:pPr>
              <w:rPr>
                <w:rFonts w:ascii="Arial" w:hAnsi="Arial"/>
                <w:color w:val="auto"/>
                <w:sz w:val="18"/>
                <w:szCs w:val="18"/>
              </w:rPr>
            </w:pPr>
            <w:r w:rsidRPr="00CD09AA">
              <w:rPr>
                <w:rFonts w:ascii="Arial" w:hAnsi="Arial"/>
                <w:color w:val="auto"/>
                <w:sz w:val="18"/>
                <w:szCs w:val="18"/>
              </w:rPr>
              <w:t>Anticipated Nauru Funding</w:t>
            </w:r>
          </w:p>
        </w:tc>
        <w:tc>
          <w:tcPr>
            <w:tcW w:w="1079"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2.6</w:t>
            </w:r>
          </w:p>
        </w:tc>
        <w:tc>
          <w:tcPr>
            <w:tcW w:w="1080"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2.6</w:t>
            </w:r>
          </w:p>
        </w:tc>
        <w:tc>
          <w:tcPr>
            <w:tcW w:w="1080"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2.8</w:t>
            </w:r>
          </w:p>
        </w:tc>
        <w:tc>
          <w:tcPr>
            <w:tcW w:w="1079"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2.8</w:t>
            </w:r>
          </w:p>
        </w:tc>
        <w:tc>
          <w:tcPr>
            <w:tcW w:w="1080"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2.9</w:t>
            </w:r>
          </w:p>
        </w:tc>
        <w:tc>
          <w:tcPr>
            <w:tcW w:w="1080"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2.9</w:t>
            </w:r>
          </w:p>
        </w:tc>
      </w:tr>
      <w:tr w:rsidR="00C44501" w:rsidRPr="00CD09AA" w:rsidTr="00E26ADF">
        <w:tc>
          <w:tcPr>
            <w:tcW w:w="2802" w:type="dxa"/>
          </w:tcPr>
          <w:p w:rsidR="00C44501" w:rsidRPr="00CD09AA" w:rsidRDefault="00C44501" w:rsidP="00E26ADF">
            <w:pPr>
              <w:rPr>
                <w:rFonts w:ascii="Arial" w:hAnsi="Arial"/>
                <w:b/>
                <w:color w:val="auto"/>
                <w:sz w:val="18"/>
                <w:szCs w:val="18"/>
              </w:rPr>
            </w:pPr>
            <w:r w:rsidRPr="00CD09AA">
              <w:rPr>
                <w:rFonts w:ascii="Arial" w:hAnsi="Arial"/>
                <w:b/>
                <w:color w:val="auto"/>
                <w:sz w:val="18"/>
                <w:szCs w:val="18"/>
              </w:rPr>
              <w:t>Funding Gap</w:t>
            </w:r>
          </w:p>
        </w:tc>
        <w:tc>
          <w:tcPr>
            <w:tcW w:w="1079" w:type="dxa"/>
          </w:tcPr>
          <w:p w:rsidR="00C44501" w:rsidRPr="00CD09AA" w:rsidRDefault="00C44501" w:rsidP="00E26ADF">
            <w:pPr>
              <w:jc w:val="center"/>
              <w:rPr>
                <w:rFonts w:ascii="Arial" w:hAnsi="Arial"/>
                <w:b/>
                <w:color w:val="auto"/>
                <w:sz w:val="18"/>
                <w:szCs w:val="18"/>
              </w:rPr>
            </w:pPr>
            <w:r w:rsidRPr="00CD09AA">
              <w:rPr>
                <w:rFonts w:ascii="Arial" w:hAnsi="Arial"/>
                <w:b/>
                <w:color w:val="auto"/>
                <w:sz w:val="18"/>
                <w:szCs w:val="18"/>
              </w:rPr>
              <w:t>3.5</w:t>
            </w:r>
          </w:p>
        </w:tc>
        <w:tc>
          <w:tcPr>
            <w:tcW w:w="1080" w:type="dxa"/>
          </w:tcPr>
          <w:p w:rsidR="00C44501" w:rsidRPr="00CD09AA" w:rsidRDefault="00C44501" w:rsidP="00E26ADF">
            <w:pPr>
              <w:jc w:val="center"/>
              <w:rPr>
                <w:rFonts w:ascii="Arial" w:hAnsi="Arial"/>
                <w:b/>
                <w:color w:val="auto"/>
                <w:sz w:val="18"/>
                <w:szCs w:val="18"/>
              </w:rPr>
            </w:pPr>
            <w:r w:rsidRPr="00CD09AA">
              <w:rPr>
                <w:rFonts w:ascii="Arial" w:hAnsi="Arial"/>
                <w:b/>
                <w:color w:val="auto"/>
                <w:sz w:val="18"/>
                <w:szCs w:val="18"/>
              </w:rPr>
              <w:t>3.6</w:t>
            </w:r>
          </w:p>
        </w:tc>
        <w:tc>
          <w:tcPr>
            <w:tcW w:w="1080" w:type="dxa"/>
          </w:tcPr>
          <w:p w:rsidR="00C44501" w:rsidRPr="00CD09AA" w:rsidRDefault="00C44501" w:rsidP="00E26ADF">
            <w:pPr>
              <w:jc w:val="center"/>
              <w:rPr>
                <w:rFonts w:ascii="Arial" w:hAnsi="Arial"/>
                <w:b/>
                <w:color w:val="auto"/>
                <w:sz w:val="18"/>
                <w:szCs w:val="18"/>
              </w:rPr>
            </w:pPr>
            <w:r w:rsidRPr="00CD09AA">
              <w:rPr>
                <w:rFonts w:ascii="Arial" w:hAnsi="Arial"/>
                <w:b/>
                <w:color w:val="auto"/>
                <w:sz w:val="18"/>
                <w:szCs w:val="18"/>
              </w:rPr>
              <w:t>4.4</w:t>
            </w:r>
          </w:p>
        </w:tc>
        <w:tc>
          <w:tcPr>
            <w:tcW w:w="1079" w:type="dxa"/>
          </w:tcPr>
          <w:p w:rsidR="00C44501" w:rsidRPr="00CD09AA" w:rsidRDefault="00C44501" w:rsidP="00E26ADF">
            <w:pPr>
              <w:jc w:val="center"/>
              <w:rPr>
                <w:rFonts w:ascii="Arial" w:hAnsi="Arial"/>
                <w:b/>
                <w:color w:val="auto"/>
                <w:sz w:val="18"/>
                <w:szCs w:val="18"/>
              </w:rPr>
            </w:pPr>
            <w:r w:rsidRPr="00CD09AA">
              <w:rPr>
                <w:rFonts w:ascii="Arial" w:hAnsi="Arial"/>
                <w:b/>
                <w:color w:val="auto"/>
                <w:sz w:val="18"/>
                <w:szCs w:val="18"/>
              </w:rPr>
              <w:t>4.4</w:t>
            </w:r>
          </w:p>
        </w:tc>
        <w:tc>
          <w:tcPr>
            <w:tcW w:w="1080" w:type="dxa"/>
          </w:tcPr>
          <w:p w:rsidR="00C44501" w:rsidRPr="00CD09AA" w:rsidRDefault="00C44501" w:rsidP="00E26ADF">
            <w:pPr>
              <w:jc w:val="center"/>
              <w:rPr>
                <w:rFonts w:ascii="Arial" w:hAnsi="Arial"/>
                <w:b/>
                <w:color w:val="auto"/>
                <w:sz w:val="18"/>
                <w:szCs w:val="18"/>
              </w:rPr>
            </w:pPr>
            <w:r w:rsidRPr="00CD09AA">
              <w:rPr>
                <w:rFonts w:ascii="Arial" w:hAnsi="Arial"/>
                <w:b/>
                <w:color w:val="auto"/>
                <w:sz w:val="18"/>
                <w:szCs w:val="18"/>
              </w:rPr>
              <w:t>4.6</w:t>
            </w:r>
          </w:p>
        </w:tc>
        <w:tc>
          <w:tcPr>
            <w:tcW w:w="1080" w:type="dxa"/>
          </w:tcPr>
          <w:p w:rsidR="00C44501" w:rsidRPr="00CD09AA" w:rsidRDefault="00C44501" w:rsidP="00E26ADF">
            <w:pPr>
              <w:jc w:val="center"/>
              <w:rPr>
                <w:rFonts w:ascii="Arial" w:hAnsi="Arial"/>
                <w:b/>
                <w:color w:val="auto"/>
                <w:sz w:val="18"/>
                <w:szCs w:val="18"/>
              </w:rPr>
            </w:pPr>
            <w:r w:rsidRPr="00CD09AA">
              <w:rPr>
                <w:rFonts w:ascii="Arial" w:hAnsi="Arial"/>
                <w:b/>
                <w:color w:val="auto"/>
                <w:sz w:val="18"/>
                <w:szCs w:val="18"/>
              </w:rPr>
              <w:t>4.6</w:t>
            </w:r>
          </w:p>
        </w:tc>
      </w:tr>
      <w:tr w:rsidR="00C44501" w:rsidRPr="00CD09AA" w:rsidTr="00E26ADF">
        <w:tc>
          <w:tcPr>
            <w:tcW w:w="2802" w:type="dxa"/>
          </w:tcPr>
          <w:p w:rsidR="00C44501" w:rsidRPr="00CD09AA" w:rsidRDefault="00C44501" w:rsidP="00E26ADF">
            <w:pPr>
              <w:rPr>
                <w:rFonts w:ascii="Arial" w:hAnsi="Arial"/>
                <w:color w:val="auto"/>
                <w:sz w:val="18"/>
                <w:szCs w:val="18"/>
              </w:rPr>
            </w:pPr>
            <w:r w:rsidRPr="00CD09AA">
              <w:rPr>
                <w:rFonts w:ascii="Arial" w:hAnsi="Arial"/>
                <w:color w:val="auto"/>
                <w:sz w:val="18"/>
                <w:szCs w:val="18"/>
              </w:rPr>
              <w:t>Australia’s anticipated contribution</w:t>
            </w:r>
          </w:p>
        </w:tc>
        <w:tc>
          <w:tcPr>
            <w:tcW w:w="1079"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1.</w:t>
            </w:r>
            <w:r>
              <w:rPr>
                <w:rFonts w:ascii="Arial" w:hAnsi="Arial"/>
                <w:color w:val="auto"/>
                <w:sz w:val="18"/>
                <w:szCs w:val="18"/>
              </w:rPr>
              <w:t>7</w:t>
            </w:r>
          </w:p>
        </w:tc>
        <w:tc>
          <w:tcPr>
            <w:tcW w:w="1080"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1.8</w:t>
            </w:r>
          </w:p>
        </w:tc>
        <w:tc>
          <w:tcPr>
            <w:tcW w:w="1080"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2.7</w:t>
            </w:r>
          </w:p>
        </w:tc>
        <w:tc>
          <w:tcPr>
            <w:tcW w:w="1079"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2.9</w:t>
            </w:r>
          </w:p>
        </w:tc>
        <w:tc>
          <w:tcPr>
            <w:tcW w:w="1080"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3.2</w:t>
            </w:r>
          </w:p>
        </w:tc>
        <w:tc>
          <w:tcPr>
            <w:tcW w:w="1080"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3.2</w:t>
            </w:r>
          </w:p>
        </w:tc>
      </w:tr>
      <w:tr w:rsidR="00C44501" w:rsidRPr="00CD09AA" w:rsidTr="00E26ADF">
        <w:tc>
          <w:tcPr>
            <w:tcW w:w="2802" w:type="dxa"/>
          </w:tcPr>
          <w:p w:rsidR="00C44501" w:rsidRPr="00CD09AA" w:rsidRDefault="00C44501" w:rsidP="00E26ADF">
            <w:pPr>
              <w:rPr>
                <w:rFonts w:ascii="Arial" w:hAnsi="Arial"/>
                <w:color w:val="auto"/>
                <w:sz w:val="18"/>
                <w:szCs w:val="18"/>
              </w:rPr>
            </w:pPr>
            <w:r w:rsidRPr="00CD09AA">
              <w:rPr>
                <w:rFonts w:ascii="Arial" w:hAnsi="Arial"/>
                <w:color w:val="auto"/>
                <w:sz w:val="18"/>
                <w:szCs w:val="18"/>
              </w:rPr>
              <w:t>Other DP’s  contribution</w:t>
            </w:r>
          </w:p>
        </w:tc>
        <w:tc>
          <w:tcPr>
            <w:tcW w:w="1079" w:type="dxa"/>
          </w:tcPr>
          <w:p w:rsidR="00C44501" w:rsidRPr="00CD09AA" w:rsidRDefault="00C44501" w:rsidP="00E26ADF">
            <w:pPr>
              <w:jc w:val="center"/>
              <w:rPr>
                <w:rFonts w:ascii="Arial" w:hAnsi="Arial"/>
                <w:color w:val="auto"/>
                <w:sz w:val="18"/>
                <w:szCs w:val="18"/>
              </w:rPr>
            </w:pPr>
            <w:r>
              <w:rPr>
                <w:rFonts w:ascii="Arial" w:hAnsi="Arial"/>
                <w:color w:val="auto"/>
                <w:sz w:val="18"/>
                <w:szCs w:val="18"/>
              </w:rPr>
              <w:t>4.2</w:t>
            </w:r>
          </w:p>
        </w:tc>
        <w:tc>
          <w:tcPr>
            <w:tcW w:w="1080"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1.8</w:t>
            </w:r>
          </w:p>
        </w:tc>
        <w:tc>
          <w:tcPr>
            <w:tcW w:w="1080"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1.7</w:t>
            </w:r>
          </w:p>
        </w:tc>
        <w:tc>
          <w:tcPr>
            <w:tcW w:w="1079"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1.5</w:t>
            </w:r>
          </w:p>
        </w:tc>
        <w:tc>
          <w:tcPr>
            <w:tcW w:w="1080"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1.4</w:t>
            </w:r>
          </w:p>
        </w:tc>
        <w:tc>
          <w:tcPr>
            <w:tcW w:w="1080" w:type="dxa"/>
          </w:tcPr>
          <w:p w:rsidR="00C44501" w:rsidRPr="00CD09AA" w:rsidRDefault="00C44501" w:rsidP="00E26ADF">
            <w:pPr>
              <w:jc w:val="center"/>
              <w:rPr>
                <w:rFonts w:ascii="Arial" w:hAnsi="Arial"/>
                <w:color w:val="auto"/>
                <w:sz w:val="18"/>
                <w:szCs w:val="18"/>
              </w:rPr>
            </w:pPr>
            <w:r w:rsidRPr="00CD09AA">
              <w:rPr>
                <w:rFonts w:ascii="Arial" w:hAnsi="Arial"/>
                <w:color w:val="auto"/>
                <w:sz w:val="18"/>
                <w:szCs w:val="18"/>
              </w:rPr>
              <w:t>1.4</w:t>
            </w:r>
          </w:p>
        </w:tc>
      </w:tr>
    </w:tbl>
    <w:p w:rsidR="00C44501" w:rsidRPr="00F05829" w:rsidRDefault="00C44501" w:rsidP="00C44501">
      <w:pPr>
        <w:jc w:val="both"/>
        <w:rPr>
          <w:rFonts w:ascii="Arial" w:hAnsi="Arial"/>
          <w:color w:val="auto"/>
          <w:sz w:val="18"/>
          <w:szCs w:val="18"/>
        </w:rPr>
      </w:pPr>
    </w:p>
    <w:p w:rsidR="00C44501" w:rsidRPr="00F05829" w:rsidRDefault="00C44501" w:rsidP="00C44501">
      <w:pPr>
        <w:jc w:val="both"/>
        <w:rPr>
          <w:rFonts w:ascii="Arial" w:hAnsi="Arial"/>
          <w:color w:val="auto"/>
          <w:sz w:val="22"/>
        </w:rPr>
      </w:pPr>
      <w:r w:rsidRPr="00F05829">
        <w:rPr>
          <w:rFonts w:ascii="Arial" w:hAnsi="Arial"/>
          <w:color w:val="auto"/>
          <w:sz w:val="22"/>
        </w:rPr>
        <w:t xml:space="preserve">Total Funding Requirements encompass teacher quality and quantity, primary and secondary school access and quality, TVET and Secondary Pathways to Accreditation, and Management, Monitoring and Evaluation.  The funding gap represents the resource requirements ($3.5m) which are needed at minimum to implement the priorities in Footpath II.  Combined </w:t>
      </w:r>
      <w:r>
        <w:rPr>
          <w:rFonts w:ascii="Arial" w:hAnsi="Arial"/>
          <w:color w:val="auto"/>
          <w:sz w:val="22"/>
        </w:rPr>
        <w:t>DP</w:t>
      </w:r>
      <w:r w:rsidRPr="00F05829">
        <w:rPr>
          <w:rFonts w:ascii="Arial" w:hAnsi="Arial"/>
          <w:color w:val="auto"/>
          <w:sz w:val="22"/>
        </w:rPr>
        <w:t xml:space="preserve"> contributions ($4.17m) exceed this</w:t>
      </w:r>
      <w:r>
        <w:rPr>
          <w:rFonts w:ascii="Arial" w:hAnsi="Arial"/>
          <w:color w:val="auto"/>
          <w:sz w:val="22"/>
        </w:rPr>
        <w:t>,</w:t>
      </w:r>
      <w:r w:rsidRPr="00F05829">
        <w:rPr>
          <w:rFonts w:ascii="Arial" w:hAnsi="Arial"/>
          <w:color w:val="auto"/>
          <w:sz w:val="22"/>
        </w:rPr>
        <w:t xml:space="preserve"> reflecting </w:t>
      </w:r>
      <w:r>
        <w:rPr>
          <w:rFonts w:ascii="Arial" w:hAnsi="Arial"/>
          <w:color w:val="auto"/>
          <w:sz w:val="22"/>
        </w:rPr>
        <w:t>DP</w:t>
      </w:r>
      <w:r w:rsidRPr="00F05829">
        <w:rPr>
          <w:rFonts w:ascii="Arial" w:hAnsi="Arial"/>
          <w:color w:val="auto"/>
          <w:sz w:val="22"/>
        </w:rPr>
        <w:t xml:space="preserve"> funds contributed toward additional advisor and support costs associated with management and oversight of implementation activities.</w:t>
      </w:r>
    </w:p>
    <w:p w:rsidR="00C44501" w:rsidRPr="00F05829" w:rsidRDefault="00C44501" w:rsidP="00C44501">
      <w:pPr>
        <w:jc w:val="both"/>
        <w:rPr>
          <w:rFonts w:ascii="Arial" w:hAnsi="Arial"/>
          <w:color w:val="auto"/>
          <w:sz w:val="22"/>
        </w:rPr>
      </w:pPr>
    </w:p>
    <w:p w:rsidR="00C44501" w:rsidRPr="00F05829" w:rsidRDefault="00C44501" w:rsidP="00C44501">
      <w:pPr>
        <w:jc w:val="both"/>
        <w:rPr>
          <w:rFonts w:ascii="Arial" w:hAnsi="Arial"/>
          <w:color w:val="auto"/>
          <w:sz w:val="22"/>
        </w:rPr>
      </w:pPr>
      <w:r w:rsidRPr="00F05829">
        <w:rPr>
          <w:rFonts w:ascii="Arial" w:hAnsi="Arial"/>
          <w:color w:val="auto"/>
          <w:sz w:val="22"/>
        </w:rPr>
        <w:t xml:space="preserve">Increases in GNP contribution to the education sector will need to be given continued and focussed consideration between GoN and development (including private sector) partners. Options for attracting increased (pooled) resources from existing or new </w:t>
      </w:r>
      <w:r>
        <w:rPr>
          <w:rFonts w:ascii="Arial" w:hAnsi="Arial"/>
          <w:color w:val="auto"/>
          <w:sz w:val="22"/>
        </w:rPr>
        <w:t>DP</w:t>
      </w:r>
      <w:r w:rsidRPr="00F05829">
        <w:rPr>
          <w:rFonts w:ascii="Arial" w:hAnsi="Arial"/>
          <w:color w:val="auto"/>
          <w:sz w:val="22"/>
        </w:rPr>
        <w:t xml:space="preserve">s to Nauru’s education sector need careful consideration. Naturally, the success of Priority Outcome 5 (Increased Private Sector Growth) will also be critical to increased GNP allocations to meet all other Partnership Priority Outcomes. </w:t>
      </w:r>
    </w:p>
    <w:p w:rsidR="00C44501" w:rsidRPr="00F05829" w:rsidRDefault="00C44501" w:rsidP="00C44501">
      <w:pPr>
        <w:jc w:val="both"/>
        <w:rPr>
          <w:rFonts w:ascii="Arial" w:hAnsi="Arial"/>
          <w:color w:val="auto"/>
          <w:sz w:val="22"/>
        </w:rPr>
      </w:pPr>
    </w:p>
    <w:p w:rsidR="00C44501" w:rsidRPr="00F05829" w:rsidRDefault="00C44501" w:rsidP="00C44501">
      <w:pPr>
        <w:jc w:val="both"/>
        <w:rPr>
          <w:rFonts w:ascii="Arial Bold" w:hAnsi="Arial Bold"/>
          <w:color w:val="auto"/>
          <w:sz w:val="22"/>
        </w:rPr>
      </w:pPr>
      <w:r w:rsidRPr="00F05829">
        <w:rPr>
          <w:rFonts w:ascii="Arial" w:hAnsi="Arial"/>
          <w:color w:val="auto"/>
          <w:sz w:val="22"/>
        </w:rPr>
        <w:t>Attached (</w:t>
      </w:r>
      <w:r w:rsidRPr="00F05829">
        <w:rPr>
          <w:rFonts w:ascii="Arial" w:hAnsi="Arial"/>
          <w:b/>
          <w:color w:val="auto"/>
          <w:sz w:val="22"/>
        </w:rPr>
        <w:t>Annex 2</w:t>
      </w:r>
      <w:r w:rsidRPr="00F05829">
        <w:rPr>
          <w:rFonts w:ascii="Arial" w:hAnsi="Arial"/>
          <w:color w:val="auto"/>
          <w:sz w:val="22"/>
        </w:rPr>
        <w:t xml:space="preserve">) is an indicative list of activities that Nauru and </w:t>
      </w:r>
      <w:r>
        <w:rPr>
          <w:rFonts w:ascii="Arial" w:hAnsi="Arial"/>
          <w:color w:val="auto"/>
          <w:sz w:val="22"/>
        </w:rPr>
        <w:t>DPs</w:t>
      </w:r>
      <w:r w:rsidRPr="00F05829">
        <w:rPr>
          <w:rFonts w:ascii="Arial" w:hAnsi="Arial"/>
          <w:color w:val="auto"/>
          <w:sz w:val="22"/>
        </w:rPr>
        <w:t xml:space="preserve"> may wish to consider together in seeking to address the priorities of Footpath II and meeting Partnership Targets for 2010-2011.   </w:t>
      </w:r>
    </w:p>
    <w:p w:rsidR="00C44501" w:rsidRPr="00F05829" w:rsidRDefault="00C44501" w:rsidP="00C44501">
      <w:pPr>
        <w:jc w:val="both"/>
        <w:rPr>
          <w:rFonts w:ascii="Arial Bold" w:hAnsi="Arial Bold"/>
          <w:color w:val="auto"/>
          <w:sz w:val="22"/>
        </w:rPr>
      </w:pPr>
    </w:p>
    <w:p w:rsidR="00C44501" w:rsidRPr="004D00CB" w:rsidRDefault="00C44501" w:rsidP="00C44501">
      <w:pPr>
        <w:jc w:val="both"/>
        <w:rPr>
          <w:rFonts w:ascii="Arial" w:hAnsi="Arial" w:cs="Arial"/>
          <w:b/>
        </w:rPr>
      </w:pPr>
      <w:r w:rsidRPr="004D00CB">
        <w:rPr>
          <w:rFonts w:ascii="Arial" w:hAnsi="Arial" w:cs="Arial"/>
          <w:b/>
        </w:rPr>
        <w:t xml:space="preserve">7. Measurement </w:t>
      </w:r>
    </w:p>
    <w:p w:rsidR="00C44501" w:rsidRPr="00F05829" w:rsidRDefault="00C44501" w:rsidP="00C44501">
      <w:pPr>
        <w:jc w:val="both"/>
        <w:rPr>
          <w:rFonts w:ascii="Arial" w:hAnsi="Arial"/>
          <w:color w:val="auto"/>
          <w:sz w:val="22"/>
        </w:rPr>
      </w:pPr>
    </w:p>
    <w:p w:rsidR="00C44501" w:rsidRPr="00F05829" w:rsidRDefault="00C44501" w:rsidP="00C44501">
      <w:pPr>
        <w:jc w:val="both"/>
        <w:rPr>
          <w:rFonts w:ascii="Arial" w:hAnsi="Arial"/>
          <w:color w:val="auto"/>
          <w:sz w:val="22"/>
        </w:rPr>
      </w:pPr>
      <w:r w:rsidRPr="00F05829">
        <w:rPr>
          <w:rFonts w:ascii="Arial" w:hAnsi="Arial"/>
          <w:color w:val="auto"/>
          <w:sz w:val="22"/>
        </w:rPr>
        <w:t xml:space="preserve">The core indicators to measure progress towards achieving education targets are contained in the table below.  The Government of Nauru has adopted a broad set of indicators and targets to 2015 for the Partnership that aligned </w:t>
      </w:r>
      <w:r>
        <w:rPr>
          <w:rFonts w:ascii="Arial" w:hAnsi="Arial"/>
          <w:color w:val="auto"/>
          <w:sz w:val="22"/>
        </w:rPr>
        <w:t xml:space="preserve">directly </w:t>
      </w:r>
      <w:r w:rsidRPr="00F05829">
        <w:rPr>
          <w:rFonts w:ascii="Arial" w:hAnsi="Arial"/>
          <w:color w:val="auto"/>
          <w:sz w:val="22"/>
        </w:rPr>
        <w:t>with the goals and milestones set out in the National Sustainable Development Strategy and the Nauru Education Strategic Plan 2008-2015 (Footpath II). The key goal for education is to improve the quality and broaden the scope and reach of education.  The Partnership will measure success annually against the 12 indicators below.</w:t>
      </w:r>
    </w:p>
    <w:p w:rsidR="00C44501" w:rsidRPr="00F05829" w:rsidRDefault="00C44501" w:rsidP="00C44501">
      <w:pPr>
        <w:jc w:val="both"/>
        <w:rPr>
          <w:rFonts w:ascii="Arial Bold" w:hAnsi="Arial Bold"/>
          <w:color w:val="auto"/>
          <w:sz w:val="22"/>
        </w:rPr>
      </w:pPr>
    </w:p>
    <w:p w:rsidR="00C44501" w:rsidRPr="00F05829" w:rsidRDefault="00C44501" w:rsidP="00C44501">
      <w:pPr>
        <w:jc w:val="both"/>
        <w:rPr>
          <w:rFonts w:ascii="Arial" w:hAnsi="Arial"/>
          <w:color w:val="auto"/>
          <w:sz w:val="18"/>
          <w:szCs w:val="18"/>
        </w:rPr>
      </w:pPr>
      <w:r w:rsidRPr="00F05829">
        <w:rPr>
          <w:rFonts w:ascii="Arial" w:hAnsi="Arial"/>
          <w:color w:val="auto"/>
          <w:sz w:val="18"/>
          <w:szCs w:val="18"/>
        </w:rPr>
        <w:t>Table 2.</w:t>
      </w:r>
    </w:p>
    <w:p w:rsidR="00C44501" w:rsidRPr="00F05829" w:rsidRDefault="00C44501" w:rsidP="00C44501">
      <w:pPr>
        <w:jc w:val="both"/>
        <w:rPr>
          <w:rFonts w:ascii="Arial" w:hAnsi="Arial"/>
          <w:color w:val="auto"/>
          <w:sz w:val="18"/>
          <w:szCs w:val="18"/>
        </w:rPr>
      </w:pPr>
      <w:r w:rsidRPr="00F05829">
        <w:rPr>
          <w:rFonts w:ascii="Arial" w:hAnsi="Arial"/>
          <w:color w:val="auto"/>
          <w:sz w:val="18"/>
          <w:szCs w:val="18"/>
        </w:rPr>
        <w:t>Measurement: Indicators and Targets</w:t>
      </w:r>
    </w:p>
    <w:p w:rsidR="00C44501" w:rsidRPr="00F05829" w:rsidRDefault="00C44501" w:rsidP="00C44501">
      <w:pPr>
        <w:jc w:val="both"/>
        <w:rPr>
          <w:rFonts w:ascii="Arial" w:hAnsi="Arial"/>
          <w:color w:val="auto"/>
          <w:sz w:val="20"/>
        </w:rPr>
      </w:pPr>
    </w:p>
    <w:tbl>
      <w:tblPr>
        <w:tblW w:w="0" w:type="auto"/>
        <w:tblInd w:w="5" w:type="dxa"/>
        <w:tblLayout w:type="fixed"/>
        <w:tblLook w:val="0000"/>
      </w:tblPr>
      <w:tblGrid>
        <w:gridCol w:w="4678"/>
        <w:gridCol w:w="1190"/>
        <w:gridCol w:w="1440"/>
        <w:gridCol w:w="1440"/>
      </w:tblGrid>
      <w:tr w:rsidR="00C44501" w:rsidRPr="00F05829" w:rsidTr="00E26ADF">
        <w:trPr>
          <w:cantSplit/>
          <w:trHeight w:val="60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20"/>
              </w:rPr>
            </w:pPr>
          </w:p>
          <w:p w:rsidR="00C44501" w:rsidRPr="00F05829" w:rsidRDefault="00C44501" w:rsidP="00E26ADF">
            <w:pPr>
              <w:jc w:val="both"/>
              <w:rPr>
                <w:rFonts w:ascii="Arial Bold" w:hAnsi="Arial Bold"/>
                <w:color w:val="auto"/>
                <w:sz w:val="18"/>
              </w:rPr>
            </w:pPr>
            <w:r w:rsidRPr="00F05829">
              <w:rPr>
                <w:rFonts w:ascii="Arial Bold" w:hAnsi="Arial Bold"/>
                <w:color w:val="auto"/>
                <w:sz w:val="18"/>
              </w:rPr>
              <w:t xml:space="preserve">Indicator </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Bold" w:hAnsi="Arial Bold"/>
                <w:color w:val="auto"/>
                <w:sz w:val="18"/>
              </w:rPr>
            </w:pPr>
            <w:r w:rsidRPr="00F05829">
              <w:rPr>
                <w:rFonts w:ascii="Arial Bold" w:hAnsi="Arial Bold"/>
                <w:color w:val="auto"/>
                <w:sz w:val="18"/>
              </w:rPr>
              <w:t>Baseline</w:t>
            </w:r>
          </w:p>
          <w:p w:rsidR="00C44501" w:rsidRPr="00F05829" w:rsidRDefault="00C44501" w:rsidP="00E26ADF">
            <w:pPr>
              <w:jc w:val="both"/>
              <w:rPr>
                <w:rFonts w:ascii="Arial Bold" w:hAnsi="Arial Bold"/>
                <w:color w:val="auto"/>
                <w:sz w:val="18"/>
              </w:rPr>
            </w:pPr>
            <w:r w:rsidRPr="00F05829">
              <w:rPr>
                <w:rFonts w:ascii="Arial Bold" w:hAnsi="Arial Bold"/>
                <w:color w:val="auto"/>
                <w:sz w:val="18"/>
              </w:rPr>
              <w:t>2010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Bold" w:hAnsi="Arial Bold"/>
                <w:color w:val="auto"/>
                <w:sz w:val="18"/>
              </w:rPr>
            </w:pPr>
            <w:r w:rsidRPr="00F05829">
              <w:rPr>
                <w:rFonts w:ascii="Arial Bold" w:hAnsi="Arial Bold"/>
                <w:color w:val="auto"/>
                <w:sz w:val="18"/>
              </w:rPr>
              <w:t>Short-term targets</w:t>
            </w:r>
          </w:p>
          <w:p w:rsidR="00C44501" w:rsidRPr="00F05829" w:rsidRDefault="00C44501" w:rsidP="00E26ADF">
            <w:pPr>
              <w:jc w:val="both"/>
              <w:rPr>
                <w:rFonts w:ascii="Arial Bold" w:hAnsi="Arial Bold"/>
                <w:color w:val="auto"/>
                <w:sz w:val="18"/>
              </w:rPr>
            </w:pPr>
            <w:r w:rsidRPr="00F05829">
              <w:rPr>
                <w:rFonts w:ascii="Arial Bold" w:hAnsi="Arial Bold"/>
                <w:color w:val="auto"/>
                <w:sz w:val="18"/>
              </w:rPr>
              <w:t>2012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Bold" w:hAnsi="Arial Bold"/>
                <w:color w:val="auto"/>
                <w:sz w:val="18"/>
              </w:rPr>
            </w:pPr>
            <w:r w:rsidRPr="00F05829">
              <w:rPr>
                <w:rFonts w:ascii="Arial Bold" w:hAnsi="Arial Bold"/>
                <w:color w:val="auto"/>
                <w:sz w:val="18"/>
              </w:rPr>
              <w:t>Medium-term</w:t>
            </w:r>
          </w:p>
          <w:p w:rsidR="00C44501" w:rsidRPr="00F05829" w:rsidRDefault="00C44501" w:rsidP="00E26ADF">
            <w:pPr>
              <w:jc w:val="both"/>
              <w:rPr>
                <w:rFonts w:ascii="Arial Bold" w:hAnsi="Arial Bold"/>
                <w:color w:val="auto"/>
                <w:sz w:val="18"/>
              </w:rPr>
            </w:pPr>
            <w:r w:rsidRPr="00F05829">
              <w:rPr>
                <w:rFonts w:ascii="Arial Bold" w:hAnsi="Arial Bold"/>
                <w:color w:val="auto"/>
                <w:sz w:val="18"/>
              </w:rPr>
              <w:t>targets</w:t>
            </w:r>
          </w:p>
          <w:p w:rsidR="00C44501" w:rsidRPr="00F05829" w:rsidRDefault="00C44501" w:rsidP="00E26ADF">
            <w:pPr>
              <w:jc w:val="both"/>
              <w:rPr>
                <w:rFonts w:ascii="Arial Bold" w:hAnsi="Arial Bold"/>
                <w:color w:val="auto"/>
                <w:sz w:val="18"/>
              </w:rPr>
            </w:pPr>
            <w:r w:rsidRPr="00F05829">
              <w:rPr>
                <w:rFonts w:ascii="Arial Bold" w:hAnsi="Arial Bold"/>
                <w:color w:val="auto"/>
                <w:sz w:val="18"/>
              </w:rPr>
              <w:t>2015</w:t>
            </w:r>
          </w:p>
        </w:tc>
      </w:tr>
      <w:tr w:rsidR="00C44501" w:rsidRPr="00F05829" w:rsidTr="00E26ADF">
        <w:trPr>
          <w:cantSplit/>
          <w:trHeight w:val="400"/>
        </w:trPr>
        <w:tc>
          <w:tcPr>
            <w:tcW w:w="4678"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rFonts w:ascii="Arial Bold" w:hAnsi="Arial Bold"/>
                <w:color w:val="auto"/>
                <w:sz w:val="18"/>
              </w:rPr>
            </w:pPr>
            <w:r w:rsidRPr="00F05829">
              <w:rPr>
                <w:rFonts w:ascii="Arial Bold" w:hAnsi="Arial Bold"/>
                <w:color w:val="auto"/>
                <w:sz w:val="18"/>
              </w:rPr>
              <w:t>Improved Quality and Access to Primary and Secondary Education</w:t>
            </w:r>
          </w:p>
        </w:tc>
        <w:tc>
          <w:tcPr>
            <w:tcW w:w="1190"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rPr>
            </w:pPr>
          </w:p>
        </w:tc>
      </w:tr>
      <w:tr w:rsidR="00C44501" w:rsidRPr="00F05829" w:rsidTr="00E26ADF">
        <w:trPr>
          <w:cantSplit/>
          <w:trHeight w:val="290"/>
        </w:trPr>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Net Enrolment Rate (NER) Primary Grade 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92.1%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95%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100%</w:t>
            </w:r>
          </w:p>
        </w:tc>
      </w:tr>
      <w:tr w:rsidR="00C44501" w:rsidRPr="00F05829" w:rsidTr="00E26ADF">
        <w:trPr>
          <w:cantSplit/>
          <w:trHeight w:val="290"/>
        </w:trPr>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 xml:space="preserve">Primary completion rate </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81.%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83%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85%</w:t>
            </w:r>
          </w:p>
        </w:tc>
      </w:tr>
      <w:tr w:rsidR="00C44501" w:rsidRPr="00F05829" w:rsidTr="00E26ADF">
        <w:trPr>
          <w:cantSplit/>
          <w:trHeight w:val="29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NER Grade 7</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118.5%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100%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100%</w:t>
            </w:r>
          </w:p>
        </w:tc>
      </w:tr>
      <w:tr w:rsidR="00C44501" w:rsidRPr="00F05829" w:rsidTr="00E26ADF">
        <w:trPr>
          <w:cantSplit/>
          <w:trHeight w:val="29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Secondary Completion Rate Grade 12</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&gt;25%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Pr>
                <w:rFonts w:ascii="Arial" w:hAnsi="Arial"/>
                <w:color w:val="auto"/>
                <w:sz w:val="18"/>
              </w:rPr>
              <w:t>3</w:t>
            </w:r>
            <w:r w:rsidRPr="00F05829">
              <w:rPr>
                <w:rFonts w:ascii="Arial" w:hAnsi="Arial"/>
                <w:color w:val="auto"/>
                <w:sz w:val="18"/>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Pr>
                <w:rFonts w:ascii="Arial" w:hAnsi="Arial"/>
                <w:color w:val="auto"/>
                <w:sz w:val="18"/>
              </w:rPr>
              <w:t>40</w:t>
            </w:r>
            <w:r w:rsidRPr="00F05829">
              <w:rPr>
                <w:rFonts w:ascii="Arial" w:hAnsi="Arial"/>
                <w:color w:val="auto"/>
                <w:sz w:val="18"/>
              </w:rPr>
              <w:t>%</w:t>
            </w:r>
          </w:p>
        </w:tc>
      </w:tr>
      <w:tr w:rsidR="00C44501" w:rsidRPr="00F05829" w:rsidTr="00E26ADF">
        <w:trPr>
          <w:cantSplit/>
          <w:trHeight w:val="290"/>
        </w:trPr>
        <w:tc>
          <w:tcPr>
            <w:tcW w:w="4678"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rFonts w:ascii="Arial Bold" w:hAnsi="Arial Bold"/>
                <w:color w:val="auto"/>
                <w:sz w:val="18"/>
              </w:rPr>
            </w:pPr>
            <w:r w:rsidRPr="00F05829">
              <w:rPr>
                <w:rFonts w:ascii="Arial Bold" w:hAnsi="Arial Bold"/>
                <w:color w:val="auto"/>
                <w:sz w:val="18"/>
              </w:rPr>
              <w:t>Improving Quality and Numbers of Teachers</w:t>
            </w:r>
          </w:p>
        </w:tc>
        <w:tc>
          <w:tcPr>
            <w:tcW w:w="1190"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rPr>
            </w:pPr>
          </w:p>
        </w:tc>
      </w:tr>
      <w:tr w:rsidR="00C44501" w:rsidRPr="00F05829" w:rsidTr="00E26ADF">
        <w:trPr>
          <w:cantSplit/>
          <w:trHeight w:val="29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Teachers with teacher training</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30%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40%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50%</w:t>
            </w:r>
          </w:p>
        </w:tc>
      </w:tr>
      <w:tr w:rsidR="00C44501" w:rsidRPr="00F05829" w:rsidTr="00E26ADF">
        <w:trPr>
          <w:cantSplit/>
          <w:trHeight w:val="29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Primary teachers with minimum qualification</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23%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35%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50%</w:t>
            </w:r>
          </w:p>
        </w:tc>
      </w:tr>
      <w:tr w:rsidR="00C44501" w:rsidRPr="00F05829" w:rsidTr="00E26ADF">
        <w:trPr>
          <w:cantSplit/>
          <w:trHeight w:val="29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 xml:space="preserve">Secondary teachers with subject  diploma or degree </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28%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3</w:t>
            </w:r>
            <w:r>
              <w:rPr>
                <w:rFonts w:ascii="Arial" w:hAnsi="Arial"/>
                <w:color w:val="auto"/>
                <w:sz w:val="18"/>
              </w:rPr>
              <w:t>2</w:t>
            </w:r>
            <w:r w:rsidRPr="00F05829">
              <w:rPr>
                <w:rFonts w:ascii="Arial" w:hAnsi="Arial"/>
                <w:color w:val="auto"/>
                <w:sz w:val="1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Pr>
                <w:rFonts w:ascii="Arial" w:hAnsi="Arial"/>
                <w:color w:val="auto"/>
                <w:sz w:val="18"/>
              </w:rPr>
              <w:t>35</w:t>
            </w:r>
            <w:r w:rsidRPr="00F05829">
              <w:rPr>
                <w:rFonts w:ascii="Arial" w:hAnsi="Arial"/>
                <w:color w:val="auto"/>
                <w:sz w:val="18"/>
              </w:rPr>
              <w:t>%</w:t>
            </w:r>
          </w:p>
        </w:tc>
      </w:tr>
      <w:tr w:rsidR="00C44501" w:rsidRPr="00F05829" w:rsidTr="00E26ADF">
        <w:trPr>
          <w:cantSplit/>
          <w:trHeight w:val="290"/>
        </w:trPr>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lastRenderedPageBreak/>
              <w:t xml:space="preserve">Grade 6 Literacy Level </w:t>
            </w:r>
            <w:r w:rsidRPr="00F05829">
              <w:rPr>
                <w:rStyle w:val="FootnoteReference"/>
                <w:rFonts w:ascii="Arial" w:hAnsi="Arial"/>
                <w:color w:val="auto"/>
                <w:sz w:val="18"/>
              </w:rPr>
              <w:footnoteReference w:id="8"/>
            </w:r>
            <w:r w:rsidRPr="00F05829">
              <w:rPr>
                <w:rFonts w:ascii="Arial" w:hAnsi="Arial"/>
                <w:color w:val="auto"/>
                <w:sz w:val="18"/>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8"/>
              </w:rPr>
            </w:pPr>
            <w:r w:rsidRPr="00C35BAC">
              <w:rPr>
                <w:rFonts w:ascii="Arial" w:hAnsi="Arial"/>
                <w:color w:val="auto"/>
                <w:sz w:val="16"/>
                <w:szCs w:val="16"/>
              </w:rPr>
              <w:t>establis</w:t>
            </w:r>
            <w:r>
              <w:rPr>
                <w:rFonts w:ascii="Arial" w:hAnsi="Arial"/>
                <w:color w:val="auto"/>
                <w:sz w:val="18"/>
              </w:rPr>
              <w:t xml:space="preserve">h </w:t>
            </w:r>
            <w:r w:rsidRPr="00C35BAC">
              <w:rPr>
                <w:rFonts w:ascii="Arial" w:hAnsi="Arial"/>
                <w:color w:val="auto"/>
                <w:sz w:val="16"/>
                <w:szCs w:val="16"/>
              </w:rPr>
              <w:t>an accurate baseline in 2011</w:t>
            </w:r>
            <w:r>
              <w:rPr>
                <w:rFonts w:ascii="Arial" w:hAnsi="Arial"/>
                <w:color w:val="auto"/>
                <w:sz w:val="16"/>
                <w:szCs w:val="16"/>
              </w:rPr>
              <w:t>/ 2012</w:t>
            </w:r>
            <w:r>
              <w:rPr>
                <w:rFonts w:ascii="Arial" w:hAnsi="Arial"/>
                <w:color w:val="auto"/>
                <w:sz w:val="18"/>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8"/>
              </w:rPr>
            </w:pPr>
            <w:r>
              <w:rPr>
                <w:rFonts w:ascii="Arial" w:hAnsi="Arial"/>
                <w:color w:val="auto"/>
                <w:sz w:val="16"/>
                <w:szCs w:val="16"/>
              </w:rPr>
              <w:t>increase baseline by 3</w:t>
            </w:r>
            <w:r w:rsidRPr="00C35BAC">
              <w:rPr>
                <w:rFonts w:ascii="Arial" w:hAnsi="Arial"/>
                <w:color w:val="auto"/>
                <w:sz w:val="16"/>
                <w:szCs w:val="16"/>
              </w:rPr>
              <w: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rPr>
                <w:rFonts w:ascii="Arial" w:hAnsi="Arial"/>
                <w:color w:val="auto"/>
                <w:sz w:val="18"/>
              </w:rPr>
            </w:pPr>
            <w:r>
              <w:rPr>
                <w:rFonts w:ascii="Arial" w:hAnsi="Arial"/>
                <w:color w:val="auto"/>
                <w:sz w:val="16"/>
                <w:szCs w:val="16"/>
              </w:rPr>
              <w:t>increase baseline by 5</w:t>
            </w:r>
            <w:r w:rsidRPr="00C35BAC">
              <w:rPr>
                <w:rFonts w:ascii="Arial" w:hAnsi="Arial"/>
                <w:color w:val="auto"/>
                <w:sz w:val="16"/>
                <w:szCs w:val="16"/>
              </w:rPr>
              <w:t>%</w:t>
            </w:r>
          </w:p>
        </w:tc>
      </w:tr>
      <w:tr w:rsidR="00C44501" w:rsidRPr="00F05829" w:rsidTr="00E26ADF">
        <w:trPr>
          <w:cantSplit/>
          <w:trHeight w:val="290"/>
        </w:trPr>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Grade 6 Numeracy Level (ii)</w:t>
            </w:r>
            <w:r w:rsidRPr="00F05829">
              <w:rPr>
                <w:rStyle w:val="FootnoteReference"/>
                <w:rFonts w:ascii="Arial" w:hAnsi="Arial"/>
                <w:color w:val="auto"/>
                <w:sz w:val="18"/>
              </w:rPr>
              <w:footnoteReference w:id="9"/>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17%</w:t>
            </w:r>
          </w:p>
        </w:tc>
      </w:tr>
      <w:tr w:rsidR="00C44501" w:rsidRPr="00F05829" w:rsidTr="00E26ADF">
        <w:trPr>
          <w:cantSplit/>
          <w:trHeight w:val="40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Special Needs students</w:t>
            </w:r>
            <w:r>
              <w:rPr>
                <w:rFonts w:ascii="Arial" w:hAnsi="Arial"/>
                <w:color w:val="auto"/>
                <w:sz w:val="18"/>
              </w:rPr>
              <w:t xml:space="preserve"> </w:t>
            </w:r>
            <w:r w:rsidRPr="00F05829">
              <w:rPr>
                <w:rFonts w:ascii="Arial" w:hAnsi="Arial"/>
                <w:color w:val="auto"/>
                <w:sz w:val="18"/>
              </w:rPr>
              <w:t>(with mental and physical disabilities) access to targeted education services</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61 %</w:t>
            </w:r>
          </w:p>
          <w:p w:rsidR="00C44501" w:rsidRPr="00F05829" w:rsidRDefault="00C44501" w:rsidP="00E26ADF">
            <w:pPr>
              <w:jc w:val="both"/>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65%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70%</w:t>
            </w:r>
          </w:p>
        </w:tc>
      </w:tr>
      <w:tr w:rsidR="00C44501" w:rsidRPr="00F05829" w:rsidTr="00E26ADF">
        <w:trPr>
          <w:cantSplit/>
          <w:trHeight w:val="400"/>
        </w:trPr>
        <w:tc>
          <w:tcPr>
            <w:tcW w:w="4678"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rFonts w:ascii="Arial Bold" w:hAnsi="Arial Bold"/>
                <w:color w:val="auto"/>
                <w:sz w:val="18"/>
              </w:rPr>
            </w:pPr>
            <w:r w:rsidRPr="00F05829">
              <w:rPr>
                <w:rFonts w:ascii="Arial Bold" w:hAnsi="Arial Bold"/>
                <w:color w:val="auto"/>
                <w:sz w:val="18"/>
              </w:rPr>
              <w:t>Improved Access to Quality Tertiary and TVET services</w:t>
            </w:r>
          </w:p>
        </w:tc>
        <w:tc>
          <w:tcPr>
            <w:tcW w:w="1190"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rPr>
            </w:pPr>
          </w:p>
        </w:tc>
      </w:tr>
      <w:tr w:rsidR="00C44501" w:rsidRPr="00F05829" w:rsidTr="00E26ADF">
        <w:trPr>
          <w:cantSplit/>
          <w:trHeight w:val="60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Number of internationally recognized trade certificates awarded</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Data not available until 2012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3C28B6" w:rsidRDefault="00C44501" w:rsidP="00E26ADF">
            <w:pPr>
              <w:jc w:val="both"/>
              <w:rPr>
                <w:rFonts w:ascii="Arial" w:hAnsi="Arial" w:cs="Arial"/>
                <w:color w:val="auto"/>
                <w:sz w:val="18"/>
                <w:szCs w:val="18"/>
              </w:rPr>
            </w:pPr>
            <w:r w:rsidRPr="003C28B6">
              <w:rPr>
                <w:rFonts w:ascii="Arial" w:hAnsi="Arial" w:cs="Arial"/>
                <w:color w:val="auto"/>
                <w:sz w:val="18"/>
                <w:szCs w:val="18"/>
              </w:rPr>
              <w:t>10%  of total enrolled TVET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3C28B6" w:rsidRDefault="00C44501" w:rsidP="00E26ADF">
            <w:pPr>
              <w:jc w:val="both"/>
              <w:rPr>
                <w:rFonts w:ascii="Arial" w:hAnsi="Arial" w:cs="Arial"/>
                <w:color w:val="auto"/>
                <w:sz w:val="18"/>
                <w:szCs w:val="18"/>
              </w:rPr>
            </w:pPr>
            <w:r w:rsidRPr="003C28B6">
              <w:rPr>
                <w:rFonts w:ascii="Arial" w:hAnsi="Arial" w:cs="Arial"/>
                <w:color w:val="auto"/>
                <w:sz w:val="18"/>
                <w:szCs w:val="18"/>
              </w:rPr>
              <w:t>15% of total enrolled TVET students</w:t>
            </w:r>
          </w:p>
        </w:tc>
      </w:tr>
      <w:tr w:rsidR="00C44501" w:rsidRPr="00F05829" w:rsidTr="00E26ADF">
        <w:trPr>
          <w:cantSplit/>
          <w:trHeight w:val="60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 xml:space="preserve">Students choosing a TVET pathway in years  11 and 12 </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Yr 11-3</w:t>
            </w:r>
            <w:r>
              <w:rPr>
                <w:rFonts w:ascii="Arial" w:hAnsi="Arial"/>
                <w:color w:val="auto"/>
                <w:sz w:val="18"/>
              </w:rPr>
              <w:t>0</w:t>
            </w:r>
            <w:r w:rsidRPr="00F05829">
              <w:rPr>
                <w:rFonts w:ascii="Arial" w:hAnsi="Arial"/>
                <w:color w:val="auto"/>
                <w:sz w:val="18"/>
              </w:rPr>
              <w:t>%</w:t>
            </w:r>
          </w:p>
          <w:p w:rsidR="00C44501" w:rsidRPr="00F05829" w:rsidRDefault="00C44501" w:rsidP="00E26ADF">
            <w:pPr>
              <w:jc w:val="both"/>
              <w:rPr>
                <w:rFonts w:ascii="Arial" w:hAnsi="Arial"/>
                <w:color w:val="auto"/>
                <w:sz w:val="18"/>
              </w:rPr>
            </w:pPr>
            <w:r w:rsidRPr="00F05829">
              <w:rPr>
                <w:rFonts w:ascii="Arial" w:hAnsi="Arial"/>
                <w:color w:val="auto"/>
                <w:sz w:val="18"/>
              </w:rPr>
              <w:t>Yr 12 25%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 xml:space="preserve">Yr 11- </w:t>
            </w:r>
            <w:r>
              <w:rPr>
                <w:rFonts w:ascii="Arial" w:hAnsi="Arial"/>
                <w:color w:val="auto"/>
                <w:sz w:val="18"/>
              </w:rPr>
              <w:t>35</w:t>
            </w:r>
            <w:r w:rsidRPr="00F05829">
              <w:rPr>
                <w:rFonts w:ascii="Arial" w:hAnsi="Arial"/>
                <w:color w:val="auto"/>
                <w:sz w:val="18"/>
              </w:rPr>
              <w:t>%</w:t>
            </w:r>
          </w:p>
          <w:p w:rsidR="00C44501" w:rsidRPr="00F05829" w:rsidRDefault="00C44501" w:rsidP="00E26ADF">
            <w:pPr>
              <w:jc w:val="both"/>
              <w:rPr>
                <w:rFonts w:ascii="Arial" w:hAnsi="Arial"/>
                <w:color w:val="auto"/>
                <w:sz w:val="18"/>
              </w:rPr>
            </w:pPr>
            <w:r w:rsidRPr="00F05829">
              <w:rPr>
                <w:rFonts w:ascii="Arial" w:hAnsi="Arial"/>
                <w:color w:val="auto"/>
                <w:sz w:val="18"/>
              </w:rPr>
              <w:t xml:space="preserve">Yr 12- </w:t>
            </w:r>
            <w:r>
              <w:rPr>
                <w:rFonts w:ascii="Arial" w:hAnsi="Arial"/>
                <w:color w:val="auto"/>
                <w:sz w:val="18"/>
              </w:rPr>
              <w:t>28</w:t>
            </w:r>
            <w:r w:rsidRPr="00F05829">
              <w:rPr>
                <w:rFonts w:ascii="Arial" w:hAnsi="Arial"/>
                <w:color w:val="auto"/>
                <w:sz w:val="18"/>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8"/>
              </w:rPr>
            </w:pPr>
            <w:r w:rsidRPr="00F05829">
              <w:rPr>
                <w:rFonts w:ascii="Arial" w:hAnsi="Arial"/>
                <w:color w:val="auto"/>
                <w:sz w:val="18"/>
              </w:rPr>
              <w:t>Yr 11-</w:t>
            </w:r>
            <w:r>
              <w:rPr>
                <w:rFonts w:ascii="Arial" w:hAnsi="Arial"/>
                <w:color w:val="auto"/>
                <w:sz w:val="18"/>
              </w:rPr>
              <w:t>37</w:t>
            </w:r>
            <w:r w:rsidRPr="00F05829">
              <w:rPr>
                <w:rFonts w:ascii="Arial" w:hAnsi="Arial"/>
                <w:color w:val="auto"/>
                <w:sz w:val="18"/>
              </w:rPr>
              <w:t>%</w:t>
            </w:r>
          </w:p>
          <w:p w:rsidR="00C44501" w:rsidRPr="00F05829" w:rsidRDefault="00C44501" w:rsidP="00E26ADF">
            <w:pPr>
              <w:jc w:val="both"/>
              <w:rPr>
                <w:rFonts w:ascii="Arial" w:hAnsi="Arial"/>
                <w:color w:val="auto"/>
                <w:sz w:val="18"/>
              </w:rPr>
            </w:pPr>
            <w:r w:rsidRPr="00F05829">
              <w:rPr>
                <w:rFonts w:ascii="Arial" w:hAnsi="Arial"/>
                <w:color w:val="auto"/>
                <w:sz w:val="18"/>
              </w:rPr>
              <w:t xml:space="preserve">Yr 12- </w:t>
            </w:r>
            <w:r>
              <w:rPr>
                <w:rFonts w:ascii="Arial" w:hAnsi="Arial"/>
                <w:color w:val="auto"/>
                <w:sz w:val="18"/>
              </w:rPr>
              <w:t>30</w:t>
            </w:r>
            <w:r w:rsidRPr="00F05829">
              <w:rPr>
                <w:rFonts w:ascii="Arial" w:hAnsi="Arial"/>
                <w:color w:val="auto"/>
                <w:sz w:val="18"/>
              </w:rPr>
              <w:t>%</w:t>
            </w:r>
          </w:p>
        </w:tc>
      </w:tr>
    </w:tbl>
    <w:p w:rsidR="00C44501" w:rsidRPr="00F05829" w:rsidRDefault="00C44501" w:rsidP="00C44501">
      <w:pPr>
        <w:pStyle w:val="FreeForm"/>
        <w:jc w:val="both"/>
        <w:rPr>
          <w:rFonts w:ascii="Arial" w:hAnsi="Arial"/>
          <w:color w:val="auto"/>
        </w:rPr>
      </w:pPr>
    </w:p>
    <w:p w:rsidR="00C44501" w:rsidRPr="00F05829" w:rsidRDefault="00C44501" w:rsidP="00C44501">
      <w:pPr>
        <w:jc w:val="both"/>
        <w:rPr>
          <w:rFonts w:ascii="Arial" w:hAnsi="Arial"/>
          <w:color w:val="auto"/>
          <w:sz w:val="22"/>
        </w:rPr>
      </w:pPr>
      <w:r w:rsidRPr="00F05829">
        <w:rPr>
          <w:rFonts w:ascii="Arial" w:hAnsi="Arial"/>
          <w:color w:val="auto"/>
          <w:sz w:val="22"/>
        </w:rPr>
        <w:t xml:space="preserve">The Performance Assessment Framework (PAF) is at </w:t>
      </w:r>
      <w:r w:rsidRPr="00F05829">
        <w:rPr>
          <w:rFonts w:ascii="Arial" w:hAnsi="Arial"/>
          <w:b/>
          <w:color w:val="auto"/>
          <w:sz w:val="22"/>
        </w:rPr>
        <w:t>Annex 3</w:t>
      </w:r>
      <w:r w:rsidRPr="00F05829">
        <w:rPr>
          <w:rFonts w:ascii="Arial" w:hAnsi="Arial"/>
          <w:color w:val="auto"/>
          <w:sz w:val="22"/>
        </w:rPr>
        <w:t xml:space="preserve">.  All indicators will be disaggregated by gender where applicable. Indicator definitions are at </w:t>
      </w:r>
      <w:r w:rsidRPr="00F05829">
        <w:rPr>
          <w:rFonts w:ascii="Arial" w:hAnsi="Arial"/>
          <w:b/>
          <w:color w:val="auto"/>
          <w:sz w:val="22"/>
        </w:rPr>
        <w:t>Annex 4</w:t>
      </w:r>
      <w:r w:rsidRPr="00F05829">
        <w:rPr>
          <w:rFonts w:ascii="Arial" w:hAnsi="Arial"/>
          <w:color w:val="auto"/>
          <w:sz w:val="22"/>
        </w:rPr>
        <w:t xml:space="preserve">. GoN will collect data, in particular through the DET’s still-evolving Education Management Information System (EMIS), and from the Department of Statistics.  Although the NSDS does not identify gender parity as a key performance indicator, </w:t>
      </w:r>
      <w:r w:rsidRPr="00F05829">
        <w:rPr>
          <w:rFonts w:ascii="Arial Italic" w:hAnsi="Arial Italic"/>
          <w:color w:val="auto"/>
          <w:sz w:val="22"/>
        </w:rPr>
        <w:t>Footpath II</w:t>
      </w:r>
      <w:r w:rsidRPr="00F05829">
        <w:rPr>
          <w:rFonts w:ascii="Arial" w:hAnsi="Arial"/>
          <w:color w:val="auto"/>
          <w:sz w:val="22"/>
        </w:rPr>
        <w:t xml:space="preserve"> identifies the issue of girls outperforming boys at the senior secondary level and accessing more scholarship places than boys. Both participation and learning outcomes at all levels of the system will be monitored annually by GoN.  </w:t>
      </w:r>
      <w:r>
        <w:rPr>
          <w:rFonts w:ascii="Arial" w:hAnsi="Arial"/>
          <w:color w:val="auto"/>
          <w:sz w:val="22"/>
        </w:rPr>
        <w:t>E</w:t>
      </w:r>
      <w:r w:rsidRPr="00F05829">
        <w:rPr>
          <w:rFonts w:ascii="Arial" w:hAnsi="Arial"/>
          <w:color w:val="auto"/>
          <w:sz w:val="22"/>
        </w:rPr>
        <w:t xml:space="preserve">quity in outcomes at the secondary level is an indicator in the PAF.  AusAID will continue to collect output level information annually as part of its own quality assurance processes. </w:t>
      </w:r>
    </w:p>
    <w:p w:rsidR="00C44501" w:rsidRDefault="00C44501" w:rsidP="00C44501">
      <w:pPr>
        <w:jc w:val="both"/>
        <w:rPr>
          <w:rFonts w:ascii="Arial Bold" w:hAnsi="Arial Bold"/>
          <w:color w:val="auto"/>
          <w:sz w:val="22"/>
        </w:rPr>
      </w:pPr>
    </w:p>
    <w:p w:rsidR="00C44501" w:rsidRPr="00A70C94" w:rsidRDefault="00C44501" w:rsidP="00C44501">
      <w:pPr>
        <w:jc w:val="both"/>
        <w:rPr>
          <w:rFonts w:ascii="Arial" w:hAnsi="Arial"/>
          <w:color w:val="auto"/>
          <w:sz w:val="22"/>
        </w:rPr>
      </w:pPr>
      <w:r w:rsidRPr="00A70C94">
        <w:rPr>
          <w:rFonts w:ascii="Arial" w:hAnsi="Arial"/>
          <w:color w:val="auto"/>
          <w:sz w:val="22"/>
        </w:rPr>
        <w:t xml:space="preserve">Measurement of progress against targets and benchmarks will occur through incorporation of these targets and benchmarks in operational documents such as Annual Operation plans and the PAF. The PAF identifies a range of measurement instruments and tools and this will be collated, recorded and reported through a renewed Education Management Information System. Other mechanisms for reporting include GoN reporting processes such as Annual Report, quarterly reports to donor partners via AMU. In addition the proposed Program Monitoring Group will play an important role in the review of measurement and reporting of IS targets and benchmarks. </w:t>
      </w:r>
    </w:p>
    <w:p w:rsidR="00C44501" w:rsidRPr="00F05829" w:rsidRDefault="00C44501" w:rsidP="00C44501">
      <w:pPr>
        <w:jc w:val="both"/>
        <w:rPr>
          <w:rFonts w:ascii="Arial Bold" w:hAnsi="Arial Bold"/>
          <w:color w:val="auto"/>
        </w:rPr>
      </w:pPr>
    </w:p>
    <w:p w:rsidR="00C44501" w:rsidRPr="00F05829" w:rsidRDefault="00C44501" w:rsidP="00C44501">
      <w:pPr>
        <w:pStyle w:val="FreeForm"/>
        <w:jc w:val="both"/>
        <w:rPr>
          <w:rFonts w:ascii="Arial" w:hAnsi="Arial"/>
          <w:color w:val="auto"/>
          <w:sz w:val="22"/>
        </w:rPr>
      </w:pPr>
      <w:r w:rsidRPr="00F05829">
        <w:br w:type="page"/>
      </w:r>
      <w:r w:rsidRPr="00F05829">
        <w:rPr>
          <w:rFonts w:ascii="Arial" w:hAnsi="Arial"/>
          <w:b/>
          <w:color w:val="auto"/>
          <w:sz w:val="22"/>
        </w:rPr>
        <w:lastRenderedPageBreak/>
        <w:t>Annex 1</w:t>
      </w:r>
    </w:p>
    <w:p w:rsidR="00C44501" w:rsidRPr="00F05829" w:rsidRDefault="00C44501" w:rsidP="00C44501">
      <w:pPr>
        <w:jc w:val="both"/>
        <w:rPr>
          <w:rFonts w:ascii="Arial" w:hAnsi="Arial" w:cs="Arial"/>
          <w:color w:val="auto"/>
          <w:sz w:val="18"/>
          <w:szCs w:val="18"/>
        </w:rPr>
      </w:pPr>
      <w:r w:rsidRPr="00F05829">
        <w:rPr>
          <w:rFonts w:ascii="Arial" w:hAnsi="Arial" w:cs="Arial"/>
          <w:color w:val="auto"/>
          <w:sz w:val="18"/>
          <w:szCs w:val="18"/>
        </w:rPr>
        <w:t>Table 4 - DET Budget Fiscal Year 2009 – 10</w:t>
      </w:r>
    </w:p>
    <w:p w:rsidR="00C44501" w:rsidRPr="00F05829" w:rsidRDefault="00C44501" w:rsidP="00C44501">
      <w:pPr>
        <w:jc w:val="both"/>
        <w:rPr>
          <w:rFonts w:ascii="Arial" w:hAnsi="Arial"/>
          <w:color w:val="auto"/>
          <w:sz w:val="18"/>
          <w:szCs w:val="18"/>
        </w:rPr>
      </w:pPr>
    </w:p>
    <w:tbl>
      <w:tblPr>
        <w:tblW w:w="5000" w:type="pct"/>
        <w:tblLook w:val="0000"/>
      </w:tblPr>
      <w:tblGrid>
        <w:gridCol w:w="2312"/>
        <w:gridCol w:w="1188"/>
        <w:gridCol w:w="1114"/>
        <w:gridCol w:w="1114"/>
        <w:gridCol w:w="1114"/>
        <w:gridCol w:w="1114"/>
        <w:gridCol w:w="1118"/>
      </w:tblGrid>
      <w:tr w:rsidR="00C44501" w:rsidRPr="00F05829" w:rsidTr="00E26ADF">
        <w:trPr>
          <w:cantSplit/>
          <w:trHeight w:val="1100"/>
        </w:trPr>
        <w:tc>
          <w:tcPr>
            <w:tcW w:w="1063" w:type="pct"/>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bottom"/>
          </w:tcPr>
          <w:p w:rsidR="00C44501" w:rsidRPr="00F05829" w:rsidRDefault="00C44501" w:rsidP="00E26ADF">
            <w:pPr>
              <w:jc w:val="both"/>
              <w:rPr>
                <w:rFonts w:ascii="Arial" w:hAnsi="Arial" w:cs="Arial"/>
                <w:color w:val="auto"/>
                <w:sz w:val="18"/>
                <w:szCs w:val="18"/>
              </w:rPr>
            </w:pPr>
          </w:p>
        </w:tc>
        <w:tc>
          <w:tcPr>
            <w:tcW w:w="690" w:type="pct"/>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bottom"/>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Domestic</w:t>
            </w:r>
          </w:p>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w:t>
            </w:r>
          </w:p>
        </w:tc>
        <w:tc>
          <w:tcPr>
            <w:tcW w:w="649" w:type="pct"/>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bottom"/>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AusAID</w:t>
            </w:r>
          </w:p>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w:t>
            </w:r>
          </w:p>
        </w:tc>
        <w:tc>
          <w:tcPr>
            <w:tcW w:w="649" w:type="pct"/>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bottom"/>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NZAid</w:t>
            </w:r>
          </w:p>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w:t>
            </w:r>
          </w:p>
        </w:tc>
        <w:tc>
          <w:tcPr>
            <w:tcW w:w="649" w:type="pct"/>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bottom"/>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Carryover of Grants from Previous Years ($)</w:t>
            </w:r>
          </w:p>
        </w:tc>
        <w:tc>
          <w:tcPr>
            <w:tcW w:w="649" w:type="pct"/>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bottom"/>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Grants – Other</w:t>
            </w:r>
          </w:p>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w:t>
            </w:r>
          </w:p>
        </w:tc>
        <w:tc>
          <w:tcPr>
            <w:tcW w:w="652" w:type="pct"/>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bottom"/>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Total Budget</w:t>
            </w:r>
          </w:p>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w:t>
            </w: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vertAlign w:val="superscript"/>
              </w:rPr>
            </w:pPr>
            <w:r w:rsidRPr="00F05829">
              <w:rPr>
                <w:rFonts w:ascii="Arial" w:hAnsi="Arial" w:cs="Arial"/>
                <w:color w:val="auto"/>
                <w:sz w:val="18"/>
                <w:szCs w:val="18"/>
              </w:rPr>
              <w:t xml:space="preserve">Budget </w:t>
            </w:r>
            <w:r w:rsidRPr="00F05829">
              <w:rPr>
                <w:rFonts w:ascii="Arial" w:hAnsi="Arial" w:cs="Arial"/>
                <w:color w:val="auto"/>
                <w:sz w:val="18"/>
                <w:szCs w:val="18"/>
                <w:vertAlign w:val="superscript"/>
              </w:rPr>
              <w:t>1.</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2,699,364</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534,000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1,353,136</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1,030,024</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0</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5,616,524</w:t>
            </w: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Proportion (%)</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48.1</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9.5</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24.1</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18.3</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0</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100.0</w:t>
            </w: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Budget Allocations</w:t>
            </w: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Salaries</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1,366,583</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Salaries (ex-pat)</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239,000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 xml:space="preserve">Staff Travel </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53,000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Business Travel</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12,000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Recruitment</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8,000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Print/Stationary</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13,500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Library/Periodicals</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60,000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44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Memberships/Subscriptions</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101,905</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Special Projects</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33,000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Stores</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10,787</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Petrol</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5,681</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Diesel</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2,340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Electricity</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62,768</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Scholarships</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640,800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Plant &amp; Equipment</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90,000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Sub-total</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2,699,364</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NSS Consumables</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70,000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66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School Refurbishment/Maintenance:</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34"/>
              </w:numPr>
              <w:ind w:hanging="360"/>
              <w:jc w:val="both"/>
              <w:rPr>
                <w:rFonts w:ascii="Arial" w:hAnsi="Arial" w:cs="Arial"/>
                <w:color w:val="auto"/>
                <w:sz w:val="18"/>
                <w:szCs w:val="18"/>
              </w:rPr>
            </w:pPr>
            <w:r w:rsidRPr="00F05829">
              <w:rPr>
                <w:rFonts w:ascii="Arial" w:hAnsi="Arial" w:cs="Arial"/>
                <w:color w:val="auto"/>
                <w:sz w:val="18"/>
                <w:szCs w:val="18"/>
              </w:rPr>
              <w:t>Libraries</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35,000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35"/>
              </w:numPr>
              <w:ind w:hanging="360"/>
              <w:jc w:val="both"/>
              <w:rPr>
                <w:rFonts w:ascii="Arial" w:hAnsi="Arial" w:cs="Arial"/>
                <w:color w:val="auto"/>
                <w:sz w:val="18"/>
                <w:szCs w:val="18"/>
              </w:rPr>
            </w:pPr>
            <w:r w:rsidRPr="00F05829">
              <w:rPr>
                <w:rFonts w:ascii="Arial" w:hAnsi="Arial" w:cs="Arial"/>
                <w:color w:val="auto"/>
                <w:sz w:val="18"/>
                <w:szCs w:val="18"/>
              </w:rPr>
              <w:t>YPS Computers</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25,000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36"/>
              </w:numPr>
              <w:ind w:hanging="360"/>
              <w:jc w:val="both"/>
              <w:rPr>
                <w:rFonts w:ascii="Arial" w:hAnsi="Arial" w:cs="Arial"/>
                <w:color w:val="auto"/>
                <w:sz w:val="18"/>
                <w:szCs w:val="18"/>
              </w:rPr>
            </w:pPr>
            <w:r w:rsidRPr="00F05829">
              <w:rPr>
                <w:rFonts w:ascii="Arial" w:hAnsi="Arial" w:cs="Arial"/>
                <w:color w:val="auto"/>
                <w:sz w:val="18"/>
                <w:szCs w:val="18"/>
              </w:rPr>
              <w:t>Boe Renovations</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100,000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37"/>
              </w:numPr>
              <w:ind w:hanging="360"/>
              <w:jc w:val="both"/>
              <w:rPr>
                <w:rFonts w:ascii="Arial" w:hAnsi="Arial" w:cs="Arial"/>
                <w:color w:val="auto"/>
                <w:sz w:val="18"/>
                <w:szCs w:val="18"/>
              </w:rPr>
            </w:pPr>
            <w:r w:rsidRPr="00F05829">
              <w:rPr>
                <w:rFonts w:ascii="Arial" w:hAnsi="Arial" w:cs="Arial"/>
                <w:color w:val="auto"/>
                <w:sz w:val="18"/>
                <w:szCs w:val="18"/>
              </w:rPr>
              <w:t>School Fencing</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95,000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38"/>
              </w:numPr>
              <w:ind w:hanging="360"/>
              <w:jc w:val="both"/>
              <w:rPr>
                <w:rFonts w:ascii="Arial" w:hAnsi="Arial" w:cs="Arial"/>
                <w:color w:val="auto"/>
                <w:sz w:val="18"/>
                <w:szCs w:val="18"/>
              </w:rPr>
            </w:pPr>
            <w:r w:rsidRPr="00F05829">
              <w:rPr>
                <w:rFonts w:ascii="Arial" w:hAnsi="Arial" w:cs="Arial"/>
                <w:color w:val="auto"/>
                <w:sz w:val="18"/>
                <w:szCs w:val="18"/>
              </w:rPr>
              <w:t>YPS Toilets</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54,000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44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39"/>
              </w:numPr>
              <w:ind w:hanging="360"/>
              <w:jc w:val="both"/>
              <w:rPr>
                <w:rFonts w:ascii="Arial" w:hAnsi="Arial" w:cs="Arial"/>
                <w:color w:val="auto"/>
                <w:sz w:val="18"/>
                <w:szCs w:val="18"/>
              </w:rPr>
            </w:pPr>
            <w:r w:rsidRPr="00F05829">
              <w:rPr>
                <w:rFonts w:ascii="Arial" w:hAnsi="Arial" w:cs="Arial"/>
                <w:color w:val="auto"/>
                <w:sz w:val="18"/>
                <w:szCs w:val="18"/>
              </w:rPr>
              <w:t>Manual Arts Facilities</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120,000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40"/>
              </w:numPr>
              <w:ind w:hanging="360"/>
              <w:jc w:val="both"/>
              <w:rPr>
                <w:rFonts w:ascii="Arial" w:hAnsi="Arial" w:cs="Arial"/>
                <w:color w:val="auto"/>
                <w:sz w:val="18"/>
                <w:szCs w:val="18"/>
              </w:rPr>
            </w:pPr>
            <w:r w:rsidRPr="00F05829">
              <w:rPr>
                <w:rFonts w:ascii="Arial" w:hAnsi="Arial" w:cs="Arial"/>
                <w:color w:val="auto"/>
                <w:sz w:val="18"/>
                <w:szCs w:val="18"/>
              </w:rPr>
              <w:t>Minor Repairs</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40,000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44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41"/>
              </w:numPr>
              <w:ind w:hanging="360"/>
              <w:jc w:val="both"/>
              <w:rPr>
                <w:rFonts w:ascii="Arial" w:hAnsi="Arial" w:cs="Arial"/>
                <w:color w:val="auto"/>
                <w:sz w:val="18"/>
                <w:szCs w:val="18"/>
              </w:rPr>
            </w:pPr>
            <w:r w:rsidRPr="00F05829">
              <w:rPr>
                <w:rFonts w:ascii="Arial" w:hAnsi="Arial" w:cs="Arial"/>
                <w:color w:val="auto"/>
                <w:sz w:val="18"/>
                <w:szCs w:val="18"/>
              </w:rPr>
              <w:t>Air Conditioning Nauru College</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25,000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Sub-total</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vertAlign w:val="superscript"/>
              </w:rPr>
            </w:pPr>
            <w:r w:rsidRPr="00F05829">
              <w:rPr>
                <w:rFonts w:ascii="Arial" w:hAnsi="Arial" w:cs="Arial"/>
                <w:color w:val="auto"/>
                <w:sz w:val="18"/>
                <w:szCs w:val="18"/>
              </w:rPr>
              <w:t xml:space="preserve">564,000 </w:t>
            </w:r>
            <w:r w:rsidRPr="00F05829">
              <w:rPr>
                <w:rFonts w:ascii="Arial" w:hAnsi="Arial" w:cs="Arial"/>
                <w:color w:val="auto"/>
                <w:sz w:val="18"/>
                <w:szCs w:val="18"/>
                <w:vertAlign w:val="superscript"/>
              </w:rPr>
              <w:t>2.</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Curriculum</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58,000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Pedagogy</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44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Infrastructure/Physical Resources</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261,000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Human Resources</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503,469</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66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lastRenderedPageBreak/>
              <w:t>Parental &amp; Community Involvement</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School Support</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171,000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44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Administrative Framework</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66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Systems &amp; HR Performance Management</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142,800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r w:rsidR="00C44501" w:rsidRPr="00F05829" w:rsidTr="00E26ADF">
        <w:trPr>
          <w:cantSplit/>
          <w:trHeight w:val="310"/>
        </w:trPr>
        <w:tc>
          <w:tcPr>
            <w:tcW w:w="106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Sub-total</w:t>
            </w:r>
          </w:p>
        </w:tc>
        <w:tc>
          <w:tcPr>
            <w:tcW w:w="69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r w:rsidRPr="00F05829">
              <w:rPr>
                <w:rFonts w:ascii="Arial" w:hAnsi="Arial" w:cs="Arial"/>
                <w:color w:val="auto"/>
                <w:sz w:val="18"/>
                <w:szCs w:val="18"/>
              </w:rPr>
              <w:t>1,136,269</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s="Arial"/>
                <w:color w:val="auto"/>
                <w:sz w:val="18"/>
                <w:szCs w:val="18"/>
              </w:rPr>
            </w:pPr>
          </w:p>
        </w:tc>
      </w:tr>
    </w:tbl>
    <w:p w:rsidR="00C44501" w:rsidRPr="00F05829" w:rsidRDefault="00C44501" w:rsidP="00C44501">
      <w:pPr>
        <w:pStyle w:val="FreeForm"/>
        <w:jc w:val="both"/>
        <w:rPr>
          <w:rFonts w:ascii="Arial" w:hAnsi="Arial"/>
          <w:color w:val="auto"/>
          <w:sz w:val="18"/>
          <w:szCs w:val="18"/>
        </w:rPr>
      </w:pPr>
    </w:p>
    <w:p w:rsidR="00C44501" w:rsidRPr="00F05829" w:rsidRDefault="00C44501" w:rsidP="00C44501">
      <w:pPr>
        <w:jc w:val="both"/>
        <w:rPr>
          <w:rFonts w:ascii="Arial" w:hAnsi="Arial"/>
          <w:color w:val="auto"/>
          <w:sz w:val="18"/>
          <w:szCs w:val="18"/>
        </w:rPr>
      </w:pPr>
      <w:r w:rsidRPr="00F05829">
        <w:rPr>
          <w:rFonts w:ascii="Arial" w:hAnsi="Arial"/>
          <w:color w:val="auto"/>
          <w:sz w:val="18"/>
          <w:szCs w:val="18"/>
        </w:rPr>
        <w:t>Notes:</w:t>
      </w:r>
    </w:p>
    <w:p w:rsidR="00C44501" w:rsidRPr="00F05829" w:rsidRDefault="00C44501" w:rsidP="00C44501">
      <w:pPr>
        <w:numPr>
          <w:ilvl w:val="0"/>
          <w:numId w:val="42"/>
        </w:numPr>
        <w:tabs>
          <w:tab w:val="clear" w:pos="360"/>
          <w:tab w:val="num" w:pos="720"/>
        </w:tabs>
        <w:ind w:left="720" w:hanging="360"/>
        <w:jc w:val="both"/>
        <w:rPr>
          <w:rFonts w:ascii="Arial" w:hAnsi="Arial"/>
          <w:color w:val="auto"/>
          <w:sz w:val="18"/>
          <w:szCs w:val="18"/>
        </w:rPr>
      </w:pPr>
      <w:r w:rsidRPr="00F05829">
        <w:rPr>
          <w:rFonts w:ascii="Arial" w:hAnsi="Arial"/>
          <w:color w:val="auto"/>
          <w:sz w:val="18"/>
          <w:szCs w:val="18"/>
        </w:rPr>
        <w:t>Budget source: Republic of Nauru, 2009-10 Budget, Budget Paper 1, p.55.</w:t>
      </w:r>
    </w:p>
    <w:p w:rsidR="00C44501" w:rsidRPr="00F05829" w:rsidRDefault="00C44501" w:rsidP="00C44501">
      <w:pPr>
        <w:numPr>
          <w:ilvl w:val="0"/>
          <w:numId w:val="42"/>
        </w:numPr>
        <w:tabs>
          <w:tab w:val="clear" w:pos="360"/>
          <w:tab w:val="num" w:pos="720"/>
        </w:tabs>
        <w:ind w:left="720" w:hanging="360"/>
        <w:jc w:val="both"/>
        <w:rPr>
          <w:rFonts w:ascii="Arial" w:hAnsi="Arial"/>
          <w:color w:val="auto"/>
          <w:sz w:val="18"/>
          <w:szCs w:val="18"/>
        </w:rPr>
      </w:pPr>
      <w:r w:rsidRPr="00F05829">
        <w:rPr>
          <w:rFonts w:ascii="Arial" w:hAnsi="Arial"/>
          <w:color w:val="auto"/>
          <w:sz w:val="18"/>
          <w:szCs w:val="18"/>
        </w:rPr>
        <w:t>Initial proposal increased by $30,000 for NSS consumables.</w:t>
      </w:r>
    </w:p>
    <w:p w:rsidR="00C44501" w:rsidRPr="00F05829" w:rsidRDefault="00C44501" w:rsidP="00C44501">
      <w:pPr>
        <w:jc w:val="both"/>
        <w:rPr>
          <w:rFonts w:ascii="Arial" w:hAnsi="Arial"/>
          <w:color w:val="auto"/>
          <w:sz w:val="18"/>
          <w:szCs w:val="18"/>
        </w:rPr>
      </w:pPr>
    </w:p>
    <w:p w:rsidR="00C44501" w:rsidRPr="00F05829" w:rsidRDefault="00C44501" w:rsidP="00C44501">
      <w:pPr>
        <w:jc w:val="both"/>
        <w:rPr>
          <w:rFonts w:ascii="Arial" w:hAnsi="Arial"/>
          <w:b/>
          <w:color w:val="auto"/>
          <w:sz w:val="22"/>
        </w:rPr>
      </w:pPr>
    </w:p>
    <w:p w:rsidR="00C44501" w:rsidRPr="00F05829" w:rsidRDefault="00C44501" w:rsidP="00C44501">
      <w:pPr>
        <w:jc w:val="both"/>
        <w:rPr>
          <w:rFonts w:ascii="Arial" w:hAnsi="Arial"/>
          <w:b/>
          <w:color w:val="auto"/>
          <w:sz w:val="22"/>
        </w:rPr>
      </w:pPr>
      <w:r w:rsidRPr="00F05829">
        <w:rPr>
          <w:rFonts w:ascii="Arial" w:hAnsi="Arial"/>
          <w:b/>
          <w:color w:val="auto"/>
          <w:sz w:val="22"/>
        </w:rPr>
        <w:br w:type="page"/>
      </w:r>
      <w:r w:rsidRPr="00F05829">
        <w:rPr>
          <w:rFonts w:ascii="Arial" w:hAnsi="Arial"/>
          <w:b/>
          <w:color w:val="auto"/>
          <w:sz w:val="22"/>
        </w:rPr>
        <w:lastRenderedPageBreak/>
        <w:t>Annex 2: Indicative activities to be considered for the first phase of the partnership</w:t>
      </w:r>
    </w:p>
    <w:p w:rsidR="00C44501" w:rsidRPr="00F05829" w:rsidRDefault="00C44501" w:rsidP="00C44501">
      <w:pPr>
        <w:jc w:val="both"/>
        <w:rPr>
          <w:rFonts w:ascii="Arial" w:hAnsi="Arial"/>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1"/>
        <w:gridCol w:w="1674"/>
        <w:gridCol w:w="3301"/>
        <w:gridCol w:w="1446"/>
        <w:gridCol w:w="1288"/>
      </w:tblGrid>
      <w:tr w:rsidR="00C44501" w:rsidRPr="00F05829" w:rsidTr="00E26ADF">
        <w:tc>
          <w:tcPr>
            <w:tcW w:w="14174" w:type="dxa"/>
            <w:gridSpan w:val="5"/>
            <w:tcBorders>
              <w:bottom w:val="single" w:sz="4" w:space="0" w:color="auto"/>
            </w:tcBorders>
          </w:tcPr>
          <w:p w:rsidR="00C44501" w:rsidRPr="00F05829" w:rsidRDefault="00C44501" w:rsidP="00E26ADF">
            <w:pPr>
              <w:rPr>
                <w:color w:val="auto"/>
              </w:rPr>
            </w:pPr>
            <w:r w:rsidRPr="00F05829">
              <w:rPr>
                <w:rFonts w:ascii="Arial" w:hAnsi="Arial" w:cs="Arial"/>
                <w:b/>
                <w:color w:val="auto"/>
              </w:rPr>
              <w:t>Activities for First Phase of Partnership 2010-2011</w:t>
            </w:r>
          </w:p>
        </w:tc>
      </w:tr>
      <w:tr w:rsidR="00C44501" w:rsidRPr="00F05829" w:rsidTr="00E26ADF">
        <w:tc>
          <w:tcPr>
            <w:tcW w:w="1908" w:type="dxa"/>
            <w:shd w:val="clear" w:color="auto" w:fill="E0E0E0"/>
          </w:tcPr>
          <w:p w:rsidR="00C44501" w:rsidRPr="00F05829" w:rsidRDefault="00C44501" w:rsidP="00E26ADF">
            <w:pPr>
              <w:rPr>
                <w:color w:val="auto"/>
              </w:rPr>
            </w:pPr>
            <w:r w:rsidRPr="00F05829">
              <w:rPr>
                <w:rFonts w:ascii="Arial" w:hAnsi="Arial" w:cs="Arial"/>
                <w:b/>
                <w:color w:val="auto"/>
                <w:sz w:val="22"/>
                <w:szCs w:val="22"/>
              </w:rPr>
              <w:t>Nauru-Australia Partnership Objectives</w:t>
            </w:r>
          </w:p>
        </w:tc>
        <w:tc>
          <w:tcPr>
            <w:tcW w:w="1980" w:type="dxa"/>
            <w:shd w:val="clear" w:color="auto" w:fill="E0E0E0"/>
          </w:tcPr>
          <w:p w:rsidR="00C44501" w:rsidRPr="00F05829" w:rsidRDefault="00C44501" w:rsidP="00E26ADF">
            <w:pPr>
              <w:rPr>
                <w:rFonts w:ascii="Arial" w:hAnsi="Arial" w:cs="Arial"/>
                <w:b/>
                <w:color w:val="auto"/>
              </w:rPr>
            </w:pPr>
            <w:r w:rsidRPr="00F05829">
              <w:rPr>
                <w:rFonts w:ascii="Arial" w:hAnsi="Arial" w:cs="Arial"/>
                <w:b/>
                <w:color w:val="auto"/>
                <w:sz w:val="22"/>
                <w:szCs w:val="22"/>
              </w:rPr>
              <w:t>Partnership</w:t>
            </w:r>
          </w:p>
          <w:p w:rsidR="00C44501" w:rsidRPr="00F05829" w:rsidRDefault="00C44501" w:rsidP="00E26ADF">
            <w:pPr>
              <w:rPr>
                <w:rFonts w:ascii="Arial" w:hAnsi="Arial" w:cs="Arial"/>
                <w:b/>
                <w:color w:val="auto"/>
              </w:rPr>
            </w:pPr>
            <w:r w:rsidRPr="00F05829">
              <w:rPr>
                <w:rFonts w:ascii="Arial" w:hAnsi="Arial" w:cs="Arial"/>
                <w:b/>
                <w:color w:val="auto"/>
                <w:sz w:val="22"/>
                <w:szCs w:val="22"/>
              </w:rPr>
              <w:t>Focus Areas</w:t>
            </w:r>
          </w:p>
          <w:p w:rsidR="00C44501" w:rsidRPr="00F05829" w:rsidRDefault="00C44501" w:rsidP="00E26ADF">
            <w:pPr>
              <w:rPr>
                <w:rFonts w:ascii="Arial" w:hAnsi="Arial" w:cs="Arial"/>
                <w:color w:val="auto"/>
              </w:rPr>
            </w:pPr>
          </w:p>
          <w:p w:rsidR="00C44501" w:rsidRPr="00F05829" w:rsidRDefault="00C44501" w:rsidP="00E26ADF">
            <w:pPr>
              <w:rPr>
                <w:color w:val="auto"/>
              </w:rPr>
            </w:pPr>
            <w:r w:rsidRPr="00F05829">
              <w:rPr>
                <w:rFonts w:ascii="Arial" w:hAnsi="Arial" w:cs="Arial"/>
                <w:b/>
                <w:color w:val="auto"/>
                <w:sz w:val="22"/>
                <w:szCs w:val="22"/>
              </w:rPr>
              <w:t>2010-2011</w:t>
            </w:r>
          </w:p>
        </w:tc>
        <w:tc>
          <w:tcPr>
            <w:tcW w:w="7020" w:type="dxa"/>
            <w:shd w:val="clear" w:color="auto" w:fill="E0E0E0"/>
          </w:tcPr>
          <w:p w:rsidR="00C44501" w:rsidRPr="00F05829" w:rsidRDefault="00C44501" w:rsidP="00E26ADF">
            <w:pPr>
              <w:rPr>
                <w:rFonts w:ascii="Arial" w:hAnsi="Arial" w:cs="Arial"/>
                <w:b/>
                <w:color w:val="auto"/>
              </w:rPr>
            </w:pPr>
            <w:r w:rsidRPr="00F05829">
              <w:rPr>
                <w:rFonts w:ascii="Arial" w:hAnsi="Arial" w:cs="Arial"/>
                <w:b/>
                <w:color w:val="auto"/>
              </w:rPr>
              <w:t xml:space="preserve"> Activities for First Phase of Partnership 2010-2011</w:t>
            </w:r>
          </w:p>
          <w:p w:rsidR="00C44501" w:rsidRPr="00F05829" w:rsidRDefault="00C44501" w:rsidP="00E26ADF">
            <w:pPr>
              <w:jc w:val="center"/>
              <w:rPr>
                <w:rFonts w:ascii="Arial" w:hAnsi="Arial" w:cs="Arial"/>
                <w:color w:val="auto"/>
              </w:rPr>
            </w:pPr>
          </w:p>
          <w:p w:rsidR="00C44501" w:rsidRPr="00F05829" w:rsidRDefault="00C44501" w:rsidP="00E26ADF">
            <w:pPr>
              <w:jc w:val="center"/>
              <w:rPr>
                <w:rFonts w:ascii="Arial" w:hAnsi="Arial" w:cs="Arial"/>
                <w:b/>
                <w:color w:val="auto"/>
                <w:sz w:val="18"/>
                <w:szCs w:val="18"/>
              </w:rPr>
            </w:pPr>
            <w:r w:rsidRPr="00F05829">
              <w:rPr>
                <w:rFonts w:ascii="Arial" w:hAnsi="Arial" w:cs="Arial"/>
                <w:b/>
                <w:color w:val="auto"/>
                <w:sz w:val="18"/>
                <w:szCs w:val="18"/>
              </w:rPr>
              <w:t>2010 - 2011      GoN/NZAID Work Plan  2008-11    +  Complementary AusAID-funded activities</w:t>
            </w:r>
          </w:p>
          <w:p w:rsidR="00C44501" w:rsidRPr="00F05829" w:rsidRDefault="00C44501" w:rsidP="00E26ADF">
            <w:pPr>
              <w:jc w:val="cente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t xml:space="preserve">    2011- 2013       Pooled Funding Model (NZ/Aus/GoN) to be discussed at joint meeting.</w:t>
            </w:r>
          </w:p>
          <w:p w:rsidR="00C44501" w:rsidRPr="00F05829" w:rsidRDefault="00C44501" w:rsidP="00E26ADF">
            <w:pPr>
              <w:rPr>
                <w:color w:val="auto"/>
              </w:rPr>
            </w:pPr>
          </w:p>
        </w:tc>
        <w:tc>
          <w:tcPr>
            <w:tcW w:w="1800" w:type="dxa"/>
            <w:shd w:val="clear" w:color="auto" w:fill="E0E0E0"/>
          </w:tcPr>
          <w:p w:rsidR="00C44501" w:rsidRPr="00F05829" w:rsidRDefault="00C44501" w:rsidP="00E26ADF">
            <w:pPr>
              <w:rPr>
                <w:color w:val="auto"/>
              </w:rPr>
            </w:pPr>
            <w:r w:rsidRPr="00F05829">
              <w:rPr>
                <w:rFonts w:ascii="Arial" w:hAnsi="Arial" w:cs="Arial"/>
                <w:b/>
                <w:color w:val="auto"/>
                <w:sz w:val="22"/>
                <w:szCs w:val="22"/>
              </w:rPr>
              <w:t>Link to Footpath II</w:t>
            </w:r>
          </w:p>
        </w:tc>
        <w:tc>
          <w:tcPr>
            <w:tcW w:w="1466" w:type="dxa"/>
            <w:shd w:val="clear" w:color="auto" w:fill="E0E0E0"/>
          </w:tcPr>
          <w:p w:rsidR="00C44501" w:rsidRPr="00F05829" w:rsidRDefault="00C44501" w:rsidP="00E26ADF">
            <w:pPr>
              <w:rPr>
                <w:color w:val="auto"/>
              </w:rPr>
            </w:pPr>
            <w:r w:rsidRPr="00F05829">
              <w:rPr>
                <w:rFonts w:ascii="Arial" w:hAnsi="Arial" w:cs="Arial"/>
                <w:b/>
                <w:color w:val="auto"/>
                <w:sz w:val="22"/>
                <w:szCs w:val="22"/>
              </w:rPr>
              <w:t>Projected costing</w:t>
            </w:r>
          </w:p>
        </w:tc>
      </w:tr>
      <w:tr w:rsidR="00C44501" w:rsidRPr="00F05829" w:rsidTr="00E26ADF">
        <w:trPr>
          <w:trHeight w:val="3101"/>
        </w:trPr>
        <w:tc>
          <w:tcPr>
            <w:tcW w:w="1908" w:type="dxa"/>
          </w:tcPr>
          <w:p w:rsidR="00C44501" w:rsidRPr="00F05829" w:rsidRDefault="00C44501" w:rsidP="00E26ADF">
            <w:pPr>
              <w:rPr>
                <w:color w:val="auto"/>
              </w:rPr>
            </w:pPr>
            <w:r w:rsidRPr="00F05829">
              <w:rPr>
                <w:rFonts w:ascii="Arial" w:hAnsi="Arial" w:cs="Arial"/>
                <w:b/>
                <w:color w:val="auto"/>
                <w:sz w:val="18"/>
                <w:szCs w:val="18"/>
              </w:rPr>
              <w:t>Improving Quality and Numbers of Teaching Staff</w:t>
            </w:r>
          </w:p>
        </w:tc>
        <w:tc>
          <w:tcPr>
            <w:tcW w:w="1980" w:type="dxa"/>
          </w:tcPr>
          <w:p w:rsidR="00C44501" w:rsidRPr="00F05829" w:rsidRDefault="00C44501" w:rsidP="00E26ADF">
            <w:pPr>
              <w:rPr>
                <w:color w:val="auto"/>
              </w:rPr>
            </w:pPr>
            <w:r w:rsidRPr="00F05829">
              <w:rPr>
                <w:rFonts w:ascii="Arial" w:hAnsi="Arial" w:cs="Arial"/>
                <w:b/>
                <w:color w:val="auto"/>
                <w:sz w:val="18"/>
                <w:szCs w:val="18"/>
              </w:rPr>
              <w:t>Teacher Quality and quantity</w:t>
            </w:r>
          </w:p>
        </w:tc>
        <w:tc>
          <w:tcPr>
            <w:tcW w:w="7020" w:type="dxa"/>
          </w:tcPr>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t>Support the consolidation of the new Nauru teacher upgrading programme through:</w:t>
            </w:r>
          </w:p>
          <w:p w:rsidR="00C44501" w:rsidRPr="00F05829" w:rsidRDefault="00C44501" w:rsidP="00E26ADF">
            <w:pPr>
              <w:rPr>
                <w:rFonts w:ascii="Arial" w:hAnsi="Arial" w:cs="Arial"/>
                <w:color w:val="auto"/>
                <w:sz w:val="18"/>
                <w:szCs w:val="18"/>
              </w:rPr>
            </w:pPr>
          </w:p>
          <w:p w:rsidR="00C44501" w:rsidRPr="00F05829" w:rsidRDefault="00C44501" w:rsidP="00E26ADF">
            <w:pPr>
              <w:ind w:left="72"/>
              <w:rPr>
                <w:rFonts w:ascii="Arial" w:hAnsi="Arial" w:cs="Arial"/>
                <w:color w:val="auto"/>
                <w:sz w:val="18"/>
                <w:szCs w:val="18"/>
              </w:rPr>
            </w:pPr>
            <w:r w:rsidRPr="00F05829">
              <w:rPr>
                <w:rFonts w:ascii="Arial" w:hAnsi="Arial" w:cs="Arial"/>
                <w:color w:val="auto"/>
                <w:sz w:val="18"/>
                <w:szCs w:val="18"/>
              </w:rPr>
              <w:t>Facilitating pathways for present Certificate IV pre-service trainees to higher regional qualifications (diplomas, degrees)  with a focus on training key secondary subjects-Maths/ Science/ English/Social Science.</w:t>
            </w:r>
          </w:p>
          <w:p w:rsidR="00C44501" w:rsidRPr="00F05829" w:rsidRDefault="00C44501" w:rsidP="00E26ADF">
            <w:pPr>
              <w:tabs>
                <w:tab w:val="num" w:pos="72"/>
              </w:tabs>
              <w:ind w:left="72"/>
              <w:rPr>
                <w:rFonts w:ascii="Arial" w:hAnsi="Arial" w:cs="Arial"/>
                <w:color w:val="auto"/>
                <w:sz w:val="18"/>
                <w:szCs w:val="18"/>
              </w:rPr>
            </w:pPr>
          </w:p>
          <w:p w:rsidR="00C44501" w:rsidRPr="00F05829" w:rsidRDefault="00C44501" w:rsidP="00E26ADF">
            <w:pPr>
              <w:tabs>
                <w:tab w:val="num" w:pos="72"/>
              </w:tabs>
              <w:ind w:left="72"/>
              <w:rPr>
                <w:rFonts w:ascii="Arial" w:hAnsi="Arial" w:cs="Arial"/>
                <w:color w:val="auto"/>
                <w:sz w:val="18"/>
                <w:szCs w:val="18"/>
              </w:rPr>
            </w:pPr>
          </w:p>
          <w:p w:rsidR="00C44501" w:rsidRPr="00F05829" w:rsidRDefault="00C44501" w:rsidP="00E26ADF">
            <w:pPr>
              <w:tabs>
                <w:tab w:val="num" w:pos="72"/>
              </w:tabs>
              <w:ind w:left="72"/>
              <w:rPr>
                <w:rFonts w:ascii="Arial" w:hAnsi="Arial" w:cs="Arial"/>
                <w:color w:val="auto"/>
                <w:sz w:val="18"/>
                <w:szCs w:val="18"/>
              </w:rPr>
            </w:pPr>
          </w:p>
          <w:p w:rsidR="00C44501" w:rsidRPr="00F05829" w:rsidRDefault="00C44501" w:rsidP="00E26ADF">
            <w:pPr>
              <w:tabs>
                <w:tab w:val="num" w:pos="72"/>
              </w:tabs>
              <w:ind w:left="72"/>
              <w:rPr>
                <w:rFonts w:ascii="Arial" w:hAnsi="Arial" w:cs="Arial"/>
                <w:color w:val="auto"/>
                <w:sz w:val="18"/>
                <w:szCs w:val="18"/>
              </w:rPr>
            </w:pPr>
            <w:r w:rsidRPr="00F05829">
              <w:rPr>
                <w:rFonts w:ascii="Arial" w:hAnsi="Arial" w:cs="Arial"/>
                <w:color w:val="auto"/>
                <w:sz w:val="18"/>
                <w:szCs w:val="18"/>
              </w:rPr>
              <w:t xml:space="preserve">Facilitating new cohorts of Certificate trainees (indicative start dates 2012 and 2014) to meet projected workforce requirements. </w:t>
            </w:r>
          </w:p>
          <w:p w:rsidR="00C44501" w:rsidRPr="00F05829" w:rsidRDefault="00C44501" w:rsidP="00E26ADF">
            <w:pPr>
              <w:tabs>
                <w:tab w:val="num" w:pos="72"/>
              </w:tabs>
              <w:ind w:left="72"/>
              <w:rPr>
                <w:rFonts w:ascii="Arial" w:hAnsi="Arial" w:cs="Arial"/>
                <w:color w:val="auto"/>
                <w:sz w:val="18"/>
                <w:szCs w:val="18"/>
              </w:rPr>
            </w:pPr>
          </w:p>
          <w:p w:rsidR="00C44501" w:rsidRPr="00F05829" w:rsidRDefault="00C44501" w:rsidP="00E26ADF">
            <w:pPr>
              <w:tabs>
                <w:tab w:val="num" w:pos="72"/>
              </w:tabs>
              <w:ind w:left="72"/>
              <w:rPr>
                <w:rFonts w:ascii="Arial" w:hAnsi="Arial" w:cs="Arial"/>
                <w:color w:val="auto"/>
                <w:sz w:val="18"/>
                <w:szCs w:val="18"/>
              </w:rPr>
            </w:pPr>
          </w:p>
          <w:p w:rsidR="00C44501" w:rsidRPr="00F05829" w:rsidRDefault="00C44501" w:rsidP="00E26ADF">
            <w:pPr>
              <w:tabs>
                <w:tab w:val="num" w:pos="72"/>
              </w:tabs>
              <w:ind w:left="72"/>
              <w:rPr>
                <w:rFonts w:ascii="Arial" w:hAnsi="Arial" w:cs="Arial"/>
                <w:b/>
                <w:color w:val="auto"/>
                <w:sz w:val="18"/>
                <w:szCs w:val="18"/>
              </w:rPr>
            </w:pPr>
            <w:r w:rsidRPr="00F05829">
              <w:rPr>
                <w:rFonts w:ascii="Arial" w:hAnsi="Arial" w:cs="Arial"/>
                <w:b/>
                <w:color w:val="auto"/>
                <w:sz w:val="18"/>
                <w:szCs w:val="18"/>
              </w:rPr>
              <w:t xml:space="preserve">Support the development of school-based professional development for teachers through: </w:t>
            </w:r>
          </w:p>
          <w:p w:rsidR="00C44501" w:rsidRPr="00F05829" w:rsidRDefault="00C44501" w:rsidP="00E26ADF">
            <w:pPr>
              <w:tabs>
                <w:tab w:val="num" w:pos="72"/>
              </w:tabs>
              <w:ind w:left="72"/>
              <w:rPr>
                <w:rFonts w:ascii="Arial" w:hAnsi="Arial" w:cs="Arial"/>
                <w:color w:val="auto"/>
                <w:sz w:val="18"/>
                <w:szCs w:val="18"/>
              </w:rPr>
            </w:pPr>
          </w:p>
          <w:p w:rsidR="00C44501" w:rsidRPr="00F05829" w:rsidRDefault="00C44501" w:rsidP="00E26ADF">
            <w:pPr>
              <w:ind w:left="72"/>
              <w:rPr>
                <w:rFonts w:ascii="Arial" w:hAnsi="Arial" w:cs="Arial"/>
                <w:color w:val="auto"/>
                <w:sz w:val="18"/>
                <w:szCs w:val="18"/>
              </w:rPr>
            </w:pPr>
            <w:r w:rsidRPr="00F05829">
              <w:rPr>
                <w:rFonts w:ascii="Arial" w:hAnsi="Arial" w:cs="Arial"/>
                <w:color w:val="auto"/>
                <w:sz w:val="18"/>
                <w:szCs w:val="18"/>
              </w:rPr>
              <w:t xml:space="preserve">Developing </w:t>
            </w:r>
            <w:r>
              <w:rPr>
                <w:rFonts w:ascii="Arial" w:hAnsi="Arial" w:cs="Arial"/>
                <w:color w:val="auto"/>
                <w:sz w:val="18"/>
                <w:szCs w:val="18"/>
              </w:rPr>
              <w:t>DET</w:t>
            </w:r>
            <w:r w:rsidRPr="00F05829">
              <w:rPr>
                <w:rFonts w:ascii="Arial" w:hAnsi="Arial" w:cs="Arial"/>
                <w:color w:val="auto"/>
                <w:sz w:val="18"/>
                <w:szCs w:val="18"/>
              </w:rPr>
              <w:t xml:space="preserve"> capacity to provide systematic school-based professional support and performance appraisal for all teachers. There will be specific support and training in areas of literacy and numeracy, behaviour management and authentic assessment practices.  CASE staff will be provided with training and capacity building in these areas which complement current areas in which they provide professional support to teachers. Support will also be focussed on improving current appraisal processes in schools (along with policy, reporting, and intervention) through capacity building and training for appraisal staff. This will be linked directly to MSS.</w:t>
            </w:r>
          </w:p>
          <w:p w:rsidR="00C44501" w:rsidRPr="00F05829" w:rsidRDefault="00C44501" w:rsidP="00E26ADF">
            <w:pPr>
              <w:tabs>
                <w:tab w:val="num" w:pos="72"/>
              </w:tabs>
              <w:ind w:left="72"/>
              <w:rPr>
                <w:rFonts w:ascii="Arial" w:hAnsi="Arial" w:cs="Arial"/>
                <w:color w:val="auto"/>
                <w:sz w:val="18"/>
                <w:szCs w:val="18"/>
              </w:rPr>
            </w:pPr>
          </w:p>
          <w:p w:rsidR="00C44501" w:rsidRPr="00F05829" w:rsidRDefault="00C44501" w:rsidP="00E26ADF">
            <w:pPr>
              <w:tabs>
                <w:tab w:val="num" w:pos="72"/>
              </w:tabs>
              <w:ind w:left="72"/>
              <w:rPr>
                <w:rFonts w:ascii="Arial" w:hAnsi="Arial" w:cs="Arial"/>
                <w:color w:val="auto"/>
                <w:sz w:val="18"/>
                <w:szCs w:val="18"/>
              </w:rPr>
            </w:pPr>
          </w:p>
          <w:p w:rsidR="00C44501" w:rsidRPr="00F05829" w:rsidRDefault="00C44501" w:rsidP="00E26ADF">
            <w:pPr>
              <w:tabs>
                <w:tab w:val="num" w:pos="72"/>
              </w:tabs>
              <w:ind w:left="72"/>
              <w:rPr>
                <w:rFonts w:ascii="Arial" w:hAnsi="Arial" w:cs="Arial"/>
                <w:color w:val="auto"/>
                <w:sz w:val="18"/>
                <w:szCs w:val="18"/>
              </w:rPr>
            </w:pPr>
          </w:p>
          <w:p w:rsidR="00C44501" w:rsidRPr="00F05829" w:rsidRDefault="00C44501" w:rsidP="00E26ADF">
            <w:pPr>
              <w:tabs>
                <w:tab w:val="left" w:pos="223"/>
              </w:tabs>
              <w:rPr>
                <w:rFonts w:ascii="Arial" w:hAnsi="Arial" w:cs="Arial"/>
                <w:i/>
                <w:color w:val="auto"/>
                <w:sz w:val="18"/>
                <w:szCs w:val="18"/>
              </w:rPr>
            </w:pPr>
            <w:r w:rsidRPr="00F05829">
              <w:rPr>
                <w:rFonts w:ascii="Arial" w:hAnsi="Arial" w:cs="Arial"/>
                <w:i/>
                <w:color w:val="auto"/>
                <w:sz w:val="18"/>
                <w:szCs w:val="18"/>
              </w:rPr>
              <w:t xml:space="preserve">Implementing a second-phase primary school principal leadership programme to consolidate initial course work undertaken by Principals </w:t>
            </w:r>
            <w:r w:rsidRPr="00F05829">
              <w:rPr>
                <w:rFonts w:ascii="Arial" w:hAnsi="Arial" w:cs="Arial"/>
                <w:i/>
                <w:color w:val="auto"/>
                <w:sz w:val="18"/>
                <w:szCs w:val="18"/>
              </w:rPr>
              <w:lastRenderedPageBreak/>
              <w:t>and provide a practical based mentoring programme to enhance leadership capacity within schools. Submitted as an NPP</w:t>
            </w:r>
          </w:p>
          <w:p w:rsidR="00C44501" w:rsidRPr="00F05829" w:rsidRDefault="00C44501" w:rsidP="00E26ADF">
            <w:pPr>
              <w:tabs>
                <w:tab w:val="num" w:pos="72"/>
              </w:tabs>
              <w:ind w:left="72"/>
              <w:rPr>
                <w:rFonts w:ascii="Arial" w:hAnsi="Arial" w:cs="Arial"/>
                <w:color w:val="auto"/>
                <w:sz w:val="18"/>
                <w:szCs w:val="18"/>
              </w:rPr>
            </w:pPr>
          </w:p>
          <w:p w:rsidR="00C44501" w:rsidRPr="00F05829" w:rsidRDefault="00C44501" w:rsidP="00E26ADF">
            <w:pPr>
              <w:tabs>
                <w:tab w:val="num" w:pos="72"/>
              </w:tabs>
              <w:ind w:left="72"/>
              <w:rPr>
                <w:rFonts w:ascii="Arial" w:hAnsi="Arial" w:cs="Arial"/>
                <w:color w:val="auto"/>
                <w:sz w:val="18"/>
                <w:szCs w:val="18"/>
              </w:rPr>
            </w:pPr>
          </w:p>
          <w:p w:rsidR="00C44501" w:rsidRPr="00F05829" w:rsidRDefault="00C44501" w:rsidP="00E26ADF">
            <w:pPr>
              <w:tabs>
                <w:tab w:val="num" w:pos="72"/>
              </w:tabs>
              <w:ind w:left="72"/>
              <w:rPr>
                <w:rFonts w:ascii="Arial" w:hAnsi="Arial" w:cs="Arial"/>
                <w:color w:val="auto"/>
                <w:sz w:val="18"/>
                <w:szCs w:val="18"/>
              </w:rPr>
            </w:pPr>
          </w:p>
          <w:p w:rsidR="00C44501" w:rsidRPr="00F05829" w:rsidRDefault="00C44501" w:rsidP="00E26ADF">
            <w:pPr>
              <w:ind w:left="72"/>
              <w:rPr>
                <w:rFonts w:ascii="Arial" w:hAnsi="Arial" w:cs="Arial"/>
                <w:color w:val="auto"/>
                <w:sz w:val="18"/>
                <w:szCs w:val="18"/>
              </w:rPr>
            </w:pPr>
            <w:r w:rsidRPr="00F05829">
              <w:rPr>
                <w:rFonts w:ascii="Arial" w:hAnsi="Arial" w:cs="Arial"/>
                <w:color w:val="auto"/>
                <w:sz w:val="18"/>
                <w:szCs w:val="18"/>
              </w:rPr>
              <w:t>Exploring incentives (financial and/or non-financial) to improve motivation and performance in schools (Undertake a review of salary scaling  to more accurately  reflect  qualification along with consideration of performance indicators  linked to student outcomes).</w:t>
            </w:r>
          </w:p>
          <w:p w:rsidR="00C44501" w:rsidRPr="00F05829" w:rsidRDefault="00C44501" w:rsidP="00E26ADF">
            <w:pPr>
              <w:ind w:left="72"/>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color w:val="auto"/>
              </w:rPr>
            </w:pPr>
          </w:p>
        </w:tc>
        <w:tc>
          <w:tcPr>
            <w:tcW w:w="1800" w:type="dxa"/>
          </w:tcPr>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teachers 3.3</w:t>
            </w: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10 students for secondary teacher qualifications</w:t>
            </w: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teachers  1.3</w:t>
            </w: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20 students</w:t>
            </w:r>
          </w:p>
          <w:p w:rsidR="00C44501" w:rsidRPr="00F05829" w:rsidRDefault="00C44501" w:rsidP="00E26ADF">
            <w:pPr>
              <w:rPr>
                <w:color w:val="auto"/>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accountability 6.1</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i/>
                <w:color w:val="auto"/>
                <w:sz w:val="18"/>
                <w:szCs w:val="18"/>
              </w:rPr>
            </w:pPr>
          </w:p>
          <w:p w:rsidR="00C44501" w:rsidRPr="00F05829" w:rsidRDefault="00C44501" w:rsidP="00E26ADF">
            <w:pPr>
              <w:rPr>
                <w:rFonts w:ascii="Arial" w:hAnsi="Arial" w:cs="Arial"/>
                <w:i/>
                <w:color w:val="auto"/>
                <w:sz w:val="18"/>
                <w:szCs w:val="18"/>
              </w:rPr>
            </w:pPr>
            <w:r w:rsidRPr="00F05829">
              <w:rPr>
                <w:rFonts w:ascii="Arial" w:hAnsi="Arial" w:cs="Arial"/>
                <w:i/>
                <w:color w:val="auto"/>
                <w:sz w:val="18"/>
                <w:szCs w:val="18"/>
              </w:rPr>
              <w:t>Our education system 3.4</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t>Sub total</w:t>
            </w:r>
          </w:p>
        </w:tc>
        <w:tc>
          <w:tcPr>
            <w:tcW w:w="1466" w:type="dxa"/>
          </w:tcPr>
          <w:p w:rsidR="00C44501" w:rsidRPr="00F05829" w:rsidRDefault="00C44501" w:rsidP="00E26ADF">
            <w:pPr>
              <w:rPr>
                <w:color w:val="auto"/>
                <w:sz w:val="18"/>
                <w:szCs w:val="18"/>
              </w:rPr>
            </w:pPr>
          </w:p>
          <w:p w:rsidR="00C44501" w:rsidRPr="00F05829" w:rsidRDefault="00C44501" w:rsidP="00E26ADF">
            <w:pPr>
              <w:rPr>
                <w:color w:val="auto"/>
                <w:sz w:val="18"/>
                <w:szCs w:val="18"/>
              </w:rPr>
            </w:pPr>
          </w:p>
          <w:p w:rsidR="00C44501" w:rsidRPr="00F05829" w:rsidRDefault="00C44501" w:rsidP="00E26ADF">
            <w:pPr>
              <w:rPr>
                <w:color w:val="auto"/>
                <w:sz w:val="18"/>
                <w:szCs w:val="18"/>
              </w:rPr>
            </w:pPr>
          </w:p>
          <w:p w:rsidR="00C44501" w:rsidRPr="00F05829" w:rsidRDefault="00C44501" w:rsidP="00E26ADF">
            <w:pPr>
              <w:rPr>
                <w:color w:val="auto"/>
                <w:sz w:val="18"/>
                <w:szCs w:val="18"/>
              </w:rPr>
            </w:pPr>
          </w:p>
          <w:p w:rsidR="00C44501" w:rsidRPr="00F05829" w:rsidRDefault="00C44501" w:rsidP="00E26ADF">
            <w:pPr>
              <w:rPr>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xml:space="preserve">$110 000 </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xml:space="preserve">$ 16 680 </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$ 40 000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i/>
                <w:color w:val="auto"/>
                <w:sz w:val="18"/>
                <w:szCs w:val="18"/>
              </w:rPr>
            </w:pPr>
          </w:p>
          <w:p w:rsidR="00C44501" w:rsidRPr="00F05829" w:rsidRDefault="00C44501" w:rsidP="00E26ADF">
            <w:pPr>
              <w:rPr>
                <w:rFonts w:ascii="Arial" w:hAnsi="Arial" w:cs="Arial"/>
                <w:i/>
                <w:color w:val="auto"/>
                <w:sz w:val="18"/>
                <w:szCs w:val="18"/>
              </w:rPr>
            </w:pPr>
            <w:r w:rsidRPr="00F05829">
              <w:rPr>
                <w:rFonts w:ascii="Arial" w:hAnsi="Arial" w:cs="Arial"/>
                <w:i/>
                <w:color w:val="auto"/>
                <w:sz w:val="18"/>
                <w:szCs w:val="18"/>
              </w:rPr>
              <w:t>$ 85 900</w:t>
            </w:r>
          </w:p>
          <w:p w:rsidR="00C44501" w:rsidRPr="00F05829" w:rsidRDefault="00C44501" w:rsidP="00E26ADF">
            <w:pPr>
              <w:rPr>
                <w:color w:val="auto"/>
                <w:sz w:val="18"/>
                <w:szCs w:val="18"/>
              </w:rPr>
            </w:pPr>
          </w:p>
          <w:p w:rsidR="00C44501" w:rsidRPr="00F05829" w:rsidRDefault="00C44501" w:rsidP="00E26ADF">
            <w:pPr>
              <w:rPr>
                <w:color w:val="auto"/>
                <w:sz w:val="18"/>
                <w:szCs w:val="18"/>
              </w:rPr>
            </w:pPr>
          </w:p>
          <w:p w:rsidR="00C44501" w:rsidRPr="00F05829" w:rsidRDefault="00C44501" w:rsidP="00E26ADF">
            <w:pPr>
              <w:rPr>
                <w:color w:val="auto"/>
                <w:sz w:val="18"/>
                <w:szCs w:val="18"/>
              </w:rPr>
            </w:pPr>
          </w:p>
          <w:p w:rsidR="00C44501" w:rsidRPr="00F05829" w:rsidRDefault="00C44501" w:rsidP="00E26ADF">
            <w:pPr>
              <w:rPr>
                <w:color w:val="auto"/>
                <w:sz w:val="18"/>
                <w:szCs w:val="18"/>
              </w:rPr>
            </w:pPr>
          </w:p>
          <w:p w:rsidR="00C44501" w:rsidRPr="00F05829" w:rsidRDefault="00C44501" w:rsidP="00E26ADF">
            <w:pPr>
              <w:rPr>
                <w:color w:val="auto"/>
                <w:sz w:val="18"/>
                <w:szCs w:val="18"/>
              </w:rPr>
            </w:pPr>
          </w:p>
          <w:p w:rsidR="00C44501" w:rsidRPr="00F05829" w:rsidRDefault="00C44501" w:rsidP="00E26ADF">
            <w:pPr>
              <w:rPr>
                <w:color w:val="auto"/>
                <w:sz w:val="18"/>
                <w:szCs w:val="18"/>
              </w:rPr>
            </w:pPr>
          </w:p>
          <w:p w:rsidR="00C44501" w:rsidRDefault="00C44501" w:rsidP="00E26ADF">
            <w:pPr>
              <w:rPr>
                <w:color w:val="auto"/>
                <w:sz w:val="18"/>
                <w:szCs w:val="18"/>
              </w:rPr>
            </w:pPr>
          </w:p>
          <w:p w:rsidR="00C44501" w:rsidRDefault="00C44501" w:rsidP="00E26ADF">
            <w:pPr>
              <w:rPr>
                <w:color w:val="auto"/>
                <w:sz w:val="18"/>
                <w:szCs w:val="18"/>
              </w:rPr>
            </w:pPr>
          </w:p>
          <w:p w:rsidR="00C44501" w:rsidRPr="00F05829" w:rsidRDefault="00C44501" w:rsidP="00E26ADF">
            <w:pPr>
              <w:rPr>
                <w:color w:val="auto"/>
                <w:sz w:val="18"/>
                <w:szCs w:val="18"/>
              </w:rPr>
            </w:pPr>
          </w:p>
          <w:p w:rsidR="00C44501" w:rsidRPr="00F05829" w:rsidRDefault="00C44501" w:rsidP="00E26ADF">
            <w:pPr>
              <w:rPr>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$15 000</w:t>
            </w:r>
          </w:p>
          <w:p w:rsidR="00C44501" w:rsidRPr="00F05829" w:rsidRDefault="00C44501" w:rsidP="00E26ADF">
            <w:pPr>
              <w:rPr>
                <w:color w:val="auto"/>
                <w:sz w:val="18"/>
                <w:szCs w:val="18"/>
              </w:rPr>
            </w:pPr>
          </w:p>
          <w:p w:rsidR="00C44501" w:rsidRPr="00F05829" w:rsidRDefault="00C44501" w:rsidP="00E26ADF">
            <w:pPr>
              <w:rPr>
                <w:color w:val="auto"/>
                <w:sz w:val="18"/>
                <w:szCs w:val="18"/>
              </w:rPr>
            </w:pPr>
          </w:p>
          <w:p w:rsidR="00C44501" w:rsidRPr="00F05829" w:rsidRDefault="00C44501" w:rsidP="00E26ADF">
            <w:pPr>
              <w:rPr>
                <w:b/>
                <w:color w:val="auto"/>
                <w:sz w:val="18"/>
                <w:szCs w:val="18"/>
              </w:rPr>
            </w:pPr>
            <w:r w:rsidRPr="00F05829">
              <w:rPr>
                <w:b/>
                <w:color w:val="auto"/>
                <w:sz w:val="18"/>
                <w:szCs w:val="18"/>
              </w:rPr>
              <w:t>$ 181 680</w:t>
            </w:r>
          </w:p>
          <w:p w:rsidR="00C44501" w:rsidRPr="00F05829" w:rsidRDefault="00C44501" w:rsidP="00E26ADF">
            <w:pPr>
              <w:rPr>
                <w:color w:val="auto"/>
                <w:sz w:val="18"/>
                <w:szCs w:val="18"/>
              </w:rPr>
            </w:pPr>
          </w:p>
          <w:p w:rsidR="00C44501" w:rsidRPr="00F05829" w:rsidRDefault="00C44501" w:rsidP="00E26ADF">
            <w:pPr>
              <w:rPr>
                <w:color w:val="auto"/>
                <w:sz w:val="18"/>
                <w:szCs w:val="18"/>
              </w:rPr>
            </w:pPr>
          </w:p>
        </w:tc>
      </w:tr>
      <w:tr w:rsidR="00C44501" w:rsidRPr="00F05829" w:rsidTr="00E26ADF">
        <w:tc>
          <w:tcPr>
            <w:tcW w:w="1908" w:type="dxa"/>
          </w:tcPr>
          <w:p w:rsidR="00C44501" w:rsidRPr="00F05829" w:rsidRDefault="00C44501" w:rsidP="00E26ADF">
            <w:pPr>
              <w:rPr>
                <w:color w:val="auto"/>
              </w:rPr>
            </w:pPr>
            <w:r w:rsidRPr="00F05829">
              <w:rPr>
                <w:rFonts w:ascii="Arial" w:hAnsi="Arial" w:cs="Arial"/>
                <w:b/>
                <w:color w:val="auto"/>
                <w:sz w:val="18"/>
                <w:szCs w:val="18"/>
              </w:rPr>
              <w:lastRenderedPageBreak/>
              <w:t>Improving Quality of and Access to Primary and Secondary Education</w:t>
            </w:r>
          </w:p>
        </w:tc>
        <w:tc>
          <w:tcPr>
            <w:tcW w:w="1980" w:type="dxa"/>
          </w:tcPr>
          <w:p w:rsidR="00C44501" w:rsidRPr="00F05829" w:rsidRDefault="00C44501" w:rsidP="00E26ADF">
            <w:pPr>
              <w:ind w:left="34"/>
              <w:jc w:val="center"/>
              <w:rPr>
                <w:rFonts w:ascii="Arial" w:hAnsi="Arial" w:cs="Arial"/>
                <w:b/>
                <w:color w:val="auto"/>
                <w:sz w:val="18"/>
                <w:szCs w:val="18"/>
              </w:rPr>
            </w:pPr>
            <w:r w:rsidRPr="00F05829">
              <w:rPr>
                <w:rFonts w:ascii="Arial" w:hAnsi="Arial" w:cs="Arial"/>
                <w:b/>
                <w:color w:val="auto"/>
                <w:sz w:val="18"/>
                <w:szCs w:val="18"/>
              </w:rPr>
              <w:t>Curriculum Development</w:t>
            </w: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Default="00C44501" w:rsidP="00E26ADF">
            <w:pPr>
              <w:rPr>
                <w:color w:val="auto"/>
              </w:rPr>
            </w:pPr>
          </w:p>
          <w:p w:rsidR="00C44501" w:rsidRDefault="00C44501" w:rsidP="00E26ADF">
            <w:pPr>
              <w:rPr>
                <w:color w:val="auto"/>
              </w:rPr>
            </w:pPr>
          </w:p>
          <w:p w:rsidR="00C44501" w:rsidRDefault="00C44501" w:rsidP="00E26ADF">
            <w:pPr>
              <w:rPr>
                <w:color w:val="auto"/>
              </w:rPr>
            </w:pPr>
          </w:p>
          <w:p w:rsidR="00C44501" w:rsidRDefault="00C44501" w:rsidP="00E26ADF">
            <w:pPr>
              <w:rPr>
                <w:color w:val="auto"/>
              </w:rPr>
            </w:pPr>
          </w:p>
          <w:p w:rsidR="00C44501" w:rsidRDefault="00C44501" w:rsidP="00E26ADF">
            <w:pPr>
              <w:rPr>
                <w:color w:val="auto"/>
              </w:rPr>
            </w:pPr>
          </w:p>
          <w:p w:rsidR="00C44501"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ind w:left="34"/>
              <w:jc w:val="center"/>
              <w:rPr>
                <w:rFonts w:ascii="Arial" w:hAnsi="Arial" w:cs="Arial"/>
                <w:b/>
                <w:color w:val="auto"/>
                <w:sz w:val="18"/>
                <w:szCs w:val="18"/>
              </w:rPr>
            </w:pPr>
            <w:r w:rsidRPr="00F05829">
              <w:rPr>
                <w:rFonts w:ascii="Arial" w:hAnsi="Arial" w:cs="Arial"/>
                <w:b/>
                <w:color w:val="auto"/>
                <w:sz w:val="18"/>
                <w:szCs w:val="18"/>
              </w:rPr>
              <w:t>Disability</w:t>
            </w:r>
          </w:p>
          <w:p w:rsidR="00C44501" w:rsidRPr="00F05829" w:rsidRDefault="00C44501" w:rsidP="00E26ADF">
            <w:pPr>
              <w:ind w:left="34"/>
              <w:jc w:val="center"/>
              <w:rPr>
                <w:rFonts w:ascii="Arial" w:hAnsi="Arial" w:cs="Arial"/>
                <w:b/>
                <w:color w:val="auto"/>
                <w:sz w:val="18"/>
                <w:szCs w:val="18"/>
              </w:rPr>
            </w:pPr>
          </w:p>
          <w:p w:rsidR="00C44501" w:rsidRPr="00F05829" w:rsidRDefault="00C44501" w:rsidP="00E26ADF">
            <w:pPr>
              <w:ind w:left="34"/>
              <w:jc w:val="center"/>
              <w:rPr>
                <w:rFonts w:ascii="Arial" w:hAnsi="Arial" w:cs="Arial"/>
                <w:b/>
                <w:color w:val="auto"/>
                <w:sz w:val="18"/>
                <w:szCs w:val="18"/>
              </w:rPr>
            </w:pPr>
          </w:p>
          <w:p w:rsidR="00C44501" w:rsidRPr="00F05829" w:rsidRDefault="00C44501" w:rsidP="00E26ADF">
            <w:pPr>
              <w:ind w:left="34"/>
              <w:jc w:val="center"/>
              <w:rPr>
                <w:rFonts w:ascii="Arial" w:hAnsi="Arial" w:cs="Arial"/>
                <w:b/>
                <w:color w:val="auto"/>
                <w:sz w:val="18"/>
                <w:szCs w:val="18"/>
              </w:rPr>
            </w:pPr>
          </w:p>
          <w:p w:rsidR="00C44501" w:rsidRPr="00F05829" w:rsidRDefault="00C44501" w:rsidP="00E26ADF">
            <w:pPr>
              <w:ind w:left="34"/>
              <w:jc w:val="center"/>
              <w:rPr>
                <w:rFonts w:ascii="Arial" w:hAnsi="Arial" w:cs="Arial"/>
                <w:b/>
                <w:color w:val="auto"/>
                <w:sz w:val="18"/>
                <w:szCs w:val="18"/>
              </w:rPr>
            </w:pPr>
          </w:p>
          <w:p w:rsidR="00C44501" w:rsidRPr="00F05829" w:rsidRDefault="00C44501" w:rsidP="00E26ADF">
            <w:pPr>
              <w:ind w:left="34"/>
              <w:jc w:val="center"/>
              <w:rPr>
                <w:rFonts w:ascii="Arial" w:hAnsi="Arial" w:cs="Arial"/>
                <w:b/>
                <w:color w:val="auto"/>
                <w:sz w:val="18"/>
                <w:szCs w:val="18"/>
              </w:rPr>
            </w:pPr>
          </w:p>
          <w:p w:rsidR="00C44501" w:rsidRPr="00F05829" w:rsidRDefault="00C44501" w:rsidP="00E26ADF">
            <w:pPr>
              <w:ind w:left="34"/>
              <w:jc w:val="center"/>
              <w:rPr>
                <w:rFonts w:ascii="Arial" w:hAnsi="Arial" w:cs="Arial"/>
                <w:b/>
                <w:color w:val="auto"/>
                <w:sz w:val="18"/>
                <w:szCs w:val="18"/>
              </w:rPr>
            </w:pPr>
          </w:p>
          <w:p w:rsidR="00C44501" w:rsidRPr="00F05829" w:rsidRDefault="00C44501" w:rsidP="00E26ADF">
            <w:pPr>
              <w:ind w:left="34"/>
              <w:jc w:val="center"/>
              <w:rPr>
                <w:rFonts w:ascii="Arial" w:hAnsi="Arial" w:cs="Arial"/>
                <w:b/>
                <w:color w:val="auto"/>
                <w:sz w:val="18"/>
                <w:szCs w:val="18"/>
              </w:rPr>
            </w:pPr>
          </w:p>
          <w:p w:rsidR="00C44501" w:rsidRPr="00F05829" w:rsidRDefault="00C44501" w:rsidP="00E26ADF">
            <w:pPr>
              <w:ind w:left="34"/>
              <w:jc w:val="center"/>
              <w:rPr>
                <w:rFonts w:ascii="Arial" w:hAnsi="Arial" w:cs="Arial"/>
                <w:b/>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ind w:left="34"/>
              <w:jc w:val="center"/>
              <w:rPr>
                <w:rFonts w:ascii="Arial" w:hAnsi="Arial" w:cs="Arial"/>
                <w:b/>
                <w:color w:val="auto"/>
                <w:sz w:val="18"/>
                <w:szCs w:val="18"/>
              </w:rPr>
            </w:pPr>
            <w:r w:rsidRPr="00F05829">
              <w:rPr>
                <w:rFonts w:ascii="Arial" w:hAnsi="Arial" w:cs="Arial"/>
                <w:b/>
                <w:color w:val="auto"/>
                <w:sz w:val="18"/>
                <w:szCs w:val="18"/>
              </w:rPr>
              <w:t>Community Attitudes</w:t>
            </w:r>
          </w:p>
          <w:p w:rsidR="00C44501" w:rsidRPr="00F05829" w:rsidRDefault="00C44501" w:rsidP="00E26ADF">
            <w:pPr>
              <w:ind w:left="34"/>
              <w:jc w:val="cente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ind w:left="34"/>
              <w:jc w:val="center"/>
              <w:rPr>
                <w:rFonts w:ascii="Arial" w:hAnsi="Arial" w:cs="Arial"/>
                <w:b/>
                <w:color w:val="auto"/>
                <w:sz w:val="18"/>
                <w:szCs w:val="18"/>
              </w:rPr>
            </w:pPr>
            <w:r w:rsidRPr="00F05829">
              <w:rPr>
                <w:rFonts w:ascii="Arial" w:hAnsi="Arial" w:cs="Arial"/>
                <w:b/>
                <w:color w:val="auto"/>
                <w:sz w:val="18"/>
                <w:szCs w:val="18"/>
              </w:rPr>
              <w:t>Buildings and Facilities</w:t>
            </w:r>
          </w:p>
          <w:p w:rsidR="00C44501" w:rsidRPr="00F05829" w:rsidRDefault="00C44501" w:rsidP="00E26ADF">
            <w:pPr>
              <w:ind w:left="34"/>
              <w:jc w:val="center"/>
              <w:rPr>
                <w:rFonts w:ascii="Arial" w:hAnsi="Arial" w:cs="Arial"/>
                <w:color w:val="auto"/>
                <w:sz w:val="18"/>
                <w:szCs w:val="18"/>
              </w:rPr>
            </w:pPr>
          </w:p>
          <w:p w:rsidR="00C44501" w:rsidRPr="00F05829" w:rsidRDefault="00C44501" w:rsidP="00E26ADF">
            <w:pPr>
              <w:rPr>
                <w:color w:val="auto"/>
              </w:rPr>
            </w:pPr>
          </w:p>
        </w:tc>
        <w:tc>
          <w:tcPr>
            <w:tcW w:w="7020" w:type="dxa"/>
          </w:tcPr>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lastRenderedPageBreak/>
              <w:t>Supporting the ongoing backward mapping to ensure syllabus coverage through Rich Tasks. There are significant curriculum issues that need to be addressed in parallel to consideration of introduction of an Australian Senior Secondary Curriculum and potential P-10 curriculum.</w:t>
            </w:r>
          </w:p>
          <w:p w:rsidR="00C44501" w:rsidRPr="00F05829" w:rsidRDefault="00C44501" w:rsidP="00E26ADF">
            <w:pPr>
              <w:rPr>
                <w:rFonts w:ascii="Arial" w:hAnsi="Arial" w:cs="Arial"/>
                <w:b/>
                <w:i/>
                <w:color w:val="auto"/>
                <w:sz w:val="18"/>
                <w:szCs w:val="18"/>
              </w:rPr>
            </w:pPr>
          </w:p>
          <w:p w:rsidR="00C44501" w:rsidRPr="00F05829" w:rsidRDefault="00C44501" w:rsidP="00E26ADF">
            <w:pPr>
              <w:rPr>
                <w:rFonts w:ascii="Arial" w:hAnsi="Arial" w:cs="Arial"/>
                <w:i/>
                <w:color w:val="auto"/>
                <w:sz w:val="18"/>
                <w:szCs w:val="18"/>
              </w:rPr>
            </w:pPr>
            <w:r w:rsidRPr="00F05829">
              <w:rPr>
                <w:rFonts w:ascii="Arial" w:hAnsi="Arial" w:cs="Arial"/>
                <w:b/>
                <w:i/>
                <w:color w:val="auto"/>
                <w:sz w:val="18"/>
                <w:szCs w:val="18"/>
              </w:rPr>
              <w:t>I</w:t>
            </w:r>
            <w:r w:rsidRPr="00F05829">
              <w:rPr>
                <w:rFonts w:ascii="Arial" w:hAnsi="Arial" w:cs="Arial"/>
                <w:i/>
                <w:color w:val="auto"/>
                <w:sz w:val="18"/>
                <w:szCs w:val="18"/>
              </w:rPr>
              <w:t>dentifying and providing additional resources (physical and digital) to support students in their Rich Tasks.  ICT resources  have been identified as key priority by teachers, department and external evaluators- submitted as NPP</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xml:space="preserve">Providing further training of CASE team (specific training identified in areas of curriculum development/ review/ monitoring/ assessment  and analysis of data and provision of professional development for teachers in these areas). CASE currently undertake a social and national moderation process of Rich Tasks, however findings from these moderation processes are not applied or used to drive change or improvement in practice or outcomes for students. </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Procurement of early grade reading books in English in primary schools to support planned literacy focus in early year schools.</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xml:space="preserve">Integrating health and nutrition into school curriculum and teachers’ professional development. Relevance and degree of integration into RT needs to be established- professional development will be required on how to effectively and authentically </w:t>
            </w:r>
            <w:r w:rsidRPr="00F05829">
              <w:rPr>
                <w:rFonts w:ascii="Arial" w:hAnsi="Arial" w:cs="Arial"/>
                <w:color w:val="auto"/>
                <w:sz w:val="18"/>
                <w:szCs w:val="18"/>
              </w:rPr>
              <w:lastRenderedPageBreak/>
              <w:t xml:space="preserve">integrate health and nutrition in current curriculum- ACT have this as a key learning area- implications if to back ward map or  move to p-9 ACT. At this point it is proposed to develop a range of support materials and resources that clearly link to curriculum- this could be undertaken by </w:t>
            </w:r>
            <w:r>
              <w:rPr>
                <w:rFonts w:ascii="Arial" w:hAnsi="Arial" w:cs="Arial"/>
                <w:color w:val="auto"/>
                <w:sz w:val="18"/>
                <w:szCs w:val="18"/>
              </w:rPr>
              <w:t>DET</w:t>
            </w:r>
            <w:r w:rsidRPr="00F05829">
              <w:rPr>
                <w:rFonts w:ascii="Arial" w:hAnsi="Arial" w:cs="Arial"/>
                <w:color w:val="auto"/>
                <w:sz w:val="18"/>
                <w:szCs w:val="18"/>
              </w:rPr>
              <w:t xml:space="preserve"> staff with support of teachers and health department)-as well as sourcing commercially developed resources- also requires an awareness raising campaign and communication strategy between </w:t>
            </w:r>
            <w:r>
              <w:rPr>
                <w:rFonts w:ascii="Arial" w:hAnsi="Arial" w:cs="Arial"/>
                <w:color w:val="auto"/>
                <w:sz w:val="18"/>
                <w:szCs w:val="18"/>
              </w:rPr>
              <w:t>DET</w:t>
            </w:r>
            <w:r w:rsidRPr="00F05829">
              <w:rPr>
                <w:rFonts w:ascii="Arial" w:hAnsi="Arial" w:cs="Arial"/>
                <w:color w:val="auto"/>
                <w:sz w:val="18"/>
                <w:szCs w:val="18"/>
              </w:rPr>
              <w:t xml:space="preserve"> and community and schools.) </w:t>
            </w:r>
          </w:p>
          <w:p w:rsidR="00C44501" w:rsidRPr="00F05829" w:rsidRDefault="00C44501" w:rsidP="00E26ADF">
            <w:pPr>
              <w:ind w:left="360"/>
              <w:rPr>
                <w:rFonts w:ascii="Arial" w:hAnsi="Arial" w:cs="Arial"/>
                <w:color w:val="auto"/>
                <w:sz w:val="18"/>
                <w:szCs w:val="18"/>
              </w:rPr>
            </w:pPr>
          </w:p>
          <w:p w:rsidR="00C44501" w:rsidRPr="00F05829" w:rsidRDefault="00C44501" w:rsidP="00E26ADF">
            <w:pPr>
              <w:ind w:left="360"/>
              <w:rPr>
                <w:rFonts w:ascii="Arial" w:hAnsi="Arial" w:cs="Arial"/>
                <w:color w:val="auto"/>
                <w:sz w:val="18"/>
                <w:szCs w:val="18"/>
              </w:rPr>
            </w:pPr>
          </w:p>
          <w:p w:rsidR="00C44501" w:rsidRPr="00F05829" w:rsidRDefault="00C44501" w:rsidP="00E26ADF">
            <w:pPr>
              <w:rPr>
                <w:rFonts w:ascii="Arial" w:hAnsi="Arial" w:cs="Arial"/>
                <w:b/>
                <w:color w:val="auto"/>
                <w:sz w:val="18"/>
                <w:szCs w:val="18"/>
              </w:rPr>
            </w:pPr>
            <w:r w:rsidRPr="00F05829">
              <w:rPr>
                <w:rFonts w:ascii="Arial" w:hAnsi="Arial" w:cs="Arial"/>
                <w:color w:val="auto"/>
                <w:sz w:val="18"/>
                <w:szCs w:val="18"/>
              </w:rPr>
              <w:t>Providing special education needs qualifications for Nauru Able/Disabled Centre teachers (it is suggested that an AVI position would be appropriate in assisting staff with developing appropriate strategies and individual learning programs, until an appropriate course can be identified)</w:t>
            </w:r>
          </w:p>
          <w:p w:rsidR="00C44501" w:rsidRPr="00F05829" w:rsidRDefault="00C44501" w:rsidP="00E26ADF">
            <w:pPr>
              <w:ind w:left="360"/>
              <w:rPr>
                <w:rFonts w:ascii="Arial" w:hAnsi="Arial" w:cs="Arial"/>
                <w:color w:val="auto"/>
                <w:sz w:val="18"/>
                <w:szCs w:val="18"/>
              </w:rPr>
            </w:pPr>
          </w:p>
          <w:p w:rsidR="00C44501" w:rsidRPr="00F05829" w:rsidRDefault="00C44501" w:rsidP="00E26ADF">
            <w:pPr>
              <w:ind w:left="360"/>
              <w:rPr>
                <w:rFonts w:ascii="Arial" w:hAnsi="Arial" w:cs="Arial"/>
                <w:color w:val="auto"/>
                <w:sz w:val="18"/>
                <w:szCs w:val="18"/>
              </w:rPr>
            </w:pPr>
          </w:p>
          <w:p w:rsidR="00C44501" w:rsidRPr="00F05829" w:rsidRDefault="00C44501" w:rsidP="00E26ADF">
            <w:pPr>
              <w:ind w:left="360"/>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xml:space="preserve">Undertake a comprehensive investigation into the issue of student attendance.(Data continues to indicate and reflect the significance of this problem, with upward trending continuing.  Findings from this research will be used to inform a range of strategies and interventions aimed at increasing attendance rates across all sectors. </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Phase I Re-development  Aiwo Primary School- Explore the cost benefit options for replacement of Aiwo Primary School due to loss of entire school in recent fire. A range of options developed for Cabinet and chosen options identified. A cost surveyor required for this activity.</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i/>
                <w:color w:val="auto"/>
                <w:sz w:val="18"/>
                <w:szCs w:val="18"/>
              </w:rPr>
            </w:pPr>
            <w:r w:rsidRPr="00F05829">
              <w:rPr>
                <w:rFonts w:ascii="Arial" w:hAnsi="Arial" w:cs="Arial"/>
                <w:i/>
                <w:color w:val="auto"/>
                <w:sz w:val="18"/>
                <w:szCs w:val="18"/>
              </w:rPr>
              <w:t>Phase II of development on the new NSS campus as a Learning Village.</w:t>
            </w:r>
            <w:r w:rsidRPr="00F05829">
              <w:rPr>
                <w:rFonts w:ascii="Arial" w:hAnsi="Arial" w:cs="Arial"/>
                <w:b/>
                <w:i/>
                <w:color w:val="auto"/>
                <w:sz w:val="18"/>
                <w:szCs w:val="18"/>
              </w:rPr>
              <w:t xml:space="preserve">  </w:t>
            </w:r>
            <w:r w:rsidRPr="00F05829">
              <w:rPr>
                <w:rFonts w:ascii="Arial" w:hAnsi="Arial" w:cs="Arial"/>
                <w:i/>
                <w:color w:val="auto"/>
                <w:sz w:val="18"/>
                <w:szCs w:val="18"/>
              </w:rPr>
              <w:t>Submitted as an NPP- This is an important initiative- aspects of TVET for youth are reliant on completing AQTF and RTO compliance- - promoting lifelong learning and sense of community ownership</w:t>
            </w:r>
          </w:p>
          <w:p w:rsidR="00C44501" w:rsidRPr="00F05829" w:rsidRDefault="00C44501" w:rsidP="00E26ADF">
            <w:pPr>
              <w:rPr>
                <w:rFonts w:ascii="Arial" w:hAnsi="Arial" w:cs="Arial"/>
                <w:i/>
                <w:color w:val="auto"/>
                <w:sz w:val="18"/>
                <w:szCs w:val="18"/>
              </w:rPr>
            </w:pPr>
          </w:p>
          <w:p w:rsidR="00C44501" w:rsidRPr="00F05829" w:rsidRDefault="00C44501" w:rsidP="00E26ADF">
            <w:pPr>
              <w:rPr>
                <w:i/>
                <w:color w:val="auto"/>
              </w:rPr>
            </w:pPr>
            <w:r w:rsidRPr="00F05829">
              <w:rPr>
                <w:rFonts w:ascii="Arial" w:hAnsi="Arial" w:cs="Arial"/>
                <w:i/>
                <w:color w:val="auto"/>
                <w:sz w:val="18"/>
                <w:szCs w:val="18"/>
              </w:rPr>
              <w:t>Support for Minor Works submitted as an NPP to continue work on emergent repairs/ minor works.</w:t>
            </w:r>
          </w:p>
        </w:tc>
        <w:tc>
          <w:tcPr>
            <w:tcW w:w="1800" w:type="dxa"/>
          </w:tcPr>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lastRenderedPageBreak/>
              <w:t>Our curriculum 2.1</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i/>
                <w:color w:val="auto"/>
                <w:sz w:val="18"/>
                <w:szCs w:val="18"/>
              </w:rPr>
            </w:pPr>
            <w:r w:rsidRPr="00F05829">
              <w:rPr>
                <w:rFonts w:ascii="Arial" w:hAnsi="Arial" w:cs="Arial"/>
                <w:i/>
                <w:color w:val="auto"/>
                <w:sz w:val="18"/>
                <w:szCs w:val="18"/>
              </w:rPr>
              <w:t>Our schools 4.2</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accountability 6.4</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curriculum 2.6</w:t>
            </w: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curriculum 2.1</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curriculum 2.8</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students  1.10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schools 4.7</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i/>
                <w:color w:val="auto"/>
                <w:sz w:val="18"/>
                <w:szCs w:val="18"/>
              </w:rPr>
            </w:pPr>
            <w:r w:rsidRPr="00F05829">
              <w:rPr>
                <w:rFonts w:ascii="Arial" w:hAnsi="Arial" w:cs="Arial"/>
                <w:i/>
                <w:color w:val="auto"/>
                <w:sz w:val="18"/>
                <w:szCs w:val="18"/>
              </w:rPr>
              <w:t>Our place in the community 5.3</w:t>
            </w: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Default="00C44501" w:rsidP="00E26ADF">
            <w:pPr>
              <w:rPr>
                <w:rFonts w:ascii="Arial" w:hAnsi="Arial" w:cs="Arial"/>
                <w:b/>
                <w:color w:val="auto"/>
                <w:sz w:val="18"/>
                <w:szCs w:val="18"/>
              </w:rPr>
            </w:pPr>
          </w:p>
          <w:p w:rsidR="00C44501"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i/>
                <w:color w:val="auto"/>
                <w:sz w:val="18"/>
                <w:szCs w:val="18"/>
              </w:rPr>
            </w:pPr>
            <w:r w:rsidRPr="00F05829">
              <w:rPr>
                <w:rFonts w:ascii="Arial" w:hAnsi="Arial" w:cs="Arial"/>
                <w:i/>
                <w:color w:val="auto"/>
                <w:sz w:val="18"/>
                <w:szCs w:val="18"/>
              </w:rPr>
              <w:t>Our schools 4.3</w:t>
            </w:r>
          </w:p>
        </w:tc>
        <w:tc>
          <w:tcPr>
            <w:tcW w:w="1466" w:type="dxa"/>
          </w:tcPr>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lastRenderedPageBreak/>
              <w:t>$ 40 000</w:t>
            </w: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rFonts w:ascii="Arial" w:hAnsi="Arial" w:cs="Arial"/>
                <w:i/>
                <w:color w:val="auto"/>
                <w:sz w:val="18"/>
                <w:szCs w:val="18"/>
              </w:rPr>
            </w:pPr>
            <w:r w:rsidRPr="00F05829">
              <w:rPr>
                <w:rFonts w:ascii="Arial" w:hAnsi="Arial" w:cs="Arial"/>
                <w:i/>
                <w:color w:val="auto"/>
                <w:sz w:val="18"/>
                <w:szCs w:val="18"/>
              </w:rPr>
              <w:t>$ 626 880</w:t>
            </w: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$ 28 400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$ 28 000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$ 12 000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$15 000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$10 000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$ 50 000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i/>
                <w:color w:val="auto"/>
                <w:sz w:val="18"/>
                <w:szCs w:val="18"/>
              </w:rPr>
            </w:pPr>
            <w:r w:rsidRPr="00F05829">
              <w:rPr>
                <w:rFonts w:ascii="Arial" w:hAnsi="Arial" w:cs="Arial"/>
                <w:b/>
                <w:i/>
                <w:color w:val="auto"/>
                <w:sz w:val="18"/>
                <w:szCs w:val="18"/>
              </w:rPr>
              <w:t>$86 040</w:t>
            </w:r>
          </w:p>
          <w:p w:rsidR="00C44501" w:rsidRPr="00F05829" w:rsidRDefault="00C44501" w:rsidP="00E26ADF">
            <w:pPr>
              <w:rPr>
                <w:rFonts w:ascii="Arial" w:hAnsi="Arial" w:cs="Arial"/>
                <w:b/>
                <w:i/>
                <w:color w:val="auto"/>
                <w:sz w:val="18"/>
                <w:szCs w:val="18"/>
              </w:rPr>
            </w:pPr>
          </w:p>
          <w:p w:rsidR="00C44501" w:rsidRPr="00F05829" w:rsidRDefault="00C44501" w:rsidP="00E26ADF">
            <w:pPr>
              <w:rPr>
                <w:rFonts w:ascii="Arial" w:hAnsi="Arial" w:cs="Arial"/>
                <w:b/>
                <w:i/>
                <w:color w:val="auto"/>
                <w:sz w:val="18"/>
                <w:szCs w:val="18"/>
              </w:rPr>
            </w:pPr>
          </w:p>
          <w:p w:rsidR="00C44501" w:rsidRPr="00F05829" w:rsidRDefault="00C44501" w:rsidP="00E26ADF">
            <w:pPr>
              <w:rPr>
                <w:rFonts w:ascii="Arial" w:hAnsi="Arial" w:cs="Arial"/>
                <w:b/>
                <w:i/>
                <w:color w:val="auto"/>
                <w:sz w:val="18"/>
                <w:szCs w:val="18"/>
              </w:rPr>
            </w:pPr>
          </w:p>
          <w:p w:rsidR="00C44501" w:rsidRDefault="00C44501" w:rsidP="00E26ADF">
            <w:pPr>
              <w:rPr>
                <w:rFonts w:ascii="Arial" w:hAnsi="Arial" w:cs="Arial"/>
                <w:b/>
                <w:i/>
                <w:color w:val="auto"/>
                <w:sz w:val="18"/>
                <w:szCs w:val="18"/>
              </w:rPr>
            </w:pPr>
          </w:p>
          <w:p w:rsidR="00C44501" w:rsidRDefault="00C44501" w:rsidP="00E26ADF">
            <w:pPr>
              <w:rPr>
                <w:rFonts w:ascii="Arial" w:hAnsi="Arial" w:cs="Arial"/>
                <w:b/>
                <w:i/>
                <w:color w:val="auto"/>
                <w:sz w:val="18"/>
                <w:szCs w:val="18"/>
              </w:rPr>
            </w:pPr>
          </w:p>
          <w:p w:rsidR="00C44501" w:rsidRPr="00F05829" w:rsidRDefault="00C44501" w:rsidP="00E26ADF">
            <w:pPr>
              <w:rPr>
                <w:rFonts w:ascii="Arial" w:hAnsi="Arial" w:cs="Arial"/>
                <w:b/>
                <w:i/>
                <w:color w:val="auto"/>
                <w:sz w:val="18"/>
                <w:szCs w:val="18"/>
              </w:rPr>
            </w:pPr>
          </w:p>
          <w:p w:rsidR="00C44501" w:rsidRPr="00F05829" w:rsidRDefault="00C44501" w:rsidP="00E26ADF">
            <w:pPr>
              <w:rPr>
                <w:rFonts w:ascii="Arial" w:hAnsi="Arial" w:cs="Arial"/>
                <w:b/>
                <w:i/>
                <w:color w:val="auto"/>
                <w:sz w:val="18"/>
                <w:szCs w:val="18"/>
              </w:rPr>
            </w:pPr>
          </w:p>
          <w:p w:rsidR="00C44501" w:rsidRPr="00F05829" w:rsidRDefault="00C44501" w:rsidP="00E26ADF">
            <w:pPr>
              <w:rPr>
                <w:rFonts w:ascii="Arial" w:hAnsi="Arial" w:cs="Arial"/>
                <w:b/>
                <w:i/>
                <w:color w:val="auto"/>
                <w:sz w:val="18"/>
                <w:szCs w:val="18"/>
              </w:rPr>
            </w:pPr>
            <w:r w:rsidRPr="00F05829">
              <w:rPr>
                <w:rFonts w:ascii="Arial" w:hAnsi="Arial" w:cs="Arial"/>
                <w:b/>
                <w:i/>
                <w:color w:val="auto"/>
                <w:sz w:val="18"/>
                <w:szCs w:val="18"/>
              </w:rPr>
              <w:t>$40 000</w:t>
            </w:r>
          </w:p>
        </w:tc>
      </w:tr>
      <w:tr w:rsidR="00C44501" w:rsidRPr="00F05829" w:rsidTr="00E26ADF">
        <w:tc>
          <w:tcPr>
            <w:tcW w:w="1908" w:type="dxa"/>
          </w:tcPr>
          <w:p w:rsidR="00C44501" w:rsidRPr="00F05829" w:rsidRDefault="00C44501" w:rsidP="00E26ADF">
            <w:pPr>
              <w:rPr>
                <w:color w:val="auto"/>
              </w:rPr>
            </w:pPr>
          </w:p>
        </w:tc>
        <w:tc>
          <w:tcPr>
            <w:tcW w:w="1980" w:type="dxa"/>
          </w:tcPr>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b/>
                <w:color w:val="auto"/>
                <w:sz w:val="18"/>
                <w:szCs w:val="18"/>
              </w:rPr>
              <w:t xml:space="preserve">Teaching &amp; Learning Resources and </w:t>
            </w:r>
            <w:r w:rsidRPr="00F05829">
              <w:rPr>
                <w:rFonts w:ascii="Arial" w:hAnsi="Arial" w:cs="Arial"/>
                <w:b/>
                <w:color w:val="auto"/>
                <w:sz w:val="18"/>
                <w:szCs w:val="18"/>
              </w:rPr>
              <w:lastRenderedPageBreak/>
              <w:t>Consumables</w:t>
            </w:r>
          </w:p>
          <w:p w:rsidR="00C44501" w:rsidRPr="00F05829" w:rsidRDefault="00C44501" w:rsidP="00E26ADF">
            <w:pPr>
              <w:rPr>
                <w:color w:val="auto"/>
              </w:rPr>
            </w:pPr>
          </w:p>
        </w:tc>
        <w:tc>
          <w:tcPr>
            <w:tcW w:w="7020" w:type="dxa"/>
          </w:tcPr>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To continue to support GoN non-salary recurrent budget in the following key areas.</w:t>
            </w:r>
          </w:p>
          <w:p w:rsidR="00C44501" w:rsidRPr="00F05829" w:rsidRDefault="00C44501" w:rsidP="00E26ADF">
            <w:pPr>
              <w:rPr>
                <w:rFonts w:ascii="Arial" w:hAnsi="Arial" w:cs="Arial"/>
                <w:color w:val="auto"/>
                <w:sz w:val="18"/>
                <w:szCs w:val="18"/>
              </w:rPr>
            </w:pPr>
          </w:p>
          <w:p w:rsidR="00C44501" w:rsidRPr="00F05829" w:rsidRDefault="00C44501" w:rsidP="00E26ADF">
            <w:pPr>
              <w:numPr>
                <w:ilvl w:val="0"/>
                <w:numId w:val="49"/>
              </w:numPr>
              <w:rPr>
                <w:rFonts w:ascii="Arial" w:hAnsi="Arial" w:cs="Arial"/>
                <w:color w:val="auto"/>
                <w:sz w:val="18"/>
                <w:szCs w:val="18"/>
              </w:rPr>
            </w:pPr>
            <w:r w:rsidRPr="00F05829">
              <w:rPr>
                <w:rFonts w:ascii="Arial" w:hAnsi="Arial" w:cs="Arial"/>
                <w:color w:val="auto"/>
                <w:sz w:val="18"/>
                <w:szCs w:val="18"/>
              </w:rPr>
              <w:t>School teaching &amp; learning materials – supply and replenishment</w:t>
            </w:r>
          </w:p>
          <w:p w:rsidR="00C44501" w:rsidRPr="00F05829" w:rsidRDefault="00C44501" w:rsidP="00E26ADF">
            <w:pPr>
              <w:rPr>
                <w:rFonts w:ascii="Arial" w:hAnsi="Arial" w:cs="Arial"/>
                <w:color w:val="auto"/>
                <w:sz w:val="18"/>
                <w:szCs w:val="18"/>
              </w:rPr>
            </w:pPr>
          </w:p>
          <w:p w:rsidR="00C44501" w:rsidRPr="00F05829" w:rsidRDefault="00C44501" w:rsidP="00E26ADF">
            <w:pPr>
              <w:numPr>
                <w:ilvl w:val="0"/>
                <w:numId w:val="49"/>
              </w:numPr>
              <w:rPr>
                <w:rFonts w:ascii="Arial" w:hAnsi="Arial" w:cs="Arial"/>
                <w:color w:val="auto"/>
                <w:sz w:val="18"/>
                <w:szCs w:val="18"/>
              </w:rPr>
            </w:pPr>
            <w:r w:rsidRPr="00F05829">
              <w:rPr>
                <w:rFonts w:ascii="Arial" w:hAnsi="Arial" w:cs="Arial"/>
                <w:color w:val="auto"/>
                <w:sz w:val="18"/>
                <w:szCs w:val="18"/>
              </w:rPr>
              <w:t>Other school consumables ( including ICT consumables)</w:t>
            </w:r>
          </w:p>
          <w:p w:rsidR="00C44501" w:rsidRPr="00F05829" w:rsidRDefault="00C44501" w:rsidP="00E26ADF">
            <w:pPr>
              <w:rPr>
                <w:rFonts w:ascii="Arial" w:hAnsi="Arial" w:cs="Arial"/>
                <w:color w:val="auto"/>
                <w:sz w:val="18"/>
                <w:szCs w:val="18"/>
              </w:rPr>
            </w:pPr>
          </w:p>
          <w:p w:rsidR="00C44501" w:rsidRPr="00F05829" w:rsidRDefault="00C44501" w:rsidP="00E26ADF">
            <w:pPr>
              <w:numPr>
                <w:ilvl w:val="0"/>
                <w:numId w:val="49"/>
              </w:numPr>
              <w:rPr>
                <w:rFonts w:ascii="Arial" w:hAnsi="Arial" w:cs="Arial"/>
                <w:color w:val="auto"/>
                <w:sz w:val="18"/>
                <w:szCs w:val="18"/>
              </w:rPr>
            </w:pPr>
            <w:r w:rsidRPr="00F05829">
              <w:rPr>
                <w:rFonts w:ascii="Arial" w:hAnsi="Arial" w:cs="Arial"/>
                <w:color w:val="auto"/>
                <w:sz w:val="18"/>
                <w:szCs w:val="18"/>
              </w:rPr>
              <w:t xml:space="preserve">School broadband charges </w:t>
            </w:r>
          </w:p>
          <w:p w:rsidR="00C44501" w:rsidRPr="00F05829" w:rsidRDefault="00C44501" w:rsidP="00E26ADF">
            <w:pPr>
              <w:rPr>
                <w:rFonts w:ascii="Arial" w:hAnsi="Arial" w:cs="Arial"/>
                <w:color w:val="auto"/>
                <w:sz w:val="18"/>
                <w:szCs w:val="18"/>
              </w:rPr>
            </w:pPr>
          </w:p>
          <w:p w:rsidR="00C44501" w:rsidRPr="00F05829" w:rsidRDefault="00C44501" w:rsidP="00E26ADF">
            <w:pPr>
              <w:numPr>
                <w:ilvl w:val="0"/>
                <w:numId w:val="49"/>
              </w:numPr>
              <w:rPr>
                <w:rFonts w:ascii="Arial" w:hAnsi="Arial" w:cs="Arial"/>
                <w:color w:val="auto"/>
                <w:sz w:val="18"/>
                <w:szCs w:val="18"/>
              </w:rPr>
            </w:pPr>
            <w:r w:rsidRPr="00F05829">
              <w:rPr>
                <w:rFonts w:ascii="Arial" w:hAnsi="Arial" w:cs="Arial"/>
                <w:color w:val="auto"/>
                <w:sz w:val="18"/>
                <w:szCs w:val="18"/>
              </w:rPr>
              <w:t xml:space="preserve">ICT equipment  maintenance costs- </w:t>
            </w:r>
          </w:p>
          <w:p w:rsidR="00C44501" w:rsidRPr="00F05829" w:rsidRDefault="00C44501" w:rsidP="00E26ADF">
            <w:pPr>
              <w:rPr>
                <w:color w:val="auto"/>
              </w:rPr>
            </w:pPr>
          </w:p>
        </w:tc>
        <w:tc>
          <w:tcPr>
            <w:tcW w:w="1800" w:type="dxa"/>
          </w:tcPr>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lastRenderedPageBreak/>
              <w:t>Our accountability 6.5</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b/>
                <w:color w:val="auto"/>
                <w:sz w:val="18"/>
                <w:szCs w:val="18"/>
              </w:rPr>
              <w:t>Sub total</w:t>
            </w:r>
          </w:p>
        </w:tc>
        <w:tc>
          <w:tcPr>
            <w:tcW w:w="1466" w:type="dxa"/>
          </w:tcPr>
          <w:p w:rsidR="00C44501" w:rsidRPr="00F05829" w:rsidRDefault="00C44501" w:rsidP="00E26ADF">
            <w:pPr>
              <w:rPr>
                <w:color w:val="auto"/>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$85 000</w:t>
            </w: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Default="00C44501" w:rsidP="00E26ADF">
            <w:pPr>
              <w:rPr>
                <w:color w:val="auto"/>
              </w:rPr>
            </w:pPr>
          </w:p>
          <w:p w:rsidR="00C44501" w:rsidRDefault="00C44501" w:rsidP="00E26ADF">
            <w:pPr>
              <w:rPr>
                <w:color w:val="auto"/>
              </w:rPr>
            </w:pPr>
          </w:p>
          <w:p w:rsidR="00C44501" w:rsidRPr="00F05829" w:rsidRDefault="00C44501" w:rsidP="00E26ADF">
            <w:pPr>
              <w:rPr>
                <w:color w:val="auto"/>
              </w:rPr>
            </w:pPr>
          </w:p>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t>$ 268 400</w:t>
            </w:r>
          </w:p>
        </w:tc>
      </w:tr>
      <w:tr w:rsidR="00C44501" w:rsidRPr="00F05829" w:rsidTr="00E26ADF">
        <w:tc>
          <w:tcPr>
            <w:tcW w:w="1908" w:type="dxa"/>
          </w:tcPr>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lastRenderedPageBreak/>
              <w:t xml:space="preserve">Increasing Employability of Naruans by Improving Access to Good Quality </w:t>
            </w:r>
          </w:p>
          <w:p w:rsidR="00C44501" w:rsidRPr="00F05829" w:rsidRDefault="00C44501" w:rsidP="00E26ADF">
            <w:pPr>
              <w:rPr>
                <w:color w:val="auto"/>
              </w:rPr>
            </w:pPr>
            <w:r w:rsidRPr="00F05829">
              <w:rPr>
                <w:rFonts w:ascii="Arial" w:hAnsi="Arial" w:cs="Arial"/>
                <w:b/>
                <w:color w:val="auto"/>
                <w:sz w:val="18"/>
                <w:szCs w:val="18"/>
              </w:rPr>
              <w:t>Tertiary and  Technical and Vocational Education and Training</w:t>
            </w:r>
          </w:p>
        </w:tc>
        <w:tc>
          <w:tcPr>
            <w:tcW w:w="1980" w:type="dxa"/>
          </w:tcPr>
          <w:p w:rsidR="00C44501" w:rsidRPr="00F05829" w:rsidRDefault="00C44501" w:rsidP="00E26ADF">
            <w:pPr>
              <w:numPr>
                <w:ilvl w:val="0"/>
                <w:numId w:val="48"/>
              </w:numPr>
              <w:tabs>
                <w:tab w:val="clear" w:pos="794"/>
                <w:tab w:val="num" w:pos="34"/>
              </w:tabs>
              <w:ind w:left="35"/>
              <w:rPr>
                <w:rFonts w:ascii="Arial" w:hAnsi="Arial" w:cs="Arial"/>
                <w:b/>
                <w:color w:val="auto"/>
                <w:sz w:val="18"/>
                <w:szCs w:val="18"/>
              </w:rPr>
            </w:pPr>
            <w:r w:rsidRPr="00F05829">
              <w:rPr>
                <w:rFonts w:ascii="Arial" w:hAnsi="Arial" w:cs="Arial"/>
                <w:b/>
                <w:color w:val="auto"/>
                <w:sz w:val="18"/>
                <w:szCs w:val="18"/>
              </w:rPr>
              <w:t>Pathway to</w:t>
            </w:r>
          </w:p>
          <w:p w:rsidR="00C44501" w:rsidRPr="00F05829" w:rsidRDefault="00C44501" w:rsidP="00E26ADF">
            <w:pPr>
              <w:numPr>
                <w:ilvl w:val="0"/>
                <w:numId w:val="48"/>
              </w:numPr>
              <w:tabs>
                <w:tab w:val="clear" w:pos="794"/>
                <w:tab w:val="num" w:pos="34"/>
              </w:tabs>
              <w:ind w:left="35"/>
              <w:rPr>
                <w:rFonts w:ascii="Arial" w:hAnsi="Arial" w:cs="Arial"/>
                <w:b/>
                <w:color w:val="auto"/>
                <w:sz w:val="18"/>
                <w:szCs w:val="18"/>
              </w:rPr>
            </w:pPr>
            <w:r w:rsidRPr="00F05829">
              <w:rPr>
                <w:rFonts w:ascii="Arial" w:hAnsi="Arial" w:cs="Arial"/>
                <w:b/>
                <w:color w:val="auto"/>
                <w:sz w:val="18"/>
                <w:szCs w:val="18"/>
              </w:rPr>
              <w:t>Senior Secondary Accreditation</w:t>
            </w:r>
          </w:p>
          <w:p w:rsidR="00C44501" w:rsidRPr="00F05829" w:rsidRDefault="00C44501" w:rsidP="00E26ADF">
            <w:pPr>
              <w:numPr>
                <w:ilvl w:val="0"/>
                <w:numId w:val="48"/>
              </w:numPr>
              <w:ind w:left="35"/>
              <w:rPr>
                <w:rFonts w:ascii="Arial" w:hAnsi="Arial" w:cs="Arial"/>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numPr>
                <w:ilvl w:val="0"/>
                <w:numId w:val="48"/>
              </w:numPr>
              <w:tabs>
                <w:tab w:val="clear" w:pos="794"/>
                <w:tab w:val="num" w:pos="0"/>
              </w:tabs>
              <w:ind w:left="35"/>
              <w:rPr>
                <w:rFonts w:ascii="Arial" w:hAnsi="Arial" w:cs="Arial"/>
                <w:b/>
                <w:color w:val="auto"/>
                <w:sz w:val="18"/>
                <w:szCs w:val="18"/>
              </w:rPr>
            </w:pPr>
            <w:r w:rsidRPr="00F05829">
              <w:rPr>
                <w:rFonts w:ascii="Arial" w:hAnsi="Arial" w:cs="Arial"/>
                <w:b/>
                <w:color w:val="auto"/>
                <w:sz w:val="18"/>
                <w:szCs w:val="18"/>
              </w:rPr>
              <w:t>Pathways to TVET and Accreditation</w:t>
            </w:r>
          </w:p>
          <w:p w:rsidR="00C44501" w:rsidRPr="00F05829" w:rsidRDefault="00C44501" w:rsidP="00E26ADF">
            <w:pPr>
              <w:numPr>
                <w:ilvl w:val="0"/>
                <w:numId w:val="48"/>
              </w:numPr>
              <w:tabs>
                <w:tab w:val="clear" w:pos="794"/>
              </w:tabs>
              <w:ind w:left="35"/>
              <w:rPr>
                <w:rFonts w:ascii="Arial" w:hAnsi="Arial" w:cs="Arial"/>
                <w:b/>
                <w:color w:val="auto"/>
                <w:sz w:val="18"/>
                <w:szCs w:val="18"/>
              </w:rPr>
            </w:pPr>
            <w:r w:rsidRPr="00F05829">
              <w:rPr>
                <w:rFonts w:ascii="Arial" w:hAnsi="Arial" w:cs="Arial"/>
                <w:b/>
                <w:color w:val="auto"/>
                <w:sz w:val="18"/>
                <w:szCs w:val="18"/>
              </w:rPr>
              <w:t>(Secondary Schools)</w:t>
            </w:r>
          </w:p>
          <w:p w:rsidR="00C44501" w:rsidRPr="00F05829" w:rsidRDefault="00C44501" w:rsidP="00E26ADF">
            <w:pPr>
              <w:rPr>
                <w:color w:val="auto"/>
              </w:rPr>
            </w:pPr>
          </w:p>
        </w:tc>
        <w:tc>
          <w:tcPr>
            <w:tcW w:w="7020" w:type="dxa"/>
          </w:tcPr>
          <w:p w:rsidR="00C44501" w:rsidRPr="00F05829" w:rsidRDefault="00C44501" w:rsidP="00E26ADF">
            <w:pPr>
              <w:rPr>
                <w:rFonts w:ascii="Arial" w:hAnsi="Arial" w:cs="Arial"/>
                <w:color w:val="auto"/>
                <w:sz w:val="18"/>
                <w:szCs w:val="18"/>
              </w:rPr>
            </w:pPr>
            <w:r w:rsidRPr="00F05829">
              <w:rPr>
                <w:rFonts w:ascii="Arial" w:hAnsi="Arial" w:cs="Arial"/>
                <w:b/>
                <w:color w:val="auto"/>
                <w:sz w:val="18"/>
                <w:szCs w:val="18"/>
              </w:rPr>
              <w:t>Support the staged preparation for meeting Australian Senior Secondary (Grades 11 &amp; 12) accreditation requirements by 2012 through:</w:t>
            </w:r>
          </w:p>
          <w:p w:rsidR="00C44501" w:rsidRPr="00F05829" w:rsidRDefault="00C44501" w:rsidP="00E26ADF">
            <w:pPr>
              <w:rPr>
                <w:rFonts w:ascii="Arial" w:hAnsi="Arial" w:cs="Arial"/>
                <w:color w:val="auto"/>
                <w:sz w:val="18"/>
                <w:szCs w:val="18"/>
              </w:rPr>
            </w:pPr>
          </w:p>
          <w:p w:rsidR="00C44501" w:rsidRPr="00F05829" w:rsidRDefault="00C44501" w:rsidP="00E26ADF">
            <w:pPr>
              <w:tabs>
                <w:tab w:val="left" w:pos="267"/>
              </w:tabs>
              <w:rPr>
                <w:rFonts w:ascii="Arial" w:hAnsi="Arial" w:cs="Arial"/>
                <w:color w:val="auto"/>
                <w:sz w:val="18"/>
                <w:szCs w:val="18"/>
              </w:rPr>
            </w:pPr>
            <w:r w:rsidRPr="00F05829">
              <w:rPr>
                <w:rFonts w:ascii="Arial" w:hAnsi="Arial" w:cs="Arial"/>
                <w:color w:val="auto"/>
                <w:sz w:val="18"/>
                <w:szCs w:val="18"/>
              </w:rPr>
              <w:t>Appointing a new NSS principal (two-year post, experienced Australian Principal, with identified counterpart for succession- this needs to align with formalisation of curriculum licensing agreement and a phasing in of Australian Curriculum and parallel phasing out of PSSC).</w:t>
            </w:r>
          </w:p>
          <w:p w:rsidR="00C44501" w:rsidRPr="00F05829" w:rsidRDefault="00C44501" w:rsidP="00E26ADF">
            <w:pPr>
              <w:tabs>
                <w:tab w:val="left" w:pos="267"/>
              </w:tabs>
              <w:rPr>
                <w:rFonts w:ascii="Arial" w:hAnsi="Arial" w:cs="Arial"/>
                <w:color w:val="auto"/>
                <w:sz w:val="18"/>
                <w:szCs w:val="18"/>
              </w:rPr>
            </w:pPr>
          </w:p>
          <w:p w:rsidR="00C44501" w:rsidRPr="00F05829" w:rsidRDefault="00C44501" w:rsidP="00E26ADF">
            <w:pPr>
              <w:rPr>
                <w:color w:val="auto"/>
              </w:rPr>
            </w:pPr>
            <w:r w:rsidRPr="00F05829">
              <w:rPr>
                <w:rFonts w:ascii="Arial" w:hAnsi="Arial" w:cs="Arial"/>
                <w:color w:val="auto"/>
                <w:sz w:val="18"/>
                <w:szCs w:val="18"/>
              </w:rPr>
              <w:t xml:space="preserve">Complete investigation and analysis of most appropriate Australian State/Territory authority provider of Senior curriculum and consider implications of Australian National Curriculum Grade 1-10 over the longer term. </w:t>
            </w:r>
          </w:p>
          <w:p w:rsidR="00C44501" w:rsidRPr="00F05829" w:rsidRDefault="00C44501" w:rsidP="00E26ADF">
            <w:pPr>
              <w:pStyle w:val="ListParagraph"/>
              <w:tabs>
                <w:tab w:val="left" w:pos="267"/>
              </w:tabs>
              <w:ind w:left="0"/>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A requirement of Australian Curriculum Licensing agreements is that qualified teachers are required for delivery of the curriculum. Funding additional (region-sourced) expatriate teacher/mentors in secondary schools, including for the proposed Subject Coordinator roles (salaries, travel and accommodation) will enable GoN to meet Australian licensing requirements.</w:t>
            </w:r>
          </w:p>
          <w:p w:rsidR="00C44501" w:rsidRPr="00F05829" w:rsidRDefault="00C44501" w:rsidP="00E26ADF">
            <w:pPr>
              <w:pStyle w:val="ListParagraph"/>
              <w:ind w:left="360"/>
              <w:rPr>
                <w:rFonts w:ascii="Arial" w:hAnsi="Arial" w:cs="Arial"/>
                <w:color w:val="auto"/>
                <w:sz w:val="18"/>
                <w:szCs w:val="18"/>
              </w:rPr>
            </w:pPr>
          </w:p>
          <w:p w:rsidR="00C44501" w:rsidRPr="00F05829" w:rsidRDefault="00C44501" w:rsidP="00E26ADF">
            <w:pPr>
              <w:rPr>
                <w:color w:val="auto"/>
              </w:rPr>
            </w:pPr>
          </w:p>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t xml:space="preserve">Support implementation of the TVET pathways policy for NSS  </w:t>
            </w: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xml:space="preserve">For students undertaking TVET courses delivered at NSS and Learning Village </w:t>
            </w:r>
            <w:r>
              <w:rPr>
                <w:rFonts w:ascii="Arial" w:hAnsi="Arial" w:cs="Arial"/>
                <w:color w:val="auto"/>
                <w:sz w:val="18"/>
                <w:szCs w:val="18"/>
              </w:rPr>
              <w:t>DET</w:t>
            </w:r>
            <w:r w:rsidRPr="00F05829">
              <w:rPr>
                <w:rFonts w:ascii="Arial" w:hAnsi="Arial" w:cs="Arial"/>
                <w:color w:val="auto"/>
                <w:sz w:val="18"/>
                <w:szCs w:val="18"/>
              </w:rPr>
              <w:t xml:space="preserve"> to receive an international recognised qualification the </w:t>
            </w:r>
            <w:r>
              <w:rPr>
                <w:rFonts w:ascii="Arial" w:hAnsi="Arial" w:cs="Arial"/>
                <w:color w:val="auto"/>
                <w:sz w:val="18"/>
                <w:szCs w:val="18"/>
              </w:rPr>
              <w:t>DET</w:t>
            </w:r>
            <w:r w:rsidRPr="00F05829">
              <w:rPr>
                <w:rFonts w:ascii="Arial" w:hAnsi="Arial" w:cs="Arial"/>
                <w:color w:val="auto"/>
                <w:sz w:val="18"/>
                <w:szCs w:val="18"/>
              </w:rPr>
              <w:t xml:space="preserve"> need to secure a Registered Training Organisation (RTO) for TVET. This will also involve student fees for accreditation for current student cohort.</w:t>
            </w:r>
          </w:p>
          <w:p w:rsidR="00C44501" w:rsidRPr="00F05829" w:rsidRDefault="00C44501" w:rsidP="00E26ADF">
            <w:pPr>
              <w:rPr>
                <w:color w:val="auto"/>
              </w:rPr>
            </w:pPr>
          </w:p>
          <w:p w:rsidR="00C44501" w:rsidRPr="00F05829" w:rsidRDefault="00C44501" w:rsidP="00E26ADF">
            <w:pPr>
              <w:rPr>
                <w:rFonts w:ascii="Arial" w:hAnsi="Arial" w:cs="Arial"/>
                <w:i/>
                <w:color w:val="auto"/>
                <w:sz w:val="18"/>
                <w:szCs w:val="18"/>
              </w:rPr>
            </w:pPr>
            <w:r w:rsidRPr="00F05829">
              <w:rPr>
                <w:rFonts w:ascii="Arial" w:hAnsi="Arial" w:cs="Arial"/>
                <w:i/>
                <w:color w:val="auto"/>
                <w:sz w:val="18"/>
                <w:szCs w:val="18"/>
              </w:rPr>
              <w:t xml:space="preserve">Accreditation of current Trainers and Assessor delivering TVET courses at NSS. This is a critical issue for DET as these TAA’s need to have a Certificate </w:t>
            </w:r>
            <w:r w:rsidRPr="00F05829">
              <w:rPr>
                <w:rFonts w:ascii="Arial" w:hAnsi="Arial" w:cs="Arial"/>
                <w:i/>
                <w:color w:val="auto"/>
                <w:sz w:val="18"/>
                <w:szCs w:val="18"/>
              </w:rPr>
              <w:lastRenderedPageBreak/>
              <w:t>II in their specific trade area in order to be able to assess competencies that they are delivering. An NPP has been submitted for this specific activity.</w:t>
            </w:r>
          </w:p>
          <w:p w:rsidR="00C44501" w:rsidRPr="00F05829" w:rsidRDefault="00C44501" w:rsidP="00E26ADF">
            <w:pPr>
              <w:rPr>
                <w:color w:val="auto"/>
              </w:rPr>
            </w:pPr>
          </w:p>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t>Support for the lost generation – youth and adults18-25 age group with low levels of basic education and limited employment opportunities through:</w:t>
            </w: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The trial of an artist / musician in residence program. Through a survey recently conducted with youth a number of aspects relating to education and training were identified. In particular youth indicated the need for skills development in a range of areas and not just academic type subjects. Staff from youth affairs indicated that this would be a positive approach to engaging young people and provide them with a non threatening entry point back into education/ training.</w:t>
            </w:r>
          </w:p>
        </w:tc>
        <w:tc>
          <w:tcPr>
            <w:tcW w:w="1800" w:type="dxa"/>
          </w:tcPr>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Default="00C44501" w:rsidP="00E26ADF">
            <w:pPr>
              <w:rPr>
                <w:color w:val="auto"/>
              </w:rPr>
            </w:pPr>
          </w:p>
          <w:p w:rsidR="00C44501" w:rsidRPr="00F05829" w:rsidRDefault="00C44501" w:rsidP="00E26ADF">
            <w:pPr>
              <w:rPr>
                <w:color w:val="auto"/>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teachers 3.1</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curriculum 2.7</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color w:val="auto"/>
              </w:rPr>
            </w:pPr>
          </w:p>
          <w:p w:rsidR="00C44501" w:rsidRPr="00F05829" w:rsidRDefault="00C44501" w:rsidP="00E26ADF">
            <w:pPr>
              <w:rPr>
                <w:color w:val="auto"/>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teachers 3.4</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curriculum 2.7</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i/>
                <w:color w:val="auto"/>
                <w:sz w:val="18"/>
                <w:szCs w:val="18"/>
              </w:rPr>
              <w:t>Our curriculum 2.</w:t>
            </w:r>
            <w:r w:rsidRPr="00F05829">
              <w:rPr>
                <w:rFonts w:ascii="Arial" w:hAnsi="Arial" w:cs="Arial"/>
                <w:color w:val="auto"/>
                <w:sz w:val="18"/>
                <w:szCs w:val="18"/>
              </w:rPr>
              <w:t>7</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place in the community 5.3</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t>Sub total</w:t>
            </w:r>
          </w:p>
        </w:tc>
        <w:tc>
          <w:tcPr>
            <w:tcW w:w="1466" w:type="dxa"/>
          </w:tcPr>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$ 356 000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xml:space="preserve">$ 440 000 </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$ 60 000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$126 000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i/>
                <w:color w:val="auto"/>
                <w:sz w:val="18"/>
                <w:szCs w:val="18"/>
              </w:rPr>
            </w:pPr>
            <w:r w:rsidRPr="00F05829">
              <w:rPr>
                <w:rFonts w:ascii="Arial" w:hAnsi="Arial" w:cs="Arial"/>
                <w:i/>
                <w:color w:val="auto"/>
                <w:sz w:val="18"/>
                <w:szCs w:val="18"/>
              </w:rPr>
              <w:t>$76 290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$15 000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t>$ 687 000</w:t>
            </w:r>
          </w:p>
        </w:tc>
      </w:tr>
      <w:tr w:rsidR="00C44501" w:rsidRPr="00F05829" w:rsidTr="00E26ADF">
        <w:tc>
          <w:tcPr>
            <w:tcW w:w="1908" w:type="dxa"/>
          </w:tcPr>
          <w:p w:rsidR="00C44501" w:rsidRPr="00F05829" w:rsidRDefault="00C44501" w:rsidP="00E26ADF">
            <w:pPr>
              <w:rPr>
                <w:color w:val="auto"/>
              </w:rPr>
            </w:pPr>
          </w:p>
        </w:tc>
        <w:tc>
          <w:tcPr>
            <w:tcW w:w="1980" w:type="dxa"/>
          </w:tcPr>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t>Whole System Management</w:t>
            </w: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color w:val="auto"/>
              </w:rPr>
            </w:pPr>
            <w:r w:rsidRPr="00F05829">
              <w:rPr>
                <w:rFonts w:ascii="Arial" w:hAnsi="Arial" w:cs="Arial"/>
                <w:b/>
                <w:color w:val="auto"/>
                <w:sz w:val="18"/>
                <w:szCs w:val="18"/>
              </w:rPr>
              <w:t>Monitoring and Evaluation for Improved Learning Outcomes</w:t>
            </w:r>
          </w:p>
        </w:tc>
        <w:tc>
          <w:tcPr>
            <w:tcW w:w="7020" w:type="dxa"/>
          </w:tcPr>
          <w:p w:rsidR="00C44501" w:rsidRPr="00F05829" w:rsidRDefault="00C44501" w:rsidP="00E26ADF">
            <w:pPr>
              <w:rPr>
                <w:rFonts w:ascii="Arial" w:hAnsi="Arial" w:cs="Arial"/>
                <w:i/>
                <w:color w:val="auto"/>
                <w:sz w:val="18"/>
                <w:szCs w:val="18"/>
              </w:rPr>
            </w:pPr>
            <w:r w:rsidRPr="00F05829">
              <w:rPr>
                <w:rFonts w:ascii="Arial" w:hAnsi="Arial" w:cs="Arial"/>
                <w:i/>
                <w:color w:val="auto"/>
                <w:sz w:val="18"/>
                <w:szCs w:val="18"/>
              </w:rPr>
              <w:t xml:space="preserve">N.B. Education and Training Bill to be enacted in 2010 </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b/>
                <w:color w:val="auto"/>
                <w:sz w:val="18"/>
                <w:szCs w:val="18"/>
              </w:rPr>
              <w:t>Strengthen capacity to implement the new Nauru Education Policy Framework through</w:t>
            </w:r>
            <w:r w:rsidRPr="00F05829">
              <w:rPr>
                <w:rFonts w:ascii="Arial" w:hAnsi="Arial" w:cs="Arial"/>
                <w:color w:val="auto"/>
                <w:sz w:val="18"/>
                <w:szCs w:val="18"/>
              </w:rPr>
              <w:t>:</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xml:space="preserve">Appointment of DET Education Adviser (international TA) May 2010-2012 to enhance capacity of senior officers in the </w:t>
            </w:r>
            <w:r>
              <w:rPr>
                <w:rFonts w:ascii="Arial" w:hAnsi="Arial" w:cs="Arial"/>
                <w:color w:val="auto"/>
                <w:sz w:val="18"/>
                <w:szCs w:val="18"/>
              </w:rPr>
              <w:t>DET</w:t>
            </w:r>
            <w:r w:rsidRPr="00F05829">
              <w:rPr>
                <w:rFonts w:ascii="Arial" w:hAnsi="Arial" w:cs="Arial"/>
                <w:color w:val="auto"/>
                <w:sz w:val="18"/>
                <w:szCs w:val="18"/>
              </w:rPr>
              <w:t xml:space="preserve">. </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xml:space="preserve">Ongoing professional development for senior DET staff. This will basically focus on organisational and human resource development and is a priority across the department. Areas of focus will include financial management. HR management, systems management and policy development and implementation. Strengthening capacity in these areas is essential given that the Education Bill is expected to be tabled this year. </w:t>
            </w:r>
          </w:p>
          <w:p w:rsidR="00C44501" w:rsidRPr="00F05829" w:rsidRDefault="00C44501" w:rsidP="00E26ADF">
            <w:pPr>
              <w:ind w:left="72"/>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ind w:left="720"/>
              <w:rPr>
                <w:rFonts w:ascii="Arial" w:hAnsi="Arial" w:cs="Arial"/>
                <w:color w:val="auto"/>
                <w:sz w:val="18"/>
                <w:szCs w:val="18"/>
              </w:rPr>
            </w:pPr>
          </w:p>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t xml:space="preserve">Strengthening, through training and mentoring, </w:t>
            </w:r>
            <w:r>
              <w:rPr>
                <w:rFonts w:ascii="Arial" w:hAnsi="Arial" w:cs="Arial"/>
                <w:b/>
                <w:color w:val="auto"/>
                <w:sz w:val="18"/>
                <w:szCs w:val="18"/>
              </w:rPr>
              <w:t>DET</w:t>
            </w:r>
            <w:r w:rsidRPr="00F05829">
              <w:rPr>
                <w:rFonts w:ascii="Arial" w:hAnsi="Arial" w:cs="Arial"/>
                <w:b/>
                <w:color w:val="auto"/>
                <w:sz w:val="18"/>
                <w:szCs w:val="18"/>
              </w:rPr>
              <w:t>’s M&amp;E capacity, through:</w:t>
            </w:r>
          </w:p>
          <w:p w:rsidR="00C44501" w:rsidRPr="00F05829" w:rsidRDefault="00C44501" w:rsidP="00E26ADF">
            <w:pPr>
              <w:ind w:left="720"/>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xml:space="preserve">Consolidating and strengthening Nauru’s annual benchmarking of literacy and numeracy in schools (especially capacity of DET to analyse results, monitor progress against baselines, and work with schools to drive system improvement).  A review of this benchmarking needs to be undertaken in terms of appropriateness, recognition of ESL, along with enhancing understanding of </w:t>
            </w:r>
            <w:r>
              <w:rPr>
                <w:rFonts w:ascii="Arial" w:hAnsi="Arial" w:cs="Arial"/>
                <w:color w:val="auto"/>
                <w:sz w:val="18"/>
                <w:szCs w:val="18"/>
              </w:rPr>
              <w:lastRenderedPageBreak/>
              <w:t>DET</w:t>
            </w:r>
            <w:r w:rsidRPr="00F05829">
              <w:rPr>
                <w:rFonts w:ascii="Arial" w:hAnsi="Arial" w:cs="Arial"/>
                <w:color w:val="auto"/>
                <w:sz w:val="18"/>
                <w:szCs w:val="18"/>
              </w:rPr>
              <w:t xml:space="preserve"> CASE staff and teachers in diagnostics, intervention and remediation strategies.</w:t>
            </w:r>
          </w:p>
          <w:p w:rsidR="00C44501" w:rsidRPr="00F05829" w:rsidRDefault="00C44501" w:rsidP="00E26ADF">
            <w:pPr>
              <w:tabs>
                <w:tab w:val="left" w:pos="0"/>
              </w:tabs>
              <w:rPr>
                <w:rFonts w:ascii="Arial" w:hAnsi="Arial" w:cs="Arial"/>
                <w:color w:val="auto"/>
                <w:sz w:val="18"/>
                <w:szCs w:val="18"/>
              </w:rPr>
            </w:pPr>
          </w:p>
          <w:p w:rsidR="00C44501" w:rsidRPr="00F05829" w:rsidRDefault="00C44501" w:rsidP="00E26ADF">
            <w:pPr>
              <w:tabs>
                <w:tab w:val="left" w:pos="0"/>
              </w:tabs>
              <w:rPr>
                <w:rFonts w:ascii="Arial" w:hAnsi="Arial" w:cs="Arial"/>
                <w:color w:val="auto"/>
                <w:sz w:val="18"/>
                <w:szCs w:val="18"/>
              </w:rPr>
            </w:pPr>
            <w:r w:rsidRPr="00F05829">
              <w:rPr>
                <w:rFonts w:ascii="Arial" w:hAnsi="Arial" w:cs="Arial"/>
                <w:color w:val="auto"/>
                <w:sz w:val="18"/>
                <w:szCs w:val="18"/>
              </w:rPr>
              <w:t xml:space="preserve">Developing DET professional capability to monitor school performance (teacher/principal appraisal and performance reviews) and school based accountability (e.g. school based management/ budgets). There is currently one DET staff member who is responsible for this process. Training needs to be undertaken to enhance this officers capacity as well as working with principals to assist them develop skills in this aspect of human resource management. </w:t>
            </w:r>
          </w:p>
          <w:p w:rsidR="00C44501" w:rsidRPr="00F05829" w:rsidRDefault="00C44501" w:rsidP="00E26ADF">
            <w:pPr>
              <w:tabs>
                <w:tab w:val="left" w:pos="0"/>
              </w:tabs>
              <w:rPr>
                <w:rFonts w:ascii="Arial" w:hAnsi="Arial" w:cs="Arial"/>
                <w:color w:val="auto"/>
                <w:sz w:val="18"/>
                <w:szCs w:val="18"/>
              </w:rPr>
            </w:pPr>
          </w:p>
          <w:p w:rsidR="00C44501" w:rsidRPr="00F05829" w:rsidRDefault="00C44501" w:rsidP="00E26ADF">
            <w:pPr>
              <w:tabs>
                <w:tab w:val="left" w:pos="0"/>
              </w:tabs>
              <w:rPr>
                <w:rFonts w:ascii="Arial" w:hAnsi="Arial" w:cs="Arial"/>
                <w:color w:val="auto"/>
                <w:sz w:val="18"/>
                <w:szCs w:val="18"/>
              </w:rPr>
            </w:pPr>
          </w:p>
          <w:p w:rsidR="00C44501" w:rsidRPr="00F05829" w:rsidRDefault="00C44501" w:rsidP="00E26ADF">
            <w:pPr>
              <w:rPr>
                <w:color w:val="auto"/>
              </w:rPr>
            </w:pPr>
            <w:r w:rsidRPr="00F05829">
              <w:rPr>
                <w:rFonts w:ascii="Arial" w:hAnsi="Arial" w:cs="Arial"/>
                <w:color w:val="auto"/>
                <w:sz w:val="18"/>
                <w:szCs w:val="18"/>
              </w:rPr>
              <w:t xml:space="preserve">Developing  “Minimum Service Standards”  to drive improvement in target areas (teaching, curriculum, leadership and student achievement and expand and increase efficiency and accountability of the current small school grant. </w:t>
            </w:r>
          </w:p>
        </w:tc>
        <w:tc>
          <w:tcPr>
            <w:tcW w:w="1800" w:type="dxa"/>
          </w:tcPr>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education system 7.3</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accountability 6.3</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accountability 6.1</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Our accountability 6.2</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t>Sub total</w:t>
            </w: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t>NPP’s total</w:t>
            </w:r>
          </w:p>
        </w:tc>
        <w:tc>
          <w:tcPr>
            <w:tcW w:w="1466" w:type="dxa"/>
          </w:tcPr>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color w:val="auto"/>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xml:space="preserve">$387 172 </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$40 000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$ 30 000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$ 31 700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color w:val="auto"/>
                <w:sz w:val="18"/>
                <w:szCs w:val="18"/>
              </w:rPr>
            </w:pPr>
            <w:r w:rsidRPr="00F05829">
              <w:rPr>
                <w:rFonts w:ascii="Arial" w:hAnsi="Arial" w:cs="Arial"/>
                <w:color w:val="auto"/>
                <w:sz w:val="18"/>
                <w:szCs w:val="18"/>
              </w:rPr>
              <w:t>$150 000</w:t>
            </w:r>
          </w:p>
          <w:p w:rsidR="00C44501" w:rsidRPr="00F05829" w:rsidRDefault="00C44501" w:rsidP="00E26ADF">
            <w:pPr>
              <w:rPr>
                <w:rFonts w:ascii="Arial" w:hAnsi="Arial" w:cs="Arial"/>
                <w:color w:val="auto"/>
                <w:sz w:val="18"/>
                <w:szCs w:val="18"/>
              </w:rPr>
            </w:pP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t>$ 638  872</w:t>
            </w:r>
          </w:p>
          <w:p w:rsidR="00C44501" w:rsidRPr="00F05829" w:rsidRDefault="00C44501" w:rsidP="00E26ADF">
            <w:pPr>
              <w:rPr>
                <w:rFonts w:ascii="Arial" w:hAnsi="Arial" w:cs="Arial"/>
                <w:b/>
                <w:color w:val="auto"/>
                <w:sz w:val="18"/>
                <w:szCs w:val="18"/>
              </w:rPr>
            </w:pPr>
          </w:p>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t>$915 110</w:t>
            </w:r>
          </w:p>
        </w:tc>
      </w:tr>
      <w:tr w:rsidR="00C44501" w:rsidRPr="00F05829" w:rsidTr="00E26ADF">
        <w:tc>
          <w:tcPr>
            <w:tcW w:w="1908" w:type="dxa"/>
          </w:tcPr>
          <w:p w:rsidR="00C44501" w:rsidRPr="00F05829" w:rsidRDefault="00C44501" w:rsidP="00E26ADF">
            <w:pPr>
              <w:rPr>
                <w:color w:val="auto"/>
              </w:rPr>
            </w:pPr>
          </w:p>
        </w:tc>
        <w:tc>
          <w:tcPr>
            <w:tcW w:w="1980" w:type="dxa"/>
          </w:tcPr>
          <w:p w:rsidR="00C44501" w:rsidRPr="00F05829" w:rsidRDefault="00C44501" w:rsidP="00E26ADF">
            <w:pPr>
              <w:rPr>
                <w:rFonts w:ascii="Arial" w:hAnsi="Arial" w:cs="Arial"/>
                <w:b/>
                <w:color w:val="auto"/>
                <w:sz w:val="18"/>
                <w:szCs w:val="18"/>
              </w:rPr>
            </w:pPr>
          </w:p>
        </w:tc>
        <w:tc>
          <w:tcPr>
            <w:tcW w:w="7020" w:type="dxa"/>
          </w:tcPr>
          <w:p w:rsidR="00C44501" w:rsidRPr="00F05829" w:rsidRDefault="00C44501" w:rsidP="00E26ADF">
            <w:pPr>
              <w:rPr>
                <w:rFonts w:ascii="Arial" w:hAnsi="Arial" w:cs="Arial"/>
                <w:i/>
                <w:color w:val="auto"/>
                <w:sz w:val="18"/>
                <w:szCs w:val="18"/>
              </w:rPr>
            </w:pPr>
          </w:p>
        </w:tc>
        <w:tc>
          <w:tcPr>
            <w:tcW w:w="1800" w:type="dxa"/>
          </w:tcPr>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t>Total</w:t>
            </w:r>
          </w:p>
          <w:p w:rsidR="00C44501" w:rsidRPr="00F05829" w:rsidRDefault="00C44501" w:rsidP="00E26ADF">
            <w:pPr>
              <w:rPr>
                <w:rFonts w:ascii="Arial" w:hAnsi="Arial" w:cs="Arial"/>
                <w:b/>
                <w:color w:val="auto"/>
                <w:sz w:val="18"/>
                <w:szCs w:val="18"/>
              </w:rPr>
            </w:pPr>
          </w:p>
        </w:tc>
        <w:tc>
          <w:tcPr>
            <w:tcW w:w="1466" w:type="dxa"/>
          </w:tcPr>
          <w:p w:rsidR="00C44501" w:rsidRPr="00F05829" w:rsidRDefault="00C44501" w:rsidP="00E26ADF">
            <w:pPr>
              <w:rPr>
                <w:rFonts w:ascii="Arial" w:hAnsi="Arial" w:cs="Arial"/>
                <w:b/>
                <w:color w:val="auto"/>
                <w:sz w:val="18"/>
                <w:szCs w:val="18"/>
              </w:rPr>
            </w:pPr>
            <w:r w:rsidRPr="00F05829">
              <w:rPr>
                <w:rFonts w:ascii="Arial" w:hAnsi="Arial" w:cs="Arial"/>
                <w:b/>
                <w:color w:val="auto"/>
                <w:sz w:val="18"/>
                <w:szCs w:val="18"/>
              </w:rPr>
              <w:t>$ 2 691 062</w:t>
            </w:r>
          </w:p>
        </w:tc>
      </w:tr>
    </w:tbl>
    <w:p w:rsidR="00C44501" w:rsidRPr="00F05829" w:rsidRDefault="00C44501" w:rsidP="00C44501">
      <w:pPr>
        <w:jc w:val="both"/>
        <w:rPr>
          <w:rFonts w:ascii="Arial" w:hAnsi="Arial"/>
          <w:color w:val="auto"/>
          <w:sz w:val="22"/>
        </w:rPr>
        <w:sectPr w:rsidR="00C44501" w:rsidRPr="00F05829" w:rsidSect="0030057A">
          <w:headerReference w:type="even" r:id="rId7"/>
          <w:headerReference w:type="default" r:id="rId8"/>
          <w:pgSz w:w="11900" w:h="16840"/>
          <w:pgMar w:top="1418" w:right="1418" w:bottom="1474" w:left="1418" w:header="720" w:footer="720" w:gutter="0"/>
          <w:cols w:space="720"/>
        </w:sectPr>
      </w:pPr>
    </w:p>
    <w:p w:rsidR="00C44501" w:rsidRPr="00F05829" w:rsidRDefault="00C44501" w:rsidP="00C44501">
      <w:pPr>
        <w:jc w:val="both"/>
        <w:rPr>
          <w:rFonts w:ascii="Arial Bold" w:hAnsi="Arial Bold"/>
          <w:color w:val="auto"/>
          <w:sz w:val="22"/>
        </w:rPr>
      </w:pPr>
      <w:r w:rsidRPr="00F05829">
        <w:rPr>
          <w:rFonts w:ascii="Arial Bold" w:hAnsi="Arial Bold"/>
          <w:color w:val="auto"/>
          <w:sz w:val="22"/>
        </w:rPr>
        <w:lastRenderedPageBreak/>
        <w:t>Annex 3 -  Performance Assessment Framework</w:t>
      </w:r>
    </w:p>
    <w:p w:rsidR="00C44501" w:rsidRPr="00F05829" w:rsidRDefault="00C44501" w:rsidP="00C44501">
      <w:pPr>
        <w:jc w:val="both"/>
        <w:rPr>
          <w:rFonts w:ascii="Arial" w:hAnsi="Arial"/>
          <w:color w:val="auto"/>
          <w:sz w:val="22"/>
        </w:rPr>
      </w:pPr>
    </w:p>
    <w:p w:rsidR="00C44501" w:rsidRPr="00F05829" w:rsidRDefault="00C44501" w:rsidP="00C44501">
      <w:pPr>
        <w:jc w:val="both"/>
        <w:rPr>
          <w:rFonts w:ascii="Arial" w:hAnsi="Arial"/>
          <w:color w:val="auto"/>
          <w:sz w:val="22"/>
        </w:rPr>
      </w:pPr>
      <w:r w:rsidRPr="00F05829">
        <w:rPr>
          <w:rFonts w:ascii="Arial" w:hAnsi="Arial"/>
          <w:color w:val="auto"/>
          <w:sz w:val="22"/>
        </w:rPr>
        <w:t>The Performance Assessment Framework (PAF) provides a monitorable set of indicators to gauge the progress of interventions outlined under the Partnership Priority Outcome 2: Improved Education Implementation Strategy.</w:t>
      </w:r>
    </w:p>
    <w:p w:rsidR="00C44501" w:rsidRPr="00F05829" w:rsidRDefault="00C44501" w:rsidP="00C44501">
      <w:pPr>
        <w:jc w:val="both"/>
        <w:rPr>
          <w:rFonts w:ascii="Arial" w:hAnsi="Arial"/>
          <w:color w:val="auto"/>
          <w:sz w:val="22"/>
        </w:rPr>
      </w:pPr>
    </w:p>
    <w:p w:rsidR="00C44501" w:rsidRPr="00F05829" w:rsidRDefault="00C44501" w:rsidP="00C44501">
      <w:pPr>
        <w:jc w:val="both"/>
        <w:rPr>
          <w:rFonts w:ascii="Arial" w:hAnsi="Arial"/>
          <w:color w:val="auto"/>
          <w:sz w:val="22"/>
        </w:rPr>
      </w:pPr>
      <w:r w:rsidRPr="00F05829">
        <w:rPr>
          <w:rFonts w:ascii="Arial" w:hAnsi="Arial"/>
          <w:color w:val="auto"/>
          <w:sz w:val="22"/>
        </w:rPr>
        <w:t>Data will be sourced from GoN systems. The primary data source will be DET’s evolving EMIS, with the GoN Department of Statistics providing additional data.  A partnership focus will be on strengthening GoN/DET capacity to collect, collate and analyse data through EMIS.</w:t>
      </w:r>
    </w:p>
    <w:p w:rsidR="00C44501" w:rsidRPr="00F05829" w:rsidRDefault="00C44501" w:rsidP="00C44501">
      <w:pPr>
        <w:spacing w:before="120"/>
        <w:jc w:val="both"/>
        <w:rPr>
          <w:rFonts w:ascii="Arial" w:hAnsi="Arial"/>
          <w:color w:val="auto"/>
          <w:sz w:val="22"/>
        </w:rPr>
      </w:pPr>
      <w:r w:rsidRPr="00F05829">
        <w:rPr>
          <w:rFonts w:ascii="Arial" w:hAnsi="Arial"/>
          <w:color w:val="auto"/>
          <w:sz w:val="22"/>
        </w:rPr>
        <w:t xml:space="preserve">System monitoring (primary and secondary) of progress in literacy and numeracy will be based on the benchmarking processes that DET is currently implementing. This involves using Australian (commercially available) standardised annual tests that trained benchmarkers administer (in years 2, 4 and 6). A baseline has been established (from 2009) and annual testing will be used to measure progress. </w:t>
      </w:r>
    </w:p>
    <w:p w:rsidR="00C44501" w:rsidRPr="00F05829" w:rsidRDefault="00C44501" w:rsidP="00C44501">
      <w:pPr>
        <w:spacing w:before="120"/>
        <w:jc w:val="both"/>
        <w:rPr>
          <w:rFonts w:ascii="Arial" w:hAnsi="Arial"/>
          <w:color w:val="auto"/>
          <w:sz w:val="22"/>
        </w:rPr>
      </w:pPr>
      <w:r w:rsidRPr="00F05829">
        <w:rPr>
          <w:rFonts w:ascii="Arial" w:hAnsi="Arial"/>
          <w:color w:val="auto"/>
          <w:sz w:val="22"/>
        </w:rPr>
        <w:t>In addition, school examinations results (standardised tests in Grades 3, 6 and 9) and other assessments (e.g. Rich Task assessments) will be used both to monitor system progress and to inform parents and students of student progress. The education indicators follow accepted international definitions.</w:t>
      </w:r>
    </w:p>
    <w:p w:rsidR="00C44501" w:rsidRPr="00F05829" w:rsidRDefault="00C44501" w:rsidP="00C44501">
      <w:pPr>
        <w:jc w:val="both"/>
        <w:rPr>
          <w:rFonts w:ascii="Arial" w:hAnsi="Arial"/>
          <w:color w:val="auto"/>
          <w:sz w:val="22"/>
        </w:rPr>
      </w:pPr>
    </w:p>
    <w:p w:rsidR="00C44501" w:rsidRPr="00F05829" w:rsidRDefault="00C44501" w:rsidP="00C44501">
      <w:pPr>
        <w:jc w:val="both"/>
        <w:rPr>
          <w:rFonts w:ascii="Arial" w:hAnsi="Arial"/>
          <w:color w:val="auto"/>
          <w:sz w:val="16"/>
          <w:szCs w:val="16"/>
        </w:rPr>
      </w:pPr>
      <w:r w:rsidRPr="00F05829">
        <w:rPr>
          <w:rFonts w:ascii="Arial" w:hAnsi="Arial"/>
          <w:color w:val="auto"/>
          <w:sz w:val="16"/>
          <w:szCs w:val="16"/>
        </w:rPr>
        <w:t>Table 6. PAF Measurement: Indicators and Targets</w:t>
      </w:r>
    </w:p>
    <w:p w:rsidR="00C44501" w:rsidRPr="00F05829" w:rsidRDefault="00C44501" w:rsidP="00C44501">
      <w:pPr>
        <w:jc w:val="both"/>
        <w:rPr>
          <w:rFonts w:ascii="Arial Bold" w:hAnsi="Arial Bold"/>
          <w:color w:val="auto"/>
          <w:sz w:val="16"/>
          <w:szCs w:val="16"/>
        </w:rPr>
      </w:pPr>
    </w:p>
    <w:tbl>
      <w:tblPr>
        <w:tblW w:w="0" w:type="auto"/>
        <w:tblInd w:w="5" w:type="dxa"/>
        <w:tblLayout w:type="fixed"/>
        <w:tblLook w:val="0000"/>
      </w:tblPr>
      <w:tblGrid>
        <w:gridCol w:w="1120"/>
        <w:gridCol w:w="854"/>
        <w:gridCol w:w="610"/>
        <w:gridCol w:w="733"/>
        <w:gridCol w:w="1464"/>
        <w:gridCol w:w="1097"/>
        <w:gridCol w:w="1098"/>
        <w:gridCol w:w="2074"/>
      </w:tblGrid>
      <w:tr w:rsidR="00C44501" w:rsidRPr="00F05829" w:rsidTr="00E26ADF">
        <w:trPr>
          <w:cantSplit/>
          <w:trHeight w:val="270"/>
        </w:trPr>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p>
          <w:p w:rsidR="00C44501" w:rsidRPr="00F05829" w:rsidRDefault="00C44501" w:rsidP="00E26ADF">
            <w:pPr>
              <w:jc w:val="both"/>
              <w:rPr>
                <w:rFonts w:ascii="Arial" w:hAnsi="Arial"/>
                <w:color w:val="auto"/>
                <w:sz w:val="16"/>
                <w:szCs w:val="16"/>
              </w:rPr>
            </w:pPr>
          </w:p>
          <w:p w:rsidR="00C44501" w:rsidRPr="00F05829" w:rsidRDefault="00C44501" w:rsidP="00E26ADF">
            <w:pPr>
              <w:jc w:val="both"/>
              <w:rPr>
                <w:rFonts w:ascii="Arial" w:hAnsi="Arial"/>
                <w:color w:val="auto"/>
                <w:sz w:val="16"/>
                <w:szCs w:val="16"/>
              </w:rPr>
            </w:pPr>
          </w:p>
          <w:p w:rsidR="00C44501" w:rsidRPr="00F05829" w:rsidRDefault="00C44501" w:rsidP="00E26ADF">
            <w:pPr>
              <w:jc w:val="both"/>
              <w:rPr>
                <w:rFonts w:ascii="Arial Bold" w:hAnsi="Arial Bold"/>
                <w:color w:val="auto"/>
                <w:sz w:val="16"/>
                <w:szCs w:val="16"/>
              </w:rPr>
            </w:pPr>
            <w:r w:rsidRPr="00F05829">
              <w:rPr>
                <w:rFonts w:ascii="Arial" w:hAnsi="Arial"/>
                <w:color w:val="auto"/>
                <w:sz w:val="16"/>
                <w:szCs w:val="16"/>
              </w:rPr>
              <w:t xml:space="preserve">Key </w:t>
            </w:r>
            <w:r w:rsidRPr="00F05829">
              <w:rPr>
                <w:rFonts w:ascii="Arial Bold" w:hAnsi="Arial Bold"/>
                <w:color w:val="auto"/>
                <w:sz w:val="16"/>
                <w:szCs w:val="16"/>
              </w:rPr>
              <w:t>Indicators</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Baseline</w:t>
            </w:r>
          </w:p>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2010</w:t>
            </w:r>
          </w:p>
        </w:tc>
        <w:tc>
          <w:tcPr>
            <w:tcW w:w="1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Targets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color w:val="auto"/>
                <w:sz w:val="1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color w:val="auto"/>
                <w:sz w:val="16"/>
                <w:szCs w:val="16"/>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color w:val="auto"/>
                <w:sz w:val="16"/>
                <w:szCs w:val="16"/>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color w:val="auto"/>
                <w:sz w:val="16"/>
                <w:szCs w:val="16"/>
              </w:rPr>
            </w:pPr>
          </w:p>
        </w:tc>
      </w:tr>
      <w:tr w:rsidR="00C44501" w:rsidRPr="00F05829" w:rsidTr="00E26ADF">
        <w:trPr>
          <w:cantSplit/>
          <w:trHeight w:val="710"/>
        </w:trPr>
        <w:tc>
          <w:tcPr>
            <w:tcW w:w="112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color w:val="auto"/>
                <w:sz w:val="16"/>
                <w:szCs w:val="16"/>
              </w:rPr>
            </w:pPr>
          </w:p>
        </w:tc>
        <w:tc>
          <w:tcPr>
            <w:tcW w:w="854"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color w:val="auto"/>
                <w:sz w:val="16"/>
                <w:szCs w:val="16"/>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Short-term targets</w:t>
            </w:r>
          </w:p>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2012</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Medium-term</w:t>
            </w:r>
          </w:p>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targets</w:t>
            </w:r>
          </w:p>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2015</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Data Required</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Data Source</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Timing</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Risks</w:t>
            </w:r>
          </w:p>
        </w:tc>
      </w:tr>
      <w:tr w:rsidR="00C44501" w:rsidRPr="00F05829" w:rsidTr="00E26ADF">
        <w:trPr>
          <w:cantSplit/>
          <w:trHeight w:val="1200"/>
        </w:trPr>
        <w:tc>
          <w:tcPr>
            <w:tcW w:w="1120"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Improved Quality and Access to Primary and Secondary Education</w:t>
            </w:r>
          </w:p>
        </w:tc>
        <w:tc>
          <w:tcPr>
            <w:tcW w:w="854"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610"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733"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1464"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1098"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2074"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r>
      <w:tr w:rsidR="00C44501" w:rsidRPr="00F05829" w:rsidTr="00E26ADF">
        <w:trPr>
          <w:cantSplit/>
          <w:trHeight w:val="2000"/>
        </w:trPr>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Net Enrolment Rate (NER) Primary Grade 1</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92.1%</w:t>
            </w:r>
          </w:p>
        </w:tc>
        <w:tc>
          <w:tcPr>
            <w:tcW w:w="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95%</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Enrolment Grade 1</w:t>
            </w:r>
          </w:p>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Age cohort ages 5-6 yo</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School enrolment figures</w:t>
            </w:r>
          </w:p>
          <w:p w:rsidR="00C44501" w:rsidRPr="00F05829" w:rsidRDefault="00C44501" w:rsidP="00E26ADF">
            <w:pPr>
              <w:numPr>
                <w:ilvl w:val="0"/>
                <w:numId w:val="7"/>
              </w:numPr>
              <w:ind w:hanging="192"/>
              <w:jc w:val="both"/>
              <w:rPr>
                <w:rFonts w:ascii="Arial" w:hAnsi="Arial"/>
                <w:color w:val="auto"/>
                <w:sz w:val="16"/>
                <w:szCs w:val="16"/>
              </w:rPr>
            </w:pPr>
            <w:r w:rsidRPr="00F05829">
              <w:rPr>
                <w:rFonts w:ascii="Arial" w:hAnsi="Arial"/>
                <w:color w:val="auto"/>
                <w:sz w:val="16"/>
                <w:szCs w:val="16"/>
              </w:rPr>
              <w:t>EMIS</w:t>
            </w:r>
          </w:p>
          <w:p w:rsidR="00C44501" w:rsidRPr="00F05829" w:rsidRDefault="00C44501" w:rsidP="00E26ADF">
            <w:pPr>
              <w:numPr>
                <w:ilvl w:val="0"/>
                <w:numId w:val="7"/>
              </w:numPr>
              <w:ind w:hanging="192"/>
              <w:jc w:val="both"/>
              <w:rPr>
                <w:rFonts w:ascii="Arial" w:hAnsi="Arial"/>
                <w:color w:val="auto"/>
                <w:sz w:val="16"/>
                <w:szCs w:val="16"/>
              </w:rPr>
            </w:pPr>
            <w:r w:rsidRPr="00F05829">
              <w:rPr>
                <w:rFonts w:ascii="Arial" w:hAnsi="Arial"/>
                <w:color w:val="auto"/>
                <w:sz w:val="16"/>
                <w:szCs w:val="16"/>
              </w:rPr>
              <w:t>RON Department of Statistics (DoS)</w:t>
            </w:r>
          </w:p>
          <w:p w:rsidR="00C44501" w:rsidRPr="00F05829" w:rsidRDefault="00C44501" w:rsidP="00E26ADF">
            <w:pPr>
              <w:jc w:val="both"/>
              <w:rPr>
                <w:color w:val="auto"/>
                <w:sz w:val="16"/>
                <w:szCs w:val="16"/>
              </w:rPr>
            </w:pP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p>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Annually</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numPr>
                <w:ilvl w:val="0"/>
                <w:numId w:val="8"/>
              </w:numPr>
              <w:ind w:hanging="192"/>
              <w:jc w:val="both"/>
              <w:rPr>
                <w:rFonts w:ascii="Arial" w:hAnsi="Arial"/>
                <w:color w:val="auto"/>
                <w:sz w:val="16"/>
                <w:szCs w:val="16"/>
              </w:rPr>
            </w:pPr>
            <w:r w:rsidRPr="00F05829">
              <w:rPr>
                <w:rFonts w:ascii="Arial" w:hAnsi="Arial"/>
                <w:color w:val="auto"/>
                <w:sz w:val="16"/>
                <w:szCs w:val="16"/>
              </w:rPr>
              <w:t>EMIS system not functioning</w:t>
            </w:r>
          </w:p>
          <w:p w:rsidR="00C44501" w:rsidRPr="00F05829" w:rsidRDefault="00C44501" w:rsidP="00E26ADF">
            <w:pPr>
              <w:numPr>
                <w:ilvl w:val="0"/>
                <w:numId w:val="8"/>
              </w:numPr>
              <w:ind w:hanging="192"/>
              <w:jc w:val="both"/>
              <w:rPr>
                <w:rFonts w:ascii="Arial" w:hAnsi="Arial"/>
                <w:color w:val="auto"/>
                <w:sz w:val="16"/>
                <w:szCs w:val="16"/>
              </w:rPr>
            </w:pPr>
            <w:r w:rsidRPr="00F05829">
              <w:rPr>
                <w:rFonts w:ascii="Arial" w:hAnsi="Arial"/>
                <w:color w:val="auto"/>
                <w:sz w:val="16"/>
                <w:szCs w:val="16"/>
              </w:rPr>
              <w:t>RON Department of Statistics age cohort figures unavailable</w:t>
            </w:r>
          </w:p>
          <w:p w:rsidR="00C44501" w:rsidRPr="00F05829" w:rsidRDefault="00C44501" w:rsidP="00E26ADF">
            <w:pPr>
              <w:numPr>
                <w:ilvl w:val="0"/>
                <w:numId w:val="8"/>
              </w:numPr>
              <w:ind w:hanging="192"/>
              <w:jc w:val="both"/>
              <w:rPr>
                <w:rFonts w:ascii="Arial" w:hAnsi="Arial"/>
                <w:color w:val="auto"/>
                <w:sz w:val="16"/>
                <w:szCs w:val="16"/>
              </w:rPr>
            </w:pPr>
            <w:r w:rsidRPr="00F05829">
              <w:rPr>
                <w:rFonts w:ascii="Arial" w:hAnsi="Arial"/>
                <w:color w:val="auto"/>
                <w:sz w:val="16"/>
                <w:szCs w:val="16"/>
              </w:rPr>
              <w:t>Limited transition from non compulsory early years programs</w:t>
            </w:r>
          </w:p>
        </w:tc>
      </w:tr>
      <w:tr w:rsidR="00C44501" w:rsidRPr="00F05829" w:rsidTr="00E26ADF">
        <w:trPr>
          <w:cantSplit/>
          <w:trHeight w:val="2000"/>
        </w:trPr>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Primary completion rate </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81.0%</w:t>
            </w:r>
          </w:p>
        </w:tc>
        <w:tc>
          <w:tcPr>
            <w:tcW w:w="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8</w:t>
            </w:r>
            <w:r>
              <w:rPr>
                <w:rFonts w:ascii="Arial" w:hAnsi="Arial"/>
                <w:color w:val="auto"/>
                <w:sz w:val="16"/>
                <w:szCs w:val="16"/>
              </w:rPr>
              <w:t>3</w:t>
            </w:r>
            <w:r w:rsidRPr="00F05829">
              <w:rPr>
                <w:rFonts w:ascii="Arial" w:hAnsi="Arial"/>
                <w:color w:val="auto"/>
                <w:sz w:val="16"/>
                <w:szCs w:val="16"/>
              </w:rPr>
              <w:t>%</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8</w:t>
            </w:r>
            <w:r>
              <w:rPr>
                <w:rFonts w:ascii="Arial" w:hAnsi="Arial"/>
                <w:color w:val="auto"/>
                <w:sz w:val="16"/>
                <w:szCs w:val="16"/>
              </w:rPr>
              <w:t>5</w:t>
            </w:r>
            <w:r w:rsidRPr="00F05829">
              <w:rPr>
                <w:rFonts w:ascii="Arial" w:hAnsi="Arial"/>
                <w:color w:val="auto"/>
                <w:sz w:val="16"/>
                <w:szCs w:val="16"/>
              </w:rPr>
              <w:t>%</w:t>
            </w: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Total number of students in final year of primary school (Grade 6)</w:t>
            </w:r>
          </w:p>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Total age cohort of children in Nauru (aged 11)</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numPr>
                <w:ilvl w:val="0"/>
                <w:numId w:val="9"/>
              </w:numPr>
              <w:ind w:hanging="192"/>
              <w:jc w:val="both"/>
              <w:rPr>
                <w:rFonts w:ascii="Arial" w:hAnsi="Arial"/>
                <w:color w:val="auto"/>
                <w:sz w:val="16"/>
                <w:szCs w:val="16"/>
              </w:rPr>
            </w:pPr>
            <w:r w:rsidRPr="00F05829">
              <w:rPr>
                <w:rFonts w:ascii="Arial" w:hAnsi="Arial"/>
                <w:color w:val="auto"/>
                <w:sz w:val="16"/>
                <w:szCs w:val="16"/>
              </w:rPr>
              <w:t>EMIS</w:t>
            </w:r>
          </w:p>
          <w:p w:rsidR="00C44501" w:rsidRPr="00F05829" w:rsidRDefault="00C44501" w:rsidP="00E26ADF">
            <w:pPr>
              <w:numPr>
                <w:ilvl w:val="0"/>
                <w:numId w:val="9"/>
              </w:numPr>
              <w:ind w:hanging="192"/>
              <w:jc w:val="both"/>
              <w:rPr>
                <w:rFonts w:ascii="Arial" w:hAnsi="Arial"/>
                <w:color w:val="auto"/>
                <w:sz w:val="16"/>
                <w:szCs w:val="16"/>
              </w:rPr>
            </w:pPr>
            <w:r w:rsidRPr="00F05829">
              <w:rPr>
                <w:rFonts w:ascii="Arial" w:hAnsi="Arial"/>
                <w:color w:val="auto"/>
                <w:sz w:val="16"/>
                <w:szCs w:val="16"/>
              </w:rPr>
              <w:t>RON DoS</w:t>
            </w:r>
          </w:p>
          <w:p w:rsidR="00C44501" w:rsidRPr="00F05829" w:rsidRDefault="00C44501" w:rsidP="00E26ADF">
            <w:pPr>
              <w:jc w:val="both"/>
              <w:rPr>
                <w:color w:val="auto"/>
                <w:sz w:val="16"/>
                <w:szCs w:val="16"/>
              </w:rPr>
            </w:pP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p>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Annually</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numPr>
                <w:ilvl w:val="0"/>
                <w:numId w:val="10"/>
              </w:numPr>
              <w:ind w:hanging="192"/>
              <w:jc w:val="both"/>
              <w:rPr>
                <w:rFonts w:ascii="Arial" w:hAnsi="Arial"/>
                <w:color w:val="auto"/>
                <w:sz w:val="16"/>
                <w:szCs w:val="16"/>
              </w:rPr>
            </w:pPr>
            <w:r w:rsidRPr="00F05829">
              <w:rPr>
                <w:rFonts w:ascii="Arial" w:hAnsi="Arial"/>
                <w:color w:val="auto"/>
                <w:sz w:val="16"/>
                <w:szCs w:val="16"/>
              </w:rPr>
              <w:t>Continued issue of truancy</w:t>
            </w:r>
          </w:p>
          <w:p w:rsidR="00C44501" w:rsidRPr="00F05829" w:rsidRDefault="00C44501" w:rsidP="00E26ADF">
            <w:pPr>
              <w:numPr>
                <w:ilvl w:val="0"/>
                <w:numId w:val="10"/>
              </w:numPr>
              <w:ind w:hanging="192"/>
              <w:jc w:val="both"/>
              <w:rPr>
                <w:rFonts w:ascii="Arial" w:hAnsi="Arial"/>
                <w:color w:val="auto"/>
                <w:sz w:val="16"/>
                <w:szCs w:val="16"/>
              </w:rPr>
            </w:pPr>
            <w:r w:rsidRPr="00F05829">
              <w:rPr>
                <w:rFonts w:ascii="Arial" w:hAnsi="Arial"/>
                <w:color w:val="auto"/>
                <w:sz w:val="16"/>
                <w:szCs w:val="16"/>
              </w:rPr>
              <w:t>EMIS system not functioning</w:t>
            </w:r>
          </w:p>
          <w:p w:rsidR="00C44501" w:rsidRPr="00F05829" w:rsidRDefault="00C44501" w:rsidP="00E26ADF">
            <w:pPr>
              <w:numPr>
                <w:ilvl w:val="0"/>
                <w:numId w:val="10"/>
              </w:numPr>
              <w:ind w:hanging="192"/>
              <w:jc w:val="both"/>
              <w:rPr>
                <w:rFonts w:ascii="Arial" w:hAnsi="Arial"/>
                <w:color w:val="auto"/>
                <w:sz w:val="16"/>
                <w:szCs w:val="16"/>
              </w:rPr>
            </w:pPr>
            <w:r w:rsidRPr="00F05829">
              <w:rPr>
                <w:rFonts w:ascii="Arial" w:hAnsi="Arial"/>
                <w:color w:val="auto"/>
                <w:sz w:val="16"/>
                <w:szCs w:val="16"/>
              </w:rPr>
              <w:t>RON Department of Statistics age cohort figures unavailable</w:t>
            </w:r>
          </w:p>
          <w:p w:rsidR="00C44501" w:rsidRPr="00F05829" w:rsidRDefault="00C44501" w:rsidP="00E26ADF">
            <w:pPr>
              <w:jc w:val="both"/>
              <w:rPr>
                <w:color w:val="auto"/>
                <w:sz w:val="16"/>
                <w:szCs w:val="16"/>
              </w:rPr>
            </w:pPr>
          </w:p>
        </w:tc>
      </w:tr>
      <w:tr w:rsidR="00C44501" w:rsidRPr="00F05829" w:rsidTr="00E26ADF">
        <w:trPr>
          <w:cantSplit/>
          <w:trHeight w:val="1200"/>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NER Grade 7</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118.5%</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Enrolment Grade 7</w:t>
            </w:r>
          </w:p>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 xml:space="preserve">Age cohort aged 12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11"/>
              </w:numPr>
              <w:ind w:hanging="192"/>
              <w:jc w:val="both"/>
              <w:rPr>
                <w:rFonts w:ascii="Arial" w:hAnsi="Arial"/>
                <w:color w:val="auto"/>
                <w:sz w:val="16"/>
                <w:szCs w:val="16"/>
              </w:rPr>
            </w:pPr>
            <w:r w:rsidRPr="00F05829">
              <w:rPr>
                <w:rFonts w:ascii="Arial" w:hAnsi="Arial"/>
                <w:color w:val="auto"/>
                <w:sz w:val="16"/>
                <w:szCs w:val="16"/>
              </w:rPr>
              <w:t>EMIS</w:t>
            </w:r>
          </w:p>
          <w:p w:rsidR="00C44501" w:rsidRPr="00F05829" w:rsidRDefault="00C44501" w:rsidP="00E26ADF">
            <w:pPr>
              <w:numPr>
                <w:ilvl w:val="0"/>
                <w:numId w:val="11"/>
              </w:numPr>
              <w:ind w:hanging="192"/>
              <w:jc w:val="both"/>
              <w:rPr>
                <w:rFonts w:ascii="Arial" w:hAnsi="Arial"/>
                <w:color w:val="auto"/>
                <w:sz w:val="16"/>
                <w:szCs w:val="16"/>
              </w:rPr>
            </w:pPr>
            <w:r w:rsidRPr="00F05829">
              <w:rPr>
                <w:rFonts w:ascii="Arial" w:hAnsi="Arial"/>
                <w:color w:val="auto"/>
                <w:sz w:val="16"/>
                <w:szCs w:val="16"/>
              </w:rPr>
              <w:t>RON DoS</w:t>
            </w:r>
          </w:p>
          <w:p w:rsidR="00C44501" w:rsidRPr="00F05829" w:rsidRDefault="00C44501" w:rsidP="00E26ADF">
            <w:pPr>
              <w:jc w:val="both"/>
              <w:rPr>
                <w:color w:val="auto"/>
                <w:sz w:val="16"/>
                <w:szCs w:val="16"/>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Annually</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p>
          <w:p w:rsidR="00C44501" w:rsidRPr="00F05829" w:rsidRDefault="00C44501" w:rsidP="00E26ADF">
            <w:pPr>
              <w:numPr>
                <w:ilvl w:val="0"/>
                <w:numId w:val="12"/>
              </w:numPr>
              <w:ind w:hanging="192"/>
              <w:jc w:val="both"/>
              <w:rPr>
                <w:rFonts w:ascii="Arial" w:hAnsi="Arial"/>
                <w:color w:val="auto"/>
                <w:sz w:val="16"/>
                <w:szCs w:val="16"/>
              </w:rPr>
            </w:pPr>
            <w:r w:rsidRPr="00F05829">
              <w:rPr>
                <w:rFonts w:ascii="Arial" w:hAnsi="Arial"/>
                <w:color w:val="auto"/>
                <w:sz w:val="16"/>
                <w:szCs w:val="16"/>
              </w:rPr>
              <w:t>EMIS system not functioning</w:t>
            </w:r>
          </w:p>
          <w:p w:rsidR="00C44501" w:rsidRPr="00F05829" w:rsidRDefault="00C44501" w:rsidP="00E26ADF">
            <w:pPr>
              <w:numPr>
                <w:ilvl w:val="0"/>
                <w:numId w:val="12"/>
              </w:numPr>
              <w:ind w:hanging="192"/>
              <w:jc w:val="both"/>
              <w:rPr>
                <w:rFonts w:ascii="Arial" w:hAnsi="Arial"/>
                <w:color w:val="auto"/>
                <w:sz w:val="16"/>
                <w:szCs w:val="16"/>
              </w:rPr>
            </w:pPr>
            <w:r w:rsidRPr="00F05829">
              <w:rPr>
                <w:rFonts w:ascii="Arial" w:hAnsi="Arial"/>
                <w:color w:val="auto"/>
                <w:sz w:val="16"/>
                <w:szCs w:val="16"/>
              </w:rPr>
              <w:t>RON Department of Statistics age cohort figures unavailable</w:t>
            </w:r>
          </w:p>
        </w:tc>
      </w:tr>
      <w:tr w:rsidR="00C44501" w:rsidRPr="00F05829" w:rsidTr="00E26ADF">
        <w:trPr>
          <w:cantSplit/>
          <w:trHeight w:val="2200"/>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lastRenderedPageBreak/>
              <w:t>Secondary Completion Rate Grade 12</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&gt;25%</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Pr>
                <w:rFonts w:ascii="Arial" w:hAnsi="Arial"/>
                <w:color w:val="auto"/>
                <w:sz w:val="16"/>
                <w:szCs w:val="16"/>
              </w:rPr>
              <w:t>3</w:t>
            </w:r>
            <w:r w:rsidRPr="00F05829">
              <w:rPr>
                <w:rFonts w:ascii="Arial" w:hAnsi="Arial"/>
                <w:color w:val="auto"/>
                <w:sz w:val="16"/>
                <w:szCs w:val="16"/>
              </w:rPr>
              <w:t>0%</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Pr>
                <w:rFonts w:ascii="Arial" w:hAnsi="Arial"/>
                <w:color w:val="auto"/>
                <w:sz w:val="16"/>
                <w:szCs w:val="16"/>
              </w:rPr>
              <w:t>40</w:t>
            </w:r>
            <w:r w:rsidRPr="00F05829">
              <w:rPr>
                <w:rFonts w:ascii="Arial" w:hAnsi="Arial"/>
                <w:color w:val="auto"/>
                <w:sz w:val="16"/>
                <w:szCs w:val="16"/>
              </w:rPr>
              <w: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Total number of students in final year of secondary school (Grade 12)</w:t>
            </w:r>
          </w:p>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Total age cohort of children in Nauru (aged 18)</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13"/>
              </w:numPr>
              <w:ind w:hanging="192"/>
              <w:jc w:val="both"/>
              <w:rPr>
                <w:rFonts w:ascii="Arial" w:hAnsi="Arial"/>
                <w:color w:val="auto"/>
                <w:sz w:val="16"/>
                <w:szCs w:val="16"/>
              </w:rPr>
            </w:pPr>
            <w:r w:rsidRPr="00F05829">
              <w:rPr>
                <w:rFonts w:ascii="Arial" w:hAnsi="Arial"/>
                <w:color w:val="auto"/>
                <w:sz w:val="16"/>
                <w:szCs w:val="16"/>
              </w:rPr>
              <w:t>EMIS</w:t>
            </w:r>
          </w:p>
          <w:p w:rsidR="00C44501" w:rsidRPr="00F05829" w:rsidRDefault="00C44501" w:rsidP="00E26ADF">
            <w:pPr>
              <w:numPr>
                <w:ilvl w:val="0"/>
                <w:numId w:val="13"/>
              </w:numPr>
              <w:ind w:hanging="192"/>
              <w:jc w:val="both"/>
              <w:rPr>
                <w:rFonts w:ascii="Arial" w:hAnsi="Arial"/>
                <w:color w:val="auto"/>
                <w:sz w:val="16"/>
                <w:szCs w:val="16"/>
              </w:rPr>
            </w:pPr>
            <w:r w:rsidRPr="00F05829">
              <w:rPr>
                <w:rFonts w:ascii="Arial" w:hAnsi="Arial"/>
                <w:color w:val="auto"/>
                <w:sz w:val="16"/>
                <w:szCs w:val="16"/>
              </w:rPr>
              <w:t>RON DoS</w:t>
            </w:r>
          </w:p>
          <w:p w:rsidR="00C44501" w:rsidRPr="00F05829" w:rsidRDefault="00C44501" w:rsidP="00E26ADF">
            <w:pPr>
              <w:jc w:val="both"/>
              <w:rPr>
                <w:color w:val="auto"/>
                <w:sz w:val="16"/>
                <w:szCs w:val="16"/>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Annually</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14"/>
              </w:numPr>
              <w:ind w:hanging="192"/>
              <w:jc w:val="both"/>
              <w:rPr>
                <w:rFonts w:ascii="Arial" w:hAnsi="Arial"/>
                <w:color w:val="auto"/>
                <w:sz w:val="16"/>
                <w:szCs w:val="16"/>
              </w:rPr>
            </w:pPr>
            <w:r w:rsidRPr="00F05829">
              <w:rPr>
                <w:rFonts w:ascii="Arial" w:hAnsi="Arial"/>
                <w:color w:val="auto"/>
                <w:sz w:val="16"/>
                <w:szCs w:val="16"/>
              </w:rPr>
              <w:t>Education Bill not  passed</w:t>
            </w:r>
          </w:p>
          <w:p w:rsidR="00C44501" w:rsidRPr="00F05829" w:rsidRDefault="00C44501" w:rsidP="00E26ADF">
            <w:pPr>
              <w:numPr>
                <w:ilvl w:val="0"/>
                <w:numId w:val="14"/>
              </w:numPr>
              <w:ind w:hanging="192"/>
              <w:jc w:val="both"/>
              <w:rPr>
                <w:rFonts w:ascii="Arial" w:hAnsi="Arial"/>
                <w:color w:val="auto"/>
                <w:sz w:val="16"/>
                <w:szCs w:val="16"/>
              </w:rPr>
            </w:pPr>
            <w:r w:rsidRPr="00F05829">
              <w:rPr>
                <w:rFonts w:ascii="Arial" w:hAnsi="Arial"/>
                <w:color w:val="auto"/>
                <w:sz w:val="16"/>
                <w:szCs w:val="16"/>
              </w:rPr>
              <w:t>EMIS system not functioning</w:t>
            </w:r>
          </w:p>
          <w:p w:rsidR="00C44501" w:rsidRPr="00F05829" w:rsidRDefault="00C44501" w:rsidP="00E26ADF">
            <w:pPr>
              <w:numPr>
                <w:ilvl w:val="0"/>
                <w:numId w:val="14"/>
              </w:numPr>
              <w:ind w:hanging="192"/>
              <w:jc w:val="both"/>
              <w:rPr>
                <w:rFonts w:ascii="Arial" w:hAnsi="Arial"/>
                <w:color w:val="auto"/>
                <w:sz w:val="16"/>
                <w:szCs w:val="16"/>
              </w:rPr>
            </w:pPr>
            <w:r w:rsidRPr="00F05829">
              <w:rPr>
                <w:rFonts w:ascii="Arial" w:hAnsi="Arial"/>
                <w:color w:val="auto"/>
                <w:sz w:val="16"/>
                <w:szCs w:val="16"/>
              </w:rPr>
              <w:t>RON Department of Statistics age cohort figures unavailable</w:t>
            </w:r>
          </w:p>
          <w:p w:rsidR="00C44501" w:rsidRPr="00F05829" w:rsidRDefault="00C44501" w:rsidP="00E26ADF">
            <w:pPr>
              <w:jc w:val="both"/>
              <w:rPr>
                <w:color w:val="auto"/>
                <w:sz w:val="16"/>
                <w:szCs w:val="16"/>
              </w:rPr>
            </w:pPr>
          </w:p>
        </w:tc>
      </w:tr>
      <w:tr w:rsidR="00C44501" w:rsidRPr="00F05829" w:rsidTr="00E26ADF">
        <w:trPr>
          <w:cantSplit/>
          <w:trHeight w:val="1000"/>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Gender parity in access to secondary scholarships</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3:5</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4:5</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parity</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Total scholarships offered (RONSS)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15"/>
              </w:numPr>
              <w:ind w:hanging="192"/>
              <w:jc w:val="both"/>
              <w:rPr>
                <w:rFonts w:ascii="Arial" w:hAnsi="Arial"/>
                <w:color w:val="auto"/>
                <w:sz w:val="16"/>
                <w:szCs w:val="16"/>
              </w:rPr>
            </w:pPr>
            <w:r w:rsidRPr="00F05829">
              <w:rPr>
                <w:rFonts w:ascii="Arial" w:hAnsi="Arial"/>
                <w:color w:val="auto"/>
                <w:sz w:val="16"/>
                <w:szCs w:val="16"/>
              </w:rPr>
              <w:t xml:space="preserve">EMIS </w:t>
            </w:r>
          </w:p>
          <w:p w:rsidR="00C44501" w:rsidRPr="00F05829" w:rsidRDefault="00C44501" w:rsidP="00E26ADF">
            <w:pPr>
              <w:numPr>
                <w:ilvl w:val="0"/>
                <w:numId w:val="15"/>
              </w:numPr>
              <w:ind w:hanging="192"/>
              <w:jc w:val="both"/>
              <w:rPr>
                <w:rFonts w:ascii="Arial" w:hAnsi="Arial"/>
                <w:color w:val="auto"/>
                <w:sz w:val="16"/>
                <w:szCs w:val="16"/>
              </w:rPr>
            </w:pPr>
            <w:r w:rsidRPr="00F05829">
              <w:rPr>
                <w:rFonts w:ascii="Arial" w:hAnsi="Arial"/>
                <w:color w:val="auto"/>
                <w:sz w:val="16"/>
                <w:szCs w:val="16"/>
              </w:rPr>
              <w:t>DoS</w:t>
            </w:r>
          </w:p>
          <w:p w:rsidR="00C44501" w:rsidRPr="00F05829" w:rsidRDefault="00C44501" w:rsidP="00E26ADF">
            <w:pPr>
              <w:numPr>
                <w:ilvl w:val="0"/>
                <w:numId w:val="15"/>
              </w:numPr>
              <w:ind w:hanging="192"/>
              <w:jc w:val="both"/>
              <w:rPr>
                <w:rFonts w:ascii="Arial" w:hAnsi="Arial"/>
                <w:color w:val="auto"/>
                <w:sz w:val="16"/>
                <w:szCs w:val="16"/>
              </w:rPr>
            </w:pPr>
            <w:r w:rsidRPr="00F05829">
              <w:rPr>
                <w:rFonts w:ascii="Arial" w:hAnsi="Arial"/>
                <w:color w:val="auto"/>
                <w:sz w:val="16"/>
                <w:szCs w:val="16"/>
              </w:rPr>
              <w:t>RON scholarship results</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Term 2 annually</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16"/>
              </w:numPr>
              <w:ind w:hanging="192"/>
              <w:jc w:val="both"/>
              <w:rPr>
                <w:rFonts w:ascii="Arial" w:hAnsi="Arial"/>
                <w:color w:val="auto"/>
                <w:sz w:val="16"/>
                <w:szCs w:val="16"/>
              </w:rPr>
            </w:pPr>
            <w:r w:rsidRPr="00F05829">
              <w:rPr>
                <w:rFonts w:ascii="Arial" w:hAnsi="Arial"/>
                <w:color w:val="auto"/>
                <w:sz w:val="16"/>
                <w:szCs w:val="16"/>
              </w:rPr>
              <w:t>Scholarship program withdrawn</w:t>
            </w:r>
          </w:p>
        </w:tc>
      </w:tr>
      <w:tr w:rsidR="00C44501" w:rsidRPr="00F05829" w:rsidTr="00E26ADF">
        <w:trPr>
          <w:cantSplit/>
          <w:trHeight w:val="800"/>
        </w:trPr>
        <w:tc>
          <w:tcPr>
            <w:tcW w:w="1120"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Improving Quality and Numbers of Teachers</w:t>
            </w:r>
          </w:p>
        </w:tc>
        <w:tc>
          <w:tcPr>
            <w:tcW w:w="854"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610"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733"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1464"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1098"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2074"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r>
      <w:tr w:rsidR="00C44501" w:rsidRPr="00F05829" w:rsidTr="00E26ADF">
        <w:trPr>
          <w:cantSplit/>
          <w:trHeight w:val="1800"/>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Teachers with teacher training</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Certificate-30%</w:t>
            </w:r>
          </w:p>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Diploma-25%</w:t>
            </w:r>
          </w:p>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Degree- 44%</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Diploma -58%</w:t>
            </w:r>
          </w:p>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Degree-41%</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Diploma- </w:t>
            </w:r>
          </w:p>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56%</w:t>
            </w:r>
          </w:p>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Degree-44%</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Total number of teachers</w:t>
            </w:r>
          </w:p>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Number of teachers with (i) – certificates; (ii) diplomas; (iii) degrees: (iv) higher degrees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17"/>
              </w:numPr>
              <w:ind w:hanging="192"/>
              <w:jc w:val="both"/>
              <w:rPr>
                <w:rFonts w:ascii="Arial" w:hAnsi="Arial"/>
                <w:color w:val="auto"/>
                <w:sz w:val="16"/>
                <w:szCs w:val="16"/>
              </w:rPr>
            </w:pPr>
            <w:r w:rsidRPr="00F05829">
              <w:rPr>
                <w:rFonts w:ascii="Arial" w:hAnsi="Arial"/>
                <w:color w:val="auto"/>
                <w:sz w:val="16"/>
                <w:szCs w:val="16"/>
              </w:rPr>
              <w:t>EMIS</w:t>
            </w:r>
          </w:p>
          <w:p w:rsidR="00C44501" w:rsidRPr="00F05829" w:rsidRDefault="00C44501" w:rsidP="00E26ADF">
            <w:pPr>
              <w:numPr>
                <w:ilvl w:val="0"/>
                <w:numId w:val="17"/>
              </w:numPr>
              <w:ind w:hanging="192"/>
              <w:jc w:val="both"/>
              <w:rPr>
                <w:rFonts w:ascii="Arial" w:hAnsi="Arial"/>
                <w:color w:val="auto"/>
                <w:sz w:val="16"/>
                <w:szCs w:val="16"/>
              </w:rPr>
            </w:pPr>
            <w:r w:rsidRPr="00F05829">
              <w:rPr>
                <w:rFonts w:ascii="Arial" w:hAnsi="Arial"/>
                <w:color w:val="auto"/>
                <w:sz w:val="16"/>
                <w:szCs w:val="16"/>
              </w:rPr>
              <w:t xml:space="preserve">Quarterly teacher collection </w:t>
            </w:r>
          </w:p>
          <w:p w:rsidR="00C44501" w:rsidRPr="00F05829" w:rsidRDefault="00C44501" w:rsidP="00E26ADF">
            <w:pPr>
              <w:numPr>
                <w:ilvl w:val="0"/>
                <w:numId w:val="17"/>
              </w:numPr>
              <w:ind w:hanging="192"/>
              <w:jc w:val="both"/>
              <w:rPr>
                <w:rFonts w:ascii="Arial" w:hAnsi="Arial"/>
                <w:color w:val="auto"/>
                <w:sz w:val="16"/>
                <w:szCs w:val="16"/>
              </w:rPr>
            </w:pPr>
            <w:r w:rsidRPr="00F05829">
              <w:rPr>
                <w:rFonts w:ascii="Arial" w:hAnsi="Arial"/>
                <w:color w:val="auto"/>
                <w:sz w:val="16"/>
                <w:szCs w:val="16"/>
              </w:rPr>
              <w:t>Reports from provider</w:t>
            </w:r>
          </w:p>
          <w:p w:rsidR="00C44501" w:rsidRPr="00F05829" w:rsidRDefault="00C44501" w:rsidP="00E26ADF">
            <w:pPr>
              <w:jc w:val="both"/>
              <w:rPr>
                <w:color w:val="auto"/>
                <w:sz w:val="16"/>
                <w:szCs w:val="16"/>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Annually</w:t>
            </w:r>
          </w:p>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Quarterly</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18"/>
              </w:numPr>
              <w:ind w:hanging="192"/>
              <w:jc w:val="both"/>
              <w:rPr>
                <w:rFonts w:ascii="Arial" w:hAnsi="Arial"/>
                <w:color w:val="auto"/>
                <w:sz w:val="16"/>
                <w:szCs w:val="16"/>
              </w:rPr>
            </w:pPr>
            <w:r>
              <w:rPr>
                <w:rFonts w:ascii="Arial" w:hAnsi="Arial"/>
                <w:color w:val="auto"/>
                <w:sz w:val="16"/>
                <w:szCs w:val="16"/>
              </w:rPr>
              <w:t>DET</w:t>
            </w:r>
            <w:r w:rsidRPr="00F05829">
              <w:rPr>
                <w:rFonts w:ascii="Arial" w:hAnsi="Arial"/>
                <w:color w:val="auto"/>
                <w:sz w:val="16"/>
                <w:szCs w:val="16"/>
              </w:rPr>
              <w:t xml:space="preserve"> unable to secure appropriate provider to offer courses in mode required. </w:t>
            </w:r>
          </w:p>
          <w:p w:rsidR="00C44501" w:rsidRPr="00F05829" w:rsidRDefault="00C44501" w:rsidP="00E26ADF">
            <w:pPr>
              <w:numPr>
                <w:ilvl w:val="0"/>
                <w:numId w:val="18"/>
              </w:numPr>
              <w:ind w:hanging="192"/>
              <w:jc w:val="both"/>
              <w:rPr>
                <w:rFonts w:ascii="Arial" w:hAnsi="Arial"/>
                <w:color w:val="auto"/>
                <w:sz w:val="16"/>
                <w:szCs w:val="16"/>
              </w:rPr>
            </w:pPr>
            <w:r w:rsidRPr="00F05829">
              <w:rPr>
                <w:rFonts w:ascii="Arial" w:hAnsi="Arial"/>
                <w:color w:val="auto"/>
                <w:sz w:val="16"/>
                <w:szCs w:val="16"/>
              </w:rPr>
              <w:t>EMIS system not functioning</w:t>
            </w:r>
          </w:p>
          <w:p w:rsidR="00C44501" w:rsidRPr="00F05829" w:rsidRDefault="00C44501" w:rsidP="00E26ADF">
            <w:pPr>
              <w:ind w:left="192"/>
              <w:jc w:val="both"/>
              <w:rPr>
                <w:color w:val="auto"/>
                <w:sz w:val="16"/>
                <w:szCs w:val="16"/>
              </w:rPr>
            </w:pPr>
          </w:p>
        </w:tc>
      </w:tr>
      <w:tr w:rsidR="00C44501" w:rsidRPr="00F05829" w:rsidTr="00E26ADF">
        <w:trPr>
          <w:cantSplit/>
          <w:trHeight w:val="1600"/>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Primary teachers with minimum qualification</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23%</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color w:val="auto"/>
                <w:sz w:val="16"/>
                <w:szCs w:val="16"/>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color w:val="auto"/>
                <w:sz w:val="16"/>
                <w:szCs w:val="16"/>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Total number of  primary teachers</w:t>
            </w:r>
          </w:p>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Number of primary teachers with diploma</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19"/>
              </w:numPr>
              <w:ind w:hanging="192"/>
              <w:jc w:val="both"/>
              <w:rPr>
                <w:rFonts w:ascii="Arial" w:hAnsi="Arial"/>
                <w:color w:val="auto"/>
                <w:sz w:val="16"/>
                <w:szCs w:val="16"/>
              </w:rPr>
            </w:pPr>
            <w:r w:rsidRPr="00F05829">
              <w:rPr>
                <w:rFonts w:ascii="Arial" w:hAnsi="Arial"/>
                <w:color w:val="auto"/>
                <w:sz w:val="16"/>
                <w:szCs w:val="16"/>
              </w:rPr>
              <w:t>EMIS</w:t>
            </w:r>
          </w:p>
          <w:p w:rsidR="00C44501" w:rsidRPr="00F05829" w:rsidRDefault="00C44501" w:rsidP="00E26ADF">
            <w:pPr>
              <w:numPr>
                <w:ilvl w:val="0"/>
                <w:numId w:val="19"/>
              </w:numPr>
              <w:ind w:hanging="192"/>
              <w:jc w:val="both"/>
              <w:rPr>
                <w:rFonts w:ascii="Arial" w:hAnsi="Arial"/>
                <w:color w:val="auto"/>
                <w:sz w:val="16"/>
                <w:szCs w:val="16"/>
              </w:rPr>
            </w:pPr>
            <w:r w:rsidRPr="00F05829">
              <w:rPr>
                <w:rFonts w:ascii="Arial" w:hAnsi="Arial"/>
                <w:color w:val="auto"/>
                <w:sz w:val="16"/>
                <w:szCs w:val="16"/>
              </w:rPr>
              <w:t xml:space="preserve">Quarterly teacher collection </w:t>
            </w:r>
          </w:p>
          <w:p w:rsidR="00C44501" w:rsidRPr="00F05829" w:rsidRDefault="00C44501" w:rsidP="00E26ADF">
            <w:pPr>
              <w:jc w:val="both"/>
              <w:rPr>
                <w:color w:val="auto"/>
                <w:sz w:val="16"/>
                <w:szCs w:val="16"/>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Annually</w:t>
            </w:r>
          </w:p>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Quarterly</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20"/>
              </w:numPr>
              <w:ind w:hanging="192"/>
              <w:jc w:val="both"/>
              <w:rPr>
                <w:rFonts w:ascii="Arial" w:hAnsi="Arial"/>
                <w:color w:val="auto"/>
                <w:sz w:val="16"/>
                <w:szCs w:val="16"/>
              </w:rPr>
            </w:pPr>
            <w:r w:rsidRPr="00F05829">
              <w:rPr>
                <w:rFonts w:ascii="Arial" w:hAnsi="Arial"/>
                <w:color w:val="auto"/>
                <w:sz w:val="16"/>
                <w:szCs w:val="16"/>
              </w:rPr>
              <w:t>Capacity of teachers to undertake study given move to longer school hours</w:t>
            </w:r>
          </w:p>
          <w:p w:rsidR="00C44501" w:rsidRPr="00F05829" w:rsidRDefault="00C44501" w:rsidP="00E26ADF">
            <w:pPr>
              <w:numPr>
                <w:ilvl w:val="0"/>
                <w:numId w:val="20"/>
              </w:numPr>
              <w:ind w:hanging="192"/>
              <w:jc w:val="both"/>
              <w:rPr>
                <w:rFonts w:ascii="Arial" w:hAnsi="Arial"/>
                <w:color w:val="auto"/>
                <w:sz w:val="16"/>
                <w:szCs w:val="16"/>
              </w:rPr>
            </w:pPr>
            <w:r w:rsidRPr="00F05829">
              <w:rPr>
                <w:rFonts w:ascii="Arial" w:hAnsi="Arial"/>
                <w:color w:val="auto"/>
                <w:sz w:val="16"/>
                <w:szCs w:val="16"/>
              </w:rPr>
              <w:t xml:space="preserve">Ability of </w:t>
            </w:r>
            <w:r>
              <w:rPr>
                <w:rFonts w:ascii="Arial" w:hAnsi="Arial"/>
                <w:color w:val="auto"/>
                <w:sz w:val="16"/>
                <w:szCs w:val="16"/>
              </w:rPr>
              <w:t>DET</w:t>
            </w:r>
            <w:r w:rsidRPr="00F05829">
              <w:rPr>
                <w:rFonts w:ascii="Arial" w:hAnsi="Arial"/>
                <w:color w:val="auto"/>
                <w:sz w:val="16"/>
                <w:szCs w:val="16"/>
              </w:rPr>
              <w:t xml:space="preserve"> to secure provider capable of </w:t>
            </w:r>
          </w:p>
          <w:p w:rsidR="00C44501" w:rsidRPr="00F05829" w:rsidRDefault="00C44501" w:rsidP="00E26ADF">
            <w:pPr>
              <w:numPr>
                <w:ilvl w:val="0"/>
                <w:numId w:val="20"/>
              </w:numPr>
              <w:ind w:hanging="192"/>
              <w:jc w:val="both"/>
              <w:rPr>
                <w:rFonts w:ascii="Arial" w:hAnsi="Arial"/>
                <w:color w:val="auto"/>
                <w:sz w:val="16"/>
                <w:szCs w:val="16"/>
              </w:rPr>
            </w:pPr>
            <w:r w:rsidRPr="00F05829">
              <w:rPr>
                <w:rFonts w:ascii="Arial" w:hAnsi="Arial"/>
                <w:color w:val="auto"/>
                <w:sz w:val="16"/>
                <w:szCs w:val="16"/>
              </w:rPr>
              <w:t>EMIS system not functioning</w:t>
            </w:r>
          </w:p>
        </w:tc>
      </w:tr>
      <w:tr w:rsidR="00C44501" w:rsidRPr="00F05829" w:rsidTr="00E26ADF">
        <w:trPr>
          <w:cantSplit/>
          <w:trHeight w:val="1800"/>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Secondary teachers with subject  diploma or degree </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28%</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3</w:t>
            </w:r>
            <w:r>
              <w:rPr>
                <w:rFonts w:ascii="Arial" w:hAnsi="Arial"/>
                <w:color w:val="auto"/>
                <w:sz w:val="16"/>
                <w:szCs w:val="16"/>
              </w:rPr>
              <w:t>2</w:t>
            </w:r>
            <w:r w:rsidRPr="00F05829">
              <w:rPr>
                <w:rFonts w:ascii="Arial" w:hAnsi="Arial"/>
                <w:color w:val="auto"/>
                <w:sz w:val="16"/>
                <w:szCs w:val="16"/>
              </w:rPr>
              <w:t>%</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Pr>
                <w:rFonts w:ascii="Arial" w:hAnsi="Arial"/>
                <w:color w:val="auto"/>
                <w:sz w:val="16"/>
                <w:szCs w:val="16"/>
              </w:rPr>
              <w:t>35</w:t>
            </w:r>
            <w:r w:rsidRPr="00F05829">
              <w:rPr>
                <w:rFonts w:ascii="Arial" w:hAnsi="Arial"/>
                <w:color w:val="auto"/>
                <w:sz w:val="16"/>
                <w:szCs w:val="16"/>
              </w:rPr>
              <w: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Total number of  secondary teachers</w:t>
            </w:r>
          </w:p>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Number of  secondary teachers with (i) diplomas; (ii) degrees: (iii) higher degrees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21"/>
              </w:numPr>
              <w:ind w:hanging="192"/>
              <w:jc w:val="both"/>
              <w:rPr>
                <w:rFonts w:ascii="Arial" w:hAnsi="Arial"/>
                <w:color w:val="auto"/>
                <w:sz w:val="16"/>
                <w:szCs w:val="16"/>
              </w:rPr>
            </w:pPr>
            <w:r w:rsidRPr="00F05829">
              <w:rPr>
                <w:rFonts w:ascii="Arial" w:hAnsi="Arial"/>
                <w:color w:val="auto"/>
                <w:sz w:val="16"/>
                <w:szCs w:val="16"/>
              </w:rPr>
              <w:t>EMIS</w:t>
            </w:r>
          </w:p>
          <w:p w:rsidR="00C44501" w:rsidRPr="00F05829" w:rsidRDefault="00C44501" w:rsidP="00E26ADF">
            <w:pPr>
              <w:numPr>
                <w:ilvl w:val="0"/>
                <w:numId w:val="21"/>
              </w:numPr>
              <w:ind w:hanging="192"/>
              <w:jc w:val="both"/>
              <w:rPr>
                <w:rFonts w:ascii="Arial" w:hAnsi="Arial"/>
                <w:color w:val="auto"/>
                <w:sz w:val="16"/>
                <w:szCs w:val="16"/>
              </w:rPr>
            </w:pPr>
            <w:r w:rsidRPr="00F05829">
              <w:rPr>
                <w:rFonts w:ascii="Arial" w:hAnsi="Arial"/>
                <w:color w:val="auto"/>
                <w:sz w:val="16"/>
                <w:szCs w:val="16"/>
              </w:rPr>
              <w:t xml:space="preserve">Quarterly teacher collection </w:t>
            </w:r>
          </w:p>
          <w:p w:rsidR="00C44501" w:rsidRPr="00F05829" w:rsidRDefault="00C44501" w:rsidP="00E26ADF">
            <w:pPr>
              <w:jc w:val="both"/>
              <w:rPr>
                <w:color w:val="auto"/>
                <w:sz w:val="16"/>
                <w:szCs w:val="16"/>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Annually</w:t>
            </w:r>
          </w:p>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Quarterly</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22"/>
              </w:numPr>
              <w:ind w:hanging="192"/>
              <w:jc w:val="both"/>
              <w:rPr>
                <w:rFonts w:ascii="Arial" w:hAnsi="Arial"/>
                <w:color w:val="auto"/>
                <w:sz w:val="16"/>
                <w:szCs w:val="16"/>
              </w:rPr>
            </w:pPr>
            <w:r w:rsidRPr="00F05829">
              <w:rPr>
                <w:rFonts w:ascii="Arial" w:hAnsi="Arial"/>
                <w:color w:val="auto"/>
                <w:sz w:val="16"/>
                <w:szCs w:val="16"/>
              </w:rPr>
              <w:t>Identified teachers not able to meet entry requirements for higher level courses in region.</w:t>
            </w:r>
          </w:p>
          <w:p w:rsidR="00C44501" w:rsidRPr="00F05829" w:rsidRDefault="00C44501" w:rsidP="00E26ADF">
            <w:pPr>
              <w:numPr>
                <w:ilvl w:val="0"/>
                <w:numId w:val="22"/>
              </w:numPr>
              <w:ind w:hanging="192"/>
              <w:jc w:val="both"/>
              <w:rPr>
                <w:rFonts w:ascii="Arial" w:hAnsi="Arial"/>
                <w:color w:val="auto"/>
                <w:sz w:val="16"/>
                <w:szCs w:val="16"/>
              </w:rPr>
            </w:pPr>
            <w:r w:rsidRPr="00F05829">
              <w:rPr>
                <w:rFonts w:ascii="Arial" w:hAnsi="Arial"/>
                <w:color w:val="auto"/>
                <w:sz w:val="16"/>
                <w:szCs w:val="16"/>
              </w:rPr>
              <w:t>EMIS system not functioning</w:t>
            </w:r>
          </w:p>
          <w:p w:rsidR="00C44501" w:rsidRPr="00F05829" w:rsidRDefault="00C44501" w:rsidP="00E26ADF">
            <w:pPr>
              <w:ind w:left="192"/>
              <w:jc w:val="both"/>
              <w:rPr>
                <w:color w:val="auto"/>
                <w:sz w:val="16"/>
                <w:szCs w:val="16"/>
              </w:rPr>
            </w:pPr>
          </w:p>
        </w:tc>
      </w:tr>
      <w:tr w:rsidR="00C44501" w:rsidRPr="00F05829" w:rsidTr="00E26ADF">
        <w:trPr>
          <w:cantSplit/>
          <w:trHeight w:val="1000"/>
        </w:trPr>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Grade 6 Literacy Level (i) </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Pr>
                <w:rFonts w:ascii="Arial" w:hAnsi="Arial"/>
                <w:color w:val="auto"/>
                <w:sz w:val="16"/>
                <w:szCs w:val="16"/>
              </w:rPr>
              <w:t>Baseline to be established in 2011/2012</w:t>
            </w:r>
          </w:p>
        </w:tc>
        <w:tc>
          <w:tcPr>
            <w:tcW w:w="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Pr>
                <w:rFonts w:ascii="Arial" w:hAnsi="Arial"/>
                <w:color w:val="auto"/>
                <w:sz w:val="16"/>
                <w:szCs w:val="16"/>
              </w:rPr>
              <w:t>Increase baseline by 3%</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Pr>
                <w:rFonts w:ascii="Arial" w:hAnsi="Arial"/>
                <w:color w:val="auto"/>
                <w:sz w:val="16"/>
                <w:szCs w:val="16"/>
              </w:rPr>
              <w:t>Increase b/l by 5%</w:t>
            </w: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Pr>
                <w:rFonts w:ascii="Arial" w:hAnsi="Arial"/>
                <w:color w:val="auto"/>
                <w:sz w:val="16"/>
                <w:szCs w:val="16"/>
              </w:rPr>
              <w:t>Literacy tool</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 Benchmark results</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Beginning of Term 1 and exit Term 2  (years 2, 4 and 6)</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numPr>
                <w:ilvl w:val="0"/>
                <w:numId w:val="23"/>
              </w:numPr>
              <w:ind w:hanging="192"/>
              <w:jc w:val="both"/>
              <w:rPr>
                <w:rFonts w:ascii="Arial" w:hAnsi="Arial"/>
                <w:color w:val="auto"/>
                <w:sz w:val="16"/>
                <w:szCs w:val="16"/>
              </w:rPr>
            </w:pPr>
            <w:r w:rsidRPr="00F05829">
              <w:rPr>
                <w:rFonts w:ascii="Arial" w:hAnsi="Arial"/>
                <w:color w:val="auto"/>
                <w:sz w:val="16"/>
                <w:szCs w:val="16"/>
              </w:rPr>
              <w:t>Inaccurate administration and interpretation of test instrument</w:t>
            </w:r>
          </w:p>
        </w:tc>
      </w:tr>
      <w:tr w:rsidR="00C44501" w:rsidRPr="00F05829" w:rsidTr="00E26ADF">
        <w:trPr>
          <w:cantSplit/>
          <w:trHeight w:val="1000"/>
        </w:trPr>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Grade 6 Numeracy Level (ii)</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10%</w:t>
            </w:r>
          </w:p>
        </w:tc>
        <w:tc>
          <w:tcPr>
            <w:tcW w:w="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13%</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17%</w:t>
            </w: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PM numeracy level</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PM Benchmark results</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Beginning of Term 1 and exit Term 2  (years 2, 4 and 6)</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4501" w:rsidRPr="00F05829" w:rsidRDefault="00C44501" w:rsidP="00E26ADF">
            <w:pPr>
              <w:numPr>
                <w:ilvl w:val="0"/>
                <w:numId w:val="24"/>
              </w:numPr>
              <w:ind w:hanging="360"/>
              <w:jc w:val="both"/>
              <w:rPr>
                <w:rFonts w:ascii="Arial" w:hAnsi="Arial"/>
                <w:color w:val="auto"/>
                <w:sz w:val="16"/>
                <w:szCs w:val="16"/>
              </w:rPr>
            </w:pPr>
            <w:r w:rsidRPr="00F05829">
              <w:rPr>
                <w:rFonts w:ascii="Arial" w:hAnsi="Arial"/>
                <w:color w:val="auto"/>
                <w:sz w:val="16"/>
                <w:szCs w:val="16"/>
              </w:rPr>
              <w:t>Inaccurate administration and interpretation of test instrument</w:t>
            </w:r>
          </w:p>
        </w:tc>
      </w:tr>
      <w:tr w:rsidR="00C44501" w:rsidRPr="00F05829" w:rsidTr="00E26ADF">
        <w:trPr>
          <w:cantSplit/>
          <w:trHeight w:val="2600"/>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lastRenderedPageBreak/>
              <w:t>Special Needs students(with mental and physical disabilities) access to targeted education services</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61% </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65%</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70%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Total number of  students identified as special needs students by school Principal, National census data</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EMIS</w:t>
            </w:r>
          </w:p>
          <w:p w:rsidR="00C44501" w:rsidRPr="00F05829" w:rsidRDefault="00C44501" w:rsidP="00E26ADF">
            <w:pPr>
              <w:ind w:left="192"/>
              <w:jc w:val="both"/>
              <w:rPr>
                <w:rFonts w:ascii="Arial" w:hAnsi="Arial"/>
                <w:color w:val="auto"/>
                <w:sz w:val="16"/>
                <w:szCs w:val="16"/>
              </w:rPr>
            </w:pPr>
            <w:r w:rsidRPr="00F05829">
              <w:rPr>
                <w:rFonts w:ascii="Arial" w:hAnsi="Arial"/>
                <w:color w:val="auto"/>
                <w:sz w:val="16"/>
                <w:szCs w:val="16"/>
              </w:rPr>
              <w:t>National census data</w:t>
            </w:r>
          </w:p>
          <w:p w:rsidR="00C44501" w:rsidRPr="00F05829" w:rsidRDefault="00C44501" w:rsidP="00E26ADF">
            <w:pPr>
              <w:jc w:val="both"/>
              <w:rPr>
                <w:color w:val="auto"/>
                <w:sz w:val="16"/>
                <w:szCs w:val="16"/>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Annually</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25"/>
              </w:numPr>
              <w:ind w:hanging="192"/>
              <w:jc w:val="both"/>
              <w:rPr>
                <w:rFonts w:ascii="Arial" w:hAnsi="Arial"/>
                <w:color w:val="auto"/>
                <w:sz w:val="16"/>
                <w:szCs w:val="16"/>
              </w:rPr>
            </w:pPr>
            <w:r w:rsidRPr="00F05829">
              <w:rPr>
                <w:rFonts w:ascii="Arial" w:hAnsi="Arial"/>
                <w:color w:val="auto"/>
                <w:sz w:val="16"/>
                <w:szCs w:val="16"/>
              </w:rPr>
              <w:t xml:space="preserve">Health issues are common within this cohort of students and often restrict student access and attendance. Current  anecdotal evidence suggests that parent of students with a disability are reluctant to enrol students </w:t>
            </w:r>
          </w:p>
          <w:p w:rsidR="00C44501" w:rsidRPr="00F05829" w:rsidRDefault="00C44501" w:rsidP="00E26ADF">
            <w:pPr>
              <w:numPr>
                <w:ilvl w:val="0"/>
                <w:numId w:val="25"/>
              </w:numPr>
              <w:ind w:hanging="192"/>
              <w:jc w:val="both"/>
              <w:rPr>
                <w:rFonts w:ascii="Arial" w:hAnsi="Arial"/>
                <w:color w:val="auto"/>
                <w:sz w:val="16"/>
                <w:szCs w:val="16"/>
              </w:rPr>
            </w:pPr>
            <w:r w:rsidRPr="00F05829">
              <w:rPr>
                <w:rFonts w:ascii="Arial" w:hAnsi="Arial"/>
                <w:color w:val="auto"/>
                <w:sz w:val="16"/>
                <w:szCs w:val="16"/>
              </w:rPr>
              <w:t>EMIS system not functioning</w:t>
            </w:r>
          </w:p>
        </w:tc>
      </w:tr>
      <w:tr w:rsidR="00C44501" w:rsidRPr="00F05829" w:rsidTr="00E26ADF">
        <w:trPr>
          <w:cantSplit/>
          <w:trHeight w:val="1200"/>
        </w:trPr>
        <w:tc>
          <w:tcPr>
            <w:tcW w:w="1120"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Improved Access to Quality Tertiary and TVET services</w:t>
            </w:r>
          </w:p>
        </w:tc>
        <w:tc>
          <w:tcPr>
            <w:tcW w:w="854"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610"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733"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1464"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1098"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c>
          <w:tcPr>
            <w:tcW w:w="2074" w:type="dxa"/>
            <w:tcBorders>
              <w:top w:val="single" w:sz="4" w:space="0" w:color="000000"/>
              <w:left w:val="single" w:sz="4" w:space="0" w:color="000000"/>
              <w:bottom w:val="single" w:sz="4" w:space="0" w:color="000000"/>
              <w:right w:val="single" w:sz="4" w:space="0" w:color="000000"/>
            </w:tcBorders>
            <w:shd w:val="clear" w:color="auto" w:fill="E5DFEC"/>
            <w:tcMar>
              <w:top w:w="0" w:type="dxa"/>
              <w:left w:w="0" w:type="dxa"/>
              <w:bottom w:w="0" w:type="dxa"/>
              <w:right w:w="0" w:type="dxa"/>
            </w:tcMar>
          </w:tcPr>
          <w:p w:rsidR="00C44501" w:rsidRPr="00F05829" w:rsidRDefault="00C44501" w:rsidP="00E26ADF">
            <w:pPr>
              <w:jc w:val="both"/>
              <w:rPr>
                <w:color w:val="auto"/>
                <w:sz w:val="16"/>
                <w:szCs w:val="16"/>
              </w:rPr>
            </w:pPr>
          </w:p>
        </w:tc>
      </w:tr>
      <w:tr w:rsidR="00C44501" w:rsidRPr="00F05829" w:rsidTr="00E26ADF">
        <w:trPr>
          <w:cantSplit/>
          <w:trHeight w:val="1800"/>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Number of internationally recognized  trade certificates awarded</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Data not available until 2012</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To be informed by baseline figure 2010</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color w:val="auto"/>
                <w:sz w:val="16"/>
                <w:szCs w:val="16"/>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Number of certificates awarded</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Registered Training Organisation accreditation figures</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Annually</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26"/>
              </w:numPr>
              <w:ind w:hanging="360"/>
              <w:jc w:val="both"/>
              <w:rPr>
                <w:rFonts w:ascii="Arial" w:hAnsi="Arial"/>
                <w:color w:val="auto"/>
                <w:sz w:val="16"/>
                <w:szCs w:val="16"/>
              </w:rPr>
            </w:pPr>
            <w:r w:rsidRPr="00F05829">
              <w:rPr>
                <w:rFonts w:ascii="Arial" w:hAnsi="Arial"/>
                <w:color w:val="auto"/>
                <w:sz w:val="16"/>
                <w:szCs w:val="16"/>
              </w:rPr>
              <w:t xml:space="preserve">Delay in </w:t>
            </w:r>
            <w:r>
              <w:rPr>
                <w:rFonts w:ascii="Arial" w:hAnsi="Arial"/>
                <w:color w:val="auto"/>
                <w:sz w:val="16"/>
                <w:szCs w:val="16"/>
              </w:rPr>
              <w:t>DET</w:t>
            </w:r>
            <w:r w:rsidRPr="00F05829">
              <w:rPr>
                <w:rFonts w:ascii="Arial" w:hAnsi="Arial"/>
                <w:color w:val="auto"/>
                <w:sz w:val="16"/>
                <w:szCs w:val="16"/>
              </w:rPr>
              <w:t xml:space="preserve"> securing a Registered Training Organisation due to inability to meet Australian Qualifications Training Framework requirements</w:t>
            </w:r>
          </w:p>
        </w:tc>
      </w:tr>
      <w:tr w:rsidR="00C44501" w:rsidRPr="00F05829" w:rsidTr="00E26ADF">
        <w:trPr>
          <w:cantSplit/>
          <w:trHeight w:val="1200"/>
        </w:trPr>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Students choosing a TVET pathway in years 10, 11 and 12 </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p>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Yr 11-3</w:t>
            </w:r>
            <w:r>
              <w:rPr>
                <w:rFonts w:ascii="Arial" w:hAnsi="Arial"/>
                <w:color w:val="auto"/>
                <w:sz w:val="16"/>
                <w:szCs w:val="16"/>
              </w:rPr>
              <w:t>0</w:t>
            </w:r>
            <w:r w:rsidRPr="00F05829">
              <w:rPr>
                <w:rFonts w:ascii="Arial" w:hAnsi="Arial"/>
                <w:color w:val="auto"/>
                <w:sz w:val="16"/>
                <w:szCs w:val="16"/>
              </w:rPr>
              <w:t>%</w:t>
            </w:r>
          </w:p>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Yr 12 25%</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p>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Yr 11- </w:t>
            </w:r>
            <w:r>
              <w:rPr>
                <w:rFonts w:ascii="Arial" w:hAnsi="Arial"/>
                <w:color w:val="auto"/>
                <w:sz w:val="16"/>
                <w:szCs w:val="16"/>
              </w:rPr>
              <w:t>3</w:t>
            </w:r>
            <w:r w:rsidRPr="00F05829">
              <w:rPr>
                <w:rFonts w:ascii="Arial" w:hAnsi="Arial"/>
                <w:color w:val="auto"/>
                <w:sz w:val="16"/>
                <w:szCs w:val="16"/>
              </w:rPr>
              <w:t>5%</w:t>
            </w:r>
          </w:p>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Yr 12- </w:t>
            </w:r>
            <w:r>
              <w:rPr>
                <w:rFonts w:ascii="Arial" w:hAnsi="Arial"/>
                <w:color w:val="auto"/>
                <w:sz w:val="16"/>
                <w:szCs w:val="16"/>
              </w:rPr>
              <w:t>28</w:t>
            </w:r>
            <w:r w:rsidRPr="00F05829">
              <w:rPr>
                <w:rFonts w:ascii="Arial" w:hAnsi="Arial"/>
                <w:color w:val="auto"/>
                <w:sz w:val="16"/>
                <w:szCs w:val="16"/>
              </w:rPr>
              <w:t>%</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Y</w:t>
            </w:r>
          </w:p>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Yr 11- </w:t>
            </w:r>
            <w:r>
              <w:rPr>
                <w:rFonts w:ascii="Arial" w:hAnsi="Arial"/>
                <w:color w:val="auto"/>
                <w:sz w:val="16"/>
                <w:szCs w:val="16"/>
              </w:rPr>
              <w:t>37</w:t>
            </w:r>
            <w:r w:rsidRPr="00F05829">
              <w:rPr>
                <w:rFonts w:ascii="Arial" w:hAnsi="Arial"/>
                <w:color w:val="auto"/>
                <w:sz w:val="16"/>
                <w:szCs w:val="16"/>
              </w:rPr>
              <w:t>%</w:t>
            </w:r>
          </w:p>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Yr 12- 4</w:t>
            </w:r>
            <w:r>
              <w:rPr>
                <w:rFonts w:ascii="Arial" w:hAnsi="Arial"/>
                <w:color w:val="auto"/>
                <w:sz w:val="16"/>
                <w:szCs w:val="16"/>
              </w:rPr>
              <w:t>3</w:t>
            </w:r>
            <w:r w:rsidRPr="00F05829">
              <w:rPr>
                <w:rFonts w:ascii="Arial" w:hAnsi="Arial"/>
                <w:color w:val="auto"/>
                <w:sz w:val="16"/>
                <w:szCs w:val="16"/>
              </w:rPr>
              <w: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Enrolment figures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NSS course enrolment figures </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Term 1 and 2</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numPr>
                <w:ilvl w:val="0"/>
                <w:numId w:val="27"/>
              </w:numPr>
              <w:ind w:hanging="360"/>
              <w:jc w:val="both"/>
              <w:rPr>
                <w:rFonts w:ascii="Arial" w:hAnsi="Arial"/>
                <w:color w:val="auto"/>
                <w:sz w:val="16"/>
                <w:szCs w:val="16"/>
              </w:rPr>
            </w:pPr>
            <w:r>
              <w:rPr>
                <w:rFonts w:ascii="Arial" w:hAnsi="Arial"/>
                <w:color w:val="auto"/>
                <w:sz w:val="16"/>
                <w:szCs w:val="16"/>
              </w:rPr>
              <w:t>DET</w:t>
            </w:r>
            <w:r w:rsidRPr="00F05829">
              <w:rPr>
                <w:rFonts w:ascii="Arial" w:hAnsi="Arial"/>
                <w:color w:val="auto"/>
                <w:sz w:val="16"/>
                <w:szCs w:val="16"/>
              </w:rPr>
              <w:t xml:space="preserve"> having number of qualified TVET trainers to meet student enrolment numbers</w:t>
            </w:r>
          </w:p>
        </w:tc>
      </w:tr>
    </w:tbl>
    <w:p w:rsidR="00C44501" w:rsidRPr="00F05829" w:rsidRDefault="00C44501" w:rsidP="00C44501">
      <w:pPr>
        <w:pStyle w:val="FreeForm"/>
        <w:jc w:val="both"/>
        <w:rPr>
          <w:rFonts w:ascii="Arial" w:hAnsi="Arial"/>
          <w:color w:val="auto"/>
          <w:sz w:val="16"/>
          <w:szCs w:val="16"/>
        </w:rPr>
      </w:pPr>
    </w:p>
    <w:p w:rsidR="00C44501" w:rsidRPr="00F05829" w:rsidRDefault="00C44501" w:rsidP="00C44501">
      <w:pPr>
        <w:jc w:val="both"/>
        <w:rPr>
          <w:rFonts w:ascii="Arial" w:hAnsi="Arial"/>
          <w:color w:val="auto"/>
          <w:sz w:val="16"/>
          <w:szCs w:val="16"/>
        </w:rPr>
      </w:pPr>
      <w:r w:rsidRPr="00F05829">
        <w:rPr>
          <w:rFonts w:ascii="Arial" w:hAnsi="Arial"/>
          <w:color w:val="auto"/>
          <w:sz w:val="16"/>
          <w:szCs w:val="16"/>
        </w:rPr>
        <w:t>(i) (Aus standard based on current Australian benchmarking tool – achieving minimum score of 20/30)</w:t>
      </w:r>
    </w:p>
    <w:p w:rsidR="00C44501" w:rsidRPr="00F05829" w:rsidRDefault="00C44501" w:rsidP="00C44501">
      <w:pPr>
        <w:jc w:val="both"/>
        <w:rPr>
          <w:rFonts w:ascii="Arial Bold" w:hAnsi="Arial Bold"/>
          <w:color w:val="auto"/>
          <w:sz w:val="16"/>
          <w:szCs w:val="16"/>
        </w:rPr>
      </w:pPr>
      <w:r w:rsidRPr="00F05829">
        <w:rPr>
          <w:rFonts w:ascii="Arial" w:hAnsi="Arial"/>
          <w:color w:val="auto"/>
          <w:sz w:val="16"/>
          <w:szCs w:val="16"/>
        </w:rPr>
        <w:t>(ii) (Aus standard based on current Australian benchmarking tool – achieving minimum score of 60/108</w:t>
      </w:r>
    </w:p>
    <w:p w:rsidR="00C44501" w:rsidRPr="00F05829" w:rsidRDefault="00C44501" w:rsidP="00C44501">
      <w:pPr>
        <w:jc w:val="both"/>
        <w:rPr>
          <w:rFonts w:ascii="Arial Bold" w:hAnsi="Arial Bold"/>
          <w:color w:val="auto"/>
          <w:sz w:val="16"/>
          <w:szCs w:val="16"/>
        </w:rPr>
      </w:pPr>
    </w:p>
    <w:p w:rsidR="00C44501" w:rsidRPr="00F05829" w:rsidRDefault="00C44501" w:rsidP="00C44501">
      <w:pPr>
        <w:jc w:val="both"/>
        <w:rPr>
          <w:rFonts w:ascii="Arial Bold" w:hAnsi="Arial Bold"/>
          <w:color w:val="auto"/>
          <w:sz w:val="22"/>
        </w:rPr>
      </w:pPr>
    </w:p>
    <w:p w:rsidR="00C44501" w:rsidRPr="00F05829" w:rsidRDefault="00C44501" w:rsidP="00C44501">
      <w:pPr>
        <w:pStyle w:val="FreeForm"/>
        <w:jc w:val="both"/>
        <w:rPr>
          <w:color w:val="auto"/>
        </w:rPr>
      </w:pPr>
      <w:r w:rsidRPr="00F05829">
        <w:rPr>
          <w:color w:val="auto"/>
        </w:rPr>
        <w:br w:type="page"/>
      </w:r>
    </w:p>
    <w:p w:rsidR="00C44501" w:rsidRPr="00F05829" w:rsidRDefault="00C44501" w:rsidP="00C44501">
      <w:pPr>
        <w:spacing w:after="120"/>
        <w:jc w:val="both"/>
        <w:rPr>
          <w:rFonts w:ascii="Arial Bold" w:hAnsi="Arial Bold"/>
          <w:color w:val="auto"/>
        </w:rPr>
      </w:pPr>
      <w:r w:rsidRPr="00F05829">
        <w:rPr>
          <w:rFonts w:ascii="Arial Bold" w:hAnsi="Arial Bold"/>
          <w:color w:val="auto"/>
        </w:rPr>
        <w:lastRenderedPageBreak/>
        <w:t>Annex 4</w:t>
      </w:r>
    </w:p>
    <w:p w:rsidR="00C44501" w:rsidRPr="00F05829" w:rsidRDefault="00C44501" w:rsidP="00C44501">
      <w:pPr>
        <w:spacing w:after="120"/>
        <w:jc w:val="both"/>
        <w:rPr>
          <w:rFonts w:ascii="Arial" w:hAnsi="Arial" w:cs="Arial"/>
          <w:color w:val="auto"/>
          <w:sz w:val="16"/>
          <w:szCs w:val="16"/>
        </w:rPr>
      </w:pPr>
      <w:r w:rsidRPr="00F05829">
        <w:rPr>
          <w:rFonts w:ascii="Arial" w:hAnsi="Arial" w:cs="Arial"/>
          <w:color w:val="auto"/>
          <w:sz w:val="16"/>
          <w:szCs w:val="16"/>
        </w:rPr>
        <w:t>Table 7. Indicator Definitions</w:t>
      </w:r>
    </w:p>
    <w:tbl>
      <w:tblPr>
        <w:tblpPr w:leftFromText="180" w:rightFromText="180" w:topFromText="180" w:bottomFromText="180" w:vertAnchor="page" w:horzAnchor="page" w:tblpX="1418" w:tblpY="3221"/>
        <w:tblW w:w="0" w:type="auto"/>
        <w:tblLayout w:type="fixed"/>
        <w:tblLook w:val="0000"/>
      </w:tblPr>
      <w:tblGrid>
        <w:gridCol w:w="2751"/>
        <w:gridCol w:w="4966"/>
      </w:tblGrid>
      <w:tr w:rsidR="00C44501" w:rsidRPr="00F05829" w:rsidTr="00E26ADF">
        <w:trPr>
          <w:cantSplit/>
          <w:trHeight w:val="230"/>
          <w:tblHeader/>
        </w:trPr>
        <w:tc>
          <w:tcPr>
            <w:tcW w:w="275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Indicator</w:t>
            </w:r>
          </w:p>
        </w:tc>
        <w:tc>
          <w:tcPr>
            <w:tcW w:w="4966"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rsidR="00C44501" w:rsidRPr="00F05829" w:rsidRDefault="00C44501" w:rsidP="00E26ADF">
            <w:pPr>
              <w:jc w:val="both"/>
              <w:rPr>
                <w:rFonts w:ascii="Arial Bold" w:hAnsi="Arial Bold"/>
                <w:color w:val="auto"/>
                <w:sz w:val="16"/>
                <w:szCs w:val="16"/>
              </w:rPr>
            </w:pPr>
            <w:r w:rsidRPr="00F05829">
              <w:rPr>
                <w:rFonts w:ascii="Arial Bold" w:hAnsi="Arial Bold"/>
                <w:color w:val="auto"/>
                <w:sz w:val="16"/>
                <w:szCs w:val="16"/>
              </w:rPr>
              <w:t>Definition</w:t>
            </w:r>
          </w:p>
        </w:tc>
      </w:tr>
      <w:tr w:rsidR="00C44501" w:rsidRPr="00F05829" w:rsidTr="00E26ADF">
        <w:trPr>
          <w:cantSplit/>
          <w:trHeight w:val="660"/>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Net Enrolment Rate </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Number of pupils in the age group enrolled at a Grade level, expressed as a percentage of the total population in that age group.</w:t>
            </w:r>
          </w:p>
        </w:tc>
      </w:tr>
      <w:tr w:rsidR="00C44501" w:rsidRPr="00F05829" w:rsidTr="00E26ADF">
        <w:trPr>
          <w:cantSplit/>
          <w:trHeight w:val="660"/>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Completion Rate </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The percentage of a cohort of pupils enrolled in the first grade of a learning stage which successfully completes the last grade, regardless of repetition.  </w:t>
            </w:r>
          </w:p>
        </w:tc>
      </w:tr>
      <w:tr w:rsidR="00C44501" w:rsidRPr="00F05829" w:rsidTr="00E26ADF">
        <w:trPr>
          <w:cantSplit/>
          <w:trHeight w:val="440"/>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Transition Rate from Grade 6 to 7</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Proportion of a cohort of pupils enrolled in Grade 6 who enter Grade 7</w:t>
            </w:r>
          </w:p>
        </w:tc>
      </w:tr>
      <w:tr w:rsidR="00C44501" w:rsidRPr="00F05829" w:rsidTr="00E26ADF">
        <w:trPr>
          <w:cantSplit/>
          <w:trHeight w:val="440"/>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Teachers with  teaching qualifications</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Teachers with qualifications regarded as certified as a proportion of total number of teachers. </w:t>
            </w:r>
          </w:p>
        </w:tc>
      </w:tr>
      <w:tr w:rsidR="00C44501" w:rsidRPr="00F05829" w:rsidTr="00E26ADF">
        <w:trPr>
          <w:cantSplit/>
          <w:trHeight w:val="440"/>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Literacy and Numeracy Levels </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Percentage of students meeting an accepted minimum standard </w:t>
            </w:r>
          </w:p>
        </w:tc>
      </w:tr>
      <w:tr w:rsidR="00C44501" w:rsidRPr="00F05829" w:rsidTr="00E26ADF">
        <w:trPr>
          <w:cantSplit/>
          <w:trHeight w:val="440"/>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 xml:space="preserve">Gender Parity in access to secondary scholarships </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Ratio of girls to boys accessing scholarships.</w:t>
            </w:r>
          </w:p>
        </w:tc>
      </w:tr>
      <w:tr w:rsidR="00C44501" w:rsidRPr="00F05829" w:rsidTr="00E26ADF">
        <w:trPr>
          <w:cantSplit/>
          <w:trHeight w:val="440"/>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Grade 12 Graduates Accessing Tertiary Studies</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Percentage of Grade 12 leavers accessing tertiary studies</w:t>
            </w:r>
          </w:p>
        </w:tc>
      </w:tr>
      <w:tr w:rsidR="00C44501" w:rsidRPr="00F05829" w:rsidTr="00E26ADF">
        <w:trPr>
          <w:cantSplit/>
          <w:trHeight w:val="880"/>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Special Needs students(with mental and physical disabilities) access to targeted education services</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Percentage of students with Special needs accessing targeted educational services</w:t>
            </w:r>
          </w:p>
        </w:tc>
      </w:tr>
      <w:tr w:rsidR="00C44501" w:rsidRPr="00F05829" w:rsidTr="00E26ADF">
        <w:trPr>
          <w:cantSplit/>
          <w:trHeight w:val="440"/>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Number of university graduates</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Numbers per year</w:t>
            </w:r>
          </w:p>
        </w:tc>
      </w:tr>
      <w:tr w:rsidR="00C44501" w:rsidRPr="00F05829" w:rsidTr="00E26ADF">
        <w:trPr>
          <w:cantSplit/>
          <w:trHeight w:val="440"/>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Number of trade certificates awarded</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Numbers per year</w:t>
            </w:r>
          </w:p>
        </w:tc>
      </w:tr>
      <w:tr w:rsidR="00C44501" w:rsidRPr="00F05829" w:rsidTr="00E26ADF">
        <w:trPr>
          <w:cantSplit/>
          <w:trHeight w:val="440"/>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Students choosing a TVET pathway in Grades 11 and 12</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44501" w:rsidRPr="00F05829" w:rsidRDefault="00C44501" w:rsidP="00E26ADF">
            <w:pPr>
              <w:jc w:val="both"/>
              <w:rPr>
                <w:rFonts w:ascii="Arial" w:hAnsi="Arial"/>
                <w:color w:val="auto"/>
                <w:sz w:val="16"/>
                <w:szCs w:val="16"/>
              </w:rPr>
            </w:pPr>
            <w:r w:rsidRPr="00F05829">
              <w:rPr>
                <w:rFonts w:ascii="Arial" w:hAnsi="Arial"/>
                <w:color w:val="auto"/>
                <w:sz w:val="16"/>
                <w:szCs w:val="16"/>
              </w:rPr>
              <w:t>Percentage of Grade 11 and 12 enrolled students</w:t>
            </w:r>
          </w:p>
        </w:tc>
      </w:tr>
    </w:tbl>
    <w:p w:rsidR="00C44501" w:rsidRPr="00F05829" w:rsidRDefault="00C44501" w:rsidP="00C44501">
      <w:pPr>
        <w:pStyle w:val="FreeForm"/>
        <w:jc w:val="both"/>
        <w:rPr>
          <w:rFonts w:ascii="Arial Bold" w:hAnsi="Arial Bold"/>
          <w:color w:val="auto"/>
          <w:sz w:val="16"/>
          <w:szCs w:val="16"/>
        </w:rPr>
      </w:pPr>
    </w:p>
    <w:p w:rsidR="00C44501" w:rsidRPr="00F05829" w:rsidRDefault="00C44501" w:rsidP="00C44501">
      <w:pPr>
        <w:pStyle w:val="FreeForm"/>
        <w:jc w:val="both"/>
        <w:rPr>
          <w:rFonts w:ascii="Arial Bold" w:hAnsi="Arial Bold"/>
          <w:color w:val="auto"/>
          <w:sz w:val="22"/>
        </w:rPr>
        <w:sectPr w:rsidR="00C44501" w:rsidRPr="00F05829" w:rsidSect="00E8653E">
          <w:pgSz w:w="11900" w:h="16840"/>
          <w:pgMar w:top="1418" w:right="1418" w:bottom="1474" w:left="1418" w:header="720" w:footer="720" w:gutter="0"/>
          <w:cols w:space="720"/>
        </w:sectPr>
      </w:pPr>
    </w:p>
    <w:p w:rsidR="00C44501" w:rsidRPr="00F05829" w:rsidRDefault="00C44501" w:rsidP="00C44501">
      <w:pPr>
        <w:spacing w:before="120"/>
        <w:jc w:val="both"/>
        <w:rPr>
          <w:rFonts w:ascii="Arial Bold" w:hAnsi="Arial Bold"/>
          <w:color w:val="auto"/>
          <w:sz w:val="22"/>
        </w:rPr>
      </w:pPr>
    </w:p>
    <w:p w:rsidR="00C44501" w:rsidRPr="00F05829" w:rsidRDefault="00C44501" w:rsidP="00C44501">
      <w:pPr>
        <w:jc w:val="both"/>
        <w:rPr>
          <w:rFonts w:ascii="Arial Bold" w:hAnsi="Arial Bold"/>
          <w:color w:val="auto"/>
        </w:rPr>
      </w:pPr>
      <w:r w:rsidRPr="00F05829">
        <w:rPr>
          <w:rFonts w:ascii="Arial Bold" w:hAnsi="Arial Bold"/>
          <w:color w:val="auto"/>
        </w:rPr>
        <w:t xml:space="preserve">Annex </w:t>
      </w:r>
      <w:r>
        <w:rPr>
          <w:rFonts w:ascii="Arial Bold" w:hAnsi="Arial Bold"/>
          <w:color w:val="auto"/>
        </w:rPr>
        <w:t>5</w:t>
      </w:r>
      <w:r w:rsidRPr="00F05829">
        <w:rPr>
          <w:rFonts w:ascii="Arial Bold" w:hAnsi="Arial Bold"/>
          <w:color w:val="auto"/>
        </w:rPr>
        <w:tab/>
      </w:r>
    </w:p>
    <w:p w:rsidR="00C44501" w:rsidRPr="00F05829" w:rsidRDefault="00C44501" w:rsidP="00C44501">
      <w:pPr>
        <w:jc w:val="both"/>
        <w:rPr>
          <w:rFonts w:ascii="Arial Bold" w:hAnsi="Arial Bold"/>
          <w:color w:val="auto"/>
        </w:rPr>
      </w:pPr>
    </w:p>
    <w:p w:rsidR="00C44501" w:rsidRPr="00F05829" w:rsidRDefault="00C44501" w:rsidP="00C44501">
      <w:pPr>
        <w:jc w:val="both"/>
        <w:rPr>
          <w:rFonts w:ascii="Arial Bold" w:hAnsi="Arial Bold"/>
          <w:color w:val="auto"/>
          <w:sz w:val="22"/>
        </w:rPr>
      </w:pPr>
      <w:r w:rsidRPr="00F05829">
        <w:rPr>
          <w:rFonts w:ascii="Arial Bold" w:hAnsi="Arial Bold"/>
          <w:color w:val="auto"/>
        </w:rPr>
        <w:t>Abbreviations and Acronyms</w:t>
      </w:r>
    </w:p>
    <w:p w:rsidR="00C44501" w:rsidRPr="00F05829" w:rsidRDefault="00C44501" w:rsidP="00C44501">
      <w:pPr>
        <w:jc w:val="both"/>
        <w:rPr>
          <w:rFonts w:ascii="Arial Bold" w:hAnsi="Arial Bold"/>
          <w:color w:val="auto"/>
          <w:sz w:val="22"/>
        </w:rPr>
      </w:pP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ACT</w:t>
      </w:r>
      <w:r w:rsidRPr="00F05829">
        <w:rPr>
          <w:rFonts w:ascii="Arial" w:hAnsi="Arial"/>
          <w:color w:val="auto"/>
          <w:sz w:val="22"/>
        </w:rPr>
        <w:tab/>
      </w:r>
      <w:r w:rsidRPr="00F05829">
        <w:rPr>
          <w:rFonts w:ascii="Arial" w:hAnsi="Arial"/>
          <w:color w:val="auto"/>
          <w:sz w:val="22"/>
        </w:rPr>
        <w:tab/>
        <w:t>Australian Capital Territory</w:t>
      </w: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AOP</w:t>
      </w:r>
      <w:r w:rsidRPr="00F05829">
        <w:rPr>
          <w:rFonts w:ascii="Arial" w:hAnsi="Arial"/>
          <w:color w:val="auto"/>
          <w:sz w:val="22"/>
        </w:rPr>
        <w:tab/>
      </w:r>
      <w:r w:rsidRPr="00F05829">
        <w:rPr>
          <w:rFonts w:ascii="Arial" w:hAnsi="Arial"/>
          <w:color w:val="auto"/>
          <w:sz w:val="22"/>
        </w:rPr>
        <w:tab/>
        <w:t>Annual Operation Plan</w:t>
      </w: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APTC</w:t>
      </w:r>
      <w:r w:rsidRPr="00F05829">
        <w:rPr>
          <w:rFonts w:ascii="Arial" w:hAnsi="Arial"/>
          <w:color w:val="auto"/>
          <w:sz w:val="22"/>
        </w:rPr>
        <w:tab/>
      </w:r>
      <w:r w:rsidRPr="00F05829">
        <w:rPr>
          <w:rFonts w:ascii="Arial" w:hAnsi="Arial"/>
          <w:color w:val="auto"/>
          <w:sz w:val="22"/>
        </w:rPr>
        <w:tab/>
        <w:t>Australia – Pacific Technical College</w:t>
      </w: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AusAID</w:t>
      </w:r>
      <w:r w:rsidRPr="00F05829">
        <w:rPr>
          <w:rFonts w:ascii="Arial" w:hAnsi="Arial"/>
          <w:color w:val="auto"/>
          <w:sz w:val="22"/>
        </w:rPr>
        <w:tab/>
        <w:t>Australian Agency for International Development</w:t>
      </w:r>
    </w:p>
    <w:p w:rsidR="00C44501" w:rsidRPr="00F05829" w:rsidRDefault="00C44501" w:rsidP="00C44501">
      <w:pPr>
        <w:spacing w:before="100" w:after="100"/>
        <w:jc w:val="both"/>
        <w:rPr>
          <w:rFonts w:ascii="Arial" w:hAnsi="Arial" w:cs="Arial"/>
          <w:color w:val="auto"/>
          <w:sz w:val="22"/>
        </w:rPr>
      </w:pPr>
      <w:r w:rsidRPr="00F05829">
        <w:rPr>
          <w:rFonts w:ascii="Arial Bold" w:hAnsi="Arial Bold"/>
          <w:color w:val="auto"/>
          <w:sz w:val="22"/>
        </w:rPr>
        <w:t>CASE</w:t>
      </w:r>
      <w:r w:rsidRPr="00F05829">
        <w:rPr>
          <w:rFonts w:ascii="Arial Bold" w:hAnsi="Arial Bold"/>
          <w:color w:val="auto"/>
          <w:sz w:val="22"/>
        </w:rPr>
        <w:tab/>
      </w:r>
      <w:r w:rsidRPr="00F05829">
        <w:rPr>
          <w:rFonts w:ascii="Arial Bold" w:hAnsi="Arial Bold"/>
          <w:color w:val="auto"/>
          <w:sz w:val="22"/>
        </w:rPr>
        <w:tab/>
      </w:r>
      <w:r w:rsidRPr="00F05829">
        <w:rPr>
          <w:rFonts w:ascii="Arial" w:hAnsi="Arial" w:cs="Arial"/>
          <w:color w:val="auto"/>
          <w:sz w:val="22"/>
        </w:rPr>
        <w:t>Curriculum Assessment Statistics and Examinations</w:t>
      </w: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DET</w:t>
      </w:r>
      <w:r w:rsidRPr="00F05829">
        <w:rPr>
          <w:rFonts w:ascii="Arial" w:hAnsi="Arial"/>
          <w:color w:val="auto"/>
          <w:sz w:val="22"/>
        </w:rPr>
        <w:tab/>
      </w:r>
      <w:r w:rsidRPr="00F05829">
        <w:rPr>
          <w:rFonts w:ascii="Arial" w:hAnsi="Arial"/>
          <w:color w:val="auto"/>
          <w:sz w:val="22"/>
        </w:rPr>
        <w:tab/>
        <w:t>Department of Education and Training</w:t>
      </w: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DP</w:t>
      </w:r>
      <w:r w:rsidRPr="00F05829">
        <w:rPr>
          <w:rFonts w:ascii="Arial" w:hAnsi="Arial"/>
          <w:color w:val="auto"/>
          <w:sz w:val="22"/>
        </w:rPr>
        <w:tab/>
      </w:r>
      <w:r w:rsidRPr="00F05829">
        <w:rPr>
          <w:rFonts w:ascii="Arial" w:hAnsi="Arial"/>
          <w:color w:val="auto"/>
          <w:sz w:val="22"/>
        </w:rPr>
        <w:tab/>
        <w:t>Development Partner</w:t>
      </w: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EU</w:t>
      </w:r>
      <w:r w:rsidRPr="00F05829">
        <w:rPr>
          <w:rFonts w:ascii="Arial" w:hAnsi="Arial"/>
          <w:color w:val="auto"/>
          <w:sz w:val="22"/>
        </w:rPr>
        <w:tab/>
      </w:r>
      <w:r w:rsidRPr="00F05829">
        <w:rPr>
          <w:rFonts w:ascii="Arial" w:hAnsi="Arial"/>
          <w:color w:val="auto"/>
          <w:sz w:val="22"/>
        </w:rPr>
        <w:tab/>
        <w:t>European Union</w:t>
      </w:r>
    </w:p>
    <w:p w:rsidR="00C44501" w:rsidRPr="00F05829" w:rsidRDefault="00C44501" w:rsidP="00C44501">
      <w:pPr>
        <w:spacing w:before="100" w:after="100"/>
        <w:jc w:val="both"/>
        <w:rPr>
          <w:rFonts w:ascii="Arial Bold" w:hAnsi="Arial Bold"/>
          <w:color w:val="auto"/>
          <w:sz w:val="22"/>
        </w:rPr>
      </w:pPr>
      <w:r w:rsidRPr="00F05829">
        <w:rPr>
          <w:rFonts w:ascii="Arial Bold" w:hAnsi="Arial Bold"/>
          <w:color w:val="auto"/>
          <w:sz w:val="22"/>
        </w:rPr>
        <w:t>EMIS</w:t>
      </w:r>
      <w:r w:rsidRPr="00F05829">
        <w:rPr>
          <w:rFonts w:ascii="Arial Bold" w:hAnsi="Arial Bold"/>
          <w:color w:val="auto"/>
          <w:sz w:val="22"/>
        </w:rPr>
        <w:tab/>
      </w:r>
      <w:r w:rsidRPr="00F05829">
        <w:rPr>
          <w:rFonts w:ascii="Arial Bold" w:hAnsi="Arial Bold"/>
          <w:color w:val="auto"/>
          <w:sz w:val="22"/>
        </w:rPr>
        <w:tab/>
      </w:r>
      <w:r w:rsidRPr="00F05829">
        <w:rPr>
          <w:rFonts w:ascii="Arial" w:hAnsi="Arial" w:cs="Arial"/>
          <w:color w:val="auto"/>
          <w:sz w:val="22"/>
        </w:rPr>
        <w:t>Education Management Information System (Nauru DET)</w:t>
      </w: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GoN</w:t>
      </w:r>
      <w:r w:rsidRPr="00F05829">
        <w:rPr>
          <w:rFonts w:ascii="Arial" w:hAnsi="Arial"/>
          <w:color w:val="auto"/>
          <w:sz w:val="22"/>
        </w:rPr>
        <w:tab/>
      </w:r>
      <w:r w:rsidRPr="00F05829">
        <w:rPr>
          <w:rFonts w:ascii="Arial" w:hAnsi="Arial"/>
          <w:color w:val="auto"/>
          <w:sz w:val="22"/>
        </w:rPr>
        <w:tab/>
        <w:t>Government of Nauru</w:t>
      </w: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JICA</w:t>
      </w:r>
      <w:r w:rsidRPr="00F05829">
        <w:rPr>
          <w:rFonts w:ascii="Arial" w:hAnsi="Arial"/>
          <w:color w:val="auto"/>
          <w:sz w:val="22"/>
        </w:rPr>
        <w:tab/>
      </w:r>
      <w:r w:rsidRPr="00F05829">
        <w:rPr>
          <w:rFonts w:ascii="Arial" w:hAnsi="Arial"/>
          <w:color w:val="auto"/>
          <w:sz w:val="22"/>
        </w:rPr>
        <w:tab/>
        <w:t>Japanese International Cooperation Agency</w:t>
      </w:r>
    </w:p>
    <w:p w:rsidR="00C44501" w:rsidRPr="00F05829" w:rsidRDefault="00C44501" w:rsidP="00C44501">
      <w:pPr>
        <w:spacing w:before="100" w:after="100"/>
        <w:jc w:val="both"/>
        <w:rPr>
          <w:rFonts w:ascii="Arial" w:hAnsi="Arial" w:cs="Arial"/>
          <w:color w:val="auto"/>
          <w:sz w:val="22"/>
        </w:rPr>
      </w:pPr>
      <w:r w:rsidRPr="00F05829">
        <w:rPr>
          <w:rFonts w:ascii="Arial Bold" w:hAnsi="Arial Bold"/>
          <w:color w:val="auto"/>
          <w:sz w:val="22"/>
        </w:rPr>
        <w:t>MSS</w:t>
      </w:r>
      <w:r w:rsidRPr="00F05829">
        <w:rPr>
          <w:rFonts w:ascii="Arial Bold" w:hAnsi="Arial Bold"/>
          <w:color w:val="auto"/>
          <w:sz w:val="22"/>
        </w:rPr>
        <w:tab/>
      </w:r>
      <w:r w:rsidRPr="00F05829">
        <w:rPr>
          <w:rFonts w:ascii="Arial Bold" w:hAnsi="Arial Bold"/>
          <w:color w:val="auto"/>
          <w:sz w:val="22"/>
        </w:rPr>
        <w:tab/>
      </w:r>
      <w:r w:rsidRPr="00F05829">
        <w:rPr>
          <w:rFonts w:ascii="Arial" w:hAnsi="Arial" w:cs="Arial"/>
          <w:color w:val="auto"/>
          <w:sz w:val="22"/>
        </w:rPr>
        <w:t>Minimum Service Standards</w:t>
      </w: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NSDS</w:t>
      </w:r>
      <w:r w:rsidRPr="00F05829">
        <w:rPr>
          <w:rFonts w:ascii="Arial" w:hAnsi="Arial"/>
          <w:color w:val="auto"/>
          <w:sz w:val="22"/>
        </w:rPr>
        <w:tab/>
      </w:r>
      <w:r w:rsidRPr="00F05829">
        <w:rPr>
          <w:rFonts w:ascii="Arial" w:hAnsi="Arial"/>
          <w:color w:val="auto"/>
          <w:sz w:val="22"/>
        </w:rPr>
        <w:tab/>
        <w:t>National Sustainable Development Strategy 2005 – 2015</w:t>
      </w: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NSS</w:t>
      </w:r>
      <w:r w:rsidRPr="00F05829">
        <w:rPr>
          <w:rFonts w:ascii="Arial" w:hAnsi="Arial"/>
          <w:color w:val="auto"/>
          <w:sz w:val="22"/>
        </w:rPr>
        <w:tab/>
      </w:r>
      <w:r w:rsidRPr="00F05829">
        <w:rPr>
          <w:rFonts w:ascii="Arial" w:hAnsi="Arial"/>
          <w:color w:val="auto"/>
          <w:sz w:val="22"/>
        </w:rPr>
        <w:tab/>
        <w:t>Nauru Secondary School</w:t>
      </w: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NZAID</w:t>
      </w:r>
      <w:r w:rsidRPr="00F05829">
        <w:rPr>
          <w:rFonts w:ascii="Arial" w:hAnsi="Arial"/>
          <w:color w:val="auto"/>
          <w:sz w:val="22"/>
        </w:rPr>
        <w:tab/>
      </w:r>
      <w:r w:rsidRPr="00F05829">
        <w:rPr>
          <w:rFonts w:ascii="Arial" w:hAnsi="Arial"/>
          <w:color w:val="auto"/>
          <w:sz w:val="22"/>
        </w:rPr>
        <w:tab/>
        <w:t>New Zealand Agency for International Development</w:t>
      </w: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PRIDE</w:t>
      </w:r>
      <w:r w:rsidRPr="00F05829">
        <w:rPr>
          <w:rFonts w:ascii="Arial" w:hAnsi="Arial"/>
          <w:color w:val="auto"/>
          <w:sz w:val="22"/>
        </w:rPr>
        <w:tab/>
      </w:r>
      <w:r w:rsidRPr="00F05829">
        <w:rPr>
          <w:rFonts w:ascii="Arial" w:hAnsi="Arial"/>
          <w:color w:val="auto"/>
          <w:sz w:val="22"/>
        </w:rPr>
        <w:tab/>
        <w:t>Pacific Regional Initiatives for the Delivery of basic Education</w:t>
      </w: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SPBEA</w:t>
      </w:r>
      <w:r w:rsidRPr="00F05829">
        <w:rPr>
          <w:rFonts w:ascii="Arial" w:hAnsi="Arial"/>
          <w:color w:val="auto"/>
          <w:sz w:val="22"/>
        </w:rPr>
        <w:tab/>
        <w:t>South Pacific Board for Educational Assessment</w:t>
      </w:r>
      <w:r w:rsidRPr="00F05829">
        <w:rPr>
          <w:rFonts w:ascii="Arial" w:hAnsi="Arial"/>
          <w:color w:val="auto"/>
          <w:sz w:val="22"/>
        </w:rPr>
        <w:tab/>
      </w: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TVET</w:t>
      </w:r>
      <w:r w:rsidRPr="00F05829">
        <w:rPr>
          <w:rFonts w:ascii="Arial" w:hAnsi="Arial"/>
          <w:color w:val="auto"/>
          <w:sz w:val="22"/>
        </w:rPr>
        <w:tab/>
      </w:r>
      <w:r w:rsidRPr="00F05829">
        <w:rPr>
          <w:rFonts w:ascii="Arial" w:hAnsi="Arial"/>
          <w:color w:val="auto"/>
          <w:sz w:val="22"/>
        </w:rPr>
        <w:tab/>
        <w:t>Technical and Vocational Education and Training</w:t>
      </w: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UNESCO</w:t>
      </w:r>
      <w:r w:rsidRPr="00F05829">
        <w:rPr>
          <w:rFonts w:ascii="Arial" w:hAnsi="Arial"/>
          <w:color w:val="auto"/>
          <w:sz w:val="22"/>
        </w:rPr>
        <w:tab/>
        <w:t>United Nations Educational Scientific and Cultural Organisation</w:t>
      </w:r>
    </w:p>
    <w:p w:rsidR="00C44501" w:rsidRPr="00F05829" w:rsidRDefault="00C44501" w:rsidP="00C44501">
      <w:pPr>
        <w:spacing w:before="100" w:after="100"/>
        <w:jc w:val="both"/>
        <w:rPr>
          <w:rFonts w:ascii="Arial" w:hAnsi="Arial"/>
          <w:color w:val="auto"/>
          <w:sz w:val="22"/>
        </w:rPr>
      </w:pPr>
      <w:r w:rsidRPr="00F05829">
        <w:rPr>
          <w:rFonts w:ascii="Arial Bold" w:hAnsi="Arial Bold"/>
          <w:color w:val="auto"/>
          <w:sz w:val="22"/>
        </w:rPr>
        <w:t>USP</w:t>
      </w:r>
      <w:r w:rsidRPr="00F05829">
        <w:rPr>
          <w:rFonts w:ascii="Arial" w:hAnsi="Arial"/>
          <w:color w:val="auto"/>
          <w:sz w:val="22"/>
        </w:rPr>
        <w:tab/>
      </w:r>
      <w:r w:rsidRPr="00F05829">
        <w:rPr>
          <w:rFonts w:ascii="Arial" w:hAnsi="Arial"/>
          <w:color w:val="auto"/>
          <w:sz w:val="22"/>
        </w:rPr>
        <w:tab/>
        <w:t>University of the South Pacific</w:t>
      </w:r>
    </w:p>
    <w:p w:rsidR="00C44501" w:rsidRPr="00F05829" w:rsidRDefault="00C44501" w:rsidP="00C44501">
      <w:pPr>
        <w:spacing w:before="100" w:after="100"/>
        <w:jc w:val="both"/>
        <w:rPr>
          <w:rFonts w:ascii="Arial" w:hAnsi="Arial"/>
          <w:color w:val="auto"/>
          <w:sz w:val="22"/>
        </w:rPr>
      </w:pPr>
      <w:r w:rsidRPr="00F05829">
        <w:rPr>
          <w:rFonts w:ascii="Arial" w:hAnsi="Arial"/>
          <w:color w:val="auto"/>
          <w:sz w:val="22"/>
        </w:rPr>
        <w:tab/>
      </w:r>
    </w:p>
    <w:p w:rsidR="0056137A" w:rsidRDefault="0056137A"/>
    <w:sectPr w:rsidR="0056137A" w:rsidSect="000C6F57">
      <w:headerReference w:type="even" r:id="rId9"/>
      <w:headerReference w:type="default" r:id="rId10"/>
      <w:footerReference w:type="even" r:id="rId11"/>
      <w:footerReference w:type="default" r:id="rId12"/>
      <w:pgSz w:w="11900" w:h="16840"/>
      <w:pgMar w:top="1418" w:right="1418" w:bottom="147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098" w:rsidRDefault="008D5098" w:rsidP="00C44501">
      <w:r>
        <w:separator/>
      </w:r>
    </w:p>
  </w:endnote>
  <w:endnote w:type="continuationSeparator" w:id="0">
    <w:p w:rsidR="008D5098" w:rsidRDefault="008D5098" w:rsidP="00C445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Italic">
    <w:panose1 w:val="020B0704020202090204"/>
    <w:charset w:val="00"/>
    <w:family w:val="roman"/>
    <w:pitch w:val="default"/>
    <w:sig w:usb0="00000000" w:usb1="00000000" w:usb2="00000000" w:usb3="00000000" w:csb0="00000000" w:csb1="00000000"/>
  </w:font>
  <w:font w:name="Arial Italic">
    <w:panose1 w:val="020B0604020202090204"/>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54" w:rsidRDefault="003B3A5F">
    <w:pPr>
      <w:pStyle w:val="FreeForm"/>
      <w:rPr>
        <w:rFonts w:eastAsia="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54" w:rsidRDefault="003B3A5F">
    <w:pPr>
      <w:pStyle w:val="FreeForm"/>
      <w:rPr>
        <w:rFonts w:eastAsia="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098" w:rsidRDefault="008D5098" w:rsidP="00C44501">
      <w:r>
        <w:separator/>
      </w:r>
    </w:p>
  </w:footnote>
  <w:footnote w:type="continuationSeparator" w:id="0">
    <w:p w:rsidR="008D5098" w:rsidRDefault="008D5098" w:rsidP="00C44501">
      <w:r>
        <w:continuationSeparator/>
      </w:r>
    </w:p>
  </w:footnote>
  <w:footnote w:id="1">
    <w:p w:rsidR="00C44501" w:rsidRDefault="00C44501" w:rsidP="00C44501">
      <w:pPr>
        <w:pStyle w:val="FootnoteText1"/>
        <w:rPr>
          <w:rFonts w:ascii="Times New Roman" w:eastAsia="Times New Roman" w:hAnsi="Times New Roman"/>
          <w:color w:val="auto"/>
          <w:lang w:val="en-AU"/>
        </w:rPr>
      </w:pPr>
      <w:r>
        <w:rPr>
          <w:vertAlign w:val="superscript"/>
        </w:rPr>
        <w:footnoteRef/>
      </w:r>
      <w:r>
        <w:t xml:space="preserve"> The other Priority Outcomes are: 1) More Efficient and Accountable Public Sector Management; 3) A Cost-Effective Health System which Delivers Improved Health Outcomes; 4) Reliable and Cost Effective Provision of Essential Infrastructure and Services; 5) Increased Private Sector Growth </w:t>
      </w:r>
    </w:p>
  </w:footnote>
  <w:footnote w:id="2">
    <w:p w:rsidR="00C44501" w:rsidRDefault="00C44501" w:rsidP="00C44501">
      <w:pPr>
        <w:pStyle w:val="FootnoteText"/>
      </w:pPr>
      <w:r>
        <w:rPr>
          <w:rStyle w:val="FootnoteReference"/>
        </w:rPr>
        <w:footnoteRef/>
      </w:r>
      <w:r>
        <w:t xml:space="preserve"> According to AusAID’s 2009 report ‘Tracking Development and Governance in the Pacific’, Nauru is off-track in pursuing MDG 3.</w:t>
      </w:r>
    </w:p>
  </w:footnote>
  <w:footnote w:id="3">
    <w:p w:rsidR="00C44501" w:rsidRDefault="00C44501" w:rsidP="00C44501">
      <w:pPr>
        <w:pStyle w:val="FootnoteText"/>
      </w:pPr>
      <w:r>
        <w:rPr>
          <w:rStyle w:val="FootnoteReference"/>
        </w:rPr>
        <w:footnoteRef/>
      </w:r>
      <w:r>
        <w:t xml:space="preserve"> </w:t>
      </w:r>
      <w:r>
        <w:rPr>
          <w:rFonts w:ascii="Arial" w:hAnsi="Arial"/>
          <w:sz w:val="18"/>
        </w:rPr>
        <w:t>Aus standard based on current Australian benchmarking tool – achieving minimum score of 20/30</w:t>
      </w:r>
    </w:p>
  </w:footnote>
  <w:footnote w:id="4">
    <w:p w:rsidR="00C44501" w:rsidRDefault="00C44501" w:rsidP="00C44501">
      <w:pPr>
        <w:pStyle w:val="FootnoteText"/>
      </w:pPr>
      <w:r>
        <w:rPr>
          <w:rStyle w:val="FootnoteReference"/>
        </w:rPr>
        <w:footnoteRef/>
      </w:r>
      <w:r>
        <w:t xml:space="preserve"> </w:t>
      </w:r>
      <w:r>
        <w:rPr>
          <w:rFonts w:ascii="Arial" w:hAnsi="Arial"/>
          <w:sz w:val="18"/>
        </w:rPr>
        <w:t>Aus standard based on current Australian benchmarking tool – achieving minimum score of 60/108</w:t>
      </w:r>
    </w:p>
  </w:footnote>
  <w:footnote w:id="5">
    <w:p w:rsidR="00C44501" w:rsidRDefault="00C44501" w:rsidP="00C44501">
      <w:pPr>
        <w:pStyle w:val="FootnoteTextA"/>
        <w:rPr>
          <w:rFonts w:eastAsia="Times New Roman"/>
          <w:color w:val="auto"/>
        </w:rPr>
      </w:pPr>
      <w:r>
        <w:rPr>
          <w:rStyle w:val="FootnoteReference1"/>
        </w:rPr>
        <w:footnoteRef/>
      </w:r>
      <w:r>
        <w:t xml:space="preserve"> Assistance will be provided to establish systematic school-based professional development for teachers and support-based models of assessing teacher performance. This will also be supported by the South Pacific Board for Educational Assessment (SPBEA) as part of SPBEA’s AusAID-financed Improving Literacy and Numeracy Assessment program. Work in this area will build on the DET investment in CASE that has focussed on in-service training for teachers and literacy and numeracy benchmarking.</w:t>
      </w:r>
    </w:p>
  </w:footnote>
  <w:footnote w:id="6">
    <w:p w:rsidR="00C44501" w:rsidRDefault="00C44501" w:rsidP="00C44501">
      <w:r>
        <w:rPr>
          <w:rStyle w:val="FootnoteReference"/>
        </w:rPr>
        <w:footnoteRef/>
      </w:r>
      <w:r>
        <w:t xml:space="preserve"> </w:t>
      </w:r>
      <w:r w:rsidRPr="00787387">
        <w:rPr>
          <w:sz w:val="20"/>
          <w:szCs w:val="20"/>
        </w:rPr>
        <w:t xml:space="preserve">Other </w:t>
      </w:r>
      <w:r>
        <w:rPr>
          <w:sz w:val="20"/>
          <w:szCs w:val="20"/>
        </w:rPr>
        <w:t>DP</w:t>
      </w:r>
      <w:r w:rsidRPr="00787387">
        <w:rPr>
          <w:sz w:val="20"/>
          <w:szCs w:val="20"/>
        </w:rPr>
        <w:t>s include Taiwan, UNESCO, USP, SPBEA, PRIDE, Divine Word University and Kiribati Teachers College.</w:t>
      </w:r>
    </w:p>
  </w:footnote>
  <w:footnote w:id="7">
    <w:p w:rsidR="00C44501" w:rsidRDefault="00C44501" w:rsidP="00C44501">
      <w:pPr>
        <w:pStyle w:val="FootnoteText"/>
      </w:pPr>
      <w:r>
        <w:rPr>
          <w:rStyle w:val="FootnoteReference"/>
        </w:rPr>
        <w:footnoteRef/>
      </w:r>
      <w:r>
        <w:t xml:space="preserve"> Indicative estimates to be reaffirmed on an annual basis</w:t>
      </w:r>
    </w:p>
  </w:footnote>
  <w:footnote w:id="8">
    <w:p w:rsidR="00C44501" w:rsidRDefault="00C44501" w:rsidP="00C44501">
      <w:pPr>
        <w:pStyle w:val="FootnoteText"/>
      </w:pPr>
      <w:r>
        <w:rPr>
          <w:rStyle w:val="FootnoteReference"/>
        </w:rPr>
        <w:footnoteRef/>
      </w:r>
      <w:r>
        <w:t xml:space="preserve"> </w:t>
      </w:r>
      <w:r>
        <w:rPr>
          <w:rFonts w:ascii="Arial" w:hAnsi="Arial"/>
          <w:sz w:val="18"/>
        </w:rPr>
        <w:t>Aus standard based on current Australian benchmarking tool – achieving minimum score of 20/30</w:t>
      </w:r>
    </w:p>
  </w:footnote>
  <w:footnote w:id="9">
    <w:p w:rsidR="00C44501" w:rsidRDefault="00C44501" w:rsidP="00C44501">
      <w:pPr>
        <w:pStyle w:val="FootnoteText"/>
      </w:pPr>
      <w:r>
        <w:rPr>
          <w:rStyle w:val="FootnoteReference"/>
        </w:rPr>
        <w:footnoteRef/>
      </w:r>
      <w:r>
        <w:t xml:space="preserve"> </w:t>
      </w:r>
      <w:r>
        <w:rPr>
          <w:rFonts w:ascii="Arial" w:hAnsi="Arial"/>
          <w:sz w:val="18"/>
        </w:rPr>
        <w:t>Aus standard based on current Australian benchmarking tool – achieving minimum score of 60/108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01" w:rsidRDefault="002826FF">
    <w:pPr>
      <w:pStyle w:val="Header1"/>
      <w:jc w:val="right"/>
    </w:pPr>
    <w:r>
      <w:fldChar w:fldCharType="begin"/>
    </w:r>
    <w:r w:rsidR="00C44501">
      <w:instrText xml:space="preserve"> PAGE </w:instrText>
    </w:r>
    <w:r>
      <w:fldChar w:fldCharType="separate"/>
    </w:r>
    <w:r w:rsidR="00C44501">
      <w:rPr>
        <w:noProof/>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01" w:rsidRDefault="002826FF">
    <w:pPr>
      <w:pStyle w:val="Header1"/>
      <w:jc w:val="right"/>
    </w:pPr>
    <w:r>
      <w:fldChar w:fldCharType="begin"/>
    </w:r>
    <w:r w:rsidR="00C44501">
      <w:instrText xml:space="preserve"> PAGE </w:instrText>
    </w:r>
    <w:r>
      <w:fldChar w:fldCharType="separate"/>
    </w:r>
    <w:r w:rsidR="003B3A5F">
      <w:rPr>
        <w:noProof/>
      </w:rPr>
      <w:t>1</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54" w:rsidRDefault="002826FF">
    <w:pPr>
      <w:pStyle w:val="Header1"/>
      <w:jc w:val="right"/>
    </w:pPr>
    <w:r>
      <w:fldChar w:fldCharType="begin"/>
    </w:r>
    <w:r w:rsidR="00A86736">
      <w:instrText xml:space="preserve"> PAGE </w:instrText>
    </w:r>
    <w:r>
      <w:fldChar w:fldCharType="separate"/>
    </w:r>
    <w:r w:rsidR="00A86736">
      <w:rPr>
        <w:noProof/>
      </w:rPr>
      <w:t>24</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54" w:rsidRDefault="002826FF">
    <w:pPr>
      <w:pStyle w:val="Header1"/>
      <w:jc w:val="right"/>
    </w:pPr>
    <w:r>
      <w:fldChar w:fldCharType="begin"/>
    </w:r>
    <w:r w:rsidR="00A86736">
      <w:instrText xml:space="preserve"> PAGE </w:instrText>
    </w:r>
    <w:r>
      <w:fldChar w:fldCharType="separate"/>
    </w:r>
    <w:r w:rsidR="003B3A5F">
      <w:rPr>
        <w:noProof/>
      </w:rPr>
      <w:t>23</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720"/>
        </w:tabs>
        <w:ind w:left="72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nsid w:val="00000004"/>
    <w:multiLevelType w:val="multilevel"/>
    <w:tmpl w:val="894EE876"/>
    <w:lvl w:ilvl="0">
      <w:start w:val="2"/>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4">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nsid w:val="00000007"/>
    <w:multiLevelType w:val="multilevel"/>
    <w:tmpl w:val="894EE879"/>
    <w:lvl w:ilvl="0">
      <w:start w:val="1"/>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7">
    <w:nsid w:val="00000008"/>
    <w:multiLevelType w:val="multilevel"/>
    <w:tmpl w:val="894EE87A"/>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8">
    <w:nsid w:val="00000009"/>
    <w:multiLevelType w:val="multilevel"/>
    <w:tmpl w:val="894EE87B"/>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9">
    <w:nsid w:val="0000000A"/>
    <w:multiLevelType w:val="multilevel"/>
    <w:tmpl w:val="894EE87C"/>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0">
    <w:nsid w:val="0000000B"/>
    <w:multiLevelType w:val="multilevel"/>
    <w:tmpl w:val="894EE87D"/>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1">
    <w:nsid w:val="0000000C"/>
    <w:multiLevelType w:val="multilevel"/>
    <w:tmpl w:val="894EE87E"/>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2">
    <w:nsid w:val="0000000D"/>
    <w:multiLevelType w:val="multilevel"/>
    <w:tmpl w:val="894EE87F"/>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3">
    <w:nsid w:val="0000000E"/>
    <w:multiLevelType w:val="multilevel"/>
    <w:tmpl w:val="894EE880"/>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4">
    <w:nsid w:val="0000000F"/>
    <w:multiLevelType w:val="multilevel"/>
    <w:tmpl w:val="894EE881"/>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5">
    <w:nsid w:val="00000010"/>
    <w:multiLevelType w:val="multilevel"/>
    <w:tmpl w:val="894EE882"/>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6">
    <w:nsid w:val="00000011"/>
    <w:multiLevelType w:val="multilevel"/>
    <w:tmpl w:val="894EE883"/>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7">
    <w:nsid w:val="00000012"/>
    <w:multiLevelType w:val="multilevel"/>
    <w:tmpl w:val="894EE884"/>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8">
    <w:nsid w:val="00000013"/>
    <w:multiLevelType w:val="multilevel"/>
    <w:tmpl w:val="894EE885"/>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9">
    <w:nsid w:val="00000014"/>
    <w:multiLevelType w:val="multilevel"/>
    <w:tmpl w:val="894EE886"/>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20">
    <w:nsid w:val="00000015"/>
    <w:multiLevelType w:val="multilevel"/>
    <w:tmpl w:val="894EE887"/>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21">
    <w:nsid w:val="00000016"/>
    <w:multiLevelType w:val="multilevel"/>
    <w:tmpl w:val="894EE888"/>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22">
    <w:nsid w:val="00000017"/>
    <w:multiLevelType w:val="multilevel"/>
    <w:tmpl w:val="894EE889"/>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23">
    <w:nsid w:val="00000018"/>
    <w:multiLevelType w:val="multilevel"/>
    <w:tmpl w:val="894EE88A"/>
    <w:lvl w:ilvl="0">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24">
    <w:nsid w:val="00000019"/>
    <w:multiLevelType w:val="multilevel"/>
    <w:tmpl w:val="894EE88B"/>
    <w:lvl w:ilvl="0">
      <w:numFmt w:val="bullet"/>
      <w:lvlText w:val="·"/>
      <w:lvlJc w:val="left"/>
      <w:pPr>
        <w:tabs>
          <w:tab w:val="num" w:pos="192"/>
        </w:tabs>
        <w:ind w:left="192"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25">
    <w:nsid w:val="0000001A"/>
    <w:multiLevelType w:val="multilevel"/>
    <w:tmpl w:val="894EE88C"/>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26">
    <w:nsid w:val="0000001B"/>
    <w:multiLevelType w:val="multilevel"/>
    <w:tmpl w:val="894EE88D"/>
    <w:lvl w:ilvl="0">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27">
    <w:nsid w:val="0000001C"/>
    <w:multiLevelType w:val="multilevel"/>
    <w:tmpl w:val="894EE88E"/>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8">
    <w:nsid w:val="0000001D"/>
    <w:multiLevelType w:val="multilevel"/>
    <w:tmpl w:val="894EE88F"/>
    <w:lvl w:ilvl="0">
      <w:start w:val="1"/>
      <w:numFmt w:val="bullet"/>
      <w:lvlText w:val="-"/>
      <w:lvlJc w:val="left"/>
      <w:pPr>
        <w:tabs>
          <w:tab w:val="num" w:pos="34"/>
        </w:tabs>
        <w:ind w:left="34" w:firstLine="0"/>
      </w:pPr>
      <w:rPr>
        <w:rFonts w:ascii="Lucida Grande" w:eastAsia="ヒラギノ角ゴ Pro W3" w:hAnsi="Symbol" w:hint="default"/>
        <w:color w:val="000000"/>
        <w:position w:val="0"/>
        <w:sz w:val="24"/>
      </w:rPr>
    </w:lvl>
    <w:lvl w:ilvl="1">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2">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3">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4">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5">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6">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7">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8">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abstractNum>
  <w:abstractNum w:abstractNumId="29">
    <w:nsid w:val="0000001E"/>
    <w:multiLevelType w:val="multilevel"/>
    <w:tmpl w:val="894EE890"/>
    <w:lvl w:ilvl="0">
      <w:start w:val="1"/>
      <w:numFmt w:val="bullet"/>
      <w:suff w:val="nothing"/>
      <w:lvlText w:val="-"/>
      <w:lvlJc w:val="left"/>
      <w:pPr>
        <w:ind w:left="0" w:firstLine="0"/>
      </w:pPr>
      <w:rPr>
        <w:rFonts w:ascii="Lucida Grande" w:eastAsia="ヒラギノ角ゴ Pro W3" w:hAnsi="Symbol" w:hint="default"/>
        <w:color w:val="000000"/>
        <w:position w:val="0"/>
        <w:sz w:val="24"/>
      </w:rPr>
    </w:lvl>
    <w:lvl w:ilvl="1">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2">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3">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4">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5">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6">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7">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8">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abstractNum>
  <w:abstractNum w:abstractNumId="30">
    <w:nsid w:val="0000001F"/>
    <w:multiLevelType w:val="multilevel"/>
    <w:tmpl w:val="894EE891"/>
    <w:lvl w:ilvl="0">
      <w:start w:val="1"/>
      <w:numFmt w:val="bullet"/>
      <w:lvlText w:val="-"/>
      <w:lvlJc w:val="left"/>
      <w:pPr>
        <w:tabs>
          <w:tab w:val="num" w:pos="35"/>
        </w:tabs>
        <w:ind w:left="35" w:firstLine="0"/>
      </w:pPr>
      <w:rPr>
        <w:rFonts w:ascii="Lucida Grande" w:eastAsia="ヒラギノ角ゴ Pro W3" w:hAnsi="Symbol" w:hint="default"/>
        <w:color w:val="000000"/>
        <w:position w:val="0"/>
        <w:sz w:val="24"/>
      </w:rPr>
    </w:lvl>
    <w:lvl w:ilvl="1">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2">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3">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4">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5">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6">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7">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lvl w:ilvl="8">
      <w:start w:val="1"/>
      <w:numFmt w:val="bullet"/>
      <w:lvlText w:val="-"/>
      <w:lvlJc w:val="left"/>
      <w:pPr>
        <w:tabs>
          <w:tab w:val="num" w:pos="397"/>
        </w:tabs>
        <w:ind w:left="397" w:firstLine="397"/>
      </w:pPr>
      <w:rPr>
        <w:rFonts w:ascii="Lucida Grande" w:eastAsia="ヒラギノ角ゴ Pro W3" w:hAnsi="Symbol" w:hint="default"/>
        <w:color w:val="000000"/>
        <w:position w:val="0"/>
        <w:sz w:val="24"/>
      </w:rPr>
    </w:lvl>
  </w:abstractNum>
  <w:abstractNum w:abstractNumId="31">
    <w:nsid w:val="00000020"/>
    <w:multiLevelType w:val="multilevel"/>
    <w:tmpl w:val="894EE892"/>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2">
    <w:nsid w:val="00000021"/>
    <w:multiLevelType w:val="multilevel"/>
    <w:tmpl w:val="894EE89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3">
    <w:nsid w:val="00000022"/>
    <w:multiLevelType w:val="multilevel"/>
    <w:tmpl w:val="894EE89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34">
    <w:nsid w:val="00000023"/>
    <w:multiLevelType w:val="multilevel"/>
    <w:tmpl w:val="894EE895"/>
    <w:lvl w:ilvl="0">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35">
    <w:nsid w:val="00000024"/>
    <w:multiLevelType w:val="multilevel"/>
    <w:tmpl w:val="894EE896"/>
    <w:lvl w:ilvl="0">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36">
    <w:nsid w:val="00000025"/>
    <w:multiLevelType w:val="multilevel"/>
    <w:tmpl w:val="894EE897"/>
    <w:lvl w:ilvl="0">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37">
    <w:nsid w:val="00000026"/>
    <w:multiLevelType w:val="multilevel"/>
    <w:tmpl w:val="894EE898"/>
    <w:lvl w:ilvl="0">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38">
    <w:nsid w:val="00000027"/>
    <w:multiLevelType w:val="multilevel"/>
    <w:tmpl w:val="894EE899"/>
    <w:lvl w:ilvl="0">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39">
    <w:nsid w:val="00000028"/>
    <w:multiLevelType w:val="multilevel"/>
    <w:tmpl w:val="894EE89A"/>
    <w:lvl w:ilvl="0">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40">
    <w:nsid w:val="00000029"/>
    <w:multiLevelType w:val="multilevel"/>
    <w:tmpl w:val="894EE89B"/>
    <w:lvl w:ilvl="0">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41">
    <w:nsid w:val="0000002A"/>
    <w:multiLevelType w:val="multilevel"/>
    <w:tmpl w:val="894EE89C"/>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42">
    <w:nsid w:val="00DE7325"/>
    <w:multiLevelType w:val="hybridMultilevel"/>
    <w:tmpl w:val="1EAC2168"/>
    <w:lvl w:ilvl="0" w:tplc="27E6F87A">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06483083"/>
    <w:multiLevelType w:val="hybridMultilevel"/>
    <w:tmpl w:val="BF76919A"/>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29FD10AC"/>
    <w:multiLevelType w:val="singleLevel"/>
    <w:tmpl w:val="F09A0256"/>
    <w:lvl w:ilvl="0">
      <w:start w:val="1"/>
      <w:numFmt w:val="bullet"/>
      <w:pStyle w:val="NormDash"/>
      <w:lvlText w:val=""/>
      <w:lvlJc w:val="left"/>
      <w:pPr>
        <w:tabs>
          <w:tab w:val="num" w:pos="794"/>
        </w:tabs>
        <w:ind w:left="794" w:hanging="397"/>
      </w:pPr>
      <w:rPr>
        <w:rFonts w:ascii="Symbol" w:hAnsi="Symbol" w:hint="default"/>
      </w:rPr>
    </w:lvl>
  </w:abstractNum>
  <w:abstractNum w:abstractNumId="45">
    <w:nsid w:val="32BF0ED2"/>
    <w:multiLevelType w:val="hybridMultilevel"/>
    <w:tmpl w:val="772C783A"/>
    <w:lvl w:ilvl="0" w:tplc="5CF48742">
      <w:start w:val="4"/>
      <w:numFmt w:val="decimal"/>
      <w:lvlText w:val="%1."/>
      <w:lvlJc w:val="left"/>
      <w:pPr>
        <w:tabs>
          <w:tab w:val="num" w:pos="600"/>
        </w:tabs>
        <w:ind w:left="600" w:hanging="360"/>
      </w:pPr>
      <w:rPr>
        <w:rFonts w:hint="default"/>
      </w:rPr>
    </w:lvl>
    <w:lvl w:ilvl="1" w:tplc="0C090019" w:tentative="1">
      <w:start w:val="1"/>
      <w:numFmt w:val="lowerLetter"/>
      <w:lvlText w:val="%2."/>
      <w:lvlJc w:val="left"/>
      <w:pPr>
        <w:tabs>
          <w:tab w:val="num" w:pos="1320"/>
        </w:tabs>
        <w:ind w:left="1320" w:hanging="360"/>
      </w:pPr>
    </w:lvl>
    <w:lvl w:ilvl="2" w:tplc="0C09001B" w:tentative="1">
      <w:start w:val="1"/>
      <w:numFmt w:val="lowerRoman"/>
      <w:lvlText w:val="%3."/>
      <w:lvlJc w:val="right"/>
      <w:pPr>
        <w:tabs>
          <w:tab w:val="num" w:pos="2040"/>
        </w:tabs>
        <w:ind w:left="2040" w:hanging="180"/>
      </w:pPr>
    </w:lvl>
    <w:lvl w:ilvl="3" w:tplc="0C09000F" w:tentative="1">
      <w:start w:val="1"/>
      <w:numFmt w:val="decimal"/>
      <w:lvlText w:val="%4."/>
      <w:lvlJc w:val="left"/>
      <w:pPr>
        <w:tabs>
          <w:tab w:val="num" w:pos="2760"/>
        </w:tabs>
        <w:ind w:left="2760" w:hanging="360"/>
      </w:pPr>
    </w:lvl>
    <w:lvl w:ilvl="4" w:tplc="0C090019" w:tentative="1">
      <w:start w:val="1"/>
      <w:numFmt w:val="lowerLetter"/>
      <w:lvlText w:val="%5."/>
      <w:lvlJc w:val="left"/>
      <w:pPr>
        <w:tabs>
          <w:tab w:val="num" w:pos="3480"/>
        </w:tabs>
        <w:ind w:left="3480" w:hanging="360"/>
      </w:pPr>
    </w:lvl>
    <w:lvl w:ilvl="5" w:tplc="0C09001B" w:tentative="1">
      <w:start w:val="1"/>
      <w:numFmt w:val="lowerRoman"/>
      <w:lvlText w:val="%6."/>
      <w:lvlJc w:val="right"/>
      <w:pPr>
        <w:tabs>
          <w:tab w:val="num" w:pos="4200"/>
        </w:tabs>
        <w:ind w:left="4200" w:hanging="180"/>
      </w:pPr>
    </w:lvl>
    <w:lvl w:ilvl="6" w:tplc="0C09000F" w:tentative="1">
      <w:start w:val="1"/>
      <w:numFmt w:val="decimal"/>
      <w:lvlText w:val="%7."/>
      <w:lvlJc w:val="left"/>
      <w:pPr>
        <w:tabs>
          <w:tab w:val="num" w:pos="4920"/>
        </w:tabs>
        <w:ind w:left="4920" w:hanging="360"/>
      </w:pPr>
    </w:lvl>
    <w:lvl w:ilvl="7" w:tplc="0C090019" w:tentative="1">
      <w:start w:val="1"/>
      <w:numFmt w:val="lowerLetter"/>
      <w:lvlText w:val="%8."/>
      <w:lvlJc w:val="left"/>
      <w:pPr>
        <w:tabs>
          <w:tab w:val="num" w:pos="5640"/>
        </w:tabs>
        <w:ind w:left="5640" w:hanging="360"/>
      </w:pPr>
    </w:lvl>
    <w:lvl w:ilvl="8" w:tplc="0C09001B" w:tentative="1">
      <w:start w:val="1"/>
      <w:numFmt w:val="lowerRoman"/>
      <w:lvlText w:val="%9."/>
      <w:lvlJc w:val="right"/>
      <w:pPr>
        <w:tabs>
          <w:tab w:val="num" w:pos="6360"/>
        </w:tabs>
        <w:ind w:left="6360" w:hanging="180"/>
      </w:pPr>
    </w:lvl>
  </w:abstractNum>
  <w:abstractNum w:abstractNumId="46">
    <w:nsid w:val="3BA74008"/>
    <w:multiLevelType w:val="hybridMultilevel"/>
    <w:tmpl w:val="580E7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A720C24"/>
    <w:multiLevelType w:val="hybridMultilevel"/>
    <w:tmpl w:val="C5F0175C"/>
    <w:lvl w:ilvl="0" w:tplc="61F2F45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6AEF0FC3"/>
    <w:multiLevelType w:val="hybridMultilevel"/>
    <w:tmpl w:val="9F6A41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79382BC8"/>
    <w:multiLevelType w:val="hybridMultilevel"/>
    <w:tmpl w:val="C1F66B74"/>
    <w:lvl w:ilvl="0" w:tplc="61F2F45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9"/>
  </w:num>
  <w:num w:numId="44">
    <w:abstractNumId w:val="45"/>
  </w:num>
  <w:num w:numId="45">
    <w:abstractNumId w:val="43"/>
  </w:num>
  <w:num w:numId="46">
    <w:abstractNumId w:val="47"/>
  </w:num>
  <w:num w:numId="47">
    <w:abstractNumId w:val="42"/>
  </w:num>
  <w:num w:numId="48">
    <w:abstractNumId w:val="44"/>
  </w:num>
  <w:num w:numId="49">
    <w:abstractNumId w:val="46"/>
  </w:num>
  <w:num w:numId="50">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44501"/>
    <w:rsid w:val="000C6F57"/>
    <w:rsid w:val="002826FF"/>
    <w:rsid w:val="003B3A5F"/>
    <w:rsid w:val="0056137A"/>
    <w:rsid w:val="005A2F65"/>
    <w:rsid w:val="008D5098"/>
    <w:rsid w:val="00A70C94"/>
    <w:rsid w:val="00A86736"/>
    <w:rsid w:val="00C4450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01"/>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C44501"/>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en-AU"/>
    </w:rPr>
  </w:style>
  <w:style w:type="paragraph" w:customStyle="1" w:styleId="FreeForm">
    <w:name w:val="Free Form"/>
    <w:autoRedefine/>
    <w:rsid w:val="00C44501"/>
    <w:pPr>
      <w:spacing w:after="0" w:line="240" w:lineRule="auto"/>
    </w:pPr>
    <w:rPr>
      <w:rFonts w:ascii="Times New Roman" w:eastAsia="ヒラギノ角ゴ Pro W3" w:hAnsi="Times New Roman" w:cs="Times New Roman"/>
      <w:color w:val="000000"/>
      <w:sz w:val="20"/>
      <w:szCs w:val="20"/>
      <w:lang w:eastAsia="en-AU"/>
    </w:rPr>
  </w:style>
  <w:style w:type="paragraph" w:customStyle="1" w:styleId="FootnoteText1">
    <w:name w:val="Footnote Text1"/>
    <w:autoRedefine/>
    <w:rsid w:val="00C44501"/>
    <w:pPr>
      <w:spacing w:after="0" w:line="240" w:lineRule="auto"/>
    </w:pPr>
    <w:rPr>
      <w:rFonts w:ascii="Helvetica" w:eastAsia="ヒラギノ角ゴ Pro W3" w:hAnsi="Helvetica" w:cs="Times New Roman"/>
      <w:color w:val="000000"/>
      <w:sz w:val="20"/>
      <w:szCs w:val="20"/>
      <w:lang w:val="en-US" w:eastAsia="en-AU"/>
    </w:rPr>
  </w:style>
  <w:style w:type="character" w:customStyle="1" w:styleId="FootnoteReference1">
    <w:name w:val="Footnote Reference1"/>
    <w:rsid w:val="00C44501"/>
    <w:rPr>
      <w:color w:val="000000"/>
      <w:sz w:val="20"/>
      <w:vertAlign w:val="superscript"/>
    </w:rPr>
  </w:style>
  <w:style w:type="paragraph" w:customStyle="1" w:styleId="FootnoteTextA">
    <w:name w:val="Footnote Text A"/>
    <w:autoRedefine/>
    <w:rsid w:val="00C44501"/>
    <w:pPr>
      <w:spacing w:after="0" w:line="240" w:lineRule="auto"/>
    </w:pPr>
    <w:rPr>
      <w:rFonts w:ascii="Times New Roman" w:eastAsia="ヒラギノ角ゴ Pro W3" w:hAnsi="Times New Roman" w:cs="Times New Roman"/>
      <w:color w:val="000000"/>
      <w:sz w:val="20"/>
      <w:szCs w:val="20"/>
      <w:lang w:eastAsia="en-AU"/>
    </w:rPr>
  </w:style>
  <w:style w:type="paragraph" w:styleId="ListParagraph">
    <w:name w:val="List Paragraph"/>
    <w:autoRedefine/>
    <w:qFormat/>
    <w:rsid w:val="00C44501"/>
    <w:pPr>
      <w:spacing w:after="0" w:line="240" w:lineRule="auto"/>
      <w:ind w:left="720"/>
    </w:pPr>
    <w:rPr>
      <w:rFonts w:ascii="Times New Roman" w:eastAsia="ヒラギノ角ゴ Pro W3" w:hAnsi="Times New Roman" w:cs="Times New Roman"/>
      <w:color w:val="000000"/>
      <w:sz w:val="24"/>
      <w:szCs w:val="20"/>
      <w:lang w:eastAsia="en-AU"/>
    </w:rPr>
  </w:style>
  <w:style w:type="paragraph" w:styleId="BalloonText">
    <w:name w:val="Balloon Text"/>
    <w:basedOn w:val="Normal"/>
    <w:link w:val="BalloonTextChar"/>
    <w:semiHidden/>
    <w:rsid w:val="00C44501"/>
    <w:rPr>
      <w:rFonts w:ascii="Tahoma" w:hAnsi="Tahoma" w:cs="Tahoma"/>
      <w:sz w:val="16"/>
      <w:szCs w:val="16"/>
    </w:rPr>
  </w:style>
  <w:style w:type="character" w:customStyle="1" w:styleId="BalloonTextChar">
    <w:name w:val="Balloon Text Char"/>
    <w:basedOn w:val="DefaultParagraphFont"/>
    <w:link w:val="BalloonText"/>
    <w:semiHidden/>
    <w:rsid w:val="00C44501"/>
    <w:rPr>
      <w:rFonts w:ascii="Tahoma" w:eastAsia="ヒラギノ角ゴ Pro W3" w:hAnsi="Tahoma" w:cs="Tahoma"/>
      <w:color w:val="000000"/>
      <w:sz w:val="16"/>
      <w:szCs w:val="16"/>
    </w:rPr>
  </w:style>
  <w:style w:type="paragraph" w:styleId="FootnoteText">
    <w:name w:val="footnote text"/>
    <w:basedOn w:val="Normal"/>
    <w:link w:val="FootnoteTextChar"/>
    <w:semiHidden/>
    <w:rsid w:val="00C44501"/>
    <w:rPr>
      <w:sz w:val="20"/>
      <w:szCs w:val="20"/>
    </w:rPr>
  </w:style>
  <w:style w:type="character" w:customStyle="1" w:styleId="FootnoteTextChar">
    <w:name w:val="Footnote Text Char"/>
    <w:basedOn w:val="DefaultParagraphFont"/>
    <w:link w:val="FootnoteText"/>
    <w:semiHidden/>
    <w:rsid w:val="00C44501"/>
    <w:rPr>
      <w:rFonts w:ascii="Times New Roman" w:eastAsia="ヒラギノ角ゴ Pro W3" w:hAnsi="Times New Roman" w:cs="Times New Roman"/>
      <w:color w:val="000000"/>
      <w:sz w:val="20"/>
      <w:szCs w:val="20"/>
    </w:rPr>
  </w:style>
  <w:style w:type="character" w:styleId="FootnoteReference">
    <w:name w:val="footnote reference"/>
    <w:basedOn w:val="DefaultParagraphFont"/>
    <w:semiHidden/>
    <w:rsid w:val="00C44501"/>
    <w:rPr>
      <w:vertAlign w:val="superscript"/>
    </w:rPr>
  </w:style>
  <w:style w:type="character" w:styleId="Hyperlink">
    <w:name w:val="Hyperlink"/>
    <w:basedOn w:val="DefaultParagraphFont"/>
    <w:rsid w:val="00C44501"/>
    <w:rPr>
      <w:color w:val="0000FF"/>
      <w:u w:val="single"/>
    </w:rPr>
  </w:style>
  <w:style w:type="character" w:styleId="CommentReference">
    <w:name w:val="annotation reference"/>
    <w:basedOn w:val="DefaultParagraphFont"/>
    <w:semiHidden/>
    <w:rsid w:val="00C44501"/>
    <w:rPr>
      <w:sz w:val="16"/>
      <w:szCs w:val="16"/>
    </w:rPr>
  </w:style>
  <w:style w:type="paragraph" w:styleId="CommentText">
    <w:name w:val="annotation text"/>
    <w:basedOn w:val="Normal"/>
    <w:link w:val="CommentTextChar"/>
    <w:semiHidden/>
    <w:rsid w:val="00C44501"/>
    <w:rPr>
      <w:sz w:val="20"/>
      <w:szCs w:val="20"/>
    </w:rPr>
  </w:style>
  <w:style w:type="character" w:customStyle="1" w:styleId="CommentTextChar">
    <w:name w:val="Comment Text Char"/>
    <w:basedOn w:val="DefaultParagraphFont"/>
    <w:link w:val="CommentText"/>
    <w:semiHidden/>
    <w:rsid w:val="00C44501"/>
    <w:rPr>
      <w:rFonts w:ascii="Times New Roman" w:eastAsia="ヒラギノ角ゴ Pro W3" w:hAnsi="Times New Roman" w:cs="Times New Roman"/>
      <w:color w:val="000000"/>
      <w:sz w:val="20"/>
      <w:szCs w:val="20"/>
    </w:rPr>
  </w:style>
  <w:style w:type="paragraph" w:styleId="CommentSubject">
    <w:name w:val="annotation subject"/>
    <w:basedOn w:val="CommentText"/>
    <w:next w:val="CommentText"/>
    <w:link w:val="CommentSubjectChar"/>
    <w:semiHidden/>
    <w:rsid w:val="00C44501"/>
    <w:rPr>
      <w:b/>
      <w:bCs/>
    </w:rPr>
  </w:style>
  <w:style w:type="character" w:customStyle="1" w:styleId="CommentSubjectChar">
    <w:name w:val="Comment Subject Char"/>
    <w:basedOn w:val="CommentTextChar"/>
    <w:link w:val="CommentSubject"/>
    <w:semiHidden/>
    <w:rsid w:val="00C44501"/>
    <w:rPr>
      <w:b/>
      <w:bCs/>
    </w:rPr>
  </w:style>
  <w:style w:type="paragraph" w:customStyle="1" w:styleId="NormDash">
    <w:name w:val="Norm_Dash"/>
    <w:basedOn w:val="Normal"/>
    <w:rsid w:val="00C44501"/>
    <w:pPr>
      <w:numPr>
        <w:numId w:val="48"/>
      </w:numPr>
    </w:pPr>
    <w:rPr>
      <w:rFonts w:eastAsia="Times New Roman"/>
      <w:color w:val="auto"/>
    </w:rPr>
  </w:style>
  <w:style w:type="paragraph" w:styleId="Footer">
    <w:name w:val="footer"/>
    <w:basedOn w:val="Normal"/>
    <w:link w:val="FooterChar"/>
    <w:rsid w:val="00C44501"/>
    <w:pPr>
      <w:tabs>
        <w:tab w:val="center" w:pos="4513"/>
        <w:tab w:val="right" w:pos="9026"/>
      </w:tabs>
    </w:pPr>
  </w:style>
  <w:style w:type="character" w:customStyle="1" w:styleId="FooterChar">
    <w:name w:val="Footer Char"/>
    <w:basedOn w:val="DefaultParagraphFont"/>
    <w:link w:val="Footer"/>
    <w:rsid w:val="00C44501"/>
    <w:rPr>
      <w:rFonts w:ascii="Times New Roman" w:eastAsia="ヒラギノ角ゴ Pro W3" w:hAnsi="Times New Roman" w:cs="Times New Roman"/>
      <w:color w:val="000000"/>
      <w:sz w:val="24"/>
      <w:szCs w:val="24"/>
    </w:rPr>
  </w:style>
  <w:style w:type="paragraph" w:styleId="Header">
    <w:name w:val="header"/>
    <w:basedOn w:val="Normal"/>
    <w:link w:val="HeaderChar"/>
    <w:rsid w:val="00C44501"/>
    <w:pPr>
      <w:tabs>
        <w:tab w:val="center" w:pos="4513"/>
        <w:tab w:val="right" w:pos="9026"/>
      </w:tabs>
    </w:pPr>
  </w:style>
  <w:style w:type="character" w:customStyle="1" w:styleId="HeaderChar">
    <w:name w:val="Header Char"/>
    <w:basedOn w:val="DefaultParagraphFont"/>
    <w:link w:val="Header"/>
    <w:rsid w:val="00C44501"/>
    <w:rPr>
      <w:rFonts w:ascii="Times New Roman" w:eastAsia="ヒラギノ角ゴ Pro W3" w:hAnsi="Times New Roman" w:cs="Times New Roman"/>
      <w:color w:val="000000"/>
      <w:sz w:val="24"/>
      <w:szCs w:val="24"/>
    </w:rPr>
  </w:style>
  <w:style w:type="table" w:styleId="TableGrid">
    <w:name w:val="Table Grid"/>
    <w:basedOn w:val="TableNormal"/>
    <w:rsid w:val="00C44501"/>
    <w:pPr>
      <w:spacing w:after="0" w:line="240" w:lineRule="auto"/>
    </w:pPr>
    <w:rPr>
      <w:rFonts w:ascii="Times New Roman" w:eastAsia="Times New Roman" w:hAnsi="Times New Roman"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8BF3A0-AEB4-4ACE-A66F-DEA1FA780CD5}"/>
</file>

<file path=customXml/itemProps2.xml><?xml version="1.0" encoding="utf-8"?>
<ds:datastoreItem xmlns:ds="http://schemas.openxmlformats.org/officeDocument/2006/customXml" ds:itemID="{9CE50082-CA9C-430D-8CD8-EB8F8BCD1305}"/>
</file>

<file path=customXml/itemProps3.xml><?xml version="1.0" encoding="utf-8"?>
<ds:datastoreItem xmlns:ds="http://schemas.openxmlformats.org/officeDocument/2006/customXml" ds:itemID="{4C0D3609-B4CD-4E10-AFE7-8A81BA19CFE6}"/>
</file>

<file path=docProps/app.xml><?xml version="1.0" encoding="utf-8"?>
<Properties xmlns="http://schemas.openxmlformats.org/officeDocument/2006/extended-properties" xmlns:vt="http://schemas.openxmlformats.org/officeDocument/2006/docPropsVTypes">
  <Template>Normal</Template>
  <TotalTime>2</TotalTime>
  <Pages>23</Pages>
  <Words>7345</Words>
  <Characters>41867</Characters>
  <Application>Microsoft Office Word</Application>
  <DocSecurity>0</DocSecurity>
  <Lines>348</Lines>
  <Paragraphs>98</Paragraphs>
  <ScaleCrop>false</ScaleCrop>
  <Company>Toshiba</Company>
  <LinksUpToDate>false</LinksUpToDate>
  <CharactersWithSpaces>49114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dc:creator>
  <cp:lastModifiedBy>Mark Skinner</cp:lastModifiedBy>
  <cp:revision>2</cp:revision>
  <dcterms:created xsi:type="dcterms:W3CDTF">2011-03-09T23:16:00Z</dcterms:created>
  <dcterms:modified xsi:type="dcterms:W3CDTF">2011-03-09T23:16:00Z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