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4AE6" w14:textId="15F1E1B3" w:rsidR="00A32858" w:rsidRDefault="00F8087C" w:rsidP="00B7708F">
      <w:pPr>
        <w:pStyle w:val="Heading1"/>
        <w:rPr>
          <w:color w:val="auto"/>
          <w:sz w:val="36"/>
          <w:szCs w:val="36"/>
        </w:rPr>
      </w:pPr>
      <w:bookmarkStart w:id="0" w:name="_Toc413078488"/>
      <w:r w:rsidRPr="00BA79A1">
        <w:rPr>
          <w:color w:val="auto"/>
          <w:sz w:val="36"/>
          <w:szCs w:val="36"/>
        </w:rPr>
        <w:t xml:space="preserve">NIUE </w:t>
      </w:r>
      <w:r w:rsidR="00777C9C" w:rsidRPr="00BA79A1">
        <w:rPr>
          <w:color w:val="auto"/>
          <w:sz w:val="36"/>
          <w:szCs w:val="36"/>
        </w:rPr>
        <w:t>Australi</w:t>
      </w:r>
      <w:r w:rsidR="00013647" w:rsidRPr="00BA79A1">
        <w:rPr>
          <w:color w:val="auto"/>
          <w:sz w:val="36"/>
          <w:szCs w:val="36"/>
        </w:rPr>
        <w:t>A</w:t>
      </w:r>
      <w:r w:rsidR="00777C9C" w:rsidRPr="00BA79A1">
        <w:rPr>
          <w:color w:val="auto"/>
          <w:sz w:val="36"/>
          <w:szCs w:val="36"/>
        </w:rPr>
        <w:t xml:space="preserve"> Development Pr</w:t>
      </w:r>
      <w:r w:rsidRPr="00BA79A1">
        <w:rPr>
          <w:color w:val="auto"/>
          <w:sz w:val="36"/>
          <w:szCs w:val="36"/>
        </w:rPr>
        <w:t>OGRAM 2021-2025</w:t>
      </w:r>
      <w:r w:rsidR="00734C81" w:rsidRPr="00BA79A1">
        <w:rPr>
          <w:color w:val="auto"/>
          <w:sz w:val="36"/>
          <w:szCs w:val="36"/>
        </w:rPr>
        <w:t xml:space="preserve"> - </w:t>
      </w:r>
      <w:r w:rsidR="00A32858" w:rsidRPr="00BA79A1">
        <w:rPr>
          <w:color w:val="auto"/>
          <w:sz w:val="36"/>
          <w:szCs w:val="36"/>
        </w:rPr>
        <w:t>Investment Design</w:t>
      </w:r>
      <w:bookmarkEnd w:id="0"/>
    </w:p>
    <w:p w14:paraId="7B6C3ABC" w14:textId="43596233" w:rsidR="00674801" w:rsidRDefault="00674801" w:rsidP="009D1D2E">
      <w:pPr>
        <w:shd w:val="clear" w:color="auto" w:fill="C1E7E0" w:themeFill="accent1" w:themeFillTint="66"/>
        <w:rPr>
          <w:bCs/>
          <w:color w:val="auto"/>
          <w:sz w:val="21"/>
          <w:szCs w:val="21"/>
        </w:rPr>
      </w:pPr>
      <w:r w:rsidRPr="00BA79A1">
        <w:rPr>
          <w:b/>
          <w:color w:val="auto"/>
          <w:sz w:val="21"/>
          <w:szCs w:val="21"/>
        </w:rPr>
        <w:t>Investment Design Title:</w:t>
      </w:r>
      <w:r w:rsidRPr="00BA79A1">
        <w:rPr>
          <w:b/>
          <w:color w:val="auto"/>
          <w:sz w:val="21"/>
          <w:szCs w:val="21"/>
        </w:rPr>
        <w:tab/>
      </w:r>
      <w:r w:rsidRPr="00BA79A1">
        <w:rPr>
          <w:bCs/>
          <w:color w:val="auto"/>
          <w:sz w:val="21"/>
          <w:szCs w:val="21"/>
        </w:rPr>
        <w:t>Niue Australia Development Program 2021-2025</w:t>
      </w:r>
    </w:p>
    <w:p w14:paraId="4CEDC873" w14:textId="4C67E099" w:rsidR="00674801" w:rsidRDefault="00674801" w:rsidP="009D1D2E">
      <w:pPr>
        <w:shd w:val="clear" w:color="auto" w:fill="C1E7E0" w:themeFill="accent1" w:themeFillTint="66"/>
        <w:rPr>
          <w:bCs/>
          <w:color w:val="auto"/>
          <w:sz w:val="21"/>
          <w:szCs w:val="21"/>
        </w:rPr>
      </w:pPr>
      <w:r w:rsidRPr="00BA79A1">
        <w:rPr>
          <w:b/>
          <w:color w:val="auto"/>
          <w:sz w:val="21"/>
          <w:szCs w:val="21"/>
        </w:rPr>
        <w:t>Start date:</w:t>
      </w:r>
      <w:r w:rsidRPr="00BA79A1">
        <w:rPr>
          <w:b/>
          <w:color w:val="auto"/>
          <w:sz w:val="21"/>
          <w:szCs w:val="21"/>
        </w:rPr>
        <w:tab/>
      </w:r>
      <w:r w:rsidRPr="00BA79A1">
        <w:rPr>
          <w:bCs/>
          <w:color w:val="auto"/>
          <w:sz w:val="21"/>
          <w:szCs w:val="21"/>
        </w:rPr>
        <w:t>1 July 2021</w:t>
      </w:r>
      <w:r w:rsidRPr="00BA79A1">
        <w:rPr>
          <w:b/>
          <w:color w:val="auto"/>
          <w:sz w:val="21"/>
          <w:szCs w:val="21"/>
        </w:rPr>
        <w:tab/>
      </w:r>
      <w:r w:rsidRPr="00BA79A1">
        <w:rPr>
          <w:b/>
          <w:color w:val="auto"/>
          <w:sz w:val="21"/>
          <w:szCs w:val="21"/>
        </w:rPr>
        <w:tab/>
      </w:r>
      <w:r w:rsidRPr="00BA79A1">
        <w:rPr>
          <w:b/>
          <w:color w:val="auto"/>
          <w:sz w:val="21"/>
          <w:szCs w:val="21"/>
        </w:rPr>
        <w:tab/>
      </w:r>
      <w:r>
        <w:rPr>
          <w:b/>
          <w:color w:val="auto"/>
          <w:sz w:val="21"/>
          <w:szCs w:val="21"/>
        </w:rPr>
        <w:br/>
      </w:r>
      <w:r w:rsidRPr="00BA79A1">
        <w:rPr>
          <w:b/>
          <w:color w:val="auto"/>
          <w:sz w:val="21"/>
          <w:szCs w:val="21"/>
        </w:rPr>
        <w:t xml:space="preserve">End date: </w:t>
      </w:r>
      <w:r w:rsidRPr="00BA79A1">
        <w:rPr>
          <w:b/>
          <w:color w:val="auto"/>
          <w:sz w:val="21"/>
          <w:szCs w:val="21"/>
        </w:rPr>
        <w:tab/>
      </w:r>
      <w:r w:rsidRPr="00BA79A1">
        <w:rPr>
          <w:bCs/>
          <w:color w:val="auto"/>
          <w:sz w:val="21"/>
          <w:szCs w:val="21"/>
        </w:rPr>
        <w:t>31 June 2025</w:t>
      </w:r>
    </w:p>
    <w:p w14:paraId="1393A9D4" w14:textId="48202CBE" w:rsidR="00674801" w:rsidRDefault="00674801" w:rsidP="009D1D2E">
      <w:pPr>
        <w:shd w:val="clear" w:color="auto" w:fill="C1E7E0" w:themeFill="accent1" w:themeFillTint="66"/>
        <w:rPr>
          <w:color w:val="auto"/>
          <w:sz w:val="21"/>
          <w:szCs w:val="21"/>
        </w:rPr>
      </w:pPr>
      <w:r w:rsidRPr="00BA79A1">
        <w:rPr>
          <w:b/>
          <w:color w:val="auto"/>
          <w:sz w:val="21"/>
          <w:szCs w:val="21"/>
        </w:rPr>
        <w:t xml:space="preserve">Total proposed DFAT funding: </w:t>
      </w:r>
      <w:r w:rsidRPr="00BA79A1">
        <w:rPr>
          <w:color w:val="auto"/>
          <w:sz w:val="21"/>
          <w:szCs w:val="21"/>
        </w:rPr>
        <w:t>AUD4.8 million</w:t>
      </w:r>
      <w:r w:rsidRPr="00BA79A1">
        <w:rPr>
          <w:b/>
          <w:color w:val="auto"/>
          <w:sz w:val="21"/>
          <w:szCs w:val="21"/>
        </w:rPr>
        <w:tab/>
      </w:r>
      <w:r>
        <w:rPr>
          <w:b/>
          <w:color w:val="auto"/>
          <w:sz w:val="21"/>
          <w:szCs w:val="21"/>
        </w:rPr>
        <w:br/>
      </w:r>
      <w:r w:rsidRPr="00BA79A1">
        <w:rPr>
          <w:b/>
          <w:color w:val="auto"/>
          <w:sz w:val="21"/>
          <w:szCs w:val="21"/>
        </w:rPr>
        <w:t xml:space="preserve">Total proposed funding from all donor/s: </w:t>
      </w:r>
      <w:r w:rsidRPr="00BA79A1">
        <w:rPr>
          <w:color w:val="auto"/>
          <w:sz w:val="21"/>
          <w:szCs w:val="21"/>
        </w:rPr>
        <w:t>AUD4.8 million</w:t>
      </w:r>
    </w:p>
    <w:p w14:paraId="29601212" w14:textId="77777777" w:rsidR="00674801" w:rsidRDefault="00674801" w:rsidP="009D1D2E">
      <w:pPr>
        <w:shd w:val="clear" w:color="auto" w:fill="C1E7E0" w:themeFill="accent1" w:themeFillTint="66"/>
        <w:rPr>
          <w:rFonts w:cs="Arial"/>
          <w:b/>
          <w:color w:val="auto"/>
          <w:sz w:val="21"/>
          <w:szCs w:val="21"/>
        </w:rPr>
      </w:pPr>
      <w:r w:rsidRPr="00BA79A1">
        <w:rPr>
          <w:rFonts w:cs="Arial"/>
          <w:b/>
          <w:color w:val="auto"/>
          <w:sz w:val="21"/>
          <w:szCs w:val="21"/>
        </w:rPr>
        <w:t xml:space="preserve">Current program fund annual allocation: </w:t>
      </w:r>
      <w:r w:rsidRPr="00BA79A1">
        <w:rPr>
          <w:rFonts w:cs="Arial"/>
          <w:color w:val="auto"/>
          <w:sz w:val="21"/>
          <w:szCs w:val="21"/>
        </w:rPr>
        <w:t>AUD1.4 million</w:t>
      </w:r>
      <w:r w:rsidRPr="00BA79A1">
        <w:rPr>
          <w:rFonts w:cs="Arial"/>
          <w:b/>
          <w:color w:val="auto"/>
          <w:sz w:val="21"/>
          <w:szCs w:val="21"/>
        </w:rPr>
        <w:tab/>
      </w:r>
      <w:r w:rsidRPr="00BA79A1">
        <w:rPr>
          <w:rFonts w:cs="Arial"/>
          <w:b/>
          <w:color w:val="auto"/>
          <w:sz w:val="21"/>
          <w:szCs w:val="21"/>
        </w:rPr>
        <w:tab/>
      </w:r>
    </w:p>
    <w:p w14:paraId="0C3ADA0A" w14:textId="729CA9A4" w:rsidR="00674801" w:rsidRDefault="00674801" w:rsidP="009D1D2E">
      <w:pPr>
        <w:shd w:val="clear" w:color="auto" w:fill="C1E7E0" w:themeFill="accent1" w:themeFillTint="66"/>
        <w:rPr>
          <w:bCs/>
          <w:color w:val="auto"/>
          <w:sz w:val="21"/>
          <w:szCs w:val="21"/>
        </w:rPr>
      </w:pPr>
      <w:proofErr w:type="spellStart"/>
      <w:r w:rsidRPr="00BA79A1">
        <w:rPr>
          <w:b/>
          <w:color w:val="auto"/>
          <w:sz w:val="21"/>
          <w:szCs w:val="21"/>
        </w:rPr>
        <w:t>AidWorks</w:t>
      </w:r>
      <w:proofErr w:type="spellEnd"/>
      <w:r w:rsidRPr="00BA79A1">
        <w:rPr>
          <w:b/>
          <w:color w:val="auto"/>
          <w:sz w:val="21"/>
          <w:szCs w:val="21"/>
        </w:rPr>
        <w:t xml:space="preserve"> investment number:</w:t>
      </w:r>
      <w:r>
        <w:rPr>
          <w:b/>
          <w:color w:val="auto"/>
          <w:sz w:val="21"/>
          <w:szCs w:val="21"/>
        </w:rPr>
        <w:t xml:space="preserve"> </w:t>
      </w:r>
      <w:r w:rsidRPr="009D1D2E">
        <w:rPr>
          <w:bCs/>
          <w:color w:val="auto"/>
          <w:sz w:val="21"/>
          <w:szCs w:val="21"/>
        </w:rPr>
        <w:t>INN773</w:t>
      </w:r>
    </w:p>
    <w:p w14:paraId="7F24F75A" w14:textId="4BF6146C" w:rsidR="00674801" w:rsidRDefault="00674801" w:rsidP="009D1D2E">
      <w:pPr>
        <w:shd w:val="clear" w:color="auto" w:fill="C1E7E0" w:themeFill="accent1" w:themeFillTint="66"/>
        <w:rPr>
          <w:bCs/>
          <w:color w:val="auto"/>
          <w:sz w:val="21"/>
          <w:szCs w:val="21"/>
        </w:rPr>
      </w:pPr>
      <w:r w:rsidRPr="00BA79A1">
        <w:rPr>
          <w:b/>
          <w:color w:val="auto"/>
          <w:sz w:val="21"/>
          <w:szCs w:val="21"/>
        </w:rPr>
        <w:t>Overall Risk Profile</w:t>
      </w:r>
      <w:r w:rsidRPr="00BA79A1">
        <w:rPr>
          <w:color w:val="auto"/>
          <w:sz w:val="21"/>
          <w:szCs w:val="21"/>
        </w:rPr>
        <w:t xml:space="preserve">: </w:t>
      </w:r>
      <w:r w:rsidRPr="00BA79A1">
        <w:rPr>
          <w:i/>
          <w:color w:val="auto"/>
          <w:sz w:val="21"/>
          <w:szCs w:val="21"/>
        </w:rPr>
        <w:t>medi</w:t>
      </w:r>
      <w:r w:rsidR="009D1D2E">
        <w:rPr>
          <w:i/>
          <w:color w:val="auto"/>
          <w:sz w:val="21"/>
          <w:szCs w:val="21"/>
        </w:rPr>
        <w:t>um</w:t>
      </w:r>
      <w:r w:rsidR="009D1D2E">
        <w:rPr>
          <w:b/>
          <w:color w:val="auto"/>
          <w:sz w:val="21"/>
          <w:szCs w:val="21"/>
        </w:rPr>
        <w:br/>
      </w:r>
      <w:r w:rsidRPr="00BA79A1">
        <w:rPr>
          <w:b/>
          <w:color w:val="auto"/>
          <w:sz w:val="21"/>
          <w:szCs w:val="21"/>
        </w:rPr>
        <w:t xml:space="preserve">Risk </w:t>
      </w:r>
      <w:r w:rsidRPr="00BA79A1">
        <w:rPr>
          <w:i/>
          <w:color w:val="auto"/>
          <w:sz w:val="21"/>
          <w:szCs w:val="21"/>
        </w:rPr>
        <w:t>medium</w:t>
      </w:r>
      <w:r w:rsidR="009D1D2E">
        <w:rPr>
          <w:i/>
          <w:color w:val="auto"/>
          <w:sz w:val="21"/>
          <w:szCs w:val="21"/>
        </w:rPr>
        <w:br/>
      </w:r>
      <w:r w:rsidRPr="00BA79A1">
        <w:rPr>
          <w:b/>
          <w:color w:val="auto"/>
          <w:sz w:val="21"/>
          <w:szCs w:val="21"/>
        </w:rPr>
        <w:t>Value</w:t>
      </w:r>
      <w:r w:rsidR="009D1D2E">
        <w:rPr>
          <w:b/>
          <w:color w:val="auto"/>
          <w:sz w:val="21"/>
          <w:szCs w:val="21"/>
        </w:rPr>
        <w:t xml:space="preserve"> </w:t>
      </w:r>
      <w:r w:rsidRPr="00BA79A1">
        <w:rPr>
          <w:bCs/>
          <w:color w:val="auto"/>
          <w:sz w:val="21"/>
          <w:szCs w:val="21"/>
        </w:rPr>
        <w:t>low</w:t>
      </w:r>
    </w:p>
    <w:p w14:paraId="24906837" w14:textId="1AE7E43A" w:rsidR="00674801" w:rsidRDefault="00674801" w:rsidP="009D1D2E">
      <w:pPr>
        <w:shd w:val="clear" w:color="auto" w:fill="C1E7E0" w:themeFill="accent1" w:themeFillTint="66"/>
        <w:rPr>
          <w:i/>
          <w:color w:val="auto"/>
          <w:sz w:val="21"/>
          <w:szCs w:val="21"/>
        </w:rPr>
      </w:pPr>
      <w:r w:rsidRPr="00BA79A1">
        <w:rPr>
          <w:b/>
          <w:color w:val="auto"/>
          <w:sz w:val="21"/>
          <w:szCs w:val="21"/>
        </w:rPr>
        <w:t xml:space="preserve">Concept approved by:  </w:t>
      </w:r>
      <w:r w:rsidRPr="00BA79A1">
        <w:rPr>
          <w:bCs/>
          <w:color w:val="auto"/>
          <w:sz w:val="21"/>
          <w:szCs w:val="21"/>
        </w:rPr>
        <w:t>NA</w:t>
      </w:r>
      <w:r w:rsidRPr="00BA79A1">
        <w:rPr>
          <w:b/>
          <w:color w:val="auto"/>
          <w:sz w:val="21"/>
          <w:szCs w:val="21"/>
        </w:rPr>
        <w:t xml:space="preserve"> </w:t>
      </w:r>
      <w:r w:rsidRPr="00BA79A1">
        <w:rPr>
          <w:b/>
          <w:color w:val="auto"/>
          <w:sz w:val="21"/>
          <w:szCs w:val="21"/>
        </w:rPr>
        <w:tab/>
      </w:r>
      <w:r w:rsidRPr="00BA79A1">
        <w:rPr>
          <w:b/>
          <w:color w:val="auto"/>
          <w:sz w:val="21"/>
          <w:szCs w:val="21"/>
        </w:rPr>
        <w:tab/>
      </w:r>
      <w:r w:rsidRPr="00BA79A1">
        <w:rPr>
          <w:b/>
          <w:color w:val="auto"/>
          <w:sz w:val="21"/>
          <w:szCs w:val="21"/>
        </w:rPr>
        <w:tab/>
      </w:r>
      <w:r w:rsidRPr="00BA79A1">
        <w:rPr>
          <w:b/>
          <w:color w:val="auto"/>
          <w:sz w:val="21"/>
          <w:szCs w:val="21"/>
        </w:rPr>
        <w:tab/>
      </w:r>
      <w:r>
        <w:rPr>
          <w:b/>
          <w:color w:val="auto"/>
          <w:sz w:val="21"/>
          <w:szCs w:val="21"/>
        </w:rPr>
        <w:br/>
      </w:r>
      <w:r w:rsidRPr="00BA79A1">
        <w:rPr>
          <w:b/>
          <w:color w:val="auto"/>
          <w:sz w:val="21"/>
          <w:szCs w:val="21"/>
        </w:rPr>
        <w:t xml:space="preserve">Concept endorsed by AGB: </w:t>
      </w:r>
      <w:r w:rsidRPr="00BA79A1">
        <w:rPr>
          <w:i/>
          <w:color w:val="auto"/>
          <w:sz w:val="21"/>
          <w:szCs w:val="21"/>
        </w:rPr>
        <w:t>NA</w:t>
      </w:r>
    </w:p>
    <w:p w14:paraId="393723B4" w14:textId="63FDD4F7" w:rsidR="00674801" w:rsidRDefault="00674801" w:rsidP="009D1D2E">
      <w:pPr>
        <w:shd w:val="clear" w:color="auto" w:fill="C1E7E0" w:themeFill="accent1" w:themeFillTint="66"/>
        <w:rPr>
          <w:bCs/>
          <w:color w:val="auto"/>
          <w:sz w:val="21"/>
          <w:szCs w:val="21"/>
        </w:rPr>
      </w:pPr>
      <w:r w:rsidRPr="00BA79A1">
        <w:rPr>
          <w:b/>
          <w:color w:val="auto"/>
          <w:sz w:val="21"/>
          <w:szCs w:val="21"/>
        </w:rPr>
        <w:t xml:space="preserve">Quality Assurance completed: </w:t>
      </w:r>
      <w:r w:rsidRPr="00BA79A1">
        <w:rPr>
          <w:bCs/>
          <w:color w:val="auto"/>
          <w:sz w:val="21"/>
          <w:szCs w:val="21"/>
        </w:rPr>
        <w:t xml:space="preserve">Consultation with ACD (Kirsten Hawken and Matthew </w:t>
      </w:r>
      <w:proofErr w:type="spellStart"/>
      <w:r w:rsidRPr="00BA79A1">
        <w:rPr>
          <w:bCs/>
          <w:color w:val="auto"/>
          <w:sz w:val="21"/>
          <w:szCs w:val="21"/>
        </w:rPr>
        <w:t>Fehre</w:t>
      </w:r>
      <w:proofErr w:type="spellEnd"/>
      <w:r w:rsidRPr="00BA79A1">
        <w:rPr>
          <w:bCs/>
          <w:color w:val="auto"/>
          <w:sz w:val="21"/>
          <w:szCs w:val="21"/>
        </w:rPr>
        <w:t xml:space="preserve">) and Wellington Post (John </w:t>
      </w:r>
      <w:proofErr w:type="spellStart"/>
      <w:r w:rsidRPr="00BA79A1">
        <w:rPr>
          <w:bCs/>
          <w:color w:val="auto"/>
          <w:sz w:val="21"/>
          <w:szCs w:val="21"/>
        </w:rPr>
        <w:t>Anakotta</w:t>
      </w:r>
      <w:proofErr w:type="spellEnd"/>
      <w:r w:rsidRPr="00BA79A1">
        <w:rPr>
          <w:bCs/>
          <w:color w:val="auto"/>
          <w:sz w:val="21"/>
          <w:szCs w:val="21"/>
        </w:rPr>
        <w:t xml:space="preserve"> and </w:t>
      </w:r>
      <w:proofErr w:type="spellStart"/>
      <w:r w:rsidRPr="00BA79A1">
        <w:rPr>
          <w:bCs/>
          <w:color w:val="auto"/>
          <w:sz w:val="21"/>
          <w:szCs w:val="21"/>
        </w:rPr>
        <w:t>Ahahera</w:t>
      </w:r>
      <w:proofErr w:type="spellEnd"/>
      <w:r w:rsidRPr="00BA79A1">
        <w:rPr>
          <w:bCs/>
          <w:color w:val="auto"/>
          <w:sz w:val="21"/>
          <w:szCs w:val="21"/>
        </w:rPr>
        <w:t xml:space="preserve"> Acheson)</w:t>
      </w:r>
    </w:p>
    <w:p w14:paraId="10C92965" w14:textId="4D2B4DAD" w:rsidR="00674801" w:rsidRPr="009D1D2E" w:rsidRDefault="00674801" w:rsidP="009D1D2E">
      <w:pPr>
        <w:shd w:val="clear" w:color="auto" w:fill="C1E7E0" w:themeFill="accent1" w:themeFillTint="66"/>
      </w:pPr>
      <w:r w:rsidRPr="00BA79A1">
        <w:rPr>
          <w:b/>
          <w:color w:val="auto"/>
          <w:sz w:val="21"/>
          <w:szCs w:val="21"/>
        </w:rPr>
        <w:t xml:space="preserve">Approval: Delegate at Post: </w:t>
      </w:r>
      <w:r w:rsidRPr="00BA79A1">
        <w:rPr>
          <w:bCs/>
          <w:color w:val="auto"/>
          <w:sz w:val="21"/>
          <w:szCs w:val="21"/>
        </w:rPr>
        <w:t xml:space="preserve">Louise </w:t>
      </w:r>
      <w:proofErr w:type="spellStart"/>
      <w:r w:rsidRPr="00BA79A1">
        <w:rPr>
          <w:bCs/>
          <w:color w:val="auto"/>
          <w:sz w:val="21"/>
          <w:szCs w:val="21"/>
        </w:rPr>
        <w:t>Ellerton</w:t>
      </w:r>
      <w:proofErr w:type="spellEnd"/>
      <w:r w:rsidRPr="00BA79A1">
        <w:rPr>
          <w:bCs/>
          <w:color w:val="auto"/>
          <w:sz w:val="21"/>
          <w:szCs w:val="21"/>
        </w:rPr>
        <w:t>, High Commissioner</w:t>
      </w:r>
      <w:r w:rsidRPr="00BA79A1">
        <w:rPr>
          <w:b/>
          <w:color w:val="auto"/>
          <w:sz w:val="21"/>
          <w:szCs w:val="21"/>
        </w:rPr>
        <w:t xml:space="preserve"> </w:t>
      </w:r>
      <w:r w:rsidRPr="00BA79A1">
        <w:rPr>
          <w:b/>
          <w:color w:val="auto"/>
          <w:sz w:val="21"/>
          <w:szCs w:val="21"/>
        </w:rPr>
        <w:tab/>
      </w:r>
      <w:r>
        <w:rPr>
          <w:b/>
          <w:color w:val="auto"/>
          <w:sz w:val="21"/>
          <w:szCs w:val="21"/>
        </w:rPr>
        <w:br/>
      </w:r>
      <w:r w:rsidRPr="00BA79A1">
        <w:rPr>
          <w:b/>
          <w:color w:val="auto"/>
          <w:sz w:val="21"/>
          <w:szCs w:val="21"/>
        </w:rPr>
        <w:t xml:space="preserve">Delegate in Canberra: </w:t>
      </w:r>
      <w:r w:rsidRPr="00BA79A1">
        <w:rPr>
          <w:bCs/>
          <w:color w:val="auto"/>
          <w:sz w:val="21"/>
          <w:szCs w:val="21"/>
        </w:rPr>
        <w:t>Marcus Henry, AS PZB</w:t>
      </w:r>
    </w:p>
    <w:p w14:paraId="6F2ED821" w14:textId="77777777" w:rsidR="00A32858" w:rsidRPr="00BA79A1" w:rsidRDefault="00A32858" w:rsidP="00A32858">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auto"/>
          <w:szCs w:val="21"/>
        </w:rPr>
      </w:pPr>
      <w:r w:rsidRPr="00BA79A1">
        <w:rPr>
          <w:rFonts w:asciiTheme="majorHAnsi" w:hAnsiTheme="majorHAnsi"/>
          <w:b/>
          <w:color w:val="auto"/>
          <w:szCs w:val="21"/>
        </w:rPr>
        <w:t>Executive Summary</w:t>
      </w:r>
    </w:p>
    <w:p w14:paraId="381D7F97" w14:textId="24F0E953" w:rsidR="006E2B3C" w:rsidRPr="00BA79A1" w:rsidRDefault="006E2B3C" w:rsidP="0097287A">
      <w:pPr>
        <w:jc w:val="both"/>
        <w:rPr>
          <w:color w:val="auto"/>
        </w:rPr>
      </w:pPr>
      <w:r w:rsidRPr="00BA79A1">
        <w:rPr>
          <w:color w:val="auto"/>
        </w:rPr>
        <w:t>Australia and Niue enjoy a friendly relationship based on close community links, participation in</w:t>
      </w:r>
      <w:r w:rsidR="00CC7099">
        <w:rPr>
          <w:color w:val="auto"/>
        </w:rPr>
        <w:t xml:space="preserve"> </w:t>
      </w:r>
      <w:r w:rsidRPr="00BA79A1">
        <w:rPr>
          <w:color w:val="auto"/>
        </w:rPr>
        <w:t>Pacific regional organisation</w:t>
      </w:r>
      <w:r w:rsidR="00CC7099">
        <w:rPr>
          <w:color w:val="auto"/>
        </w:rPr>
        <w:t>s</w:t>
      </w:r>
      <w:r w:rsidRPr="00BA79A1">
        <w:rPr>
          <w:color w:val="auto"/>
        </w:rPr>
        <w:t xml:space="preserve"> and shared support for an open, </w:t>
      </w:r>
      <w:proofErr w:type="gramStart"/>
      <w:r w:rsidRPr="00BA79A1">
        <w:rPr>
          <w:color w:val="auto"/>
        </w:rPr>
        <w:t>resilient</w:t>
      </w:r>
      <w:proofErr w:type="gramEnd"/>
      <w:r w:rsidRPr="00BA79A1">
        <w:rPr>
          <w:color w:val="auto"/>
        </w:rPr>
        <w:t xml:space="preserve"> and inclusive Indo-Pacific region. The opening of Australia’s High Commission in Alofi in 2020 further </w:t>
      </w:r>
      <w:r w:rsidR="00760000" w:rsidRPr="00BA79A1">
        <w:rPr>
          <w:color w:val="auto"/>
        </w:rPr>
        <w:t xml:space="preserve">deepened </w:t>
      </w:r>
      <w:r w:rsidRPr="00BA79A1">
        <w:rPr>
          <w:color w:val="auto"/>
        </w:rPr>
        <w:t>our relationship and is enabling us to intensify our development cooperation. This investment signals a shift in how we deliver our support. In recognition of Niue and New Zealand’s broad and deep development partnership, our support will focus on compl</w:t>
      </w:r>
      <w:r w:rsidR="0075367D">
        <w:rPr>
          <w:color w:val="auto"/>
        </w:rPr>
        <w:t>e</w:t>
      </w:r>
      <w:r w:rsidRPr="00BA79A1">
        <w:rPr>
          <w:color w:val="auto"/>
        </w:rPr>
        <w:t>menting New Zealand’s funding and avoiding duplication of efforts. The Theory of Change (overleaf) provides a</w:t>
      </w:r>
      <w:r w:rsidR="00760000" w:rsidRPr="00BA79A1">
        <w:rPr>
          <w:color w:val="auto"/>
        </w:rPr>
        <w:t>n</w:t>
      </w:r>
      <w:r w:rsidRPr="00BA79A1">
        <w:rPr>
          <w:color w:val="auto"/>
        </w:rPr>
        <w:t xml:space="preserve"> overview of the scope of our portfolio of support including through existing compl</w:t>
      </w:r>
      <w:r w:rsidR="008A43D0">
        <w:rPr>
          <w:color w:val="auto"/>
        </w:rPr>
        <w:t>e</w:t>
      </w:r>
      <w:r w:rsidRPr="00BA79A1">
        <w:rPr>
          <w:color w:val="auto"/>
        </w:rPr>
        <w:t>mentary investments.</w:t>
      </w:r>
    </w:p>
    <w:p w14:paraId="77B5CC29" w14:textId="0E5C6A55" w:rsidR="00A32858" w:rsidRPr="00BA79A1" w:rsidRDefault="00A32858" w:rsidP="00A32858">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auto"/>
          <w:szCs w:val="21"/>
        </w:rPr>
      </w:pPr>
      <w:r w:rsidRPr="00BA79A1">
        <w:rPr>
          <w:rFonts w:asciiTheme="majorHAnsi" w:hAnsiTheme="majorHAnsi"/>
          <w:b/>
          <w:color w:val="auto"/>
          <w:szCs w:val="21"/>
        </w:rPr>
        <w:t>Development Context and Situational Analysis</w:t>
      </w:r>
      <w:r w:rsidR="00716657" w:rsidRPr="00BA79A1">
        <w:rPr>
          <w:rFonts w:asciiTheme="majorHAnsi" w:hAnsiTheme="majorHAnsi"/>
          <w:b/>
          <w:color w:val="auto"/>
          <w:szCs w:val="21"/>
        </w:rPr>
        <w:t xml:space="preserve"> </w:t>
      </w:r>
    </w:p>
    <w:p w14:paraId="6D93DD49" w14:textId="3A7A45F5" w:rsidR="001D4A90" w:rsidRDefault="00F8087C" w:rsidP="00F8087C">
      <w:pPr>
        <w:suppressAutoHyphens w:val="0"/>
        <w:spacing w:before="0" w:after="210" w:line="276" w:lineRule="auto"/>
        <w:rPr>
          <w:color w:val="auto"/>
        </w:rPr>
      </w:pPr>
      <w:r w:rsidRPr="00BA79A1">
        <w:rPr>
          <w:color w:val="auto"/>
        </w:rPr>
        <w:t xml:space="preserve">Niue </w:t>
      </w:r>
      <w:r w:rsidR="00D45582" w:rsidRPr="00BA79A1">
        <w:rPr>
          <w:color w:val="auto"/>
        </w:rPr>
        <w:t>is</w:t>
      </w:r>
      <w:r w:rsidR="00FF79DA" w:rsidRPr="00BA79A1">
        <w:rPr>
          <w:color w:val="auto"/>
        </w:rPr>
        <w:t xml:space="preserve"> a</w:t>
      </w:r>
      <w:r w:rsidRPr="00BA79A1">
        <w:rPr>
          <w:color w:val="auto"/>
        </w:rPr>
        <w:t xml:space="preserve"> small self-governing state </w:t>
      </w:r>
      <w:r w:rsidR="001D4A90" w:rsidRPr="00BA79A1">
        <w:rPr>
          <w:color w:val="auto"/>
        </w:rPr>
        <w:t xml:space="preserve">in </w:t>
      </w:r>
      <w:r w:rsidRPr="00BA79A1">
        <w:rPr>
          <w:color w:val="auto"/>
        </w:rPr>
        <w:t>free association with New Zealand.</w:t>
      </w:r>
      <w:r w:rsidR="00FF79DA" w:rsidRPr="00BA79A1">
        <w:rPr>
          <w:color w:val="auto"/>
        </w:rPr>
        <w:t xml:space="preserve"> </w:t>
      </w:r>
      <w:r w:rsidR="00013647" w:rsidRPr="00BA79A1">
        <w:rPr>
          <w:color w:val="auto"/>
        </w:rPr>
        <w:t xml:space="preserve">As part of the New Zealand Realm with constitutional equities with New Zealand, </w:t>
      </w:r>
      <w:proofErr w:type="spellStart"/>
      <w:r w:rsidR="001D4A90" w:rsidRPr="00BA79A1">
        <w:rPr>
          <w:color w:val="auto"/>
        </w:rPr>
        <w:t>Niueans</w:t>
      </w:r>
      <w:proofErr w:type="spellEnd"/>
      <w:r w:rsidR="001D4A90" w:rsidRPr="00BA79A1">
        <w:rPr>
          <w:color w:val="auto"/>
        </w:rPr>
        <w:t xml:space="preserve"> hold New Zealand citizen</w:t>
      </w:r>
      <w:r w:rsidR="00FF79DA" w:rsidRPr="00BA79A1">
        <w:rPr>
          <w:color w:val="auto"/>
        </w:rPr>
        <w:t xml:space="preserve">ship </w:t>
      </w:r>
      <w:r w:rsidR="001D4A90" w:rsidRPr="00BA79A1">
        <w:rPr>
          <w:color w:val="auto"/>
        </w:rPr>
        <w:t>and use New Zealand currency</w:t>
      </w:r>
      <w:r w:rsidR="00FF79DA" w:rsidRPr="00BA79A1">
        <w:rPr>
          <w:color w:val="auto"/>
        </w:rPr>
        <w:t xml:space="preserve">. Niue </w:t>
      </w:r>
      <w:r w:rsidR="00B21FBC" w:rsidRPr="00BA79A1">
        <w:rPr>
          <w:color w:val="auto"/>
        </w:rPr>
        <w:t>is not a member country of the U</w:t>
      </w:r>
      <w:r w:rsidR="00424436">
        <w:rPr>
          <w:color w:val="auto"/>
        </w:rPr>
        <w:t xml:space="preserve">nited </w:t>
      </w:r>
      <w:r w:rsidR="00B21FBC" w:rsidRPr="00BA79A1">
        <w:rPr>
          <w:color w:val="auto"/>
        </w:rPr>
        <w:t>N</w:t>
      </w:r>
      <w:r w:rsidR="00424436">
        <w:rPr>
          <w:color w:val="auto"/>
        </w:rPr>
        <w:t>ations</w:t>
      </w:r>
      <w:r w:rsidR="00B21FBC" w:rsidRPr="00BA79A1">
        <w:rPr>
          <w:color w:val="auto"/>
        </w:rPr>
        <w:t xml:space="preserve">, but has the </w:t>
      </w:r>
      <w:r w:rsidR="00424436">
        <w:rPr>
          <w:color w:val="auto"/>
        </w:rPr>
        <w:t>capacity</w:t>
      </w:r>
      <w:r w:rsidR="00424436" w:rsidRPr="00BA79A1">
        <w:rPr>
          <w:color w:val="auto"/>
        </w:rPr>
        <w:t xml:space="preserve"> </w:t>
      </w:r>
      <w:r w:rsidR="00B21FBC" w:rsidRPr="00BA79A1">
        <w:rPr>
          <w:color w:val="auto"/>
        </w:rPr>
        <w:t xml:space="preserve">to make its own laws, </w:t>
      </w:r>
      <w:proofErr w:type="gramStart"/>
      <w:r w:rsidR="001D3459">
        <w:rPr>
          <w:color w:val="auto"/>
        </w:rPr>
        <w:t>enter into</w:t>
      </w:r>
      <w:proofErr w:type="gramEnd"/>
      <w:r w:rsidR="00B21FBC" w:rsidRPr="00BA79A1">
        <w:rPr>
          <w:color w:val="auto"/>
        </w:rPr>
        <w:t xml:space="preserve"> treaties and establish diplomatic relations, </w:t>
      </w:r>
      <w:r w:rsidR="003E1EF0" w:rsidRPr="00BA79A1">
        <w:rPr>
          <w:color w:val="auto"/>
        </w:rPr>
        <w:t>and join international organisations</w:t>
      </w:r>
      <w:r w:rsidR="00350B75">
        <w:rPr>
          <w:color w:val="auto"/>
        </w:rPr>
        <w:t xml:space="preserve"> where membership criteria are met</w:t>
      </w:r>
      <w:r w:rsidR="003E1EF0" w:rsidRPr="00BA79A1">
        <w:rPr>
          <w:color w:val="auto"/>
        </w:rPr>
        <w:t xml:space="preserve">, </w:t>
      </w:r>
      <w:r w:rsidR="00DD69F4" w:rsidRPr="00BA79A1">
        <w:rPr>
          <w:color w:val="auto"/>
        </w:rPr>
        <w:t xml:space="preserve">and is an active member of </w:t>
      </w:r>
      <w:r w:rsidR="003E1EF0" w:rsidRPr="00BA79A1">
        <w:rPr>
          <w:color w:val="auto"/>
        </w:rPr>
        <w:t xml:space="preserve">the Pacific Islands </w:t>
      </w:r>
      <w:r w:rsidR="00DD69F4" w:rsidRPr="00BA79A1">
        <w:rPr>
          <w:color w:val="auto"/>
        </w:rPr>
        <w:t>F</w:t>
      </w:r>
      <w:r w:rsidR="003E1EF0" w:rsidRPr="00BA79A1">
        <w:rPr>
          <w:color w:val="auto"/>
        </w:rPr>
        <w:t xml:space="preserve">orum. </w:t>
      </w:r>
      <w:r w:rsidR="00AE7768" w:rsidRPr="00BA79A1">
        <w:rPr>
          <w:color w:val="auto"/>
        </w:rPr>
        <w:t>Niue</w:t>
      </w:r>
      <w:r w:rsidR="0055772A" w:rsidRPr="00BA79A1">
        <w:rPr>
          <w:color w:val="auto"/>
        </w:rPr>
        <w:t>’s Assembly consists of 20 members, 14 representatives from villages and six elected on a common roll. Elections are hel</w:t>
      </w:r>
      <w:r w:rsidR="001802E4" w:rsidRPr="00BA79A1">
        <w:rPr>
          <w:color w:val="auto"/>
        </w:rPr>
        <w:t xml:space="preserve">d every three years. </w:t>
      </w:r>
    </w:p>
    <w:p w14:paraId="7FDA8FDB" w14:textId="7ECDCC2D" w:rsidR="009D1D2E" w:rsidRDefault="009D1D2E" w:rsidP="00F8087C">
      <w:pPr>
        <w:suppressAutoHyphens w:val="0"/>
        <w:spacing w:before="0" w:after="210" w:line="276" w:lineRule="auto"/>
        <w:rPr>
          <w:color w:val="auto"/>
        </w:rPr>
      </w:pPr>
    </w:p>
    <w:p w14:paraId="381ED1DC" w14:textId="77777777" w:rsidR="009D1D2E" w:rsidRPr="00BA79A1" w:rsidRDefault="009D1D2E" w:rsidP="00F8087C">
      <w:pPr>
        <w:suppressAutoHyphens w:val="0"/>
        <w:spacing w:before="0" w:after="210" w:line="276" w:lineRule="auto"/>
        <w:rPr>
          <w:color w:val="auto"/>
        </w:rPr>
      </w:pPr>
    </w:p>
    <w:p w14:paraId="702519E6" w14:textId="67CC4D0A" w:rsidR="001B604C" w:rsidRPr="00BA79A1" w:rsidRDefault="001B604C" w:rsidP="00F8087C">
      <w:pPr>
        <w:suppressAutoHyphens w:val="0"/>
        <w:spacing w:before="0" w:after="210" w:line="276" w:lineRule="auto"/>
        <w:rPr>
          <w:i/>
          <w:iCs/>
          <w:color w:val="auto"/>
        </w:rPr>
      </w:pPr>
      <w:r w:rsidRPr="00BA79A1">
        <w:rPr>
          <w:i/>
          <w:iCs/>
          <w:color w:val="auto"/>
        </w:rPr>
        <w:lastRenderedPageBreak/>
        <w:t>Demographics</w:t>
      </w:r>
    </w:p>
    <w:p w14:paraId="422951F2" w14:textId="5F82460C" w:rsidR="0090629E" w:rsidRPr="00BA79A1" w:rsidRDefault="0090629E" w:rsidP="00F8087C">
      <w:pPr>
        <w:suppressAutoHyphens w:val="0"/>
        <w:spacing w:before="0" w:after="210" w:line="276" w:lineRule="auto"/>
        <w:rPr>
          <w:color w:val="auto"/>
        </w:rPr>
      </w:pPr>
      <w:r w:rsidRPr="00BA79A1">
        <w:rPr>
          <w:color w:val="auto"/>
        </w:rPr>
        <w:t>Niue</w:t>
      </w:r>
      <w:r w:rsidR="00F8087C" w:rsidRPr="00BA79A1">
        <w:rPr>
          <w:color w:val="auto"/>
        </w:rPr>
        <w:t xml:space="preserve"> has a population of </w:t>
      </w:r>
      <w:r w:rsidRPr="00BA79A1">
        <w:rPr>
          <w:color w:val="auto"/>
        </w:rPr>
        <w:t xml:space="preserve">approximately </w:t>
      </w:r>
      <w:r w:rsidR="00F8087C" w:rsidRPr="00BA79A1">
        <w:rPr>
          <w:color w:val="auto"/>
        </w:rPr>
        <w:t>1,7</w:t>
      </w:r>
      <w:r w:rsidRPr="00BA79A1">
        <w:rPr>
          <w:color w:val="auto"/>
        </w:rPr>
        <w:t>00</w:t>
      </w:r>
      <w:r w:rsidR="006A537D" w:rsidRPr="00BA79A1">
        <w:rPr>
          <w:color w:val="auto"/>
        </w:rPr>
        <w:t xml:space="preserve"> with the most recent census in 2017 recording a population of 1,719</w:t>
      </w:r>
      <w:r w:rsidR="00760000" w:rsidRPr="00BA79A1">
        <w:rPr>
          <w:color w:val="auto"/>
        </w:rPr>
        <w:t>.</w:t>
      </w:r>
      <w:r w:rsidR="006A537D" w:rsidRPr="00BA79A1">
        <w:rPr>
          <w:rStyle w:val="EndnoteReference"/>
          <w:color w:val="auto"/>
        </w:rPr>
        <w:endnoteReference w:id="2"/>
      </w:r>
      <w:r w:rsidR="007940AB" w:rsidRPr="00BA79A1">
        <w:rPr>
          <w:color w:val="auto"/>
        </w:rPr>
        <w:t xml:space="preserve"> </w:t>
      </w:r>
      <w:r w:rsidR="00DD69F4" w:rsidRPr="00BA79A1">
        <w:rPr>
          <w:color w:val="auto"/>
        </w:rPr>
        <w:t xml:space="preserve">Around 30 per cent of the population is under 15 years old, and 20 per cent over 60. </w:t>
      </w:r>
      <w:r w:rsidR="007940AB" w:rsidRPr="00BA79A1">
        <w:rPr>
          <w:color w:val="auto"/>
        </w:rPr>
        <w:t xml:space="preserve">Since </w:t>
      </w:r>
      <w:r w:rsidR="00CA78B7" w:rsidRPr="00BA79A1">
        <w:rPr>
          <w:color w:val="auto"/>
        </w:rPr>
        <w:t xml:space="preserve">independence Niue has </w:t>
      </w:r>
      <w:r w:rsidR="00DD69F4" w:rsidRPr="00BA79A1">
        <w:rPr>
          <w:color w:val="auto"/>
        </w:rPr>
        <w:t>experience</w:t>
      </w:r>
      <w:r w:rsidR="002A1BFD">
        <w:rPr>
          <w:color w:val="auto"/>
        </w:rPr>
        <w:t>d</w:t>
      </w:r>
      <w:r w:rsidRPr="00BA79A1">
        <w:rPr>
          <w:color w:val="auto"/>
        </w:rPr>
        <w:t xml:space="preserve"> high outward migration</w:t>
      </w:r>
      <w:r w:rsidR="00CA78B7" w:rsidRPr="00BA79A1">
        <w:rPr>
          <w:color w:val="auto"/>
        </w:rPr>
        <w:t xml:space="preserve">. Estimates suggest that the Niuean </w:t>
      </w:r>
      <w:r w:rsidR="00F8087C" w:rsidRPr="00BA79A1">
        <w:rPr>
          <w:color w:val="auto"/>
        </w:rPr>
        <w:t xml:space="preserve">diaspora </w:t>
      </w:r>
      <w:r w:rsidR="00CA78B7" w:rsidRPr="00BA79A1">
        <w:rPr>
          <w:color w:val="auto"/>
        </w:rPr>
        <w:t>numbers</w:t>
      </w:r>
      <w:r w:rsidR="00F8087C" w:rsidRPr="00BA79A1">
        <w:rPr>
          <w:color w:val="auto"/>
        </w:rPr>
        <w:t xml:space="preserve"> over </w:t>
      </w:r>
      <w:r w:rsidR="00B33E6F" w:rsidRPr="00BA79A1">
        <w:rPr>
          <w:color w:val="auto"/>
        </w:rPr>
        <w:t>3</w:t>
      </w:r>
      <w:r w:rsidR="00F8087C" w:rsidRPr="00BA79A1">
        <w:rPr>
          <w:color w:val="auto"/>
        </w:rPr>
        <w:t>0,000</w:t>
      </w:r>
      <w:r w:rsidRPr="00BA79A1">
        <w:rPr>
          <w:color w:val="auto"/>
        </w:rPr>
        <w:t xml:space="preserve">. While the majority </w:t>
      </w:r>
      <w:proofErr w:type="gramStart"/>
      <w:r w:rsidRPr="00BA79A1">
        <w:rPr>
          <w:color w:val="auto"/>
        </w:rPr>
        <w:t>are located in</w:t>
      </w:r>
      <w:proofErr w:type="gramEnd"/>
      <w:r w:rsidRPr="00BA79A1">
        <w:rPr>
          <w:color w:val="auto"/>
        </w:rPr>
        <w:t xml:space="preserve"> </w:t>
      </w:r>
      <w:r w:rsidR="00F8087C" w:rsidRPr="00BA79A1">
        <w:rPr>
          <w:color w:val="auto"/>
        </w:rPr>
        <w:t>New Zealand</w:t>
      </w:r>
      <w:r w:rsidRPr="00BA79A1">
        <w:rPr>
          <w:color w:val="auto"/>
        </w:rPr>
        <w:t>, there are around 5,000 people in Australia who identify as Niuean</w:t>
      </w:r>
      <w:r w:rsidR="00F8087C" w:rsidRPr="00BA79A1">
        <w:rPr>
          <w:color w:val="auto"/>
        </w:rPr>
        <w:t xml:space="preserve">. </w:t>
      </w:r>
    </w:p>
    <w:p w14:paraId="753BB0DE" w14:textId="2C7B3C30" w:rsidR="0064014E" w:rsidRPr="00BA79A1" w:rsidRDefault="00647928" w:rsidP="0064014E">
      <w:pPr>
        <w:suppressAutoHyphens w:val="0"/>
        <w:spacing w:before="0" w:after="210" w:line="276" w:lineRule="auto"/>
        <w:rPr>
          <w:color w:val="auto"/>
        </w:rPr>
      </w:pPr>
      <w:r w:rsidRPr="00BA79A1">
        <w:rPr>
          <w:color w:val="auto"/>
        </w:rPr>
        <w:t>L</w:t>
      </w:r>
      <w:r w:rsidR="0064014E" w:rsidRPr="00BA79A1">
        <w:rPr>
          <w:color w:val="auto"/>
        </w:rPr>
        <w:t>and area totals 259m</w:t>
      </w:r>
      <w:r w:rsidR="0064014E" w:rsidRPr="00BA79A1">
        <w:rPr>
          <w:color w:val="auto"/>
          <w:vertAlign w:val="superscript"/>
        </w:rPr>
        <w:t>2</w:t>
      </w:r>
      <w:r w:rsidR="0064014E" w:rsidRPr="00BA79A1">
        <w:rPr>
          <w:color w:val="auto"/>
        </w:rPr>
        <w:t xml:space="preserve"> </w:t>
      </w:r>
      <w:r w:rsidRPr="00BA79A1">
        <w:rPr>
          <w:color w:val="auto"/>
        </w:rPr>
        <w:t xml:space="preserve">on </w:t>
      </w:r>
      <w:r w:rsidR="004D16C0" w:rsidRPr="00BA79A1">
        <w:rPr>
          <w:color w:val="auto"/>
        </w:rPr>
        <w:t>a</w:t>
      </w:r>
      <w:r w:rsidR="00DD69F4" w:rsidRPr="00BA79A1">
        <w:rPr>
          <w:color w:val="auto"/>
        </w:rPr>
        <w:t xml:space="preserve"> single</w:t>
      </w:r>
      <w:r w:rsidR="004D16C0" w:rsidRPr="00BA79A1">
        <w:rPr>
          <w:color w:val="auto"/>
        </w:rPr>
        <w:t xml:space="preserve"> </w:t>
      </w:r>
      <w:r w:rsidRPr="00BA79A1">
        <w:rPr>
          <w:color w:val="auto"/>
        </w:rPr>
        <w:t xml:space="preserve">raised coral atoll, </w:t>
      </w:r>
      <w:r w:rsidR="0064014E" w:rsidRPr="00BA79A1">
        <w:rPr>
          <w:color w:val="auto"/>
        </w:rPr>
        <w:t>with population density at 6 people per km</w:t>
      </w:r>
      <w:r w:rsidR="0064014E" w:rsidRPr="00BA79A1">
        <w:rPr>
          <w:color w:val="auto"/>
          <w:vertAlign w:val="superscript"/>
        </w:rPr>
        <w:t>2</w:t>
      </w:r>
      <w:r w:rsidR="0064014E" w:rsidRPr="00BA79A1">
        <w:rPr>
          <w:color w:val="auto"/>
        </w:rPr>
        <w:t>.  The population is spread throughout the island in fourteen villages. Alofi</w:t>
      </w:r>
      <w:r w:rsidR="0061647B">
        <w:rPr>
          <w:color w:val="auto"/>
        </w:rPr>
        <w:t>,</w:t>
      </w:r>
      <w:r w:rsidR="0064014E" w:rsidRPr="00BA79A1">
        <w:rPr>
          <w:color w:val="auto"/>
        </w:rPr>
        <w:t xml:space="preserve"> </w:t>
      </w:r>
      <w:r w:rsidR="00DD69F4" w:rsidRPr="00BA79A1">
        <w:rPr>
          <w:color w:val="auto"/>
        </w:rPr>
        <w:t>the capital</w:t>
      </w:r>
      <w:r w:rsidR="0061647B">
        <w:rPr>
          <w:color w:val="auto"/>
        </w:rPr>
        <w:t>,</w:t>
      </w:r>
      <w:r w:rsidR="00DD69F4" w:rsidRPr="00BA79A1">
        <w:rPr>
          <w:color w:val="auto"/>
        </w:rPr>
        <w:t xml:space="preserve"> is also</w:t>
      </w:r>
      <w:r w:rsidR="0064014E" w:rsidRPr="00BA79A1">
        <w:rPr>
          <w:color w:val="auto"/>
        </w:rPr>
        <w:t xml:space="preserve"> the commercial centre.</w:t>
      </w:r>
    </w:p>
    <w:p w14:paraId="43E777B4" w14:textId="2FDCA208" w:rsidR="0064014E" w:rsidRPr="00BA79A1" w:rsidRDefault="0064014E" w:rsidP="00F8087C">
      <w:pPr>
        <w:suppressAutoHyphens w:val="0"/>
        <w:spacing w:before="0" w:after="210" w:line="276" w:lineRule="auto"/>
        <w:rPr>
          <w:i/>
          <w:iCs/>
          <w:color w:val="auto"/>
        </w:rPr>
      </w:pPr>
      <w:r w:rsidRPr="00BA79A1">
        <w:rPr>
          <w:i/>
          <w:iCs/>
          <w:color w:val="auto"/>
        </w:rPr>
        <w:t>Economy</w:t>
      </w:r>
    </w:p>
    <w:p w14:paraId="0ADA06F8" w14:textId="408D5320" w:rsidR="00301ACE" w:rsidRPr="00BA79A1" w:rsidRDefault="00D22C61" w:rsidP="00AF77BD">
      <w:pPr>
        <w:suppressAutoHyphens w:val="0"/>
        <w:spacing w:before="0" w:after="210" w:line="276" w:lineRule="auto"/>
        <w:rPr>
          <w:color w:val="auto"/>
        </w:rPr>
      </w:pPr>
      <w:r w:rsidRPr="00412EBF">
        <w:rPr>
          <w:color w:val="auto"/>
        </w:rPr>
        <w:t>F</w:t>
      </w:r>
      <w:r w:rsidR="00BA4062" w:rsidRPr="00412EBF">
        <w:rPr>
          <w:color w:val="auto"/>
        </w:rPr>
        <w:t>or 2020-21</w:t>
      </w:r>
      <w:r w:rsidRPr="00412EBF">
        <w:rPr>
          <w:color w:val="auto"/>
        </w:rPr>
        <w:t xml:space="preserve"> budget</w:t>
      </w:r>
      <w:r w:rsidR="00F27ADB" w:rsidRPr="00412EBF">
        <w:rPr>
          <w:color w:val="auto"/>
        </w:rPr>
        <w:t>s the projected deficit as of 19 April 2022 was estimated at $3.9mil NZD</w:t>
      </w:r>
      <w:r w:rsidR="00F27ADB" w:rsidRPr="00412EBF">
        <w:rPr>
          <w:rStyle w:val="EndnoteReference"/>
          <w:color w:val="auto"/>
        </w:rPr>
        <w:endnoteReference w:id="3"/>
      </w:r>
      <w:r w:rsidR="001B3850" w:rsidRPr="00412EBF">
        <w:rPr>
          <w:color w:val="auto"/>
        </w:rPr>
        <w:t>.</w:t>
      </w:r>
      <w:r w:rsidR="001B3850" w:rsidRPr="00156D53">
        <w:rPr>
          <w:color w:val="auto"/>
        </w:rPr>
        <w:t xml:space="preserve"> </w:t>
      </w:r>
      <w:r w:rsidR="00F8087C" w:rsidRPr="00156D53">
        <w:rPr>
          <w:color w:val="auto"/>
        </w:rPr>
        <w:t>Niue</w:t>
      </w:r>
      <w:r w:rsidR="00F8087C" w:rsidRPr="00BA79A1">
        <w:rPr>
          <w:color w:val="auto"/>
        </w:rPr>
        <w:t xml:space="preserve"> is one of the most aid dependent countries in the world, with an Official Development Assistance</w:t>
      </w:r>
      <w:r w:rsidR="00DD69F4" w:rsidRPr="00BA79A1">
        <w:rPr>
          <w:color w:val="auto"/>
        </w:rPr>
        <w:t xml:space="preserve"> to </w:t>
      </w:r>
      <w:r w:rsidR="00F8087C" w:rsidRPr="00BA79A1">
        <w:rPr>
          <w:color w:val="auto"/>
        </w:rPr>
        <w:t xml:space="preserve">Gross Domestic Product ratio of </w:t>
      </w:r>
      <w:r w:rsidR="006A537D" w:rsidRPr="00BA79A1">
        <w:rPr>
          <w:color w:val="auto"/>
        </w:rPr>
        <w:t>around 75 per cent</w:t>
      </w:r>
      <w:r w:rsidR="00B911A5" w:rsidRPr="00BA79A1">
        <w:rPr>
          <w:color w:val="auto"/>
        </w:rPr>
        <w:t>.</w:t>
      </w:r>
      <w:r w:rsidR="006A537D" w:rsidRPr="00BA79A1">
        <w:rPr>
          <w:rStyle w:val="EndnoteReference"/>
          <w:color w:val="auto"/>
        </w:rPr>
        <w:endnoteReference w:id="4"/>
      </w:r>
      <w:r w:rsidR="00F8087C" w:rsidRPr="00BA79A1">
        <w:rPr>
          <w:color w:val="auto"/>
        </w:rPr>
        <w:t xml:space="preserve"> </w:t>
      </w:r>
      <w:r w:rsidR="00250FDD" w:rsidRPr="00BA79A1">
        <w:rPr>
          <w:color w:val="auto"/>
        </w:rPr>
        <w:t xml:space="preserve">It has a very narrow </w:t>
      </w:r>
      <w:r w:rsidR="00DC6DA5" w:rsidRPr="00BA79A1">
        <w:rPr>
          <w:color w:val="auto"/>
        </w:rPr>
        <w:t>economic</w:t>
      </w:r>
      <w:r w:rsidR="00250FDD" w:rsidRPr="00BA79A1">
        <w:rPr>
          <w:color w:val="auto"/>
        </w:rPr>
        <w:t xml:space="preserve"> base and </w:t>
      </w:r>
      <w:r w:rsidR="00B9488C" w:rsidRPr="00BA79A1">
        <w:rPr>
          <w:color w:val="auto"/>
        </w:rPr>
        <w:t>is heavily reliant on financial flows from New Zealand</w:t>
      </w:r>
      <w:r w:rsidR="00DC6DA5" w:rsidRPr="00BA79A1">
        <w:rPr>
          <w:color w:val="auto"/>
        </w:rPr>
        <w:t>,</w:t>
      </w:r>
      <w:r w:rsidR="0090629E" w:rsidRPr="00BA79A1">
        <w:rPr>
          <w:color w:val="auto"/>
        </w:rPr>
        <w:t xml:space="preserve"> with</w:t>
      </w:r>
      <w:r w:rsidR="00B9488C" w:rsidRPr="00BA79A1">
        <w:rPr>
          <w:color w:val="auto"/>
        </w:rPr>
        <w:t xml:space="preserve"> </w:t>
      </w:r>
      <w:r w:rsidR="0090629E" w:rsidRPr="00BA79A1">
        <w:rPr>
          <w:color w:val="auto"/>
        </w:rPr>
        <w:t>b</w:t>
      </w:r>
      <w:r w:rsidR="00B9488C" w:rsidRPr="00BA79A1">
        <w:rPr>
          <w:color w:val="auto"/>
        </w:rPr>
        <w:t xml:space="preserve">udget support generally over 50 per cent of GDP, and substantially more </w:t>
      </w:r>
      <w:r w:rsidR="00DC6DA5" w:rsidRPr="00BA79A1">
        <w:rPr>
          <w:color w:val="auto"/>
        </w:rPr>
        <w:t>over</w:t>
      </w:r>
      <w:r w:rsidR="00B9488C" w:rsidRPr="00BA79A1">
        <w:rPr>
          <w:color w:val="auto"/>
        </w:rPr>
        <w:t xml:space="preserve"> the </w:t>
      </w:r>
      <w:r w:rsidR="00567671" w:rsidRPr="00BA79A1">
        <w:rPr>
          <w:color w:val="auto"/>
        </w:rPr>
        <w:t>period of 2020-2022</w:t>
      </w:r>
      <w:r w:rsidR="00B9488C" w:rsidRPr="00BA79A1">
        <w:rPr>
          <w:color w:val="auto"/>
        </w:rPr>
        <w:t xml:space="preserve">.  </w:t>
      </w:r>
    </w:p>
    <w:p w14:paraId="4DA02E56" w14:textId="4F2F99E0" w:rsidR="00AF77BD" w:rsidRPr="00707478" w:rsidRDefault="00AF77BD" w:rsidP="00AF77BD">
      <w:pPr>
        <w:suppressAutoHyphens w:val="0"/>
        <w:spacing w:before="0" w:after="210" w:line="276" w:lineRule="auto"/>
        <w:rPr>
          <w:color w:val="auto"/>
        </w:rPr>
      </w:pPr>
      <w:r w:rsidRPr="00BA79A1">
        <w:rPr>
          <w:color w:val="auto"/>
        </w:rPr>
        <w:t xml:space="preserve">COVID-19 has had substantial impacts on the economy with tourism </w:t>
      </w:r>
      <w:r w:rsidR="00F43AB6" w:rsidRPr="00BA79A1">
        <w:rPr>
          <w:color w:val="auto"/>
        </w:rPr>
        <w:t>on hold due to border closures</w:t>
      </w:r>
      <w:r w:rsidRPr="00BA79A1">
        <w:rPr>
          <w:color w:val="auto"/>
        </w:rPr>
        <w:t xml:space="preserve"> and other revenue flows such as airspace payments and departure taxes reduc</w:t>
      </w:r>
      <w:r w:rsidR="009D7218" w:rsidRPr="00BA79A1">
        <w:rPr>
          <w:color w:val="auto"/>
        </w:rPr>
        <w:t>ed</w:t>
      </w:r>
      <w:r w:rsidRPr="00BA79A1">
        <w:rPr>
          <w:color w:val="auto"/>
        </w:rPr>
        <w:t xml:space="preserve"> significantly. While Niue is currently free of COVID-19, any future incursions will have substantial impacts on all aspects of the country </w:t>
      </w:r>
      <w:r w:rsidRPr="00156D53">
        <w:rPr>
          <w:color w:val="auto"/>
        </w:rPr>
        <w:t xml:space="preserve">– health, </w:t>
      </w:r>
      <w:proofErr w:type="gramStart"/>
      <w:r w:rsidRPr="00156D53">
        <w:rPr>
          <w:color w:val="auto"/>
        </w:rPr>
        <w:t>economy</w:t>
      </w:r>
      <w:proofErr w:type="gramEnd"/>
      <w:r w:rsidRPr="00156D53">
        <w:rPr>
          <w:color w:val="auto"/>
        </w:rPr>
        <w:t xml:space="preserve"> and society.</w:t>
      </w:r>
    </w:p>
    <w:p w14:paraId="79A1A6DE" w14:textId="56EC8F9F" w:rsidR="00F3095B" w:rsidRPr="00BA79A1" w:rsidRDefault="00F8087C" w:rsidP="00F8087C">
      <w:pPr>
        <w:suppressAutoHyphens w:val="0"/>
        <w:spacing w:before="0" w:after="210" w:line="276" w:lineRule="auto"/>
        <w:rPr>
          <w:color w:val="auto"/>
        </w:rPr>
      </w:pPr>
      <w:r w:rsidRPr="003A41A0">
        <w:rPr>
          <w:color w:val="auto"/>
        </w:rPr>
        <w:t>Outside of aid, Niue’s primary source of income is from tourism.</w:t>
      </w:r>
      <w:r w:rsidRPr="007B363B">
        <w:rPr>
          <w:color w:val="auto"/>
        </w:rPr>
        <w:t xml:space="preserve"> </w:t>
      </w:r>
      <w:r w:rsidR="00892464" w:rsidRPr="007B363B">
        <w:rPr>
          <w:color w:val="auto"/>
        </w:rPr>
        <w:t xml:space="preserve">In 2018 </w:t>
      </w:r>
      <w:r w:rsidR="0041380A" w:rsidRPr="007B363B">
        <w:rPr>
          <w:color w:val="auto"/>
        </w:rPr>
        <w:t xml:space="preserve">over </w:t>
      </w:r>
      <w:r w:rsidR="00892464" w:rsidRPr="00F037B3">
        <w:rPr>
          <w:color w:val="auto"/>
        </w:rPr>
        <w:t>12,000</w:t>
      </w:r>
      <w:r w:rsidR="0041380A" w:rsidRPr="00156D53">
        <w:rPr>
          <w:rStyle w:val="EndnoteReference"/>
          <w:color w:val="auto"/>
        </w:rPr>
        <w:endnoteReference w:id="5"/>
      </w:r>
      <w:r w:rsidR="00892464" w:rsidRPr="00156D53">
        <w:rPr>
          <w:color w:val="auto"/>
        </w:rPr>
        <w:t xml:space="preserve"> tourists </w:t>
      </w:r>
      <w:r w:rsidR="008A5D84" w:rsidRPr="00707478">
        <w:rPr>
          <w:color w:val="auto"/>
        </w:rPr>
        <w:t>arriv</w:t>
      </w:r>
      <w:r w:rsidR="003329DE" w:rsidRPr="003A41A0">
        <w:rPr>
          <w:color w:val="auto"/>
        </w:rPr>
        <w:t xml:space="preserve">ed </w:t>
      </w:r>
      <w:r w:rsidR="005C6877" w:rsidRPr="007B363B">
        <w:rPr>
          <w:color w:val="auto"/>
        </w:rPr>
        <w:t>on</w:t>
      </w:r>
      <w:r w:rsidR="003329DE" w:rsidRPr="007B363B">
        <w:rPr>
          <w:color w:val="auto"/>
        </w:rPr>
        <w:t xml:space="preserve"> </w:t>
      </w:r>
      <w:r w:rsidR="008A5D84" w:rsidRPr="007B363B">
        <w:rPr>
          <w:color w:val="auto"/>
        </w:rPr>
        <w:t xml:space="preserve">the </w:t>
      </w:r>
      <w:r w:rsidR="00584DAB" w:rsidRPr="00F60697">
        <w:rPr>
          <w:color w:val="auto"/>
        </w:rPr>
        <w:t>twice weekly</w:t>
      </w:r>
      <w:r w:rsidR="00584DAB" w:rsidRPr="00156D53">
        <w:rPr>
          <w:color w:val="auto"/>
        </w:rPr>
        <w:t xml:space="preserve"> flights</w:t>
      </w:r>
      <w:r w:rsidR="008A5D84" w:rsidRPr="00707478">
        <w:rPr>
          <w:color w:val="auto"/>
        </w:rPr>
        <w:t xml:space="preserve"> from</w:t>
      </w:r>
      <w:r w:rsidR="008A5D84" w:rsidRPr="00BA79A1">
        <w:rPr>
          <w:color w:val="auto"/>
        </w:rPr>
        <w:t xml:space="preserve"> New Zealan</w:t>
      </w:r>
      <w:r w:rsidR="0041380A" w:rsidRPr="00BA79A1">
        <w:rPr>
          <w:color w:val="auto"/>
        </w:rPr>
        <w:t>d</w:t>
      </w:r>
      <w:r w:rsidR="008A5D84" w:rsidRPr="00BA79A1">
        <w:rPr>
          <w:color w:val="auto"/>
        </w:rPr>
        <w:t>. H</w:t>
      </w:r>
      <w:r w:rsidR="00892464" w:rsidRPr="00BA79A1">
        <w:rPr>
          <w:color w:val="auto"/>
        </w:rPr>
        <w:t>owever</w:t>
      </w:r>
      <w:r w:rsidR="00D11E15" w:rsidRPr="00BA79A1">
        <w:rPr>
          <w:color w:val="auto"/>
        </w:rPr>
        <w:t>,</w:t>
      </w:r>
      <w:r w:rsidR="00892464" w:rsidRPr="00BA79A1">
        <w:rPr>
          <w:color w:val="auto"/>
        </w:rPr>
        <w:t xml:space="preserve"> </w:t>
      </w:r>
      <w:r w:rsidRPr="00BA79A1">
        <w:rPr>
          <w:color w:val="auto"/>
        </w:rPr>
        <w:t>Cyclone Tino in February 2020 and border closures due to COVID-19 have significantly reduced th</w:t>
      </w:r>
      <w:r w:rsidR="00892464" w:rsidRPr="00BA79A1">
        <w:rPr>
          <w:color w:val="auto"/>
        </w:rPr>
        <w:t>is</w:t>
      </w:r>
      <w:r w:rsidRPr="00BA79A1">
        <w:rPr>
          <w:color w:val="auto"/>
        </w:rPr>
        <w:t xml:space="preserve"> income source</w:t>
      </w:r>
      <w:r w:rsidR="00707478">
        <w:rPr>
          <w:color w:val="auto"/>
        </w:rPr>
        <w:t>.</w:t>
      </w:r>
    </w:p>
    <w:p w14:paraId="4DAE3B07" w14:textId="1859FB48" w:rsidR="00F8087C" w:rsidRPr="00BA79A1" w:rsidRDefault="00F8087C" w:rsidP="00F8087C">
      <w:pPr>
        <w:suppressAutoHyphens w:val="0"/>
        <w:spacing w:before="0" w:after="210" w:line="276" w:lineRule="auto"/>
        <w:rPr>
          <w:color w:val="auto"/>
        </w:rPr>
      </w:pPr>
      <w:r w:rsidRPr="00BA79A1">
        <w:rPr>
          <w:color w:val="auto"/>
        </w:rPr>
        <w:t>Niue does not have the scale to develop a manufacturing base nor a diversified agricultural sector.</w:t>
      </w:r>
      <w:r w:rsidR="00560D3F" w:rsidRPr="00BA79A1">
        <w:rPr>
          <w:color w:val="auto"/>
        </w:rPr>
        <w:t xml:space="preserve"> Despite the large diaspora only 3.7 per cent of the population reported inward flows of personal remittances in the 2017 Census</w:t>
      </w:r>
      <w:r w:rsidR="00B911A5" w:rsidRPr="00BA79A1">
        <w:rPr>
          <w:color w:val="auto"/>
        </w:rPr>
        <w:t>.</w:t>
      </w:r>
      <w:r w:rsidR="0041380A" w:rsidRPr="00BA79A1">
        <w:rPr>
          <w:rStyle w:val="EndnoteReference"/>
          <w:color w:val="auto"/>
        </w:rPr>
        <w:endnoteReference w:id="6"/>
      </w:r>
      <w:r w:rsidR="00560D3F" w:rsidRPr="00BA79A1">
        <w:rPr>
          <w:color w:val="auto"/>
        </w:rPr>
        <w:t xml:space="preserve">  </w:t>
      </w:r>
    </w:p>
    <w:p w14:paraId="78B031EC" w14:textId="3D67A1B2" w:rsidR="005B552E" w:rsidRPr="00BA79A1" w:rsidRDefault="00892464" w:rsidP="00F8087C">
      <w:pPr>
        <w:suppressAutoHyphens w:val="0"/>
        <w:spacing w:before="0" w:after="210" w:line="276" w:lineRule="auto"/>
        <w:rPr>
          <w:color w:val="auto"/>
        </w:rPr>
      </w:pPr>
      <w:r w:rsidRPr="00BA79A1">
        <w:rPr>
          <w:color w:val="auto"/>
        </w:rPr>
        <w:t>Niue’s extremely small economic size makes the country more vulnerable than other microstates.  It</w:t>
      </w:r>
      <w:r w:rsidR="005B552E" w:rsidRPr="00BA79A1">
        <w:rPr>
          <w:color w:val="auto"/>
        </w:rPr>
        <w:t xml:space="preserve"> </w:t>
      </w:r>
      <w:r w:rsidRPr="00BA79A1">
        <w:rPr>
          <w:color w:val="auto"/>
        </w:rPr>
        <w:t>ha</w:t>
      </w:r>
      <w:r w:rsidR="005B552E" w:rsidRPr="00BA79A1">
        <w:rPr>
          <w:color w:val="auto"/>
        </w:rPr>
        <w:t>s a highly fragile economy that faces many of the constraints inherent in small Pacific countries:</w:t>
      </w:r>
      <w:r w:rsidRPr="00BA79A1">
        <w:rPr>
          <w:color w:val="auto"/>
        </w:rPr>
        <w:t xml:space="preserve"> </w:t>
      </w:r>
      <w:r w:rsidR="005B552E" w:rsidRPr="00BA79A1">
        <w:rPr>
          <w:color w:val="auto"/>
        </w:rPr>
        <w:t>small population and subsequent capacity constraints; remoteness leading to expensive and limited transport options;</w:t>
      </w:r>
      <w:r w:rsidRPr="00BA79A1">
        <w:rPr>
          <w:color w:val="auto"/>
        </w:rPr>
        <w:t xml:space="preserve"> inadequate infrastructure; </w:t>
      </w:r>
      <w:r w:rsidR="005B552E" w:rsidRPr="00BA79A1">
        <w:rPr>
          <w:color w:val="auto"/>
        </w:rPr>
        <w:t xml:space="preserve">poor land quality; and exposure to </w:t>
      </w:r>
      <w:r w:rsidRPr="00BA79A1">
        <w:rPr>
          <w:color w:val="auto"/>
        </w:rPr>
        <w:t xml:space="preserve">external shocks and </w:t>
      </w:r>
      <w:r w:rsidR="005B552E" w:rsidRPr="00BA79A1">
        <w:rPr>
          <w:color w:val="auto"/>
        </w:rPr>
        <w:t>natural disasters.</w:t>
      </w:r>
    </w:p>
    <w:p w14:paraId="2A1200E3" w14:textId="5942D31B" w:rsidR="0064014E" w:rsidRDefault="0064014E" w:rsidP="00785DF6">
      <w:pPr>
        <w:rPr>
          <w:color w:val="auto"/>
          <w:lang w:val="en-AU"/>
        </w:rPr>
      </w:pPr>
      <w:r w:rsidRPr="00BA79A1">
        <w:rPr>
          <w:color w:val="auto"/>
        </w:rPr>
        <w:t xml:space="preserve">Natural disasters can have a drastic impact on the economy and on infrastructure. </w:t>
      </w:r>
      <w:r w:rsidR="0093662B" w:rsidRPr="00CE73A9">
        <w:rPr>
          <w:color w:val="auto"/>
        </w:rPr>
        <w:t xml:space="preserve">Cyclone </w:t>
      </w:r>
      <w:proofErr w:type="spellStart"/>
      <w:r w:rsidR="0093662B" w:rsidRPr="00CE73A9">
        <w:rPr>
          <w:color w:val="auto"/>
        </w:rPr>
        <w:t>Heta</w:t>
      </w:r>
      <w:proofErr w:type="spellEnd"/>
      <w:r w:rsidR="0093662B" w:rsidRPr="00CE73A9">
        <w:rPr>
          <w:color w:val="auto"/>
        </w:rPr>
        <w:t xml:space="preserve"> </w:t>
      </w:r>
      <w:r w:rsidR="007B166B">
        <w:rPr>
          <w:color w:val="auto"/>
        </w:rPr>
        <w:t xml:space="preserve">in 2004 </w:t>
      </w:r>
      <w:r w:rsidR="00CC1612">
        <w:rPr>
          <w:color w:val="auto"/>
        </w:rPr>
        <w:t>was</w:t>
      </w:r>
      <w:r w:rsidR="0093662B" w:rsidRPr="00CE73A9">
        <w:rPr>
          <w:color w:val="auto"/>
        </w:rPr>
        <w:t xml:space="preserve"> the most devastating cyclone to have hit Niue</w:t>
      </w:r>
      <w:r w:rsidR="007B166B">
        <w:rPr>
          <w:color w:val="auto"/>
        </w:rPr>
        <w:t>.</w:t>
      </w:r>
      <w:r w:rsidR="002B5DDD">
        <w:rPr>
          <w:color w:val="auto"/>
        </w:rPr>
        <w:t xml:space="preserve"> </w:t>
      </w:r>
      <w:r w:rsidR="00CC1612">
        <w:rPr>
          <w:color w:val="auto"/>
        </w:rPr>
        <w:t>T</w:t>
      </w:r>
      <w:r w:rsidR="002B5DDD">
        <w:rPr>
          <w:color w:val="auto"/>
        </w:rPr>
        <w:t>wo</w:t>
      </w:r>
      <w:r w:rsidR="00CC1612">
        <w:rPr>
          <w:color w:val="auto"/>
        </w:rPr>
        <w:t xml:space="preserve"> people died </w:t>
      </w:r>
      <w:r w:rsidR="002B5DDD">
        <w:rPr>
          <w:color w:val="auto"/>
        </w:rPr>
        <w:t>a vast amount of infrastructure</w:t>
      </w:r>
      <w:r w:rsidR="00CC1612">
        <w:rPr>
          <w:color w:val="auto"/>
        </w:rPr>
        <w:t xml:space="preserve"> and houses were destroyed.</w:t>
      </w:r>
      <w:r w:rsidR="0093662B" w:rsidRPr="00CE73A9">
        <w:rPr>
          <w:color w:val="auto"/>
        </w:rPr>
        <w:t xml:space="preserve"> </w:t>
      </w:r>
      <w:r w:rsidR="002B5DDD">
        <w:rPr>
          <w:color w:val="auto"/>
        </w:rPr>
        <w:t xml:space="preserve">In 2020, </w:t>
      </w:r>
      <w:r w:rsidR="0093662B" w:rsidRPr="00CE73A9">
        <w:rPr>
          <w:color w:val="auto"/>
        </w:rPr>
        <w:t xml:space="preserve">Cyclone Tino damaged several scenic sites and sea tracks along the whole western coastline and are still being repaired– these sites and tracks are important to the tourism sector. </w:t>
      </w:r>
    </w:p>
    <w:p w14:paraId="58ECDA15" w14:textId="1442BA34" w:rsidR="0090629E" w:rsidRPr="00BA79A1" w:rsidRDefault="0090629E" w:rsidP="00F8087C">
      <w:pPr>
        <w:suppressAutoHyphens w:val="0"/>
        <w:spacing w:before="0" w:after="210" w:line="276" w:lineRule="auto"/>
        <w:rPr>
          <w:color w:val="auto"/>
        </w:rPr>
      </w:pPr>
      <w:r w:rsidRPr="00BA79A1">
        <w:rPr>
          <w:color w:val="auto"/>
        </w:rPr>
        <w:lastRenderedPageBreak/>
        <w:t>Despite these challenges Niue has a high GDP</w:t>
      </w:r>
      <w:r w:rsidR="00DD69F4" w:rsidRPr="00BA79A1">
        <w:rPr>
          <w:color w:val="auto"/>
        </w:rPr>
        <w:t xml:space="preserve"> </w:t>
      </w:r>
      <w:r w:rsidRPr="00BA79A1">
        <w:rPr>
          <w:color w:val="auto"/>
        </w:rPr>
        <w:t>per capita primarily due to New Zealand’s financial support.</w:t>
      </w:r>
      <w:r w:rsidR="00892464" w:rsidRPr="00BA79A1">
        <w:rPr>
          <w:color w:val="auto"/>
        </w:rPr>
        <w:t xml:space="preserve"> </w:t>
      </w:r>
      <w:r w:rsidR="0032579D" w:rsidRPr="00BA79A1">
        <w:rPr>
          <w:color w:val="auto"/>
        </w:rPr>
        <w:t xml:space="preserve"> New Zealand support is typically around a quarter to a third of Niue’s total recurrent revenues and </w:t>
      </w:r>
      <w:r w:rsidR="00376CF4">
        <w:rPr>
          <w:color w:val="auto"/>
        </w:rPr>
        <w:t xml:space="preserve">the </w:t>
      </w:r>
      <w:r w:rsidR="002A1BFD">
        <w:rPr>
          <w:color w:val="auto"/>
        </w:rPr>
        <w:t>Asian Development Bank (</w:t>
      </w:r>
      <w:r w:rsidR="0032579D" w:rsidRPr="00BA79A1">
        <w:rPr>
          <w:color w:val="auto"/>
        </w:rPr>
        <w:t>A</w:t>
      </w:r>
      <w:r w:rsidR="002A1BFD">
        <w:rPr>
          <w:color w:val="auto"/>
        </w:rPr>
        <w:t>DB)</w:t>
      </w:r>
      <w:r w:rsidR="0032579D" w:rsidRPr="00BA79A1">
        <w:rPr>
          <w:color w:val="auto"/>
        </w:rPr>
        <w:t xml:space="preserve"> notes this a source of overall stability.</w:t>
      </w:r>
      <w:r w:rsidR="0032579D" w:rsidRPr="00BA79A1">
        <w:rPr>
          <w:rStyle w:val="EndnoteReference"/>
          <w:color w:val="auto"/>
        </w:rPr>
        <w:endnoteReference w:id="7"/>
      </w:r>
      <w:r w:rsidR="0032579D" w:rsidRPr="00BA79A1">
        <w:rPr>
          <w:color w:val="auto"/>
        </w:rPr>
        <w:t xml:space="preserve"> </w:t>
      </w:r>
      <w:r w:rsidR="00FD1B42">
        <w:rPr>
          <w:color w:val="auto"/>
        </w:rPr>
        <w:t xml:space="preserve">According to </w:t>
      </w:r>
      <w:r w:rsidR="003A41A0">
        <w:rPr>
          <w:color w:val="auto"/>
        </w:rPr>
        <w:t>A</w:t>
      </w:r>
      <w:r w:rsidR="002A1BFD">
        <w:rPr>
          <w:color w:val="auto"/>
        </w:rPr>
        <w:t>DB</w:t>
      </w:r>
      <w:r w:rsidR="00FD1B42">
        <w:rPr>
          <w:color w:val="auto"/>
        </w:rPr>
        <w:t>, p</w:t>
      </w:r>
      <w:r w:rsidR="00892464" w:rsidRPr="00BA79A1">
        <w:rPr>
          <w:color w:val="auto"/>
        </w:rPr>
        <w:t>er capita G</w:t>
      </w:r>
      <w:r w:rsidR="00F037B3">
        <w:rPr>
          <w:color w:val="auto"/>
        </w:rPr>
        <w:t xml:space="preserve">ross </w:t>
      </w:r>
      <w:r w:rsidR="00892464" w:rsidRPr="00BA79A1">
        <w:rPr>
          <w:color w:val="auto"/>
        </w:rPr>
        <w:t>N</w:t>
      </w:r>
      <w:r w:rsidR="00F037B3">
        <w:rPr>
          <w:color w:val="auto"/>
        </w:rPr>
        <w:t xml:space="preserve">ational </w:t>
      </w:r>
      <w:r w:rsidR="00892464" w:rsidRPr="00BA79A1">
        <w:rPr>
          <w:color w:val="auto"/>
        </w:rPr>
        <w:t>I</w:t>
      </w:r>
      <w:r w:rsidR="00F037B3">
        <w:rPr>
          <w:color w:val="auto"/>
        </w:rPr>
        <w:t>ncome (GNI)</w:t>
      </w:r>
      <w:r w:rsidR="00892464" w:rsidRPr="00BA79A1">
        <w:rPr>
          <w:color w:val="auto"/>
        </w:rPr>
        <w:t xml:space="preserve"> was USD14,546 in 2017</w:t>
      </w:r>
      <w:r w:rsidR="006A537D" w:rsidRPr="00BA79A1">
        <w:rPr>
          <w:rStyle w:val="EndnoteReference"/>
          <w:color w:val="auto"/>
        </w:rPr>
        <w:endnoteReference w:id="8"/>
      </w:r>
      <w:r w:rsidR="00892464" w:rsidRPr="00BA79A1">
        <w:rPr>
          <w:color w:val="auto"/>
        </w:rPr>
        <w:t xml:space="preserve">, well above the high-income threshold.  </w:t>
      </w:r>
      <w:r w:rsidR="0032579D" w:rsidRPr="00BA79A1">
        <w:rPr>
          <w:color w:val="auto"/>
        </w:rPr>
        <w:t xml:space="preserve">Niue </w:t>
      </w:r>
      <w:r w:rsidR="00892464" w:rsidRPr="00BA79A1">
        <w:rPr>
          <w:color w:val="auto"/>
        </w:rPr>
        <w:t>has no external national debt and low savings rates.</w:t>
      </w:r>
      <w:r w:rsidR="00B021DF" w:rsidRPr="00BA79A1">
        <w:rPr>
          <w:color w:val="auto"/>
        </w:rPr>
        <w:t xml:space="preserve"> </w:t>
      </w:r>
      <w:r w:rsidR="009B1A30" w:rsidRPr="00BA79A1">
        <w:rPr>
          <w:color w:val="auto"/>
        </w:rPr>
        <w:t>The ADB noted “Niue’s high reliance on grants, lack of borrowing experience, and PFM weaknesses pos</w:t>
      </w:r>
      <w:r w:rsidR="0032579D" w:rsidRPr="00BA79A1">
        <w:rPr>
          <w:color w:val="auto"/>
        </w:rPr>
        <w:t>e</w:t>
      </w:r>
      <w:r w:rsidR="00733630" w:rsidRPr="00BA79A1">
        <w:rPr>
          <w:color w:val="auto"/>
        </w:rPr>
        <w:t xml:space="preserve"> </w:t>
      </w:r>
      <w:r w:rsidR="009B1A30" w:rsidRPr="00BA79A1">
        <w:rPr>
          <w:color w:val="auto"/>
        </w:rPr>
        <w:t xml:space="preserve">potential challenges to debt sustainability” if it </w:t>
      </w:r>
      <w:r w:rsidR="0032579D" w:rsidRPr="00BA79A1">
        <w:rPr>
          <w:color w:val="auto"/>
        </w:rPr>
        <w:t>changed its implicit debt management strategy of not borrowing</w:t>
      </w:r>
      <w:r w:rsidR="0006106C" w:rsidRPr="00BA79A1">
        <w:rPr>
          <w:color w:val="auto"/>
        </w:rPr>
        <w:t>.</w:t>
      </w:r>
      <w:r w:rsidR="0032579D" w:rsidRPr="00BA79A1">
        <w:rPr>
          <w:rStyle w:val="EndnoteReference"/>
          <w:color w:val="auto"/>
        </w:rPr>
        <w:endnoteReference w:id="9"/>
      </w:r>
    </w:p>
    <w:p w14:paraId="3AC3580D" w14:textId="7659D783" w:rsidR="001D68F9" w:rsidRPr="00BA79A1" w:rsidRDefault="00D24451" w:rsidP="00F8087C">
      <w:pPr>
        <w:suppressAutoHyphens w:val="0"/>
        <w:spacing w:before="0" w:after="210" w:line="276" w:lineRule="auto"/>
        <w:rPr>
          <w:color w:val="auto"/>
        </w:rPr>
      </w:pPr>
      <w:r w:rsidRPr="00BA79A1">
        <w:rPr>
          <w:color w:val="auto"/>
        </w:rPr>
        <w:t>The Niue International Trust Fund</w:t>
      </w:r>
      <w:r w:rsidR="00F43AB6" w:rsidRPr="00BA79A1">
        <w:rPr>
          <w:color w:val="auto"/>
        </w:rPr>
        <w:t xml:space="preserve"> (NITF) was</w:t>
      </w:r>
      <w:r w:rsidRPr="00BA79A1">
        <w:rPr>
          <w:color w:val="auto"/>
        </w:rPr>
        <w:t xml:space="preserve"> established in 2006 by the governments of Australia, New Zealand, and Niue.</w:t>
      </w:r>
      <w:r w:rsidR="001D68F9" w:rsidRPr="00BA79A1">
        <w:rPr>
          <w:color w:val="auto"/>
        </w:rPr>
        <w:t xml:space="preserve"> As detailed in the ‘NITF Statement of Investment Policy and Objectives’</w:t>
      </w:r>
      <w:r w:rsidR="001D68F9" w:rsidRPr="00BA79A1">
        <w:rPr>
          <w:rStyle w:val="EndnoteReference"/>
          <w:color w:val="auto"/>
        </w:rPr>
        <w:endnoteReference w:id="10"/>
      </w:r>
      <w:r w:rsidR="001D68F9" w:rsidRPr="00BA79A1">
        <w:rPr>
          <w:color w:val="auto"/>
        </w:rPr>
        <w:t xml:space="preserve"> the purpose of the Fund is to contribute to the long-term financial stability and viability of Niue by providing the Government of Niue with an additional source of revenue for recurrent budgetary and development expenditure and </w:t>
      </w:r>
      <w:proofErr w:type="gramStart"/>
      <w:r w:rsidR="001D68F9" w:rsidRPr="00BA79A1">
        <w:rPr>
          <w:color w:val="auto"/>
        </w:rPr>
        <w:t>in particular to</w:t>
      </w:r>
      <w:proofErr w:type="gramEnd"/>
      <w:r w:rsidR="001D68F9" w:rsidRPr="00BA79A1">
        <w:rPr>
          <w:color w:val="auto"/>
        </w:rPr>
        <w:t xml:space="preserve">: </w:t>
      </w:r>
    </w:p>
    <w:p w14:paraId="227E8F55" w14:textId="1D6B7D01" w:rsidR="001D68F9" w:rsidRPr="00BA79A1" w:rsidRDefault="00F037B3" w:rsidP="008B3495">
      <w:pPr>
        <w:pStyle w:val="ListParagraph"/>
        <w:numPr>
          <w:ilvl w:val="0"/>
          <w:numId w:val="48"/>
        </w:numPr>
        <w:suppressAutoHyphens w:val="0"/>
        <w:spacing w:before="0" w:after="0" w:line="276" w:lineRule="auto"/>
        <w:rPr>
          <w:color w:val="auto"/>
        </w:rPr>
      </w:pPr>
      <w:r>
        <w:rPr>
          <w:color w:val="auto"/>
        </w:rPr>
        <w:t>a</w:t>
      </w:r>
      <w:r w:rsidR="001D68F9" w:rsidRPr="00BA79A1">
        <w:rPr>
          <w:color w:val="auto"/>
        </w:rPr>
        <w:t xml:space="preserve">ssist the Government of Niue to achieve greater financial autonomy in the management of its </w:t>
      </w:r>
      <w:proofErr w:type="gramStart"/>
      <w:r w:rsidR="001D68F9" w:rsidRPr="00BA79A1">
        <w:rPr>
          <w:color w:val="auto"/>
        </w:rPr>
        <w:t>budget;</w:t>
      </w:r>
      <w:proofErr w:type="gramEnd"/>
      <w:r w:rsidR="001D68F9" w:rsidRPr="00BA79A1">
        <w:rPr>
          <w:color w:val="auto"/>
        </w:rPr>
        <w:t xml:space="preserve"> </w:t>
      </w:r>
    </w:p>
    <w:p w14:paraId="71E07518" w14:textId="3FA749A8" w:rsidR="001D68F9" w:rsidRPr="00BA79A1" w:rsidRDefault="00F037B3" w:rsidP="008B3495">
      <w:pPr>
        <w:pStyle w:val="ListParagraph"/>
        <w:numPr>
          <w:ilvl w:val="0"/>
          <w:numId w:val="48"/>
        </w:numPr>
        <w:suppressAutoHyphens w:val="0"/>
        <w:spacing w:before="0" w:after="0" w:line="276" w:lineRule="auto"/>
        <w:rPr>
          <w:color w:val="auto"/>
        </w:rPr>
      </w:pPr>
      <w:r>
        <w:rPr>
          <w:color w:val="auto"/>
        </w:rPr>
        <w:t>e</w:t>
      </w:r>
      <w:r w:rsidR="001D68F9" w:rsidRPr="00BA79A1">
        <w:rPr>
          <w:color w:val="auto"/>
        </w:rPr>
        <w:t xml:space="preserve">nable the Government of Niue to maintain and if </w:t>
      </w:r>
      <w:proofErr w:type="gramStart"/>
      <w:r w:rsidR="001D68F9" w:rsidRPr="00BA79A1">
        <w:rPr>
          <w:color w:val="auto"/>
        </w:rPr>
        <w:t>possible</w:t>
      </w:r>
      <w:proofErr w:type="gramEnd"/>
      <w:r w:rsidR="001D68F9" w:rsidRPr="00BA79A1">
        <w:rPr>
          <w:color w:val="auto"/>
        </w:rPr>
        <w:t xml:space="preserve"> improve existing levels of social infrastructure and services; </w:t>
      </w:r>
    </w:p>
    <w:p w14:paraId="527DF7CE" w14:textId="247C69C9" w:rsidR="001D68F9" w:rsidRPr="00BA79A1" w:rsidRDefault="00F037B3" w:rsidP="008B3495">
      <w:pPr>
        <w:pStyle w:val="ListParagraph"/>
        <w:numPr>
          <w:ilvl w:val="0"/>
          <w:numId w:val="48"/>
        </w:numPr>
        <w:suppressAutoHyphens w:val="0"/>
        <w:spacing w:before="0" w:after="0" w:line="276" w:lineRule="auto"/>
        <w:rPr>
          <w:color w:val="auto"/>
        </w:rPr>
      </w:pPr>
      <w:r>
        <w:rPr>
          <w:color w:val="auto"/>
        </w:rPr>
        <w:t>e</w:t>
      </w:r>
      <w:r w:rsidR="001D68F9" w:rsidRPr="00BA79A1">
        <w:rPr>
          <w:color w:val="auto"/>
        </w:rPr>
        <w:t xml:space="preserve">nhance the capacity of the Government of Niue to receive and effectively utilise external </w:t>
      </w:r>
      <w:proofErr w:type="gramStart"/>
      <w:r w:rsidR="001D68F9" w:rsidRPr="00BA79A1">
        <w:rPr>
          <w:color w:val="auto"/>
        </w:rPr>
        <w:t>assistance;</w:t>
      </w:r>
      <w:proofErr w:type="gramEnd"/>
      <w:r w:rsidR="001D68F9" w:rsidRPr="00BA79A1">
        <w:rPr>
          <w:color w:val="auto"/>
        </w:rPr>
        <w:t xml:space="preserve"> </w:t>
      </w:r>
    </w:p>
    <w:p w14:paraId="084C3AFA" w14:textId="53F2FBB1" w:rsidR="001D68F9" w:rsidRPr="00BA79A1" w:rsidRDefault="00F037B3" w:rsidP="008B3495">
      <w:pPr>
        <w:pStyle w:val="ListParagraph"/>
        <w:numPr>
          <w:ilvl w:val="0"/>
          <w:numId w:val="48"/>
        </w:numPr>
        <w:suppressAutoHyphens w:val="0"/>
        <w:spacing w:before="0" w:after="0" w:line="276" w:lineRule="auto"/>
        <w:rPr>
          <w:color w:val="auto"/>
        </w:rPr>
      </w:pPr>
      <w:r>
        <w:rPr>
          <w:color w:val="auto"/>
        </w:rPr>
        <w:t>e</w:t>
      </w:r>
      <w:r w:rsidR="001D68F9" w:rsidRPr="00BA79A1">
        <w:rPr>
          <w:color w:val="auto"/>
        </w:rPr>
        <w:t xml:space="preserve">nable the Government of Niue to meet long-term maintenance and operating costs of social and economic infrastructure and services; and </w:t>
      </w:r>
    </w:p>
    <w:p w14:paraId="7368C3EE" w14:textId="2BAE8D91" w:rsidR="00632DEE" w:rsidRPr="00BA79A1" w:rsidRDefault="00F037B3" w:rsidP="00AA2BD9">
      <w:pPr>
        <w:pStyle w:val="ListParagraph"/>
        <w:numPr>
          <w:ilvl w:val="0"/>
          <w:numId w:val="48"/>
        </w:numPr>
        <w:suppressAutoHyphens w:val="0"/>
        <w:spacing w:before="0" w:after="0" w:line="240" w:lineRule="auto"/>
        <w:rPr>
          <w:color w:val="auto"/>
        </w:rPr>
      </w:pPr>
      <w:r>
        <w:rPr>
          <w:color w:val="auto"/>
        </w:rPr>
        <w:t>a</w:t>
      </w:r>
      <w:r w:rsidR="001D68F9" w:rsidRPr="00BA79A1">
        <w:rPr>
          <w:color w:val="auto"/>
        </w:rPr>
        <w:t xml:space="preserve">ssist the Government of Niue to develop the economy of Niue. </w:t>
      </w:r>
      <w:r w:rsidR="009B1CB9" w:rsidRPr="00BA79A1">
        <w:rPr>
          <w:color w:val="auto"/>
        </w:rPr>
        <w:t xml:space="preserve"> </w:t>
      </w:r>
    </w:p>
    <w:p w14:paraId="00885409" w14:textId="5563DED7" w:rsidR="00D24451" w:rsidRPr="00BA79A1" w:rsidRDefault="001D68F9" w:rsidP="00AA2BD9">
      <w:pPr>
        <w:suppressAutoHyphens w:val="0"/>
        <w:spacing w:after="210" w:line="276" w:lineRule="auto"/>
        <w:rPr>
          <w:color w:val="auto"/>
        </w:rPr>
      </w:pPr>
      <w:r w:rsidRPr="00BA79A1">
        <w:rPr>
          <w:color w:val="auto"/>
        </w:rPr>
        <w:t xml:space="preserve">The important role of the NITF was recognised by </w:t>
      </w:r>
      <w:r w:rsidR="00F533B1" w:rsidRPr="00BA79A1">
        <w:rPr>
          <w:color w:val="auto"/>
        </w:rPr>
        <w:t xml:space="preserve">ADB </w:t>
      </w:r>
      <w:r w:rsidRPr="00BA79A1">
        <w:rPr>
          <w:color w:val="auto"/>
        </w:rPr>
        <w:t xml:space="preserve">who </w:t>
      </w:r>
      <w:r w:rsidR="00F533B1" w:rsidRPr="00BA79A1">
        <w:rPr>
          <w:color w:val="auto"/>
        </w:rPr>
        <w:t>note</w:t>
      </w:r>
      <w:r w:rsidRPr="00BA79A1">
        <w:rPr>
          <w:color w:val="auto"/>
        </w:rPr>
        <w:t>d</w:t>
      </w:r>
      <w:r w:rsidR="00F533B1" w:rsidRPr="00BA79A1">
        <w:rPr>
          <w:color w:val="auto"/>
        </w:rPr>
        <w:t xml:space="preserve"> that the NITF helps to manage risks associated with external shocks and could be leveraged with prudence.</w:t>
      </w:r>
      <w:r w:rsidR="00F533B1" w:rsidRPr="00BA79A1">
        <w:rPr>
          <w:rStyle w:val="EndnoteReference"/>
          <w:color w:val="auto"/>
        </w:rPr>
        <w:endnoteReference w:id="11"/>
      </w:r>
      <w:r w:rsidR="00F533B1" w:rsidRPr="00BA79A1">
        <w:rPr>
          <w:color w:val="auto"/>
        </w:rPr>
        <w:t xml:space="preserve">  </w:t>
      </w:r>
      <w:r w:rsidR="00821E41" w:rsidRPr="00BA79A1">
        <w:rPr>
          <w:color w:val="auto"/>
        </w:rPr>
        <w:t>The current balance of the fund is below the target level.</w:t>
      </w:r>
    </w:p>
    <w:p w14:paraId="218E91F3" w14:textId="3C15C6F7" w:rsidR="008C3932" w:rsidRPr="00BA79A1" w:rsidRDefault="00632DEE" w:rsidP="00F8087C">
      <w:pPr>
        <w:suppressAutoHyphens w:val="0"/>
        <w:spacing w:before="0" w:after="210" w:line="276" w:lineRule="auto"/>
        <w:rPr>
          <w:color w:val="auto"/>
        </w:rPr>
      </w:pPr>
      <w:r w:rsidRPr="00BA79A1">
        <w:rPr>
          <w:color w:val="auto"/>
        </w:rPr>
        <w:t xml:space="preserve">The ADB’s country classification report notes the dominance of the </w:t>
      </w:r>
      <w:r w:rsidR="008C3932" w:rsidRPr="00BA79A1">
        <w:rPr>
          <w:color w:val="auto"/>
        </w:rPr>
        <w:t>public sector</w:t>
      </w:r>
      <w:r w:rsidRPr="00BA79A1">
        <w:rPr>
          <w:color w:val="auto"/>
        </w:rPr>
        <w:t xml:space="preserve">, accounting for </w:t>
      </w:r>
      <w:r w:rsidR="008C3932" w:rsidRPr="00BA79A1">
        <w:rPr>
          <w:color w:val="auto"/>
        </w:rPr>
        <w:t>more than three-quarters of the value of GDP</w:t>
      </w:r>
      <w:r w:rsidRPr="00BA79A1">
        <w:rPr>
          <w:color w:val="auto"/>
        </w:rPr>
        <w:t xml:space="preserve"> and employs more than </w:t>
      </w:r>
      <w:r w:rsidR="008C3932" w:rsidRPr="00BA79A1">
        <w:rPr>
          <w:color w:val="auto"/>
        </w:rPr>
        <w:t>60% of the labour force</w:t>
      </w:r>
      <w:r w:rsidR="00584DAB">
        <w:rPr>
          <w:color w:val="auto"/>
        </w:rPr>
        <w:t>.</w:t>
      </w:r>
      <w:r w:rsidRPr="00BA79A1">
        <w:rPr>
          <w:rStyle w:val="EndnoteReference"/>
          <w:color w:val="auto"/>
        </w:rPr>
        <w:endnoteReference w:id="12"/>
      </w:r>
      <w:r w:rsidR="008C3932" w:rsidRPr="00BA79A1">
        <w:rPr>
          <w:color w:val="auto"/>
        </w:rPr>
        <w:t xml:space="preserve"> </w:t>
      </w:r>
    </w:p>
    <w:p w14:paraId="5AA781A5" w14:textId="17EA3C47" w:rsidR="0064014E" w:rsidRPr="00BA79A1" w:rsidRDefault="001B604C" w:rsidP="00F8087C">
      <w:pPr>
        <w:suppressAutoHyphens w:val="0"/>
        <w:spacing w:before="0" w:after="210" w:line="276" w:lineRule="auto"/>
        <w:rPr>
          <w:i/>
          <w:iCs/>
          <w:color w:val="auto"/>
        </w:rPr>
      </w:pPr>
      <w:r w:rsidRPr="00BA79A1">
        <w:rPr>
          <w:i/>
          <w:iCs/>
          <w:color w:val="auto"/>
        </w:rPr>
        <w:t>Human Development</w:t>
      </w:r>
    </w:p>
    <w:p w14:paraId="0405F86B" w14:textId="75A5D46F" w:rsidR="00183725" w:rsidRPr="00BA79A1" w:rsidRDefault="001B604C" w:rsidP="00183725">
      <w:pPr>
        <w:suppressAutoHyphens w:val="0"/>
        <w:spacing w:before="0" w:after="210" w:line="276" w:lineRule="auto"/>
        <w:rPr>
          <w:color w:val="auto"/>
        </w:rPr>
      </w:pPr>
      <w:r w:rsidRPr="00BA79A1">
        <w:rPr>
          <w:color w:val="auto"/>
        </w:rPr>
        <w:t>Niue has relatively high levels of human development</w:t>
      </w:r>
      <w:r w:rsidR="00C40F1E" w:rsidRPr="00BA79A1">
        <w:rPr>
          <w:color w:val="auto"/>
        </w:rPr>
        <w:t>, a safe environment</w:t>
      </w:r>
      <w:r w:rsidRPr="00BA79A1">
        <w:rPr>
          <w:color w:val="auto"/>
        </w:rPr>
        <w:t xml:space="preserve"> and zero poverty</w:t>
      </w:r>
      <w:r w:rsidR="009A26E0">
        <w:rPr>
          <w:color w:val="auto"/>
        </w:rPr>
        <w:t>.</w:t>
      </w:r>
      <w:r w:rsidR="006A537D" w:rsidRPr="00BA79A1">
        <w:rPr>
          <w:rStyle w:val="EndnoteReference"/>
          <w:color w:val="auto"/>
        </w:rPr>
        <w:endnoteReference w:id="13"/>
      </w:r>
      <w:r w:rsidRPr="00BA79A1">
        <w:rPr>
          <w:color w:val="auto"/>
        </w:rPr>
        <w:t xml:space="preserve"> It</w:t>
      </w:r>
      <w:r w:rsidR="0064014E" w:rsidRPr="00BA79A1">
        <w:rPr>
          <w:color w:val="auto"/>
        </w:rPr>
        <w:t xml:space="preserve"> has amongst the lowest infant and maternal mortality rates in the Pacific. </w:t>
      </w:r>
      <w:r w:rsidR="00183725" w:rsidRPr="00BA79A1">
        <w:rPr>
          <w:color w:val="auto"/>
        </w:rPr>
        <w:t>All residents have access to free health care, although basic, with tertiary medical treatment generally undertaken in New Zealand. Vaccination levels are high, including for COVID-19.</w:t>
      </w:r>
    </w:p>
    <w:p w14:paraId="7CDCA5A7" w14:textId="7A8515E5" w:rsidR="00183725" w:rsidRPr="00BA79A1" w:rsidRDefault="00DE7323" w:rsidP="0064014E">
      <w:pPr>
        <w:suppressAutoHyphens w:val="0"/>
        <w:spacing w:before="0" w:after="210" w:line="276" w:lineRule="auto"/>
        <w:rPr>
          <w:color w:val="auto"/>
        </w:rPr>
      </w:pPr>
      <w:r w:rsidRPr="00BA79A1">
        <w:rPr>
          <w:color w:val="auto"/>
        </w:rPr>
        <w:t>Life expectancy</w:t>
      </w:r>
      <w:r w:rsidR="00A01F72" w:rsidRPr="00BA79A1">
        <w:rPr>
          <w:color w:val="auto"/>
        </w:rPr>
        <w:t xml:space="preserve"> at birth for males is</w:t>
      </w:r>
      <w:r w:rsidR="00AA5EDD">
        <w:rPr>
          <w:color w:val="auto"/>
        </w:rPr>
        <w:t xml:space="preserve"> </w:t>
      </w:r>
      <w:r w:rsidR="00A01F72" w:rsidRPr="00BA79A1">
        <w:rPr>
          <w:color w:val="auto"/>
        </w:rPr>
        <w:t xml:space="preserve">72.8 years and 79.8 years </w:t>
      </w:r>
      <w:r w:rsidRPr="00BA79A1">
        <w:rPr>
          <w:color w:val="auto"/>
        </w:rPr>
        <w:t>for females</w:t>
      </w:r>
      <w:r w:rsidR="001C47FD" w:rsidRPr="00BA79A1">
        <w:rPr>
          <w:color w:val="auto"/>
        </w:rPr>
        <w:t>.</w:t>
      </w:r>
      <w:r w:rsidR="00A01F72" w:rsidRPr="00BA79A1">
        <w:rPr>
          <w:rStyle w:val="EndnoteReference"/>
          <w:color w:val="auto"/>
        </w:rPr>
        <w:endnoteReference w:id="14"/>
      </w:r>
      <w:r w:rsidRPr="00BA79A1">
        <w:rPr>
          <w:color w:val="auto"/>
        </w:rPr>
        <w:t xml:space="preserve"> </w:t>
      </w:r>
      <w:r w:rsidR="0064014E" w:rsidRPr="00BA79A1">
        <w:rPr>
          <w:color w:val="auto"/>
        </w:rPr>
        <w:t xml:space="preserve">The primary ongoing health issue is the rise in </w:t>
      </w:r>
      <w:r w:rsidR="00183725" w:rsidRPr="00BA79A1">
        <w:rPr>
          <w:color w:val="auto"/>
        </w:rPr>
        <w:t>Non-Communicable</w:t>
      </w:r>
      <w:r w:rsidR="00ED096A" w:rsidRPr="00BA79A1">
        <w:rPr>
          <w:color w:val="auto"/>
        </w:rPr>
        <w:t xml:space="preserve"> </w:t>
      </w:r>
      <w:r w:rsidR="0064014E" w:rsidRPr="00BA79A1">
        <w:rPr>
          <w:color w:val="auto"/>
        </w:rPr>
        <w:t>D</w:t>
      </w:r>
      <w:r w:rsidR="00ED096A" w:rsidRPr="00BA79A1">
        <w:rPr>
          <w:color w:val="auto"/>
        </w:rPr>
        <w:t>isease</w:t>
      </w:r>
      <w:r w:rsidR="0064014E" w:rsidRPr="00BA79A1">
        <w:rPr>
          <w:color w:val="auto"/>
        </w:rPr>
        <w:t>s</w:t>
      </w:r>
      <w:r w:rsidR="001B604C" w:rsidRPr="00BA79A1">
        <w:rPr>
          <w:color w:val="auto"/>
        </w:rPr>
        <w:t xml:space="preserve"> with </w:t>
      </w:r>
      <w:r w:rsidR="00ED096A" w:rsidRPr="00BA79A1">
        <w:rPr>
          <w:color w:val="auto"/>
        </w:rPr>
        <w:t xml:space="preserve">significant proportions of </w:t>
      </w:r>
      <w:r w:rsidR="001B604C" w:rsidRPr="00BA79A1">
        <w:rPr>
          <w:color w:val="auto"/>
        </w:rPr>
        <w:t>the population classified as obes</w:t>
      </w:r>
      <w:r w:rsidR="00ED096A" w:rsidRPr="00BA79A1">
        <w:rPr>
          <w:color w:val="auto"/>
        </w:rPr>
        <w:t>e (6</w:t>
      </w:r>
      <w:r w:rsidR="00A01F72" w:rsidRPr="00BA79A1">
        <w:rPr>
          <w:color w:val="auto"/>
        </w:rPr>
        <w:t>1</w:t>
      </w:r>
      <w:r w:rsidR="00ED096A" w:rsidRPr="00BA79A1">
        <w:rPr>
          <w:color w:val="auto"/>
        </w:rPr>
        <w:t xml:space="preserve"> per cent), with</w:t>
      </w:r>
      <w:r w:rsidR="001B604C" w:rsidRPr="00BA79A1">
        <w:rPr>
          <w:color w:val="auto"/>
        </w:rPr>
        <w:t xml:space="preserve"> hypertension (34 per cent) and </w:t>
      </w:r>
      <w:r w:rsidR="00ED096A" w:rsidRPr="00BA79A1">
        <w:rPr>
          <w:color w:val="auto"/>
        </w:rPr>
        <w:t xml:space="preserve">with </w:t>
      </w:r>
      <w:r w:rsidR="00C40F1E" w:rsidRPr="00BA79A1">
        <w:rPr>
          <w:color w:val="auto"/>
        </w:rPr>
        <w:t>hyperglycaemia</w:t>
      </w:r>
      <w:r w:rsidR="001B604C" w:rsidRPr="00BA79A1">
        <w:rPr>
          <w:color w:val="auto"/>
        </w:rPr>
        <w:t xml:space="preserve"> (38 percent)</w:t>
      </w:r>
      <w:r w:rsidR="005B3234">
        <w:rPr>
          <w:color w:val="auto"/>
        </w:rPr>
        <w:t>.</w:t>
      </w:r>
      <w:r w:rsidR="00A01F72" w:rsidRPr="00BA79A1">
        <w:rPr>
          <w:rStyle w:val="EndnoteReference"/>
          <w:color w:val="auto"/>
        </w:rPr>
        <w:endnoteReference w:id="15"/>
      </w:r>
      <w:r w:rsidR="0064014E" w:rsidRPr="00BA79A1">
        <w:rPr>
          <w:color w:val="auto"/>
        </w:rPr>
        <w:t xml:space="preserve"> </w:t>
      </w:r>
      <w:r w:rsidR="00183725" w:rsidRPr="00BA79A1">
        <w:rPr>
          <w:color w:val="auto"/>
        </w:rPr>
        <w:t>Less than 20 per cent of the population smokes and around 20 per cent of the population drinks at least 8 drinks a week</w:t>
      </w:r>
      <w:r w:rsidR="001C47FD" w:rsidRPr="00BA79A1">
        <w:rPr>
          <w:color w:val="auto"/>
        </w:rPr>
        <w:t>.</w:t>
      </w:r>
      <w:r w:rsidR="00A01F72" w:rsidRPr="00BA79A1">
        <w:rPr>
          <w:rStyle w:val="EndnoteReference"/>
          <w:color w:val="auto"/>
        </w:rPr>
        <w:endnoteReference w:id="16"/>
      </w:r>
      <w:r w:rsidR="0032579D" w:rsidRPr="00BA79A1">
        <w:rPr>
          <w:color w:val="auto"/>
        </w:rPr>
        <w:t xml:space="preserve"> </w:t>
      </w:r>
    </w:p>
    <w:p w14:paraId="58F988B5" w14:textId="7DA248D9" w:rsidR="00C54FD6" w:rsidRPr="00BA79A1" w:rsidRDefault="0032579D" w:rsidP="0064014E">
      <w:pPr>
        <w:suppressAutoHyphens w:val="0"/>
        <w:spacing w:before="0" w:after="210" w:line="276" w:lineRule="auto"/>
        <w:rPr>
          <w:color w:val="auto"/>
        </w:rPr>
      </w:pPr>
      <w:r w:rsidRPr="00BA79A1">
        <w:rPr>
          <w:color w:val="auto"/>
        </w:rPr>
        <w:lastRenderedPageBreak/>
        <w:t>New Zealand provides longstanding</w:t>
      </w:r>
      <w:r w:rsidR="00C54FD6" w:rsidRPr="00BA79A1">
        <w:rPr>
          <w:color w:val="auto"/>
        </w:rPr>
        <w:t xml:space="preserve"> and highly valued</w:t>
      </w:r>
      <w:r w:rsidRPr="00BA79A1">
        <w:rPr>
          <w:color w:val="auto"/>
        </w:rPr>
        <w:t xml:space="preserve"> support to the health se</w:t>
      </w:r>
      <w:r w:rsidR="00C54FD6" w:rsidRPr="00BA79A1">
        <w:rPr>
          <w:color w:val="auto"/>
        </w:rPr>
        <w:t xml:space="preserve">ctor. New Zealand extensive support for health sector includes health workforce capability, health facilities, strengthened connections between health systems and strengthened health services. </w:t>
      </w:r>
    </w:p>
    <w:p w14:paraId="19AE6AD5" w14:textId="5DB706F1" w:rsidR="0032579D" w:rsidRPr="00BA79A1" w:rsidRDefault="00C54FD6" w:rsidP="0064014E">
      <w:pPr>
        <w:suppressAutoHyphens w:val="0"/>
        <w:spacing w:before="0" w:after="210" w:line="276" w:lineRule="auto"/>
        <w:rPr>
          <w:color w:val="auto"/>
        </w:rPr>
      </w:pPr>
      <w:r w:rsidRPr="00BA79A1">
        <w:rPr>
          <w:color w:val="auto"/>
        </w:rPr>
        <w:t xml:space="preserve">In response to the COVID-19 pandemic, </w:t>
      </w:r>
      <w:r w:rsidR="000A5533" w:rsidRPr="00BA79A1">
        <w:rPr>
          <w:color w:val="auto"/>
        </w:rPr>
        <w:t xml:space="preserve">the Government of Niue has worked closely with its key health partner </w:t>
      </w:r>
      <w:r w:rsidRPr="00BA79A1">
        <w:rPr>
          <w:color w:val="auto"/>
        </w:rPr>
        <w:t>New Zealand</w:t>
      </w:r>
      <w:r w:rsidR="000A5533" w:rsidRPr="00BA79A1">
        <w:rPr>
          <w:color w:val="auto"/>
        </w:rPr>
        <w:t xml:space="preserve"> to develop response plans, implement health and social measures and rollout the COVID-19 vaccination. </w:t>
      </w:r>
      <w:r w:rsidR="00823832" w:rsidRPr="00BA79A1">
        <w:rPr>
          <w:color w:val="auto"/>
        </w:rPr>
        <w:t xml:space="preserve">To date, </w:t>
      </w:r>
      <w:r w:rsidRPr="00BA79A1">
        <w:rPr>
          <w:color w:val="auto"/>
        </w:rPr>
        <w:t>COVID-19 vaccines</w:t>
      </w:r>
      <w:r w:rsidR="000A5533" w:rsidRPr="00BA79A1">
        <w:rPr>
          <w:color w:val="auto"/>
        </w:rPr>
        <w:t xml:space="preserve"> </w:t>
      </w:r>
      <w:r w:rsidR="00823832" w:rsidRPr="00BA79A1">
        <w:rPr>
          <w:color w:val="auto"/>
        </w:rPr>
        <w:t>have been</w:t>
      </w:r>
      <w:r w:rsidR="000A5533" w:rsidRPr="00BA79A1">
        <w:rPr>
          <w:color w:val="auto"/>
        </w:rPr>
        <w:t xml:space="preserve"> provided by New Zealand</w:t>
      </w:r>
      <w:r w:rsidRPr="00BA79A1">
        <w:rPr>
          <w:color w:val="auto"/>
        </w:rPr>
        <w:t xml:space="preserve"> and </w:t>
      </w:r>
      <w:r w:rsidR="000A5533" w:rsidRPr="00BA79A1">
        <w:rPr>
          <w:color w:val="auto"/>
        </w:rPr>
        <w:t>vaccination rates are amongst the highest in the world with 9</w:t>
      </w:r>
      <w:r w:rsidR="00632DEE" w:rsidRPr="00BA79A1">
        <w:rPr>
          <w:color w:val="auto"/>
        </w:rPr>
        <w:t>7</w:t>
      </w:r>
      <w:r w:rsidR="000A5533" w:rsidRPr="00BA79A1">
        <w:rPr>
          <w:color w:val="auto"/>
        </w:rPr>
        <w:t>% of the eligible population (12 years plus) fully vaccinated</w:t>
      </w:r>
      <w:r w:rsidR="0022413D" w:rsidRPr="00BA79A1">
        <w:rPr>
          <w:color w:val="auto"/>
        </w:rPr>
        <w:t>.</w:t>
      </w:r>
      <w:r w:rsidR="00632DEE" w:rsidRPr="00BA79A1">
        <w:rPr>
          <w:rStyle w:val="EndnoteReference"/>
          <w:color w:val="auto"/>
        </w:rPr>
        <w:endnoteReference w:id="17"/>
      </w:r>
      <w:r w:rsidR="000A5533" w:rsidRPr="00BA79A1">
        <w:rPr>
          <w:color w:val="auto"/>
        </w:rPr>
        <w:t xml:space="preserve"> </w:t>
      </w:r>
      <w:r w:rsidRPr="00BA79A1">
        <w:rPr>
          <w:color w:val="auto"/>
        </w:rPr>
        <w:t>Australian</w:t>
      </w:r>
      <w:r w:rsidR="000A5533" w:rsidRPr="00BA79A1">
        <w:rPr>
          <w:color w:val="auto"/>
        </w:rPr>
        <w:t xml:space="preserve"> support has been limited to </w:t>
      </w:r>
      <w:r w:rsidR="001A7A55" w:rsidRPr="00BA79A1">
        <w:rPr>
          <w:color w:val="auto"/>
        </w:rPr>
        <w:t xml:space="preserve">our </w:t>
      </w:r>
      <w:r w:rsidR="000A5533" w:rsidRPr="00BA79A1">
        <w:rPr>
          <w:color w:val="auto"/>
        </w:rPr>
        <w:t>global partnership</w:t>
      </w:r>
      <w:r w:rsidR="001A7A55" w:rsidRPr="00BA79A1">
        <w:rPr>
          <w:color w:val="auto"/>
        </w:rPr>
        <w:t>s</w:t>
      </w:r>
      <w:r w:rsidR="000A5533" w:rsidRPr="00BA79A1">
        <w:rPr>
          <w:color w:val="auto"/>
        </w:rPr>
        <w:t xml:space="preserve"> with UNICEF and WHO, and </w:t>
      </w:r>
      <w:proofErr w:type="gramStart"/>
      <w:r w:rsidR="000A5533" w:rsidRPr="00BA79A1">
        <w:rPr>
          <w:color w:val="auto"/>
        </w:rPr>
        <w:t>in light of</w:t>
      </w:r>
      <w:proofErr w:type="gramEnd"/>
      <w:r w:rsidR="000A5533" w:rsidRPr="00BA79A1">
        <w:rPr>
          <w:color w:val="auto"/>
        </w:rPr>
        <w:t xml:space="preserve"> New Zealand’s comprehensive </w:t>
      </w:r>
      <w:r w:rsidR="001A7A55" w:rsidRPr="00BA79A1">
        <w:rPr>
          <w:color w:val="auto"/>
        </w:rPr>
        <w:t xml:space="preserve">support </w:t>
      </w:r>
      <w:r w:rsidR="000A5533" w:rsidRPr="00BA79A1">
        <w:rPr>
          <w:color w:val="auto"/>
        </w:rPr>
        <w:t xml:space="preserve">we have not shared COVID vaccine doses. </w:t>
      </w:r>
    </w:p>
    <w:p w14:paraId="028BD691" w14:textId="5A1A8B9B" w:rsidR="00D742DE" w:rsidRPr="00BA79A1" w:rsidRDefault="001B604C" w:rsidP="00F8087C">
      <w:pPr>
        <w:suppressAutoHyphens w:val="0"/>
        <w:spacing w:before="0" w:after="210" w:line="276" w:lineRule="auto"/>
        <w:rPr>
          <w:color w:val="auto"/>
        </w:rPr>
      </w:pPr>
      <w:r w:rsidRPr="00BA79A1">
        <w:rPr>
          <w:color w:val="auto"/>
        </w:rPr>
        <w:t>Education is free to the age of 16 and there is 100 per cent enrolment at the primary level</w:t>
      </w:r>
      <w:r w:rsidR="00C77C59" w:rsidRPr="00BA79A1">
        <w:rPr>
          <w:color w:val="auto"/>
        </w:rPr>
        <w:t>.</w:t>
      </w:r>
      <w:r w:rsidR="00F64271" w:rsidRPr="00BA79A1">
        <w:rPr>
          <w:rStyle w:val="EndnoteReference"/>
          <w:color w:val="auto"/>
        </w:rPr>
        <w:endnoteReference w:id="18"/>
      </w:r>
      <w:r w:rsidRPr="00BA79A1">
        <w:rPr>
          <w:color w:val="auto"/>
        </w:rPr>
        <w:t xml:space="preserve">  There is one primary school</w:t>
      </w:r>
      <w:r w:rsidR="000A5533" w:rsidRPr="00BA79A1">
        <w:rPr>
          <w:color w:val="auto"/>
        </w:rPr>
        <w:t xml:space="preserve"> and</w:t>
      </w:r>
      <w:r w:rsidRPr="00BA79A1">
        <w:rPr>
          <w:color w:val="auto"/>
        </w:rPr>
        <w:t xml:space="preserve"> one secondary school</w:t>
      </w:r>
      <w:r w:rsidR="00183725" w:rsidRPr="00BA79A1">
        <w:rPr>
          <w:color w:val="auto"/>
        </w:rPr>
        <w:t>.</w:t>
      </w:r>
      <w:r w:rsidR="00F64271" w:rsidRPr="00BA79A1">
        <w:rPr>
          <w:color w:val="auto"/>
        </w:rPr>
        <w:t xml:space="preserve"> There is a strong emphasis on </w:t>
      </w:r>
      <w:proofErr w:type="spellStart"/>
      <w:r w:rsidR="00F64271" w:rsidRPr="00BA79A1">
        <w:rPr>
          <w:color w:val="auto"/>
        </w:rPr>
        <w:t>Vagahau</w:t>
      </w:r>
      <w:proofErr w:type="spellEnd"/>
      <w:r w:rsidR="00F64271" w:rsidRPr="00BA79A1">
        <w:rPr>
          <w:color w:val="auto"/>
        </w:rPr>
        <w:t xml:space="preserve"> Niue (vernacular</w:t>
      </w:r>
      <w:proofErr w:type="gramStart"/>
      <w:r w:rsidR="00F64271" w:rsidRPr="00BA79A1">
        <w:rPr>
          <w:color w:val="auto"/>
        </w:rPr>
        <w:t>)</w:t>
      </w:r>
      <w:proofErr w:type="gramEnd"/>
      <w:r w:rsidR="00F64271" w:rsidRPr="00BA79A1">
        <w:rPr>
          <w:color w:val="auto"/>
        </w:rPr>
        <w:t xml:space="preserve"> and the Education Department has a one person section dedicated to </w:t>
      </w:r>
      <w:proofErr w:type="spellStart"/>
      <w:r w:rsidR="00F64271" w:rsidRPr="00BA79A1">
        <w:rPr>
          <w:color w:val="auto"/>
        </w:rPr>
        <w:t>Vagahau</w:t>
      </w:r>
      <w:proofErr w:type="spellEnd"/>
      <w:r w:rsidR="00F64271" w:rsidRPr="00BA79A1">
        <w:rPr>
          <w:color w:val="auto"/>
        </w:rPr>
        <w:t xml:space="preserve"> Niue work.</w:t>
      </w:r>
      <w:r w:rsidR="000A5533" w:rsidRPr="00BA79A1">
        <w:rPr>
          <w:color w:val="auto"/>
        </w:rPr>
        <w:t xml:space="preserve"> </w:t>
      </w:r>
      <w:r w:rsidR="00FA5388" w:rsidRPr="00BA79A1">
        <w:rPr>
          <w:color w:val="auto"/>
        </w:rPr>
        <w:t xml:space="preserve">Schools follow the New Zealand </w:t>
      </w:r>
      <w:proofErr w:type="gramStart"/>
      <w:r w:rsidR="00FA5388" w:rsidRPr="00BA79A1">
        <w:rPr>
          <w:color w:val="auto"/>
        </w:rPr>
        <w:t>curriculum</w:t>
      </w:r>
      <w:proofErr w:type="gramEnd"/>
      <w:r w:rsidR="00FA5388" w:rsidRPr="00BA79A1">
        <w:rPr>
          <w:color w:val="auto"/>
        </w:rPr>
        <w:t xml:space="preserve"> and the New Zealand Government provides significant development support to primary and secondary school.</w:t>
      </w:r>
    </w:p>
    <w:p w14:paraId="4CE895E8" w14:textId="5DB734D2" w:rsidR="006F48A7" w:rsidRPr="00785DF6" w:rsidRDefault="000A5533" w:rsidP="00785DF6">
      <w:pPr>
        <w:suppressAutoHyphens w:val="0"/>
        <w:spacing w:before="0" w:after="210" w:line="276" w:lineRule="auto"/>
        <w:rPr>
          <w:color w:val="auto"/>
        </w:rPr>
      </w:pPr>
      <w:r w:rsidRPr="00BA79A1">
        <w:rPr>
          <w:color w:val="auto"/>
        </w:rPr>
        <w:t>Post</w:t>
      </w:r>
      <w:r w:rsidR="00D742DE" w:rsidRPr="00BA79A1">
        <w:rPr>
          <w:color w:val="auto"/>
        </w:rPr>
        <w:t>-</w:t>
      </w:r>
      <w:r w:rsidRPr="00BA79A1">
        <w:rPr>
          <w:color w:val="auto"/>
        </w:rPr>
        <w:t>secondary opportunities are extremely limited</w:t>
      </w:r>
      <w:r w:rsidR="00D742DE" w:rsidRPr="00BA79A1">
        <w:rPr>
          <w:color w:val="auto"/>
        </w:rPr>
        <w:t>. Niue has a small</w:t>
      </w:r>
      <w:r w:rsidR="0093662B">
        <w:rPr>
          <w:color w:val="auto"/>
        </w:rPr>
        <w:t xml:space="preserve"> University of the South Pacific (</w:t>
      </w:r>
      <w:r w:rsidR="00D742DE" w:rsidRPr="00BA79A1">
        <w:rPr>
          <w:color w:val="auto"/>
        </w:rPr>
        <w:t>USP</w:t>
      </w:r>
      <w:r w:rsidR="0093662B">
        <w:rPr>
          <w:color w:val="auto"/>
        </w:rPr>
        <w:t>)</w:t>
      </w:r>
      <w:r w:rsidR="00D742DE" w:rsidRPr="00BA79A1">
        <w:rPr>
          <w:color w:val="auto"/>
        </w:rPr>
        <w:t xml:space="preserve"> campus and there </w:t>
      </w:r>
      <w:r w:rsidR="00234595">
        <w:rPr>
          <w:color w:val="auto"/>
        </w:rPr>
        <w:t>is</w:t>
      </w:r>
      <w:r w:rsidR="00D742DE" w:rsidRPr="00BA79A1">
        <w:rPr>
          <w:color w:val="auto"/>
        </w:rPr>
        <w:t xml:space="preserve"> no dedicated faculty in Niue. At present, in-country cohorts are limited to certificate</w:t>
      </w:r>
      <w:r w:rsidR="0031504D">
        <w:rPr>
          <w:color w:val="auto"/>
        </w:rPr>
        <w:t>s</w:t>
      </w:r>
      <w:r w:rsidR="00D742DE" w:rsidRPr="00BA79A1">
        <w:rPr>
          <w:color w:val="auto"/>
        </w:rPr>
        <w:t xml:space="preserve"> in </w:t>
      </w:r>
      <w:proofErr w:type="spellStart"/>
      <w:r w:rsidR="00D742DE" w:rsidRPr="00BA79A1">
        <w:rPr>
          <w:color w:val="auto"/>
        </w:rPr>
        <w:t>Vagahau</w:t>
      </w:r>
      <w:proofErr w:type="spellEnd"/>
      <w:r w:rsidR="00D742DE" w:rsidRPr="00BA79A1">
        <w:rPr>
          <w:color w:val="auto"/>
        </w:rPr>
        <w:t xml:space="preserve"> language, diploma</w:t>
      </w:r>
      <w:r w:rsidR="0031504D">
        <w:rPr>
          <w:color w:val="auto"/>
        </w:rPr>
        <w:t>s in</w:t>
      </w:r>
      <w:r w:rsidR="00D742DE" w:rsidRPr="00BA79A1">
        <w:rPr>
          <w:color w:val="auto"/>
        </w:rPr>
        <w:t xml:space="preserve"> pacific studies and MBA</w:t>
      </w:r>
      <w:r w:rsidR="00821A08">
        <w:rPr>
          <w:color w:val="auto"/>
        </w:rPr>
        <w:t>s</w:t>
      </w:r>
      <w:r w:rsidR="00E144B3" w:rsidRPr="00BA79A1">
        <w:rPr>
          <w:color w:val="auto"/>
        </w:rPr>
        <w:t>.</w:t>
      </w:r>
      <w:r w:rsidR="00D742DE" w:rsidRPr="00BA79A1">
        <w:rPr>
          <w:rStyle w:val="EndnoteReference"/>
          <w:color w:val="auto"/>
        </w:rPr>
        <w:endnoteReference w:id="19"/>
      </w:r>
      <w:r w:rsidR="00D742DE" w:rsidRPr="00BA79A1">
        <w:rPr>
          <w:color w:val="auto"/>
        </w:rPr>
        <w:t xml:space="preserve"> </w:t>
      </w:r>
      <w:r w:rsidR="001A7A55" w:rsidRPr="00BA79A1">
        <w:rPr>
          <w:color w:val="auto"/>
        </w:rPr>
        <w:t>The USP campus has video conferencing facilities and satellite link with Suva, which has supported remote learning during COVID-19. Most students need to travel overseas to completed high education studies. Niuean students are eligible for student loans to study at New Zealand</w:t>
      </w:r>
      <w:r w:rsidR="00823832" w:rsidRPr="00BA79A1">
        <w:rPr>
          <w:color w:val="auto"/>
        </w:rPr>
        <w:t xml:space="preserve">, and </w:t>
      </w:r>
      <w:r w:rsidR="001A7A55" w:rsidRPr="00BA79A1">
        <w:rPr>
          <w:color w:val="auto"/>
        </w:rPr>
        <w:t xml:space="preserve">scholarships from New Zealand and Australia provide an alternative option for financing higher education.  </w:t>
      </w:r>
    </w:p>
    <w:p w14:paraId="313B16FB" w14:textId="04F52DBE" w:rsidR="0064014E" w:rsidRPr="00BA79A1" w:rsidRDefault="0064014E" w:rsidP="0064014E">
      <w:pPr>
        <w:suppressAutoHyphens w:val="0"/>
        <w:spacing w:before="0" w:after="210" w:line="276" w:lineRule="auto"/>
        <w:rPr>
          <w:color w:val="auto"/>
        </w:rPr>
      </w:pPr>
      <w:r w:rsidRPr="00BA79A1">
        <w:rPr>
          <w:i/>
          <w:iCs/>
          <w:color w:val="auto"/>
        </w:rPr>
        <w:t>Gender</w:t>
      </w:r>
      <w:r w:rsidRPr="00BA79A1">
        <w:rPr>
          <w:color w:val="auto"/>
        </w:rPr>
        <w:t xml:space="preserve"> </w:t>
      </w:r>
    </w:p>
    <w:p w14:paraId="395F3422" w14:textId="20E6B8A4" w:rsidR="0064014E" w:rsidRPr="00BA79A1" w:rsidRDefault="00183725" w:rsidP="0064014E">
      <w:pPr>
        <w:suppressAutoHyphens w:val="0"/>
        <w:spacing w:before="0" w:after="210" w:line="276" w:lineRule="auto"/>
        <w:rPr>
          <w:color w:val="auto"/>
        </w:rPr>
      </w:pPr>
      <w:r w:rsidRPr="00BA79A1">
        <w:rPr>
          <w:color w:val="auto"/>
        </w:rPr>
        <w:t>P</w:t>
      </w:r>
      <w:r w:rsidR="0064014E" w:rsidRPr="00BA79A1">
        <w:rPr>
          <w:color w:val="auto"/>
        </w:rPr>
        <w:t>arity in educational attainment has been reached between girls and boys</w:t>
      </w:r>
      <w:r w:rsidR="00B33E6F" w:rsidRPr="00BA79A1">
        <w:rPr>
          <w:color w:val="auto"/>
        </w:rPr>
        <w:t xml:space="preserve"> at the primary </w:t>
      </w:r>
      <w:r w:rsidR="001B604C" w:rsidRPr="00BA79A1">
        <w:rPr>
          <w:color w:val="auto"/>
        </w:rPr>
        <w:t xml:space="preserve">and secondary </w:t>
      </w:r>
      <w:r w:rsidR="00B33E6F" w:rsidRPr="00BA79A1">
        <w:rPr>
          <w:color w:val="auto"/>
        </w:rPr>
        <w:t>level</w:t>
      </w:r>
      <w:r w:rsidR="001B604C" w:rsidRPr="00BA79A1">
        <w:rPr>
          <w:color w:val="auto"/>
        </w:rPr>
        <w:t>, with girls outperforming boys at the secondary level.</w:t>
      </w:r>
      <w:r w:rsidR="0064014E" w:rsidRPr="00BA79A1">
        <w:rPr>
          <w:color w:val="auto"/>
        </w:rPr>
        <w:t xml:space="preserve"> </w:t>
      </w:r>
      <w:r w:rsidR="00B33E6F" w:rsidRPr="00BA79A1">
        <w:rPr>
          <w:color w:val="auto"/>
        </w:rPr>
        <w:t>W</w:t>
      </w:r>
      <w:r w:rsidR="0064014E" w:rsidRPr="00BA79A1">
        <w:rPr>
          <w:color w:val="auto"/>
        </w:rPr>
        <w:t xml:space="preserve">omen are very strongly represented in decision-making bodies and comprise a significant proportion of senior public service jobs, </w:t>
      </w:r>
      <w:r w:rsidR="00F02AA5" w:rsidRPr="00BA79A1">
        <w:rPr>
          <w:color w:val="auto"/>
        </w:rPr>
        <w:t>however</w:t>
      </w:r>
      <w:r w:rsidR="006929DF" w:rsidRPr="00BA79A1">
        <w:rPr>
          <w:color w:val="auto"/>
        </w:rPr>
        <w:t>,</w:t>
      </w:r>
      <w:r w:rsidR="0064014E" w:rsidRPr="00BA79A1">
        <w:rPr>
          <w:color w:val="auto"/>
        </w:rPr>
        <w:t xml:space="preserve"> only a small number of women are represented in Parliament (</w:t>
      </w:r>
      <w:r w:rsidR="00B33E6F" w:rsidRPr="00BA79A1">
        <w:rPr>
          <w:color w:val="auto"/>
        </w:rPr>
        <w:t>3</w:t>
      </w:r>
      <w:r w:rsidR="0064014E" w:rsidRPr="00BA79A1">
        <w:rPr>
          <w:color w:val="auto"/>
        </w:rPr>
        <w:t xml:space="preserve"> from 20)</w:t>
      </w:r>
      <w:r w:rsidR="006929DF" w:rsidRPr="00BA79A1">
        <w:rPr>
          <w:color w:val="auto"/>
        </w:rPr>
        <w:t xml:space="preserve"> and one member of the four</w:t>
      </w:r>
      <w:r w:rsidR="003616AF" w:rsidRPr="00BA79A1">
        <w:rPr>
          <w:color w:val="auto"/>
        </w:rPr>
        <w:t>-</w:t>
      </w:r>
      <w:r w:rsidR="006929DF" w:rsidRPr="00BA79A1">
        <w:rPr>
          <w:color w:val="auto"/>
        </w:rPr>
        <w:t>person cabinet is female.</w:t>
      </w:r>
    </w:p>
    <w:p w14:paraId="407537CC" w14:textId="2E3CE5DA" w:rsidR="00D24451" w:rsidRPr="00BA79A1" w:rsidRDefault="00D24451" w:rsidP="00F8087C">
      <w:pPr>
        <w:suppressAutoHyphens w:val="0"/>
        <w:spacing w:before="0" w:after="210" w:line="276" w:lineRule="auto"/>
        <w:rPr>
          <w:i/>
          <w:iCs/>
          <w:color w:val="auto"/>
        </w:rPr>
      </w:pPr>
      <w:r w:rsidRPr="00BA79A1">
        <w:rPr>
          <w:i/>
          <w:iCs/>
          <w:color w:val="auto"/>
        </w:rPr>
        <w:t>Governance</w:t>
      </w:r>
    </w:p>
    <w:p w14:paraId="6178ECF1" w14:textId="5ED8DBA6" w:rsidR="008C3932" w:rsidRPr="00BA79A1" w:rsidRDefault="00D24451" w:rsidP="008C3932">
      <w:pPr>
        <w:suppressAutoHyphens w:val="0"/>
        <w:spacing w:before="0" w:after="210" w:line="276" w:lineRule="auto"/>
        <w:rPr>
          <w:color w:val="auto"/>
        </w:rPr>
      </w:pPr>
      <w:r w:rsidRPr="00BA79A1">
        <w:rPr>
          <w:color w:val="auto"/>
        </w:rPr>
        <w:t>Niue has a policy of balanced budgets, and while there are high levels of reliance on New Zealand’s financial support, this also provides a level of stability.</w:t>
      </w:r>
      <w:r w:rsidR="008C3932" w:rsidRPr="00BA79A1">
        <w:rPr>
          <w:color w:val="auto"/>
        </w:rPr>
        <w:t xml:space="preserve"> </w:t>
      </w:r>
      <w:r w:rsidR="00D90FA5" w:rsidRPr="00BA79A1">
        <w:rPr>
          <w:color w:val="auto"/>
        </w:rPr>
        <w:t xml:space="preserve">A public commitment has been made to </w:t>
      </w:r>
      <w:r w:rsidR="00CA1129" w:rsidRPr="00BA79A1">
        <w:rPr>
          <w:color w:val="auto"/>
        </w:rPr>
        <w:t xml:space="preserve">address issues identified in </w:t>
      </w:r>
      <w:r w:rsidR="00472681" w:rsidRPr="00BA79A1">
        <w:rPr>
          <w:color w:val="auto"/>
        </w:rPr>
        <w:t>report of the New Zealand Auditor-General</w:t>
      </w:r>
      <w:r w:rsidR="00527362" w:rsidRPr="00BA79A1">
        <w:rPr>
          <w:color w:val="auto"/>
        </w:rPr>
        <w:t xml:space="preserve"> including the backlog of outstanding financial statements.</w:t>
      </w:r>
    </w:p>
    <w:p w14:paraId="1BBB7365" w14:textId="19ABBFEB" w:rsidR="008C3932" w:rsidRDefault="00A330E9" w:rsidP="008C3932">
      <w:pPr>
        <w:suppressAutoHyphens w:val="0"/>
        <w:spacing w:before="0" w:after="210" w:line="276" w:lineRule="auto"/>
        <w:rPr>
          <w:color w:val="auto"/>
        </w:rPr>
      </w:pPr>
      <w:r w:rsidRPr="00BA79A1">
        <w:rPr>
          <w:color w:val="auto"/>
        </w:rPr>
        <w:t xml:space="preserve">Recent </w:t>
      </w:r>
      <w:r w:rsidR="008C3932" w:rsidRPr="00BA79A1">
        <w:rPr>
          <w:color w:val="auto"/>
        </w:rPr>
        <w:t xml:space="preserve">PEFA </w:t>
      </w:r>
      <w:r w:rsidRPr="00BA79A1">
        <w:rPr>
          <w:color w:val="auto"/>
        </w:rPr>
        <w:t xml:space="preserve">reports (2017 and </w:t>
      </w:r>
      <w:r w:rsidR="008C3932" w:rsidRPr="00BA79A1">
        <w:rPr>
          <w:color w:val="auto"/>
        </w:rPr>
        <w:t>2020 self-assessment</w:t>
      </w:r>
      <w:r w:rsidRPr="00BA79A1">
        <w:rPr>
          <w:color w:val="auto"/>
        </w:rPr>
        <w:t xml:space="preserve">) identify </w:t>
      </w:r>
      <w:proofErr w:type="gramStart"/>
      <w:r w:rsidRPr="00BA79A1">
        <w:rPr>
          <w:color w:val="auto"/>
        </w:rPr>
        <w:t>a number of</w:t>
      </w:r>
      <w:proofErr w:type="gramEnd"/>
      <w:r w:rsidRPr="00BA79A1">
        <w:rPr>
          <w:color w:val="auto"/>
        </w:rPr>
        <w:t xml:space="preserve"> weaknesses </w:t>
      </w:r>
      <w:r w:rsidR="00595C76" w:rsidRPr="00BA79A1">
        <w:rPr>
          <w:color w:val="auto"/>
        </w:rPr>
        <w:t xml:space="preserve">in public financial </w:t>
      </w:r>
      <w:r w:rsidR="005C3E78" w:rsidRPr="00BA79A1">
        <w:rPr>
          <w:color w:val="auto"/>
        </w:rPr>
        <w:t xml:space="preserve">management </w:t>
      </w:r>
      <w:r w:rsidRPr="00BA79A1">
        <w:rPr>
          <w:color w:val="auto"/>
        </w:rPr>
        <w:t xml:space="preserve">including in </w:t>
      </w:r>
      <w:r w:rsidR="00AE6CED" w:rsidRPr="00BA79A1">
        <w:rPr>
          <w:color w:val="auto"/>
        </w:rPr>
        <w:t xml:space="preserve">management of assets, fiscal strategy, </w:t>
      </w:r>
      <w:r w:rsidR="00595C76" w:rsidRPr="00BA79A1">
        <w:rPr>
          <w:color w:val="auto"/>
        </w:rPr>
        <w:t>accounting and reporting</w:t>
      </w:r>
      <w:r w:rsidR="005C3E78" w:rsidRPr="00BA79A1">
        <w:rPr>
          <w:color w:val="auto"/>
        </w:rPr>
        <w:t xml:space="preserve">.  </w:t>
      </w:r>
      <w:r w:rsidR="005C3E78" w:rsidRPr="00BA79A1">
        <w:rPr>
          <w:color w:val="auto"/>
        </w:rPr>
        <w:lastRenderedPageBreak/>
        <w:t xml:space="preserve">The </w:t>
      </w:r>
      <w:r w:rsidR="00743080" w:rsidRPr="00BA79A1">
        <w:rPr>
          <w:color w:val="auto"/>
        </w:rPr>
        <w:t>mandatory</w:t>
      </w:r>
      <w:r w:rsidR="005C3E78" w:rsidRPr="00BA79A1">
        <w:rPr>
          <w:color w:val="auto"/>
        </w:rPr>
        <w:t xml:space="preserve"> Assessment of National Systems</w:t>
      </w:r>
      <w:r w:rsidR="008C3932" w:rsidRPr="00BA79A1">
        <w:rPr>
          <w:color w:val="auto"/>
        </w:rPr>
        <w:t xml:space="preserve"> </w:t>
      </w:r>
      <w:r w:rsidR="005C3E78" w:rsidRPr="00BA79A1">
        <w:rPr>
          <w:color w:val="auto"/>
        </w:rPr>
        <w:t>(</w:t>
      </w:r>
      <w:r w:rsidR="008C3932" w:rsidRPr="00BA79A1">
        <w:rPr>
          <w:color w:val="auto"/>
        </w:rPr>
        <w:t>ANS</w:t>
      </w:r>
      <w:r w:rsidR="005C3E78" w:rsidRPr="00BA79A1">
        <w:rPr>
          <w:color w:val="auto"/>
        </w:rPr>
        <w:t xml:space="preserve">) undertaken in 2021 </w:t>
      </w:r>
      <w:r w:rsidR="00CA6633" w:rsidRPr="00BA79A1">
        <w:rPr>
          <w:color w:val="auto"/>
        </w:rPr>
        <w:t>and assessed the inherent fiduciary risks associated with using G</w:t>
      </w:r>
      <w:r w:rsidR="003811F6" w:rsidRPr="00BA79A1">
        <w:rPr>
          <w:color w:val="auto"/>
        </w:rPr>
        <w:t>overnment of Niue systems</w:t>
      </w:r>
      <w:r w:rsidR="00CA6633" w:rsidRPr="00BA79A1">
        <w:rPr>
          <w:color w:val="auto"/>
        </w:rPr>
        <w:t xml:space="preserve"> as medium-high</w:t>
      </w:r>
      <w:r w:rsidR="003616AF" w:rsidRPr="00BA79A1">
        <w:rPr>
          <w:color w:val="auto"/>
        </w:rPr>
        <w:t>.</w:t>
      </w:r>
    </w:p>
    <w:p w14:paraId="6CEE4899" w14:textId="77777777" w:rsidR="00785DF6" w:rsidRPr="00BA79A1" w:rsidRDefault="00785DF6" w:rsidP="008C3932">
      <w:pPr>
        <w:suppressAutoHyphens w:val="0"/>
        <w:spacing w:before="0" w:after="210" w:line="276" w:lineRule="auto"/>
        <w:rPr>
          <w:color w:val="auto"/>
        </w:rPr>
      </w:pPr>
    </w:p>
    <w:p w14:paraId="532DA32F" w14:textId="67BDE0EC" w:rsidR="009B1CB9" w:rsidRPr="00BA79A1" w:rsidRDefault="009B1CB9" w:rsidP="00F8087C">
      <w:pPr>
        <w:suppressAutoHyphens w:val="0"/>
        <w:spacing w:before="0" w:after="210" w:line="276" w:lineRule="auto"/>
        <w:rPr>
          <w:i/>
          <w:iCs/>
          <w:color w:val="auto"/>
        </w:rPr>
      </w:pPr>
      <w:r w:rsidRPr="00BA79A1">
        <w:rPr>
          <w:i/>
          <w:iCs/>
          <w:color w:val="auto"/>
        </w:rPr>
        <w:t>Infrastructure</w:t>
      </w:r>
    </w:p>
    <w:p w14:paraId="62556B55" w14:textId="4F31CE13" w:rsidR="00486CAB" w:rsidRPr="00BA79A1" w:rsidRDefault="00823832" w:rsidP="00F8087C">
      <w:pPr>
        <w:suppressAutoHyphens w:val="0"/>
        <w:spacing w:before="0" w:after="210" w:line="276" w:lineRule="auto"/>
        <w:rPr>
          <w:color w:val="auto"/>
        </w:rPr>
      </w:pPr>
      <w:r w:rsidRPr="00BA79A1">
        <w:rPr>
          <w:color w:val="auto"/>
        </w:rPr>
        <w:t>Niue’s infrastructure is highly vulnerable to natural disasters and ADB assesses it as inadequate</w:t>
      </w:r>
      <w:r w:rsidR="008B5D29" w:rsidRPr="00BA79A1">
        <w:rPr>
          <w:color w:val="auto"/>
        </w:rPr>
        <w:t>.</w:t>
      </w:r>
      <w:r w:rsidRPr="00BA79A1">
        <w:rPr>
          <w:rStyle w:val="EndnoteReference"/>
          <w:color w:val="auto"/>
        </w:rPr>
        <w:endnoteReference w:id="20"/>
      </w:r>
      <w:r w:rsidRPr="00BA79A1">
        <w:rPr>
          <w:color w:val="auto"/>
        </w:rPr>
        <w:t xml:space="preserve"> The </w:t>
      </w:r>
      <w:r w:rsidR="00486CAB" w:rsidRPr="00BA79A1">
        <w:rPr>
          <w:color w:val="auto"/>
        </w:rPr>
        <w:t>Niue National Strategic Plan (2016-2026) identifies infrastructure as a key development pillar and notes climate resilience as the cross-cutting consideration</w:t>
      </w:r>
      <w:r w:rsidR="000A04A2" w:rsidRPr="00BA79A1">
        <w:rPr>
          <w:color w:val="auto"/>
        </w:rPr>
        <w:t>.</w:t>
      </w:r>
      <w:r w:rsidR="00486CAB" w:rsidRPr="00BA79A1">
        <w:rPr>
          <w:rStyle w:val="EndnoteReference"/>
          <w:color w:val="auto"/>
        </w:rPr>
        <w:endnoteReference w:id="21"/>
      </w:r>
      <w:r w:rsidRPr="00BA79A1">
        <w:rPr>
          <w:color w:val="auto"/>
        </w:rPr>
        <w:t xml:space="preserve"> </w:t>
      </w:r>
    </w:p>
    <w:p w14:paraId="107808D1" w14:textId="3EA54D67" w:rsidR="00E47975" w:rsidRPr="00BA79A1" w:rsidRDefault="00A01F72" w:rsidP="00F8087C">
      <w:pPr>
        <w:suppressAutoHyphens w:val="0"/>
        <w:spacing w:before="0" w:after="210" w:line="276" w:lineRule="auto"/>
        <w:rPr>
          <w:color w:val="auto"/>
        </w:rPr>
      </w:pPr>
      <w:r w:rsidRPr="00BA79A1">
        <w:rPr>
          <w:color w:val="auto"/>
        </w:rPr>
        <w:t>The most recent census noted 98% of all households had access to public electrical grid</w:t>
      </w:r>
      <w:r w:rsidRPr="00BA79A1">
        <w:rPr>
          <w:rStyle w:val="EndnoteReference"/>
          <w:color w:val="auto"/>
        </w:rPr>
        <w:endnoteReference w:id="22"/>
      </w:r>
      <w:r w:rsidRPr="00BA79A1">
        <w:rPr>
          <w:color w:val="auto"/>
        </w:rPr>
        <w:t xml:space="preserve"> with the remaining households relying on solar energy.</w:t>
      </w:r>
      <w:r w:rsidR="00205606" w:rsidRPr="00BA79A1">
        <w:rPr>
          <w:color w:val="auto"/>
        </w:rPr>
        <w:t xml:space="preserve"> Niue</w:t>
      </w:r>
      <w:r w:rsidRPr="00BA79A1">
        <w:rPr>
          <w:color w:val="auto"/>
        </w:rPr>
        <w:t>’s grid</w:t>
      </w:r>
      <w:r w:rsidR="00205606" w:rsidRPr="00BA79A1">
        <w:rPr>
          <w:color w:val="auto"/>
        </w:rPr>
        <w:t xml:space="preserve"> is highly dependent on imported fuel for power generation </w:t>
      </w:r>
      <w:r w:rsidRPr="00BA79A1">
        <w:rPr>
          <w:color w:val="auto"/>
        </w:rPr>
        <w:t>which makes generation expensive</w:t>
      </w:r>
      <w:r w:rsidR="00205606" w:rsidRPr="00BA79A1">
        <w:rPr>
          <w:color w:val="auto"/>
        </w:rPr>
        <w:t xml:space="preserve">.  </w:t>
      </w:r>
      <w:r w:rsidR="00A7056E" w:rsidRPr="00BA79A1">
        <w:rPr>
          <w:color w:val="auto"/>
        </w:rPr>
        <w:t xml:space="preserve">New Zealand (with supplementary support from Australia) has </w:t>
      </w:r>
      <w:r w:rsidR="009226AC" w:rsidRPr="00BA79A1">
        <w:rPr>
          <w:color w:val="auto"/>
        </w:rPr>
        <w:t xml:space="preserve">supported procurement of two additional </w:t>
      </w:r>
      <w:proofErr w:type="gramStart"/>
      <w:r w:rsidR="009226AC" w:rsidRPr="00BA79A1">
        <w:rPr>
          <w:color w:val="auto"/>
        </w:rPr>
        <w:t>generators</w:t>
      </w:r>
      <w:proofErr w:type="gramEnd"/>
      <w:r w:rsidR="009226AC" w:rsidRPr="00BA79A1">
        <w:rPr>
          <w:color w:val="auto"/>
        </w:rPr>
        <w:t xml:space="preserve"> and this is expected to improve reliability of the power supply. </w:t>
      </w:r>
    </w:p>
    <w:p w14:paraId="5D7EBA5A" w14:textId="2B37465E" w:rsidR="00D630E8" w:rsidRPr="00BA79A1" w:rsidRDefault="00486CAB" w:rsidP="00F8087C">
      <w:pPr>
        <w:suppressAutoHyphens w:val="0"/>
        <w:spacing w:before="0" w:after="210" w:line="276" w:lineRule="auto"/>
        <w:rPr>
          <w:color w:val="auto"/>
        </w:rPr>
      </w:pPr>
      <w:r w:rsidRPr="00BA79A1">
        <w:rPr>
          <w:color w:val="auto"/>
        </w:rPr>
        <w:t xml:space="preserve">Niue has </w:t>
      </w:r>
      <w:r w:rsidR="00391AF9">
        <w:rPr>
          <w:color w:val="auto"/>
        </w:rPr>
        <w:t xml:space="preserve">a </w:t>
      </w:r>
      <w:r w:rsidRPr="00BA79A1">
        <w:rPr>
          <w:color w:val="auto"/>
        </w:rPr>
        <w:t>small transport footprint and limited freight</w:t>
      </w:r>
      <w:r w:rsidR="00A7056E" w:rsidRPr="00BA79A1">
        <w:rPr>
          <w:color w:val="auto"/>
        </w:rPr>
        <w:t xml:space="preserve"> links</w:t>
      </w:r>
      <w:r w:rsidR="009226AC" w:rsidRPr="00BA79A1">
        <w:rPr>
          <w:color w:val="auto"/>
        </w:rPr>
        <w:t>.</w:t>
      </w:r>
      <w:r w:rsidR="00A7056E" w:rsidRPr="00BA79A1">
        <w:rPr>
          <w:color w:val="auto"/>
        </w:rPr>
        <w:t xml:space="preserve"> </w:t>
      </w:r>
      <w:r w:rsidR="009226AC" w:rsidRPr="00BA79A1">
        <w:rPr>
          <w:color w:val="auto"/>
        </w:rPr>
        <w:t>T</w:t>
      </w:r>
      <w:r w:rsidR="00A7056E" w:rsidRPr="00BA79A1">
        <w:rPr>
          <w:color w:val="auto"/>
        </w:rPr>
        <w:t>ransport infrastructure is vulnerable to natural disasters</w:t>
      </w:r>
      <w:r w:rsidRPr="00BA79A1">
        <w:rPr>
          <w:color w:val="auto"/>
        </w:rPr>
        <w:t xml:space="preserve">. </w:t>
      </w:r>
      <w:r w:rsidR="00D630E8" w:rsidRPr="00BA79A1">
        <w:rPr>
          <w:color w:val="auto"/>
        </w:rPr>
        <w:t xml:space="preserve">There </w:t>
      </w:r>
      <w:r w:rsidR="00391AF9">
        <w:rPr>
          <w:color w:val="auto"/>
        </w:rPr>
        <w:t>are</w:t>
      </w:r>
      <w:r w:rsidR="00391AF9" w:rsidRPr="00BA79A1">
        <w:rPr>
          <w:color w:val="auto"/>
        </w:rPr>
        <w:t xml:space="preserve"> </w:t>
      </w:r>
      <w:r w:rsidR="00D630E8" w:rsidRPr="00BA79A1">
        <w:rPr>
          <w:color w:val="auto"/>
        </w:rPr>
        <w:t>around 120kms of road network, the majority of which is paved</w:t>
      </w:r>
      <w:r w:rsidR="00B971D4" w:rsidRPr="00BA79A1">
        <w:rPr>
          <w:color w:val="auto"/>
        </w:rPr>
        <w:t xml:space="preserve">. </w:t>
      </w:r>
      <w:r w:rsidR="006929DF" w:rsidRPr="00BA79A1">
        <w:rPr>
          <w:color w:val="auto"/>
        </w:rPr>
        <w:t xml:space="preserve">Selected </w:t>
      </w:r>
      <w:r w:rsidR="000A2F08" w:rsidRPr="00BA79A1">
        <w:rPr>
          <w:color w:val="auto"/>
        </w:rPr>
        <w:t>part</w:t>
      </w:r>
      <w:r w:rsidR="006929DF" w:rsidRPr="00BA79A1">
        <w:rPr>
          <w:color w:val="auto"/>
        </w:rPr>
        <w:t>s</w:t>
      </w:r>
      <w:r w:rsidR="000A2F08" w:rsidRPr="00BA79A1">
        <w:rPr>
          <w:color w:val="auto"/>
        </w:rPr>
        <w:t xml:space="preserve"> of </w:t>
      </w:r>
      <w:r w:rsidR="002826BA" w:rsidRPr="00BA79A1">
        <w:rPr>
          <w:color w:val="auto"/>
        </w:rPr>
        <w:t xml:space="preserve">the road network </w:t>
      </w:r>
      <w:r w:rsidR="00885CE3">
        <w:rPr>
          <w:color w:val="auto"/>
        </w:rPr>
        <w:t>are</w:t>
      </w:r>
      <w:r w:rsidR="002826BA" w:rsidRPr="00BA79A1">
        <w:rPr>
          <w:color w:val="auto"/>
        </w:rPr>
        <w:t xml:space="preserve"> </w:t>
      </w:r>
      <w:r w:rsidR="00846577" w:rsidRPr="00BA79A1">
        <w:rPr>
          <w:color w:val="auto"/>
        </w:rPr>
        <w:t xml:space="preserve">scheduled for repaving </w:t>
      </w:r>
      <w:r w:rsidR="00CA0DE1" w:rsidRPr="00BA79A1">
        <w:rPr>
          <w:color w:val="auto"/>
        </w:rPr>
        <w:t xml:space="preserve">under the Belt and Road Initiative </w:t>
      </w:r>
      <w:r w:rsidR="00083280">
        <w:rPr>
          <w:color w:val="auto"/>
        </w:rPr>
        <w:t xml:space="preserve">under China (which Niue signed in </w:t>
      </w:r>
      <w:r w:rsidR="00CE1F19">
        <w:rPr>
          <w:color w:val="auto"/>
        </w:rPr>
        <w:t xml:space="preserve">2018) </w:t>
      </w:r>
      <w:r w:rsidR="00846577" w:rsidRPr="00BA79A1">
        <w:rPr>
          <w:color w:val="auto"/>
        </w:rPr>
        <w:t>when borders re-open.</w:t>
      </w:r>
      <w:r w:rsidR="00A7056E" w:rsidRPr="00BA79A1">
        <w:rPr>
          <w:color w:val="auto"/>
        </w:rPr>
        <w:t xml:space="preserve"> Niue’s only wha</w:t>
      </w:r>
      <w:r w:rsidR="009226AC" w:rsidRPr="00BA79A1">
        <w:rPr>
          <w:color w:val="auto"/>
        </w:rPr>
        <w:t>r</w:t>
      </w:r>
      <w:r w:rsidR="00A7056E" w:rsidRPr="00BA79A1">
        <w:rPr>
          <w:color w:val="auto"/>
        </w:rPr>
        <w:t xml:space="preserve">f was damaged by cyclone Tino in 2020, and this disrupted fishing and business activity. In 2020, ADB completed a pre-feasibility study to address operational and safety issues.  New Zealand recently provided funds to upgrade the airport including resurfacing of the runway and </w:t>
      </w:r>
      <w:r w:rsidR="00ED78EC">
        <w:rPr>
          <w:color w:val="auto"/>
        </w:rPr>
        <w:t xml:space="preserve">to </w:t>
      </w:r>
      <w:r w:rsidR="00A7056E" w:rsidRPr="00BA79A1">
        <w:rPr>
          <w:color w:val="auto"/>
        </w:rPr>
        <w:t>strengthen the wharf (with some funding from Australia</w:t>
      </w:r>
      <w:r w:rsidR="009226AC" w:rsidRPr="00BA79A1">
        <w:rPr>
          <w:color w:val="auto"/>
        </w:rPr>
        <w:t>).</w:t>
      </w:r>
      <w:r w:rsidR="00A7056E" w:rsidRPr="00BA79A1">
        <w:rPr>
          <w:color w:val="auto"/>
        </w:rPr>
        <w:t xml:space="preserve"> </w:t>
      </w:r>
      <w:r w:rsidR="000025C0" w:rsidRPr="00BA79A1">
        <w:rPr>
          <w:color w:val="auto"/>
        </w:rPr>
        <w:t xml:space="preserve">Like all Pacific countries, Niue is </w:t>
      </w:r>
      <w:r w:rsidR="00537F9B" w:rsidRPr="00BA79A1">
        <w:rPr>
          <w:color w:val="auto"/>
        </w:rPr>
        <w:t xml:space="preserve">highly dependent on imports and is </w:t>
      </w:r>
      <w:r w:rsidR="000025C0" w:rsidRPr="00BA79A1">
        <w:rPr>
          <w:color w:val="auto"/>
        </w:rPr>
        <w:t xml:space="preserve">subject to the variabilities of sea transport </w:t>
      </w:r>
      <w:r w:rsidR="001819DB" w:rsidRPr="00BA79A1">
        <w:rPr>
          <w:color w:val="auto"/>
        </w:rPr>
        <w:t>and weather delays.</w:t>
      </w:r>
      <w:r w:rsidR="000025C0" w:rsidRPr="00BA79A1">
        <w:rPr>
          <w:color w:val="auto"/>
        </w:rPr>
        <w:t xml:space="preserve"> </w:t>
      </w:r>
    </w:p>
    <w:p w14:paraId="33AD32E7" w14:textId="0D4731D8" w:rsidR="00A7056E" w:rsidRPr="00BA79A1" w:rsidRDefault="00A7056E" w:rsidP="00F8087C">
      <w:pPr>
        <w:suppressAutoHyphens w:val="0"/>
        <w:spacing w:before="0" w:after="210" w:line="276" w:lineRule="auto"/>
        <w:rPr>
          <w:color w:val="auto"/>
        </w:rPr>
      </w:pPr>
      <w:r w:rsidRPr="00BA79A1">
        <w:rPr>
          <w:color w:val="auto"/>
        </w:rPr>
        <w:t xml:space="preserve">Almost the entire population </w:t>
      </w:r>
      <w:r w:rsidR="00A01F72" w:rsidRPr="00BA79A1">
        <w:rPr>
          <w:color w:val="auto"/>
        </w:rPr>
        <w:t xml:space="preserve">has access to the public piped water </w:t>
      </w:r>
      <w:r w:rsidR="00A01F72" w:rsidRPr="00C349DE">
        <w:rPr>
          <w:color w:val="auto"/>
        </w:rPr>
        <w:t>supply</w:t>
      </w:r>
      <w:r w:rsidR="00A01F72" w:rsidRPr="00C349DE">
        <w:rPr>
          <w:rStyle w:val="EndnoteReference"/>
          <w:color w:val="auto"/>
        </w:rPr>
        <w:endnoteReference w:id="23"/>
      </w:r>
      <w:r w:rsidR="00A01F72" w:rsidRPr="00C349DE">
        <w:rPr>
          <w:color w:val="auto"/>
        </w:rPr>
        <w:t xml:space="preserve">, </w:t>
      </w:r>
      <w:r w:rsidRPr="001959A9">
        <w:rPr>
          <w:color w:val="auto"/>
        </w:rPr>
        <w:t xml:space="preserve">however, </w:t>
      </w:r>
      <w:r w:rsidR="00584DAB" w:rsidRPr="001959A9">
        <w:rPr>
          <w:color w:val="auto"/>
        </w:rPr>
        <w:t xml:space="preserve">due to aging infrastructure most communities have been required to boil their water since </w:t>
      </w:r>
      <w:r w:rsidR="00F27ADB" w:rsidRPr="001959A9">
        <w:rPr>
          <w:color w:val="auto"/>
        </w:rPr>
        <w:t>January 2022</w:t>
      </w:r>
      <w:r w:rsidR="00F27ADB" w:rsidRPr="00C349DE">
        <w:rPr>
          <w:rStyle w:val="EndnoteReference"/>
          <w:color w:val="auto"/>
        </w:rPr>
        <w:endnoteReference w:id="24"/>
      </w:r>
      <w:r w:rsidR="00F27ADB" w:rsidRPr="00C349DE">
        <w:rPr>
          <w:color w:val="auto"/>
        </w:rPr>
        <w:t>,</w:t>
      </w:r>
      <w:r w:rsidR="00584DAB">
        <w:rPr>
          <w:color w:val="auto"/>
        </w:rPr>
        <w:t xml:space="preserve"> </w:t>
      </w:r>
      <w:r w:rsidRPr="00BA79A1">
        <w:rPr>
          <w:color w:val="auto"/>
        </w:rPr>
        <w:t xml:space="preserve">sanitation services and waste-water treatment could be improved in some areas. </w:t>
      </w:r>
      <w:r w:rsidR="00FA5388" w:rsidRPr="00BA79A1">
        <w:rPr>
          <w:color w:val="auto"/>
        </w:rPr>
        <w:t xml:space="preserve">Infrastructure </w:t>
      </w:r>
      <w:proofErr w:type="gramStart"/>
      <w:r w:rsidR="00FA5388" w:rsidRPr="00BA79A1">
        <w:rPr>
          <w:color w:val="auto"/>
        </w:rPr>
        <w:t>such a septic tanks</w:t>
      </w:r>
      <w:proofErr w:type="gramEnd"/>
      <w:r w:rsidR="00FA5388" w:rsidRPr="00BA79A1">
        <w:rPr>
          <w:color w:val="auto"/>
        </w:rPr>
        <w:t xml:space="preserve"> require repair or replacement. </w:t>
      </w:r>
      <w:r w:rsidR="00EA37D1" w:rsidRPr="00BA79A1">
        <w:rPr>
          <w:color w:val="auto"/>
        </w:rPr>
        <w:t xml:space="preserve">Australia has funded a solid waste management project which has improved </w:t>
      </w:r>
      <w:r w:rsidR="004A0BE9" w:rsidRPr="00BA79A1">
        <w:rPr>
          <w:color w:val="auto"/>
        </w:rPr>
        <w:t xml:space="preserve">waste </w:t>
      </w:r>
      <w:r w:rsidR="00EA37D1" w:rsidRPr="00BA79A1">
        <w:rPr>
          <w:color w:val="auto"/>
        </w:rPr>
        <w:t>collection and commenced limited recycling services.</w:t>
      </w:r>
      <w:r w:rsidRPr="00BA79A1">
        <w:rPr>
          <w:color w:val="auto"/>
        </w:rPr>
        <w:t xml:space="preserve"> </w:t>
      </w:r>
      <w:r w:rsidR="009226AC" w:rsidRPr="00BA79A1">
        <w:rPr>
          <w:color w:val="auto"/>
        </w:rPr>
        <w:t>New Zealand does not provide funding support in the water or waste sectors.</w:t>
      </w:r>
    </w:p>
    <w:p w14:paraId="0A3BC23E" w14:textId="0A680251" w:rsidR="0064014E" w:rsidRPr="00BA79A1" w:rsidRDefault="0064014E" w:rsidP="00F8087C">
      <w:pPr>
        <w:suppressAutoHyphens w:val="0"/>
        <w:spacing w:before="0" w:after="210" w:line="276" w:lineRule="auto"/>
        <w:rPr>
          <w:i/>
          <w:iCs/>
          <w:color w:val="auto"/>
        </w:rPr>
      </w:pPr>
      <w:r w:rsidRPr="00BA79A1">
        <w:rPr>
          <w:i/>
          <w:iCs/>
          <w:color w:val="auto"/>
        </w:rPr>
        <w:t>Australia’s Aid Program</w:t>
      </w:r>
    </w:p>
    <w:p w14:paraId="286CE5E2" w14:textId="73C7DEF7" w:rsidR="0064014E" w:rsidRPr="00BA79A1" w:rsidRDefault="0064014E" w:rsidP="0064014E">
      <w:pPr>
        <w:suppressAutoHyphens w:val="0"/>
        <w:spacing w:before="0" w:after="210" w:line="276" w:lineRule="auto"/>
        <w:rPr>
          <w:color w:val="auto"/>
        </w:rPr>
      </w:pPr>
      <w:r w:rsidRPr="00BA79A1">
        <w:rPr>
          <w:color w:val="auto"/>
        </w:rPr>
        <w:t xml:space="preserve">Niue and Australia share a close partnership and Australia delivers assistance to Niue to promote prosperity, reduce poverty and enhance stability. While modest, the aid program is a key element of this partnership. </w:t>
      </w:r>
      <w:bookmarkStart w:id="1" w:name="_Hlk72228326"/>
      <w:r w:rsidRPr="00BA79A1">
        <w:rPr>
          <w:color w:val="auto"/>
        </w:rPr>
        <w:t xml:space="preserve">Australia supports Niue’s goal of developing a stable, broad-based economy, but recognises the challenges faced by small island states. </w:t>
      </w:r>
    </w:p>
    <w:bookmarkEnd w:id="1"/>
    <w:p w14:paraId="22E3EB12" w14:textId="3ED43120" w:rsidR="00F8087C" w:rsidRPr="00BA79A1" w:rsidRDefault="00065D05" w:rsidP="00F8087C">
      <w:pPr>
        <w:suppressAutoHyphens w:val="0"/>
        <w:spacing w:before="0" w:after="210" w:line="276" w:lineRule="auto"/>
        <w:rPr>
          <w:color w:val="auto"/>
        </w:rPr>
      </w:pPr>
      <w:r w:rsidRPr="00BA79A1">
        <w:rPr>
          <w:color w:val="auto"/>
        </w:rPr>
        <w:t xml:space="preserve">To date </w:t>
      </w:r>
      <w:r w:rsidR="00F8087C" w:rsidRPr="00BA79A1">
        <w:rPr>
          <w:color w:val="auto"/>
        </w:rPr>
        <w:t xml:space="preserve">Australia's bilateral aid program to Niue </w:t>
      </w:r>
      <w:r w:rsidR="005B552E" w:rsidRPr="00BA79A1">
        <w:rPr>
          <w:color w:val="auto"/>
        </w:rPr>
        <w:t>has been</w:t>
      </w:r>
      <w:r w:rsidR="00F8087C" w:rsidRPr="00BA79A1">
        <w:rPr>
          <w:color w:val="auto"/>
        </w:rPr>
        <w:t xml:space="preserve"> delivered by the New Zealand Ministry of Foreign Affairs and Trade (MFAT) through a Delegated Cooperation Arrangement (DCA). The DCA </w:t>
      </w:r>
      <w:r w:rsidR="006929DF" w:rsidRPr="00BA79A1">
        <w:rPr>
          <w:color w:val="auto"/>
        </w:rPr>
        <w:t xml:space="preserve">reflected </w:t>
      </w:r>
      <w:r w:rsidR="00F8087C" w:rsidRPr="00BA79A1">
        <w:rPr>
          <w:color w:val="auto"/>
        </w:rPr>
        <w:t>both country’s history and constitutional linkages</w:t>
      </w:r>
      <w:r w:rsidR="006929DF" w:rsidRPr="00BA79A1">
        <w:rPr>
          <w:color w:val="auto"/>
        </w:rPr>
        <w:t xml:space="preserve"> and that New Zealand was the only </w:t>
      </w:r>
      <w:r w:rsidR="006929DF" w:rsidRPr="00BA79A1">
        <w:rPr>
          <w:color w:val="auto"/>
        </w:rPr>
        <w:lastRenderedPageBreak/>
        <w:t xml:space="preserve">diplomatic presence in country until 2020. </w:t>
      </w:r>
      <w:r w:rsidR="00F8087C" w:rsidRPr="00BA79A1">
        <w:rPr>
          <w:color w:val="auto"/>
        </w:rPr>
        <w:t>The DCA commenced on 12 June 2014 and will expire on 3</w:t>
      </w:r>
      <w:r w:rsidR="00EC6D59" w:rsidRPr="00BA79A1">
        <w:rPr>
          <w:color w:val="auto"/>
        </w:rPr>
        <w:t>1 December</w:t>
      </w:r>
      <w:r w:rsidR="00F8087C" w:rsidRPr="00BA79A1">
        <w:rPr>
          <w:color w:val="auto"/>
        </w:rPr>
        <w:t xml:space="preserve"> 2022. The DCA was initially scheduled to run until 2016-17 with an annual budget of </w:t>
      </w:r>
      <w:r w:rsidR="003616AF" w:rsidRPr="00BA79A1">
        <w:rPr>
          <w:color w:val="auto"/>
        </w:rPr>
        <w:t>AU</w:t>
      </w:r>
      <w:r w:rsidR="00F8087C" w:rsidRPr="00BA79A1">
        <w:rPr>
          <w:color w:val="auto"/>
        </w:rPr>
        <w:t>$1.4</w:t>
      </w:r>
      <w:r w:rsidR="00B9488C" w:rsidRPr="00BA79A1">
        <w:rPr>
          <w:color w:val="auto"/>
        </w:rPr>
        <w:t xml:space="preserve"> million</w:t>
      </w:r>
      <w:r w:rsidR="00F8087C" w:rsidRPr="00BA79A1">
        <w:rPr>
          <w:color w:val="auto"/>
        </w:rPr>
        <w:t xml:space="preserve"> and a focus on education and waste management. In 2017, the DCA was extended until 2018. In November 2019, the DCA was further extended to 2021 and its scope was expanded to include support to economic growth and governance. In response to Niue’s COVID-19 priorities, the DCA’s scope was further expanded in 2020 to include support to economic resilience, public health, and social cohesion.</w:t>
      </w:r>
    </w:p>
    <w:p w14:paraId="5750DEF4" w14:textId="77DF9ACA" w:rsidR="00FA5388" w:rsidRPr="00BA79A1" w:rsidRDefault="00E926EE" w:rsidP="00F8087C">
      <w:pPr>
        <w:suppressAutoHyphens w:val="0"/>
        <w:spacing w:before="0" w:after="210" w:line="276" w:lineRule="auto"/>
        <w:rPr>
          <w:color w:val="auto"/>
        </w:rPr>
      </w:pPr>
      <w:r w:rsidRPr="00BA79A1">
        <w:rPr>
          <w:color w:val="auto"/>
        </w:rPr>
        <w:t>B</w:t>
      </w:r>
      <w:r w:rsidR="00F8087C" w:rsidRPr="00BA79A1">
        <w:rPr>
          <w:color w:val="auto"/>
        </w:rPr>
        <w:t>ilateral assistance has remained stable at $1.4</w:t>
      </w:r>
      <w:r w:rsidR="00B9488C" w:rsidRPr="00BA79A1">
        <w:rPr>
          <w:color w:val="auto"/>
        </w:rPr>
        <w:t xml:space="preserve"> million</w:t>
      </w:r>
      <w:r w:rsidR="00F8087C" w:rsidRPr="00BA79A1">
        <w:rPr>
          <w:color w:val="auto"/>
        </w:rPr>
        <w:t xml:space="preserve"> per annum, totalling </w:t>
      </w:r>
      <w:r w:rsidR="00B9488C" w:rsidRPr="00BA79A1">
        <w:rPr>
          <w:color w:val="auto"/>
        </w:rPr>
        <w:t>$</w:t>
      </w:r>
      <w:r w:rsidR="00F8087C" w:rsidRPr="00BA79A1">
        <w:rPr>
          <w:color w:val="auto"/>
        </w:rPr>
        <w:t>11.2</w:t>
      </w:r>
      <w:r w:rsidR="00B9488C" w:rsidRPr="00BA79A1">
        <w:rPr>
          <w:color w:val="auto"/>
        </w:rPr>
        <w:t xml:space="preserve"> million</w:t>
      </w:r>
      <w:r w:rsidR="00F8087C" w:rsidRPr="00BA79A1">
        <w:rPr>
          <w:color w:val="auto"/>
        </w:rPr>
        <w:t xml:space="preserve"> over the duration of the DCA. Of the $1.4</w:t>
      </w:r>
      <w:r w:rsidR="00B9488C" w:rsidRPr="00BA79A1">
        <w:rPr>
          <w:color w:val="auto"/>
        </w:rPr>
        <w:t xml:space="preserve"> million</w:t>
      </w:r>
      <w:r w:rsidR="00F8087C" w:rsidRPr="00BA79A1">
        <w:rPr>
          <w:color w:val="auto"/>
        </w:rPr>
        <w:t>, $1.2</w:t>
      </w:r>
      <w:r w:rsidR="00B9488C" w:rsidRPr="00BA79A1">
        <w:rPr>
          <w:color w:val="auto"/>
        </w:rPr>
        <w:t xml:space="preserve"> million</w:t>
      </w:r>
      <w:r w:rsidR="00F8087C" w:rsidRPr="00BA79A1">
        <w:rPr>
          <w:color w:val="auto"/>
        </w:rPr>
        <w:t xml:space="preserve"> is made available for priority sectors, while $200,000 is provided for Australia Awards Pacific Scholarships (AAPS). Australian regional programs, such as Pacific Women, have also delivered projects in Niue.  </w:t>
      </w:r>
      <w:r w:rsidR="007166BE" w:rsidRPr="00BA79A1">
        <w:rPr>
          <w:color w:val="auto"/>
        </w:rPr>
        <w:t>Recent</w:t>
      </w:r>
      <w:r w:rsidR="00C349DE">
        <w:rPr>
          <w:color w:val="auto"/>
        </w:rPr>
        <w:t xml:space="preserve"> Australian</w:t>
      </w:r>
      <w:r w:rsidR="007166BE" w:rsidRPr="00BA79A1">
        <w:rPr>
          <w:color w:val="auto"/>
        </w:rPr>
        <w:t xml:space="preserve"> projects have included budget support ($2.5m), electricity generation ($2m), wharf repairs</w:t>
      </w:r>
      <w:r w:rsidR="00ED13D8">
        <w:rPr>
          <w:color w:val="auto"/>
        </w:rPr>
        <w:t xml:space="preserve"> from Cyclone Tino in January 2020</w:t>
      </w:r>
      <w:r w:rsidR="007166BE" w:rsidRPr="00BA79A1">
        <w:rPr>
          <w:color w:val="auto"/>
        </w:rPr>
        <w:t xml:space="preserve">, and </w:t>
      </w:r>
      <w:proofErr w:type="spellStart"/>
      <w:r w:rsidR="007166BE" w:rsidRPr="00BA79A1">
        <w:rPr>
          <w:color w:val="auto"/>
        </w:rPr>
        <w:t>Fale</w:t>
      </w:r>
      <w:proofErr w:type="spellEnd"/>
      <w:r w:rsidR="007166BE" w:rsidRPr="00BA79A1">
        <w:rPr>
          <w:color w:val="auto"/>
        </w:rPr>
        <w:t xml:space="preserve"> </w:t>
      </w:r>
      <w:proofErr w:type="spellStart"/>
      <w:r w:rsidR="007166BE" w:rsidRPr="00BA79A1">
        <w:rPr>
          <w:color w:val="auto"/>
        </w:rPr>
        <w:t>Fono</w:t>
      </w:r>
      <w:proofErr w:type="spellEnd"/>
      <w:r w:rsidR="007166BE" w:rsidRPr="00BA79A1">
        <w:rPr>
          <w:color w:val="auto"/>
        </w:rPr>
        <w:t xml:space="preserve"> </w:t>
      </w:r>
      <w:r w:rsidR="00A7384A">
        <w:rPr>
          <w:color w:val="auto"/>
        </w:rPr>
        <w:t>2</w:t>
      </w:r>
      <w:r w:rsidR="00B6545B">
        <w:rPr>
          <w:color w:val="auto"/>
        </w:rPr>
        <w:t xml:space="preserve"> </w:t>
      </w:r>
      <w:r w:rsidR="007166BE" w:rsidRPr="00BA79A1">
        <w:rPr>
          <w:color w:val="auto"/>
        </w:rPr>
        <w:t>(</w:t>
      </w:r>
      <w:r w:rsidR="009F4B9F">
        <w:rPr>
          <w:color w:val="auto"/>
        </w:rPr>
        <w:t xml:space="preserve">new </w:t>
      </w:r>
      <w:r w:rsidR="007166BE" w:rsidRPr="00BA79A1">
        <w:rPr>
          <w:color w:val="auto"/>
        </w:rPr>
        <w:t>Parliament</w:t>
      </w:r>
      <w:r w:rsidR="009F4B9F">
        <w:rPr>
          <w:color w:val="auto"/>
        </w:rPr>
        <w:t xml:space="preserve"> House</w:t>
      </w:r>
      <w:r w:rsidR="007166BE" w:rsidRPr="00BA79A1">
        <w:rPr>
          <w:color w:val="auto"/>
        </w:rPr>
        <w:t xml:space="preserve">) </w:t>
      </w:r>
      <w:r w:rsidR="004F55A2">
        <w:rPr>
          <w:color w:val="auto"/>
        </w:rPr>
        <w:t xml:space="preserve">exterior works and </w:t>
      </w:r>
      <w:r w:rsidR="007166BE" w:rsidRPr="00BA79A1">
        <w:rPr>
          <w:color w:val="auto"/>
        </w:rPr>
        <w:t xml:space="preserve">fitout ($0.4m). </w:t>
      </w:r>
    </w:p>
    <w:p w14:paraId="15B4F120" w14:textId="19D7A655" w:rsidR="00FA5388" w:rsidRPr="00BA79A1" w:rsidRDefault="00FA5388" w:rsidP="00F8087C">
      <w:pPr>
        <w:suppressAutoHyphens w:val="0"/>
        <w:spacing w:before="0" w:after="210" w:line="276" w:lineRule="auto"/>
        <w:rPr>
          <w:color w:val="auto"/>
        </w:rPr>
      </w:pPr>
      <w:r w:rsidRPr="00BA79A1">
        <w:rPr>
          <w:color w:val="auto"/>
        </w:rPr>
        <w:t>Development support</w:t>
      </w:r>
      <w:r w:rsidR="00821E41" w:rsidRPr="00BA79A1">
        <w:rPr>
          <w:color w:val="auto"/>
        </w:rPr>
        <w:t xml:space="preserve"> from Australia</w:t>
      </w:r>
      <w:r w:rsidRPr="00BA79A1">
        <w:rPr>
          <w:color w:val="auto"/>
        </w:rPr>
        <w:t xml:space="preserve"> </w:t>
      </w:r>
      <w:r w:rsidR="00B373E5" w:rsidRPr="00BA79A1">
        <w:rPr>
          <w:color w:val="auto"/>
        </w:rPr>
        <w:t xml:space="preserve">has </w:t>
      </w:r>
      <w:r w:rsidR="00821E41" w:rsidRPr="00BA79A1">
        <w:rPr>
          <w:color w:val="auto"/>
        </w:rPr>
        <w:t xml:space="preserve">also </w:t>
      </w:r>
      <w:r w:rsidR="00B373E5" w:rsidRPr="00BA79A1">
        <w:rPr>
          <w:color w:val="auto"/>
        </w:rPr>
        <w:t>been</w:t>
      </w:r>
      <w:r w:rsidRPr="00BA79A1">
        <w:rPr>
          <w:color w:val="auto"/>
        </w:rPr>
        <w:t xml:space="preserve"> provided through a range of regional and global programs. In education, Australia provides significant support to the USP and</w:t>
      </w:r>
      <w:r w:rsidR="00B373E5" w:rsidRPr="00BA79A1">
        <w:rPr>
          <w:color w:val="auto"/>
        </w:rPr>
        <w:t xml:space="preserve"> the </w:t>
      </w:r>
      <w:r w:rsidR="007076FB" w:rsidRPr="00BA79A1">
        <w:rPr>
          <w:color w:val="auto"/>
        </w:rPr>
        <w:t>Education Quality and Assessment Program (EQAP) of the Pacific Community</w:t>
      </w:r>
      <w:r w:rsidRPr="00BA79A1">
        <w:rPr>
          <w:color w:val="auto"/>
        </w:rPr>
        <w:t>. Our funding to multilateral partners, such as WHO and UNICEF helped support</w:t>
      </w:r>
      <w:r w:rsidR="00821E41" w:rsidRPr="00BA79A1">
        <w:rPr>
          <w:color w:val="auto"/>
        </w:rPr>
        <w:t xml:space="preserve"> the health sector and COVID-19 response. Technical assistance has been provided across agriculture (Pacific Regional Market Access – PHAMA), public governance and finance (</w:t>
      </w:r>
      <w:hyperlink r:id="rId8" w:history="1">
        <w:r w:rsidR="00821E41" w:rsidRPr="00BA79A1">
          <w:rPr>
            <w:color w:val="auto"/>
          </w:rPr>
          <w:t>Pacific Financial Technical Assistance Centre</w:t>
        </w:r>
      </w:hyperlink>
      <w:r w:rsidR="00821E41" w:rsidRPr="00BA79A1">
        <w:rPr>
          <w:color w:val="auto"/>
        </w:rPr>
        <w:t xml:space="preserve"> – PFTAC)</w:t>
      </w:r>
      <w:r w:rsidR="00540A80" w:rsidRPr="00BA79A1">
        <w:rPr>
          <w:color w:val="auto"/>
        </w:rPr>
        <w:t xml:space="preserve"> </w:t>
      </w:r>
      <w:r w:rsidR="00821E41" w:rsidRPr="00BA79A1">
        <w:rPr>
          <w:color w:val="auto"/>
        </w:rPr>
        <w:t>and gender equality (Pacific Women Shaping Pacific Development)</w:t>
      </w:r>
      <w:r w:rsidR="00540A80" w:rsidRPr="00BA79A1">
        <w:rPr>
          <w:color w:val="auto"/>
        </w:rPr>
        <w:t>.</w:t>
      </w:r>
    </w:p>
    <w:p w14:paraId="0C191F80" w14:textId="5F91D0AD" w:rsidR="002806DA" w:rsidRPr="00BA79A1" w:rsidRDefault="002806DA" w:rsidP="00F8087C">
      <w:pPr>
        <w:suppressAutoHyphens w:val="0"/>
        <w:spacing w:before="0" w:after="210" w:line="276" w:lineRule="auto"/>
        <w:rPr>
          <w:i/>
          <w:iCs/>
          <w:color w:val="auto"/>
        </w:rPr>
      </w:pPr>
      <w:r w:rsidRPr="00BA79A1">
        <w:rPr>
          <w:i/>
          <w:iCs/>
          <w:color w:val="auto"/>
        </w:rPr>
        <w:t>Development partner landscape</w:t>
      </w:r>
    </w:p>
    <w:p w14:paraId="77FF56E9" w14:textId="3D73D752" w:rsidR="002806DA" w:rsidRPr="00BA79A1" w:rsidRDefault="002806DA" w:rsidP="00F8087C">
      <w:pPr>
        <w:suppressAutoHyphens w:val="0"/>
        <w:spacing w:before="0" w:after="210" w:line="276" w:lineRule="auto"/>
        <w:rPr>
          <w:color w:val="auto"/>
        </w:rPr>
      </w:pPr>
      <w:r w:rsidRPr="00BA79A1">
        <w:rPr>
          <w:color w:val="auto"/>
        </w:rPr>
        <w:t>New Zealand is the lead donor in Niue both in terms of size and scope of support. Based on the latest data from OECD DAC</w:t>
      </w:r>
      <w:r w:rsidRPr="00BA79A1">
        <w:rPr>
          <w:rStyle w:val="EndnoteReference"/>
          <w:color w:val="auto"/>
        </w:rPr>
        <w:endnoteReference w:id="25"/>
      </w:r>
      <w:r w:rsidRPr="00BA79A1">
        <w:rPr>
          <w:color w:val="auto"/>
        </w:rPr>
        <w:t xml:space="preserve">, New Zealand provided 84% of total ODA in 2018-19, followed by Australia 7.7%, Japan </w:t>
      </w:r>
      <w:proofErr w:type="gramStart"/>
      <w:r w:rsidRPr="00BA79A1">
        <w:rPr>
          <w:color w:val="auto"/>
        </w:rPr>
        <w:t>3.2%</w:t>
      </w:r>
      <w:proofErr w:type="gramEnd"/>
      <w:r w:rsidR="00BE6E35" w:rsidRPr="00BA79A1">
        <w:rPr>
          <w:color w:val="auto"/>
        </w:rPr>
        <w:t xml:space="preserve"> and</w:t>
      </w:r>
      <w:r w:rsidRPr="00BA79A1">
        <w:rPr>
          <w:color w:val="auto"/>
        </w:rPr>
        <w:t xml:space="preserve"> Global Environment Facility</w:t>
      </w:r>
      <w:r w:rsidR="00BE6E35" w:rsidRPr="00BA79A1">
        <w:rPr>
          <w:color w:val="auto"/>
        </w:rPr>
        <w:t xml:space="preserve"> (GEF) 2.4%, with the balance provided by</w:t>
      </w:r>
      <w:r w:rsidR="00FC6043">
        <w:rPr>
          <w:color w:val="auto"/>
        </w:rPr>
        <w:t xml:space="preserve"> the</w:t>
      </w:r>
      <w:r w:rsidR="00BE6E35" w:rsidRPr="00BA79A1">
        <w:rPr>
          <w:color w:val="auto"/>
        </w:rPr>
        <w:t xml:space="preserve"> EU, Green Climate Fund, Food and Agricultural Organisation, UNDP, WHO and Government of Korea. New Zealand and Australia are the only partners with a local presence. China also provides development assistance. Niue joined the ADB in 2019 and </w:t>
      </w:r>
      <w:r w:rsidR="0090266F">
        <w:rPr>
          <w:color w:val="auto"/>
        </w:rPr>
        <w:t>is</w:t>
      </w:r>
      <w:r w:rsidR="00BE6E35" w:rsidRPr="00BA79A1">
        <w:rPr>
          <w:color w:val="auto"/>
        </w:rPr>
        <w:t xml:space="preserve"> eligible for a blend of concessional and regular ordinary capital resources loan and limited access to </w:t>
      </w:r>
      <w:r w:rsidR="0093662B">
        <w:rPr>
          <w:color w:val="auto"/>
        </w:rPr>
        <w:t xml:space="preserve">13 </w:t>
      </w:r>
      <w:r w:rsidR="00BE6E35" w:rsidRPr="00BA79A1">
        <w:rPr>
          <w:color w:val="auto"/>
        </w:rPr>
        <w:t>A</w:t>
      </w:r>
      <w:r w:rsidR="0093662B">
        <w:rPr>
          <w:color w:val="auto"/>
        </w:rPr>
        <w:t xml:space="preserve">sian Development Fund </w:t>
      </w:r>
      <w:r w:rsidR="00BE6E35" w:rsidRPr="00BA79A1">
        <w:rPr>
          <w:color w:val="auto"/>
        </w:rPr>
        <w:t xml:space="preserve">grants.  </w:t>
      </w:r>
    </w:p>
    <w:p w14:paraId="5B082CC2" w14:textId="17B0ECD7" w:rsidR="00A32858" w:rsidRPr="00BA79A1" w:rsidRDefault="00A32858" w:rsidP="00A32858">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auto"/>
          <w:szCs w:val="21"/>
        </w:rPr>
      </w:pPr>
      <w:r w:rsidRPr="00BA79A1">
        <w:rPr>
          <w:rFonts w:asciiTheme="majorHAnsi" w:hAnsiTheme="majorHAnsi"/>
          <w:b/>
          <w:color w:val="auto"/>
          <w:szCs w:val="21"/>
        </w:rPr>
        <w:t>Strategic Intent and Rationale</w:t>
      </w:r>
    </w:p>
    <w:p w14:paraId="24793116" w14:textId="77777777" w:rsidR="008D62AB" w:rsidRPr="00BA79A1" w:rsidRDefault="0090629E" w:rsidP="0090629E">
      <w:pPr>
        <w:suppressAutoHyphens w:val="0"/>
        <w:spacing w:before="0" w:after="210" w:line="276" w:lineRule="auto"/>
        <w:rPr>
          <w:color w:val="auto"/>
        </w:rPr>
      </w:pPr>
      <w:bookmarkStart w:id="2" w:name="_Hlk97282052"/>
      <w:r w:rsidRPr="00BA79A1">
        <w:rPr>
          <w:color w:val="auto"/>
        </w:rPr>
        <w:t xml:space="preserve">Through the 2017 Foreign Policy White Paper (including the Pacific Step-up) and the COVID-19 Partnerships for Recovery strategy, Australia has committed to intensified engagement in the Pacific in support of a more prosperous and resilient region. Australia appointed the first resident Australian High Commissioner to Niue in August 2020, a significant milestone in the relationship and an affirmation of Australia’s commitment to stepping up engagement with Pacific partners. </w:t>
      </w:r>
    </w:p>
    <w:p w14:paraId="2C136CA3" w14:textId="1A6DDA60" w:rsidR="000E5AEC" w:rsidRPr="00BA79A1" w:rsidRDefault="008D62AB" w:rsidP="00687F56">
      <w:pPr>
        <w:suppressAutoHyphens w:val="0"/>
        <w:spacing w:before="0" w:after="210" w:line="276" w:lineRule="auto"/>
        <w:rPr>
          <w:color w:val="auto"/>
        </w:rPr>
      </w:pPr>
      <w:r w:rsidRPr="00BA79A1">
        <w:rPr>
          <w:color w:val="auto"/>
        </w:rPr>
        <w:t xml:space="preserve">With the expiration of the DCA with New Zealand, </w:t>
      </w:r>
      <w:r w:rsidR="0090629E" w:rsidRPr="00BA79A1">
        <w:rPr>
          <w:color w:val="auto"/>
        </w:rPr>
        <w:t xml:space="preserve">and in recognition of Australia’s intensified engagement, DFAT will transition from the DCA to an active aid delivery model. </w:t>
      </w:r>
      <w:r w:rsidR="007E3255" w:rsidRPr="00BA79A1">
        <w:rPr>
          <w:color w:val="auto"/>
        </w:rPr>
        <w:t xml:space="preserve"> </w:t>
      </w:r>
      <w:r w:rsidR="000E5AEC" w:rsidRPr="00BA79A1">
        <w:rPr>
          <w:color w:val="auto"/>
        </w:rPr>
        <w:t xml:space="preserve">The Government of </w:t>
      </w:r>
      <w:r w:rsidR="000E5AEC" w:rsidRPr="00BA79A1">
        <w:rPr>
          <w:color w:val="auto"/>
        </w:rPr>
        <w:lastRenderedPageBreak/>
        <w:t xml:space="preserve">Niue has been clear that it values Australia’s increased engagement and it is in our interests to continue building the </w:t>
      </w:r>
      <w:r w:rsidR="00782BF1" w:rsidRPr="00BA79A1">
        <w:rPr>
          <w:color w:val="auto"/>
        </w:rPr>
        <w:t>relationship by having direct engagement on the development program.</w:t>
      </w:r>
    </w:p>
    <w:p w14:paraId="2D73F189" w14:textId="61753494" w:rsidR="00A10B7C" w:rsidRPr="00BA79A1" w:rsidRDefault="00760170" w:rsidP="00816E65">
      <w:pPr>
        <w:suppressAutoHyphens w:val="0"/>
        <w:spacing w:before="0" w:after="210" w:line="276" w:lineRule="auto"/>
        <w:rPr>
          <w:color w:val="auto"/>
        </w:rPr>
      </w:pPr>
      <w:r w:rsidRPr="00BA79A1">
        <w:rPr>
          <w:color w:val="auto"/>
        </w:rPr>
        <w:t>Although comparatively modest, Australia’s development assistance has the potential to make an important contribution to prosperity and sustainability in Niue if carefully targeted</w:t>
      </w:r>
      <w:r w:rsidR="00816E65" w:rsidRPr="00BA79A1">
        <w:rPr>
          <w:color w:val="auto"/>
        </w:rPr>
        <w:t xml:space="preserve">. </w:t>
      </w:r>
      <w:r w:rsidR="001C3DE8" w:rsidRPr="00BA79A1">
        <w:rPr>
          <w:color w:val="auto"/>
        </w:rPr>
        <w:t>The investment will enhance Australia’s influence, including through people</w:t>
      </w:r>
      <w:r w:rsidR="0060052A" w:rsidRPr="00BA79A1">
        <w:rPr>
          <w:color w:val="auto"/>
        </w:rPr>
        <w:t>-</w:t>
      </w:r>
      <w:r w:rsidR="001C3DE8" w:rsidRPr="00BA79A1">
        <w:rPr>
          <w:color w:val="auto"/>
        </w:rPr>
        <w:t>to</w:t>
      </w:r>
      <w:r w:rsidR="0060052A" w:rsidRPr="00BA79A1">
        <w:rPr>
          <w:color w:val="auto"/>
        </w:rPr>
        <w:t>-</w:t>
      </w:r>
      <w:r w:rsidR="001C3DE8" w:rsidRPr="00BA79A1">
        <w:rPr>
          <w:color w:val="auto"/>
        </w:rPr>
        <w:t xml:space="preserve">people linkages, at a time of geostrategic complexity. </w:t>
      </w:r>
      <w:r w:rsidR="003D1D1D" w:rsidRPr="00BA79A1">
        <w:rPr>
          <w:color w:val="auto"/>
        </w:rPr>
        <w:t xml:space="preserve">It will </w:t>
      </w:r>
      <w:r w:rsidR="003D1D1D" w:rsidRPr="00A824C5">
        <w:rPr>
          <w:color w:val="auto"/>
        </w:rPr>
        <w:t xml:space="preserve">complement Australia’s other </w:t>
      </w:r>
      <w:r w:rsidR="00A824C5">
        <w:rPr>
          <w:color w:val="auto"/>
        </w:rPr>
        <w:t>support to</w:t>
      </w:r>
      <w:r w:rsidR="003D1D1D" w:rsidRPr="00A824C5">
        <w:rPr>
          <w:color w:val="auto"/>
        </w:rPr>
        <w:t xml:space="preserve"> Niue, including </w:t>
      </w:r>
      <w:r w:rsidR="003616AF" w:rsidRPr="00A824C5">
        <w:rPr>
          <w:color w:val="auto"/>
        </w:rPr>
        <w:t xml:space="preserve">but not limited </w:t>
      </w:r>
      <w:r w:rsidR="009A70AC" w:rsidRPr="00A824C5">
        <w:rPr>
          <w:color w:val="auto"/>
        </w:rPr>
        <w:t xml:space="preserve">to </w:t>
      </w:r>
      <w:r w:rsidR="003616AF" w:rsidRPr="00A824C5">
        <w:rPr>
          <w:color w:val="auto"/>
        </w:rPr>
        <w:t xml:space="preserve">the </w:t>
      </w:r>
      <w:r w:rsidR="00CA4488" w:rsidRPr="00946C04">
        <w:rPr>
          <w:color w:val="auto"/>
        </w:rPr>
        <w:t xml:space="preserve">Australia Awards Pacific Scholarship (AAPS), </w:t>
      </w:r>
      <w:r w:rsidR="003616AF" w:rsidRPr="00AB6324">
        <w:rPr>
          <w:color w:val="auto"/>
        </w:rPr>
        <w:t>Direct Assistance Programme (DAP community grants)</w:t>
      </w:r>
      <w:r w:rsidR="00584DAB" w:rsidRPr="00AB6324">
        <w:rPr>
          <w:color w:val="auto"/>
        </w:rPr>
        <w:t xml:space="preserve">, </w:t>
      </w:r>
      <w:r w:rsidR="00584DAB" w:rsidRPr="00E57026">
        <w:rPr>
          <w:color w:val="auto"/>
        </w:rPr>
        <w:t>Pacific Sports Diplomacy Fund,</w:t>
      </w:r>
      <w:r w:rsidR="003616AF" w:rsidRPr="00E57026">
        <w:rPr>
          <w:color w:val="auto"/>
        </w:rPr>
        <w:t xml:space="preserve"> </w:t>
      </w:r>
      <w:r w:rsidR="00584DAB" w:rsidRPr="00E57026">
        <w:rPr>
          <w:color w:val="auto"/>
        </w:rPr>
        <w:t>P</w:t>
      </w:r>
      <w:r w:rsidR="0000580D">
        <w:rPr>
          <w:color w:val="auto"/>
        </w:rPr>
        <w:t>ACER</w:t>
      </w:r>
      <w:r w:rsidR="00584DAB" w:rsidRPr="00E57026">
        <w:rPr>
          <w:color w:val="auto"/>
        </w:rPr>
        <w:t xml:space="preserve"> Plus</w:t>
      </w:r>
      <w:r w:rsidR="00615F7A">
        <w:rPr>
          <w:color w:val="auto"/>
        </w:rPr>
        <w:t xml:space="preserve"> implementation unit</w:t>
      </w:r>
      <w:r w:rsidR="00D723F3">
        <w:rPr>
          <w:color w:val="auto"/>
        </w:rPr>
        <w:t>,</w:t>
      </w:r>
      <w:r w:rsidR="00584DAB" w:rsidRPr="00A824C5">
        <w:rPr>
          <w:color w:val="auto"/>
        </w:rPr>
        <w:t xml:space="preserve"> </w:t>
      </w:r>
      <w:r w:rsidR="003616AF" w:rsidRPr="00946C04">
        <w:rPr>
          <w:color w:val="auto"/>
        </w:rPr>
        <w:t>and</w:t>
      </w:r>
      <w:r w:rsidR="003616AF" w:rsidRPr="00BA79A1">
        <w:rPr>
          <w:color w:val="auto"/>
        </w:rPr>
        <w:t xml:space="preserve"> </w:t>
      </w:r>
      <w:r w:rsidR="00CA4488" w:rsidRPr="00BA79A1">
        <w:rPr>
          <w:color w:val="auto"/>
        </w:rPr>
        <w:t xml:space="preserve">funding to </w:t>
      </w:r>
      <w:r w:rsidR="0009687E">
        <w:rPr>
          <w:color w:val="auto"/>
        </w:rPr>
        <w:t xml:space="preserve">regional </w:t>
      </w:r>
      <w:r w:rsidR="00CA4488" w:rsidRPr="00BA79A1">
        <w:rPr>
          <w:color w:val="auto"/>
        </w:rPr>
        <w:t>programs such as IMF’s Pacific Financial Technical Assistance Centre (PFTAC)</w:t>
      </w:r>
      <w:r w:rsidR="00946C04">
        <w:rPr>
          <w:color w:val="auto"/>
        </w:rPr>
        <w:t xml:space="preserve"> from which Niue will also </w:t>
      </w:r>
      <w:r w:rsidR="00FC444D">
        <w:rPr>
          <w:color w:val="auto"/>
        </w:rPr>
        <w:t>benefit.</w:t>
      </w:r>
    </w:p>
    <w:p w14:paraId="7402961D" w14:textId="2CA97D6C" w:rsidR="00816E65" w:rsidRPr="00BA79A1" w:rsidRDefault="00816E65" w:rsidP="00816E65">
      <w:pPr>
        <w:suppressAutoHyphens w:val="0"/>
        <w:spacing w:before="0" w:after="210" w:line="276" w:lineRule="auto"/>
        <w:rPr>
          <w:color w:val="auto"/>
        </w:rPr>
      </w:pPr>
      <w:r w:rsidRPr="00BA79A1">
        <w:rPr>
          <w:color w:val="auto"/>
        </w:rPr>
        <w:t>The investment’s activities and outcomes will be closely aligned with Niue’s</w:t>
      </w:r>
      <w:r w:rsidRPr="00BA79A1">
        <w:rPr>
          <w:i/>
          <w:iCs/>
          <w:color w:val="auto"/>
        </w:rPr>
        <w:t xml:space="preserve"> National Strategic Plan 2016-2026, </w:t>
      </w:r>
      <w:r w:rsidRPr="00BA79A1">
        <w:rPr>
          <w:color w:val="auto"/>
        </w:rPr>
        <w:t xml:space="preserve">and </w:t>
      </w:r>
      <w:proofErr w:type="gramStart"/>
      <w:r w:rsidRPr="00BA79A1">
        <w:rPr>
          <w:color w:val="auto"/>
        </w:rPr>
        <w:t>in particular its</w:t>
      </w:r>
      <w:proofErr w:type="gramEnd"/>
      <w:r w:rsidRPr="00BA79A1">
        <w:rPr>
          <w:color w:val="auto"/>
        </w:rPr>
        <w:t xml:space="preserve"> mission – </w:t>
      </w:r>
      <w:r w:rsidRPr="00BA79A1">
        <w:rPr>
          <w:i/>
          <w:iCs/>
          <w:color w:val="auto"/>
        </w:rPr>
        <w:t>Working Together to Protect the People and the Environment.</w:t>
      </w:r>
      <w:r w:rsidRPr="00BA79A1">
        <w:rPr>
          <w:color w:val="auto"/>
        </w:rPr>
        <w:t xml:space="preserve"> This Plan is a high</w:t>
      </w:r>
      <w:r w:rsidR="0060052A" w:rsidRPr="00BA79A1">
        <w:rPr>
          <w:color w:val="auto"/>
        </w:rPr>
        <w:t>-</w:t>
      </w:r>
      <w:r w:rsidRPr="00BA79A1">
        <w:rPr>
          <w:color w:val="auto"/>
        </w:rPr>
        <w:t xml:space="preserve">level roadmap setting out Niue’s direction and priorities under seven national development pillars: Finance and Economic Development; Governance; Infrastructure; Social Services; Environment and Climate Change; Culture; and Private Sector. </w:t>
      </w:r>
    </w:p>
    <w:p w14:paraId="6C023DE7" w14:textId="363C524D" w:rsidR="00687F56" w:rsidRPr="00BA79A1" w:rsidRDefault="00E57001" w:rsidP="00FA5388">
      <w:pPr>
        <w:suppressAutoHyphens w:val="0"/>
        <w:spacing w:before="0" w:after="210" w:line="276" w:lineRule="auto"/>
        <w:rPr>
          <w:color w:val="auto"/>
        </w:rPr>
      </w:pPr>
      <w:r w:rsidRPr="00BA79A1">
        <w:rPr>
          <w:color w:val="auto"/>
        </w:rPr>
        <w:t>In line with</w:t>
      </w:r>
      <w:r w:rsidR="00A82F59" w:rsidRPr="00BA79A1">
        <w:rPr>
          <w:color w:val="auto"/>
        </w:rPr>
        <w:t xml:space="preserve"> this Plan and </w:t>
      </w:r>
      <w:r w:rsidR="00A82F59" w:rsidRPr="00BA79A1">
        <w:rPr>
          <w:i/>
          <w:iCs/>
          <w:color w:val="auto"/>
        </w:rPr>
        <w:t xml:space="preserve">Partnerships for Recovery </w:t>
      </w:r>
      <w:r w:rsidR="00A82F59" w:rsidRPr="00BA79A1">
        <w:rPr>
          <w:color w:val="auto"/>
        </w:rPr>
        <w:t>o</w:t>
      </w:r>
      <w:r w:rsidR="003D7C60" w:rsidRPr="00BA79A1">
        <w:rPr>
          <w:color w:val="auto"/>
        </w:rPr>
        <w:t>ur investment in Niue will ai</w:t>
      </w:r>
      <w:r w:rsidR="00687F56" w:rsidRPr="00BA79A1">
        <w:rPr>
          <w:color w:val="auto"/>
        </w:rPr>
        <w:t>m to contribute to addressing medium-longer term needs</w:t>
      </w:r>
      <w:r w:rsidR="009226AC" w:rsidRPr="00BA79A1">
        <w:rPr>
          <w:color w:val="auto"/>
        </w:rPr>
        <w:t xml:space="preserve"> and will be focused on complementing not duplicating New Zealand’s support.  </w:t>
      </w:r>
    </w:p>
    <w:p w14:paraId="2D0DC4E0" w14:textId="3CC27FA3" w:rsidR="00687F56" w:rsidRPr="00BA79A1" w:rsidRDefault="0009687E" w:rsidP="00493683">
      <w:pPr>
        <w:suppressAutoHyphens w:val="0"/>
        <w:spacing w:before="0" w:after="210" w:line="276" w:lineRule="auto"/>
        <w:rPr>
          <w:color w:val="auto"/>
        </w:rPr>
      </w:pPr>
      <w:r>
        <w:rPr>
          <w:color w:val="auto"/>
        </w:rPr>
        <w:t>R</w:t>
      </w:r>
      <w:r w:rsidR="00AE5508" w:rsidRPr="00BA79A1">
        <w:rPr>
          <w:color w:val="auto"/>
        </w:rPr>
        <w:t>egional and existing programs will be leveraged where possible</w:t>
      </w:r>
      <w:r w:rsidR="00B56A14">
        <w:rPr>
          <w:color w:val="auto"/>
        </w:rPr>
        <w:t xml:space="preserve"> to maximise our impact and make</w:t>
      </w:r>
      <w:r w:rsidR="005D0EC8">
        <w:rPr>
          <w:color w:val="auto"/>
        </w:rPr>
        <w:t xml:space="preserve"> the best use of the modest size of Australia’s aid program in Niue</w:t>
      </w:r>
      <w:r w:rsidR="00AE5508" w:rsidRPr="00BA79A1">
        <w:rPr>
          <w:color w:val="auto"/>
        </w:rPr>
        <w:t xml:space="preserve">. </w:t>
      </w:r>
      <w:r w:rsidR="00687F56" w:rsidRPr="00BA79A1">
        <w:rPr>
          <w:color w:val="auto"/>
        </w:rPr>
        <w:t xml:space="preserve">The investment will </w:t>
      </w:r>
      <w:r w:rsidR="00E27AA6" w:rsidRPr="00BA79A1">
        <w:rPr>
          <w:color w:val="auto"/>
        </w:rPr>
        <w:t xml:space="preserve">be </w:t>
      </w:r>
      <w:r w:rsidR="00AA3448" w:rsidRPr="00BA79A1">
        <w:rPr>
          <w:color w:val="auto"/>
        </w:rPr>
        <w:t>harmonised</w:t>
      </w:r>
      <w:r w:rsidR="00E27AA6" w:rsidRPr="00BA79A1">
        <w:rPr>
          <w:color w:val="auto"/>
        </w:rPr>
        <w:t xml:space="preserve"> with </w:t>
      </w:r>
      <w:r w:rsidR="002645D7" w:rsidRPr="00BA79A1">
        <w:rPr>
          <w:color w:val="auto"/>
        </w:rPr>
        <w:t>assistance provided by New Zealand, Niue’s major development partner</w:t>
      </w:r>
      <w:r w:rsidR="008007D6" w:rsidRPr="00BA79A1">
        <w:rPr>
          <w:color w:val="auto"/>
        </w:rPr>
        <w:t xml:space="preserve">, to </w:t>
      </w:r>
      <w:r w:rsidR="00CA4488" w:rsidRPr="00BA79A1">
        <w:rPr>
          <w:color w:val="auto"/>
        </w:rPr>
        <w:t>avoid</w:t>
      </w:r>
      <w:r w:rsidR="008007D6" w:rsidRPr="00BA79A1">
        <w:rPr>
          <w:color w:val="auto"/>
        </w:rPr>
        <w:t xml:space="preserve"> overlap</w:t>
      </w:r>
      <w:r w:rsidR="00FB621F" w:rsidRPr="00BA79A1">
        <w:rPr>
          <w:color w:val="auto"/>
        </w:rPr>
        <w:t xml:space="preserve"> and duplication</w:t>
      </w:r>
      <w:r w:rsidR="002645D7" w:rsidRPr="00BA79A1">
        <w:rPr>
          <w:color w:val="auto"/>
        </w:rPr>
        <w:t xml:space="preserve">. </w:t>
      </w:r>
      <w:r w:rsidR="00AA3448" w:rsidRPr="00BA79A1">
        <w:rPr>
          <w:color w:val="auto"/>
        </w:rPr>
        <w:t>L</w:t>
      </w:r>
      <w:r w:rsidR="00687F56" w:rsidRPr="00BA79A1">
        <w:rPr>
          <w:color w:val="auto"/>
        </w:rPr>
        <w:t xml:space="preserve">essons </w:t>
      </w:r>
      <w:r w:rsidR="00AA3448" w:rsidRPr="00BA79A1">
        <w:rPr>
          <w:color w:val="auto"/>
        </w:rPr>
        <w:t xml:space="preserve">have been </w:t>
      </w:r>
      <w:r w:rsidR="00687F56" w:rsidRPr="00BA79A1">
        <w:rPr>
          <w:color w:val="auto"/>
        </w:rPr>
        <w:t>learnt from the previous development programs</w:t>
      </w:r>
      <w:r w:rsidR="00453950" w:rsidRPr="00BA79A1">
        <w:rPr>
          <w:color w:val="auto"/>
        </w:rPr>
        <w:t xml:space="preserve"> and the investment is informed by a recent independent evaluation of the Niue Aid Program under the DCA</w:t>
      </w:r>
      <w:r w:rsidR="00E52ABE" w:rsidRPr="00BA79A1">
        <w:rPr>
          <w:color w:val="auto"/>
        </w:rPr>
        <w:t xml:space="preserve">. The evaluation found that </w:t>
      </w:r>
      <w:r w:rsidR="00B5612C" w:rsidRPr="00BA79A1">
        <w:rPr>
          <w:color w:val="auto"/>
        </w:rPr>
        <w:t>Australia’s</w:t>
      </w:r>
      <w:r w:rsidR="00E52ABE" w:rsidRPr="00BA79A1">
        <w:rPr>
          <w:color w:val="auto"/>
        </w:rPr>
        <w:t xml:space="preserve"> development assistance </w:t>
      </w:r>
      <w:r w:rsidR="003924BD" w:rsidRPr="00BA79A1">
        <w:rPr>
          <w:color w:val="auto"/>
        </w:rPr>
        <w:t xml:space="preserve">contributed to a range of achievements across the DCA </w:t>
      </w:r>
      <w:r w:rsidR="00B5612C" w:rsidRPr="00BA79A1">
        <w:rPr>
          <w:color w:val="auto"/>
        </w:rPr>
        <w:t>priority</w:t>
      </w:r>
      <w:r w:rsidR="003924BD" w:rsidRPr="00BA79A1">
        <w:rPr>
          <w:color w:val="auto"/>
        </w:rPr>
        <w:t xml:space="preserve"> areas of education, waste management, economic growth, social </w:t>
      </w:r>
      <w:proofErr w:type="gramStart"/>
      <w:r w:rsidR="003924BD" w:rsidRPr="00BA79A1">
        <w:rPr>
          <w:color w:val="auto"/>
        </w:rPr>
        <w:t>cohesion</w:t>
      </w:r>
      <w:proofErr w:type="gramEnd"/>
      <w:r w:rsidR="003924BD" w:rsidRPr="00BA79A1">
        <w:rPr>
          <w:color w:val="auto"/>
        </w:rPr>
        <w:t xml:space="preserve"> and C</w:t>
      </w:r>
      <w:r w:rsidR="00D51884" w:rsidRPr="00BA79A1">
        <w:rPr>
          <w:color w:val="auto"/>
        </w:rPr>
        <w:t>OVID-19 response. The review highlighted the construction of the primary school, co-funded by New Zealand, and the funding o</w:t>
      </w:r>
      <w:r w:rsidR="0060052A" w:rsidRPr="00BA79A1">
        <w:rPr>
          <w:color w:val="auto"/>
        </w:rPr>
        <w:t>f</w:t>
      </w:r>
      <w:r w:rsidR="00D51884" w:rsidRPr="00BA79A1">
        <w:rPr>
          <w:color w:val="auto"/>
        </w:rPr>
        <w:t xml:space="preserve"> a resource recovery centre as key achievements under the DCA.  The evaluation also found that the</w:t>
      </w:r>
      <w:r w:rsidR="00285834" w:rsidRPr="00BA79A1">
        <w:rPr>
          <w:color w:val="auto"/>
        </w:rPr>
        <w:t xml:space="preserve"> achievements appeared to be generally sustainable with strong public ownership of the </w:t>
      </w:r>
      <w:proofErr w:type="gramStart"/>
      <w:r w:rsidR="00285834" w:rsidRPr="00BA79A1">
        <w:rPr>
          <w:color w:val="auto"/>
        </w:rPr>
        <w:t>school in particular</w:t>
      </w:r>
      <w:proofErr w:type="gramEnd"/>
      <w:r w:rsidR="00285834" w:rsidRPr="00BA79A1">
        <w:rPr>
          <w:color w:val="auto"/>
        </w:rPr>
        <w:t xml:space="preserve">. </w:t>
      </w:r>
    </w:p>
    <w:bookmarkEnd w:id="2"/>
    <w:p w14:paraId="117EB197" w14:textId="33C87E63" w:rsidR="00A32858" w:rsidRPr="00BA79A1" w:rsidRDefault="00A32858" w:rsidP="00A32858">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auto"/>
          <w:szCs w:val="21"/>
        </w:rPr>
      </w:pPr>
      <w:r w:rsidRPr="00BA79A1">
        <w:rPr>
          <w:rFonts w:asciiTheme="majorHAnsi" w:hAnsiTheme="majorHAnsi"/>
          <w:b/>
          <w:color w:val="auto"/>
          <w:szCs w:val="21"/>
        </w:rPr>
        <w:t xml:space="preserve">Proposed Outcomes and Investment Options </w:t>
      </w:r>
    </w:p>
    <w:p w14:paraId="3C13CFCE" w14:textId="2B0C94E7" w:rsidR="0020219A" w:rsidRPr="00BA79A1" w:rsidRDefault="0020219A" w:rsidP="0020219A">
      <w:pPr>
        <w:suppressAutoHyphens w:val="0"/>
        <w:spacing w:before="0" w:after="210" w:line="276" w:lineRule="auto"/>
        <w:rPr>
          <w:color w:val="auto"/>
        </w:rPr>
      </w:pPr>
      <w:bookmarkStart w:id="3" w:name="_Hlk97282210"/>
      <w:r w:rsidRPr="00BA79A1">
        <w:rPr>
          <w:color w:val="auto"/>
        </w:rPr>
        <w:t xml:space="preserve">Australia is well positioned to </w:t>
      </w:r>
      <w:r w:rsidR="0065440C" w:rsidRPr="00BA79A1">
        <w:rPr>
          <w:color w:val="auto"/>
        </w:rPr>
        <w:t>respond to Niue</w:t>
      </w:r>
      <w:r w:rsidR="008973F7">
        <w:rPr>
          <w:color w:val="auto"/>
        </w:rPr>
        <w:t>’s</w:t>
      </w:r>
      <w:r w:rsidR="001A1B3D" w:rsidRPr="00BA79A1">
        <w:rPr>
          <w:color w:val="auto"/>
        </w:rPr>
        <w:t xml:space="preserve"> development</w:t>
      </w:r>
      <w:r w:rsidR="0065440C" w:rsidRPr="00BA79A1">
        <w:rPr>
          <w:color w:val="auto"/>
        </w:rPr>
        <w:t xml:space="preserve"> </w:t>
      </w:r>
      <w:r w:rsidRPr="00BA79A1">
        <w:rPr>
          <w:color w:val="auto"/>
        </w:rPr>
        <w:t>priorities, and our relationships will enable us to engage broadly across Niue’s community to ensure we are investing in the highest priorities, and with the most impact.</w:t>
      </w:r>
    </w:p>
    <w:p w14:paraId="1A619F5D" w14:textId="32A34E1B" w:rsidR="00817727" w:rsidRPr="00BA79A1" w:rsidRDefault="000559FA" w:rsidP="00894F78">
      <w:pPr>
        <w:spacing w:before="60" w:after="120" w:line="276" w:lineRule="auto"/>
        <w:rPr>
          <w:color w:val="auto"/>
        </w:rPr>
      </w:pPr>
      <w:r w:rsidRPr="00BA79A1">
        <w:rPr>
          <w:color w:val="auto"/>
        </w:rPr>
        <w:t>As Niue has been COVID-19 free, t</w:t>
      </w:r>
      <w:r w:rsidR="003D4F5D" w:rsidRPr="00BA79A1">
        <w:rPr>
          <w:color w:val="auto"/>
        </w:rPr>
        <w:t xml:space="preserve">he pandemic </w:t>
      </w:r>
      <w:r w:rsidRPr="00BA79A1">
        <w:rPr>
          <w:color w:val="auto"/>
        </w:rPr>
        <w:t xml:space="preserve">has </w:t>
      </w:r>
      <w:r w:rsidR="005C1E4C" w:rsidRPr="00BA79A1">
        <w:rPr>
          <w:color w:val="auto"/>
        </w:rPr>
        <w:t xml:space="preserve">not had a significant </w:t>
      </w:r>
      <w:r w:rsidR="00807767" w:rsidRPr="00BA79A1">
        <w:rPr>
          <w:color w:val="auto"/>
        </w:rPr>
        <w:t xml:space="preserve">social </w:t>
      </w:r>
      <w:r w:rsidR="005C1E4C" w:rsidRPr="00BA79A1">
        <w:rPr>
          <w:color w:val="auto"/>
        </w:rPr>
        <w:t xml:space="preserve">impact and </w:t>
      </w:r>
      <w:r w:rsidR="003D4F5D" w:rsidRPr="00BA79A1">
        <w:rPr>
          <w:color w:val="auto"/>
        </w:rPr>
        <w:t>its eventual impacts in N</w:t>
      </w:r>
      <w:r w:rsidRPr="00BA79A1">
        <w:rPr>
          <w:color w:val="auto"/>
        </w:rPr>
        <w:t>iue</w:t>
      </w:r>
      <w:r w:rsidR="003D4F5D" w:rsidRPr="00BA79A1">
        <w:rPr>
          <w:color w:val="auto"/>
        </w:rPr>
        <w:t xml:space="preserve"> are uncertain. </w:t>
      </w:r>
      <w:r w:rsidR="00807767" w:rsidRPr="00BA79A1">
        <w:rPr>
          <w:color w:val="auto"/>
        </w:rPr>
        <w:t>T</w:t>
      </w:r>
      <w:r w:rsidR="008D5DEA">
        <w:rPr>
          <w:color w:val="auto"/>
        </w:rPr>
        <w:t>o date, t</w:t>
      </w:r>
      <w:r w:rsidR="00807767" w:rsidRPr="00BA79A1">
        <w:rPr>
          <w:color w:val="auto"/>
        </w:rPr>
        <w:t>h</w:t>
      </w:r>
      <w:r w:rsidR="00E3686B">
        <w:rPr>
          <w:color w:val="auto"/>
        </w:rPr>
        <w:t>e</w:t>
      </w:r>
      <w:r w:rsidR="00807767" w:rsidRPr="00BA79A1">
        <w:rPr>
          <w:color w:val="auto"/>
        </w:rPr>
        <w:t xml:space="preserve"> investment has </w:t>
      </w:r>
      <w:r w:rsidR="00E3686B">
        <w:rPr>
          <w:color w:val="auto"/>
        </w:rPr>
        <w:t>been</w:t>
      </w:r>
      <w:r w:rsidR="003D4F5D" w:rsidRPr="00BA79A1">
        <w:rPr>
          <w:color w:val="auto"/>
        </w:rPr>
        <w:t xml:space="preserve"> </w:t>
      </w:r>
      <w:r w:rsidR="000D56D4" w:rsidRPr="00BA79A1">
        <w:rPr>
          <w:color w:val="auto"/>
        </w:rPr>
        <w:t>flexible</w:t>
      </w:r>
      <w:r w:rsidR="00E3686B" w:rsidRPr="00BA79A1">
        <w:rPr>
          <w:color w:val="auto"/>
        </w:rPr>
        <w:t xml:space="preserve"> </w:t>
      </w:r>
      <w:r w:rsidR="003D4F5D" w:rsidRPr="00BA79A1">
        <w:rPr>
          <w:color w:val="auto"/>
        </w:rPr>
        <w:t xml:space="preserve">to respond to the rapidly changing nature of </w:t>
      </w:r>
      <w:r w:rsidR="003613C4">
        <w:rPr>
          <w:color w:val="auto"/>
        </w:rPr>
        <w:t>the pandemic</w:t>
      </w:r>
      <w:r w:rsidR="00894F78" w:rsidRPr="00BA79A1">
        <w:rPr>
          <w:color w:val="auto"/>
        </w:rPr>
        <w:t xml:space="preserve"> and additional </w:t>
      </w:r>
      <w:r w:rsidR="00817727" w:rsidRPr="00BA79A1">
        <w:rPr>
          <w:color w:val="auto"/>
        </w:rPr>
        <w:t xml:space="preserve">uncertainties caused by: </w:t>
      </w:r>
    </w:p>
    <w:p w14:paraId="2E2B7C84" w14:textId="4164CBD2" w:rsidR="00817727" w:rsidRPr="00BA79A1" w:rsidRDefault="00817727" w:rsidP="0074233A">
      <w:pPr>
        <w:pStyle w:val="BodyText"/>
        <w:numPr>
          <w:ilvl w:val="0"/>
          <w:numId w:val="47"/>
        </w:numPr>
        <w:rPr>
          <w:color w:val="auto"/>
        </w:rPr>
      </w:pPr>
      <w:r w:rsidRPr="00BA79A1">
        <w:rPr>
          <w:color w:val="auto"/>
        </w:rPr>
        <w:lastRenderedPageBreak/>
        <w:t xml:space="preserve">a dynamic health, </w:t>
      </w:r>
      <w:r w:rsidR="0046773C" w:rsidRPr="00BA79A1">
        <w:rPr>
          <w:color w:val="auto"/>
        </w:rPr>
        <w:t xml:space="preserve">economic, </w:t>
      </w:r>
      <w:r w:rsidRPr="00BA79A1">
        <w:rPr>
          <w:color w:val="auto"/>
        </w:rPr>
        <w:t xml:space="preserve">and political </w:t>
      </w:r>
      <w:proofErr w:type="gramStart"/>
      <w:r w:rsidRPr="00BA79A1">
        <w:rPr>
          <w:color w:val="auto"/>
        </w:rPr>
        <w:t>context;</w:t>
      </w:r>
      <w:proofErr w:type="gramEnd"/>
      <w:r w:rsidRPr="00BA79A1">
        <w:rPr>
          <w:color w:val="auto"/>
        </w:rPr>
        <w:t xml:space="preserve"> </w:t>
      </w:r>
    </w:p>
    <w:p w14:paraId="5D919CC9" w14:textId="7DADA54F" w:rsidR="00C1315A" w:rsidRPr="00BA79A1" w:rsidRDefault="00817727" w:rsidP="0074233A">
      <w:pPr>
        <w:pStyle w:val="BodyText"/>
        <w:numPr>
          <w:ilvl w:val="0"/>
          <w:numId w:val="47"/>
        </w:numPr>
        <w:rPr>
          <w:color w:val="auto"/>
        </w:rPr>
      </w:pPr>
      <w:r w:rsidRPr="00BA79A1">
        <w:rPr>
          <w:color w:val="auto"/>
        </w:rPr>
        <w:t xml:space="preserve">the need for Australia to remain responsive and in a position to build on existing </w:t>
      </w:r>
      <w:proofErr w:type="gramStart"/>
      <w:r w:rsidRPr="00BA79A1">
        <w:rPr>
          <w:color w:val="auto"/>
        </w:rPr>
        <w:t>relationships;</w:t>
      </w:r>
      <w:proofErr w:type="gramEnd"/>
      <w:r w:rsidRPr="00BA79A1">
        <w:rPr>
          <w:color w:val="auto"/>
        </w:rPr>
        <w:t xml:space="preserve"> </w:t>
      </w:r>
    </w:p>
    <w:p w14:paraId="5554A39A" w14:textId="1EEC4D62" w:rsidR="00817727" w:rsidRPr="00BA79A1" w:rsidRDefault="0060052A" w:rsidP="00C1315A">
      <w:pPr>
        <w:pStyle w:val="BodyText"/>
        <w:numPr>
          <w:ilvl w:val="0"/>
          <w:numId w:val="46"/>
        </w:numPr>
        <w:rPr>
          <w:color w:val="auto"/>
        </w:rPr>
      </w:pPr>
      <w:r w:rsidRPr="00BA79A1">
        <w:rPr>
          <w:color w:val="auto"/>
        </w:rPr>
        <w:t>n</w:t>
      </w:r>
      <w:r w:rsidR="00C1315A" w:rsidRPr="00BA79A1">
        <w:rPr>
          <w:color w:val="auto"/>
        </w:rPr>
        <w:t>atural disasters and emergencies</w:t>
      </w:r>
      <w:r w:rsidR="0074233A" w:rsidRPr="00BA79A1">
        <w:rPr>
          <w:color w:val="auto"/>
        </w:rPr>
        <w:t xml:space="preserve">, or sudden economic shocks; </w:t>
      </w:r>
      <w:r w:rsidR="00817727" w:rsidRPr="00BA79A1">
        <w:rPr>
          <w:color w:val="auto"/>
        </w:rPr>
        <w:t xml:space="preserve">and </w:t>
      </w:r>
    </w:p>
    <w:p w14:paraId="2B152802" w14:textId="23F23451" w:rsidR="00817727" w:rsidRPr="00BA79A1" w:rsidRDefault="00817727" w:rsidP="0074233A">
      <w:pPr>
        <w:pStyle w:val="BodyText"/>
        <w:numPr>
          <w:ilvl w:val="0"/>
          <w:numId w:val="46"/>
        </w:numPr>
        <w:rPr>
          <w:color w:val="auto"/>
        </w:rPr>
      </w:pPr>
      <w:r w:rsidRPr="00BA79A1">
        <w:rPr>
          <w:color w:val="auto"/>
        </w:rPr>
        <w:t xml:space="preserve">the small size and limited absorptive capacities of the Niue Government, civil </w:t>
      </w:r>
      <w:proofErr w:type="gramStart"/>
      <w:r w:rsidRPr="00BA79A1">
        <w:rPr>
          <w:color w:val="auto"/>
        </w:rPr>
        <w:t>society</w:t>
      </w:r>
      <w:proofErr w:type="gramEnd"/>
      <w:r w:rsidRPr="00BA79A1">
        <w:rPr>
          <w:color w:val="auto"/>
        </w:rPr>
        <w:t xml:space="preserve"> and private sector agencies, including the need to consider the likelihood of price escalation due to delivery delays and other COVID-19 impacts. </w:t>
      </w:r>
    </w:p>
    <w:p w14:paraId="3C555026" w14:textId="6DB9ADB4" w:rsidR="00547224" w:rsidRPr="00BA79A1" w:rsidRDefault="003613C4" w:rsidP="00546621">
      <w:pPr>
        <w:rPr>
          <w:color w:val="auto"/>
        </w:rPr>
      </w:pPr>
      <w:r>
        <w:rPr>
          <w:color w:val="auto"/>
        </w:rPr>
        <w:t>T</w:t>
      </w:r>
      <w:r w:rsidR="00547224" w:rsidRPr="00BA79A1">
        <w:rPr>
          <w:color w:val="auto"/>
        </w:rPr>
        <w:t>he investment will</w:t>
      </w:r>
      <w:r>
        <w:rPr>
          <w:color w:val="auto"/>
        </w:rPr>
        <w:t xml:space="preserve"> also</w:t>
      </w:r>
      <w:r w:rsidR="00547224" w:rsidRPr="00BA79A1">
        <w:rPr>
          <w:color w:val="auto"/>
        </w:rPr>
        <w:t xml:space="preserve"> be limited to delivering activities in the outcome areas of quality services (education and community level projects), econom</w:t>
      </w:r>
      <w:r w:rsidR="00013647" w:rsidRPr="00BA79A1">
        <w:rPr>
          <w:color w:val="auto"/>
        </w:rPr>
        <w:t>ic</w:t>
      </w:r>
      <w:r w:rsidR="00547224" w:rsidRPr="00BA79A1">
        <w:rPr>
          <w:color w:val="auto"/>
        </w:rPr>
        <w:t xml:space="preserve"> recovery (Trust Fund and systems strengthening), and infrastructure. </w:t>
      </w:r>
    </w:p>
    <w:p w14:paraId="2FF0A456" w14:textId="77777777" w:rsidR="00547224" w:rsidRPr="00BA79A1" w:rsidRDefault="00547224" w:rsidP="00546621">
      <w:pPr>
        <w:rPr>
          <w:color w:val="auto"/>
        </w:rPr>
      </w:pPr>
      <w:r w:rsidRPr="00BA79A1">
        <w:rPr>
          <w:color w:val="auto"/>
        </w:rPr>
        <w:t>Having an investment with a medium-term framework and multiyear funding will give some surety to the development pipeline and assist with Niue’s fiscal planning.</w:t>
      </w:r>
    </w:p>
    <w:bookmarkEnd w:id="3"/>
    <w:p w14:paraId="3DDD4B9D" w14:textId="77777777" w:rsidR="00547224" w:rsidRPr="00BA79A1" w:rsidRDefault="00547224" w:rsidP="00546621">
      <w:pPr>
        <w:rPr>
          <w:color w:val="auto"/>
          <w:u w:val="single"/>
        </w:rPr>
      </w:pPr>
      <w:r w:rsidRPr="00BA79A1">
        <w:rPr>
          <w:color w:val="auto"/>
          <w:u w:val="single"/>
        </w:rPr>
        <w:t>Quality services</w:t>
      </w:r>
    </w:p>
    <w:p w14:paraId="61B69225" w14:textId="378FA97C" w:rsidR="00547224" w:rsidRPr="00BA79A1" w:rsidRDefault="00547224" w:rsidP="00547224">
      <w:pPr>
        <w:rPr>
          <w:color w:val="auto"/>
        </w:rPr>
      </w:pPr>
      <w:r w:rsidRPr="00BA79A1">
        <w:rPr>
          <w:color w:val="auto"/>
        </w:rPr>
        <w:t>The Australia Awards Pacific Scholarships (AAPS) will remain an important feature of Australia’s development assistance to Niue</w:t>
      </w:r>
      <w:r w:rsidR="00CA6633" w:rsidRPr="00BA79A1">
        <w:rPr>
          <w:color w:val="auto"/>
        </w:rPr>
        <w:t xml:space="preserve"> and provide post-secondary education opportunities in complement to New Zealand’s support</w:t>
      </w:r>
      <w:r w:rsidRPr="00BA79A1">
        <w:rPr>
          <w:color w:val="auto"/>
        </w:rPr>
        <w:t xml:space="preserve">. The evaluation of Australia’s development assistance under the DCA indicated broad agreement across Niue stakeholders on the continuing value of </w:t>
      </w:r>
      <w:r w:rsidR="00270B86">
        <w:rPr>
          <w:color w:val="auto"/>
        </w:rPr>
        <w:t>Australia</w:t>
      </w:r>
      <w:r w:rsidR="00781EC4">
        <w:rPr>
          <w:color w:val="auto"/>
        </w:rPr>
        <w:t xml:space="preserve">n </w:t>
      </w:r>
      <w:r w:rsidRPr="00BA79A1">
        <w:rPr>
          <w:color w:val="auto"/>
        </w:rPr>
        <w:t xml:space="preserve">scholarships. We will continue to work with </w:t>
      </w:r>
      <w:r w:rsidR="00E62CF4">
        <w:rPr>
          <w:color w:val="auto"/>
        </w:rPr>
        <w:t xml:space="preserve">the </w:t>
      </w:r>
      <w:r w:rsidRPr="00BA79A1">
        <w:rPr>
          <w:color w:val="auto"/>
        </w:rPr>
        <w:t>Niuean government to ensure scholarships are aligned with local priorities and responsive to future skill gaps.  We will look for opportunities to maximise the impact of our regional funding to USP and EQAP.</w:t>
      </w:r>
    </w:p>
    <w:p w14:paraId="430C8558" w14:textId="359A3EF2" w:rsidR="00547224" w:rsidRPr="00BA79A1" w:rsidRDefault="00547224" w:rsidP="00546621">
      <w:pPr>
        <w:rPr>
          <w:color w:val="auto"/>
        </w:rPr>
      </w:pPr>
      <w:proofErr w:type="gramStart"/>
      <w:r w:rsidRPr="00BA79A1">
        <w:rPr>
          <w:color w:val="auto"/>
        </w:rPr>
        <w:t>Our Direct Aid Program (DAP),</w:t>
      </w:r>
      <w:proofErr w:type="gramEnd"/>
      <w:r w:rsidRPr="00BA79A1">
        <w:rPr>
          <w:color w:val="auto"/>
        </w:rPr>
        <w:t xml:space="preserve"> will be our primary mechanism for delivering grants to communities and the non-government sector. The bilaterally funded compl</w:t>
      </w:r>
      <w:r w:rsidR="008A43D0">
        <w:rPr>
          <w:color w:val="auto"/>
        </w:rPr>
        <w:t>e</w:t>
      </w:r>
      <w:r w:rsidRPr="00BA79A1">
        <w:rPr>
          <w:color w:val="auto"/>
        </w:rPr>
        <w:t xml:space="preserve">mentary investment will enhance livelihoods and provide small scale infrastructure at the community level. </w:t>
      </w:r>
    </w:p>
    <w:p w14:paraId="26AD58EC" w14:textId="04122BD7" w:rsidR="00D11E15" w:rsidRPr="00BA79A1" w:rsidRDefault="00547224" w:rsidP="00817727">
      <w:pPr>
        <w:pStyle w:val="BodyText"/>
        <w:rPr>
          <w:color w:val="auto"/>
        </w:rPr>
        <w:sectPr w:rsidR="00D11E15" w:rsidRPr="00BA79A1" w:rsidSect="00D11E15">
          <w:headerReference w:type="even" r:id="rId9"/>
          <w:headerReference w:type="default" r:id="rId10"/>
          <w:footerReference w:type="even" r:id="rId11"/>
          <w:footerReference w:type="default" r:id="rId12"/>
          <w:headerReference w:type="first" r:id="rId13"/>
          <w:footerReference w:type="first" r:id="rId14"/>
          <w:pgSz w:w="11906" w:h="16838" w:code="9"/>
          <w:pgMar w:top="2694" w:right="1134" w:bottom="1418" w:left="1701" w:header="425" w:footer="493" w:gutter="0"/>
          <w:cols w:space="397"/>
          <w:titlePg/>
          <w:docGrid w:linePitch="360"/>
        </w:sectPr>
      </w:pPr>
      <w:r w:rsidRPr="00BA79A1">
        <w:rPr>
          <w:color w:val="auto"/>
        </w:rPr>
        <w:t xml:space="preserve">New Zealand provides substantial support to Niue’s health system and </w:t>
      </w:r>
      <w:proofErr w:type="spellStart"/>
      <w:r w:rsidRPr="00BA79A1">
        <w:rPr>
          <w:color w:val="auto"/>
        </w:rPr>
        <w:t>Niueans</w:t>
      </w:r>
      <w:proofErr w:type="spellEnd"/>
      <w:r w:rsidRPr="00BA79A1">
        <w:rPr>
          <w:color w:val="auto"/>
        </w:rPr>
        <w:t xml:space="preserve"> </w:t>
      </w:r>
      <w:proofErr w:type="gramStart"/>
      <w:r w:rsidRPr="00BA79A1">
        <w:rPr>
          <w:color w:val="auto"/>
        </w:rPr>
        <w:t>are able to</w:t>
      </w:r>
      <w:proofErr w:type="gramEnd"/>
      <w:r w:rsidRPr="00BA79A1">
        <w:rPr>
          <w:color w:val="auto"/>
        </w:rPr>
        <w:t xml:space="preserve"> access the New Zealand public health system. Where required</w:t>
      </w:r>
      <w:r w:rsidR="006D3DA5">
        <w:rPr>
          <w:color w:val="auto"/>
        </w:rPr>
        <w:t>,</w:t>
      </w:r>
      <w:r w:rsidRPr="00BA79A1">
        <w:rPr>
          <w:color w:val="auto"/>
        </w:rPr>
        <w:t xml:space="preserve"> and in close consultation with New Zealand, we will look for ways to support Niue’s COVID-19 preparation and response. </w:t>
      </w:r>
    </w:p>
    <w:p w14:paraId="327CD1EF" w14:textId="53A61CD7" w:rsidR="007A0CAC" w:rsidRPr="00BA79A1" w:rsidRDefault="00546621" w:rsidP="006E2B3C">
      <w:pPr>
        <w:pStyle w:val="BodyText"/>
        <w:ind w:left="-284"/>
        <w:rPr>
          <w:color w:val="auto"/>
        </w:rPr>
      </w:pPr>
      <w:r w:rsidRPr="00BA79A1">
        <w:rPr>
          <w:noProof/>
          <w:color w:val="auto"/>
        </w:rPr>
        <w:lastRenderedPageBreak/>
        <w:drawing>
          <wp:inline distT="0" distB="0" distL="0" distR="0" wp14:anchorId="154CB08D" wp14:editId="2DFE3036">
            <wp:extent cx="8837166" cy="6359766"/>
            <wp:effectExtent l="0" t="0" r="2540" b="3175"/>
            <wp:docPr id="10" name="Picture 10" descr="Niue is supported to achieve increased fiscal sustainability and social development&#10;Our end of Program Outcomes&#10;1. Increased access to quality services&#10;2. Resilient and sustainable budgets and infrastructure&#10;Intermediate outcomes&#10;• Graduates use skills to contribute to Niue’s social and economic development&#10;• Graduates have internationally recognised qualifications &#10;• Small grant projects implemented to benefit village communities &#10;• Improved performance and efficiency of the Niue International Trust Fund&#10;• Improved pipeline of waste management and WASH infrastructure being built and maintained &#10;Outputs&#10;• Active alumni with strong working relationships with Australia&#10;• Scholarship sectoral priorities agreed with government&#10;• Gender equity in scholarships section&#10;• Merit based selection&#10;• Transparent selection processes&#10;• Needs identified and prioritised &#10;• Projects promote inclusion&#10;• Progress with implementing PEFA and PPM roadmaps&#10;• Progress with implementing audit recommendations&#10;• Agreed priorities for infrastructure&#10;• Climate and disaster resilient infrastructure standards&#10;• People with disabilities consulted and benefit from infrastructure&#10;Decision making criteria: &#10;• Address a priority within the Government of Niue’s Strategic Plan&#10;• Aligned with Australia’s COVID-19 Recovery strategy&#10;• Deliver clear economic, social or technical results, and are evidence based&#10;• Contains a budget which is realistic, defensible and provides value for money (VFM)&#10;• Consider sustainability including whole of life costs and capacity building&#10;• Harmonise with support from other development partners&#10;• Support gender and disability inclusion &#10;• Proposals meet DFAT’s Design Quality Criteria&#10;• Able to manage risks and apply departmental safeguards&#10;• Using innovative approaches to deliver results in a resource constrained environment&#10;Indicative activities&#10;Policy briefs, studies, baselines, systems, reform planning and implementation, budget support management, training, events, dialogue, infrastructure projects, project management, grant rounds&#10;Inputs&#10;Technical advisers, grants and subcontracting, partnership brokering, operations, management,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iue is supported to achieve increased fiscal sustainability and social development&#10;Our end of Program Outcomes&#10;1. Increased access to quality services&#10;2. Resilient and sustainable budgets and infrastructure&#10;Intermediate outcomes&#10;• Graduates use skills to contribute to Niue’s social and economic development&#10;• Graduates have internationally recognised qualifications &#10;• Small grant projects implemented to benefit village communities &#10;• Improved performance and efficiency of the Niue International Trust Fund&#10;• Improved pipeline of waste management and WASH infrastructure being built and maintained &#10;Outputs&#10;• Active alumni with strong working relationships with Australia&#10;• Scholarship sectoral priorities agreed with government&#10;• Gender equity in scholarships section&#10;• Merit based selection&#10;• Transparent selection processes&#10;• Needs identified and prioritised &#10;• Projects promote inclusion&#10;• Progress with implementing PEFA and PPM roadmaps&#10;• Progress with implementing audit recommendations&#10;• Agreed priorities for infrastructure&#10;• Climate and disaster resilient infrastructure standards&#10;• People with disabilities consulted and benefit from infrastructure&#10;Decision making criteria: &#10;• Address a priority within the Government of Niue’s Strategic Plan&#10;• Aligned with Australia’s COVID-19 Recovery strategy&#10;• Deliver clear economic, social or technical results, and are evidence based&#10;• Contains a budget which is realistic, defensible and provides value for money (VFM)&#10;• Consider sustainability including whole of life costs and capacity building&#10;• Harmonise with support from other development partners&#10;• Support gender and disability inclusion &#10;• Proposals meet DFAT’s Design Quality Criteria&#10;• Able to manage risks and apply departmental safeguards&#10;• Using innovative approaches to deliver results in a resource constrained environment&#10;Indicative activities&#10;Policy briefs, studies, baselines, systems, reform planning and implementation, budget support management, training, events, dialogue, infrastructure projects, project management, grant rounds&#10;Inputs&#10;Technical advisers, grants and subcontracting, partnership brokering, operations, management, learning"/>
                    <pic:cNvPicPr/>
                  </pic:nvPicPr>
                  <pic:blipFill>
                    <a:blip r:embed="rId15">
                      <a:extLst>
                        <a:ext uri="{28A0092B-C50C-407E-A947-70E740481C1C}">
                          <a14:useLocalDpi xmlns:a14="http://schemas.microsoft.com/office/drawing/2010/main" val="0"/>
                        </a:ext>
                      </a:extLst>
                    </a:blip>
                    <a:stretch>
                      <a:fillRect/>
                    </a:stretch>
                  </pic:blipFill>
                  <pic:spPr>
                    <a:xfrm>
                      <a:off x="0" y="0"/>
                      <a:ext cx="8837166" cy="6359766"/>
                    </a:xfrm>
                    <a:prstGeom prst="rect">
                      <a:avLst/>
                    </a:prstGeom>
                  </pic:spPr>
                </pic:pic>
              </a:graphicData>
            </a:graphic>
          </wp:inline>
        </w:drawing>
      </w:r>
      <w:r w:rsidR="00293696" w:rsidRPr="00BA79A1">
        <w:rPr>
          <w:color w:val="auto"/>
        </w:rPr>
        <w:br w:type="page"/>
      </w:r>
    </w:p>
    <w:p w14:paraId="3804EB4B" w14:textId="77777777" w:rsidR="00C220B4" w:rsidRPr="00BA79A1" w:rsidRDefault="00C220B4" w:rsidP="00C439A8">
      <w:pPr>
        <w:rPr>
          <w:color w:val="auto"/>
        </w:rPr>
        <w:sectPr w:rsidR="00C220B4" w:rsidRPr="00BA79A1" w:rsidSect="006E2B3C">
          <w:pgSz w:w="16838" w:h="11906" w:orient="landscape" w:code="9"/>
          <w:pgMar w:top="1276" w:right="2694" w:bottom="1134" w:left="1418" w:header="425" w:footer="493" w:gutter="0"/>
          <w:cols w:space="397"/>
          <w:titlePg/>
          <w:docGrid w:linePitch="360"/>
        </w:sectPr>
      </w:pPr>
    </w:p>
    <w:p w14:paraId="040119B4" w14:textId="4431E4E7" w:rsidR="007A0CAC" w:rsidRPr="00BA79A1" w:rsidRDefault="00D876E9" w:rsidP="00A32858">
      <w:pPr>
        <w:rPr>
          <w:color w:val="auto"/>
          <w:u w:val="single"/>
        </w:rPr>
      </w:pPr>
      <w:r w:rsidRPr="00BA79A1">
        <w:rPr>
          <w:color w:val="auto"/>
          <w:u w:val="single"/>
        </w:rPr>
        <w:lastRenderedPageBreak/>
        <w:t>Infrastructure</w:t>
      </w:r>
    </w:p>
    <w:p w14:paraId="3A1126A4" w14:textId="7A768E27" w:rsidR="00D876E9" w:rsidRPr="00BA79A1" w:rsidRDefault="00446DC6" w:rsidP="00A32858">
      <w:pPr>
        <w:rPr>
          <w:color w:val="auto"/>
        </w:rPr>
      </w:pPr>
      <w:r w:rsidRPr="00BA79A1">
        <w:rPr>
          <w:color w:val="auto"/>
        </w:rPr>
        <w:t xml:space="preserve">Due to constrained resources, </w:t>
      </w:r>
      <w:r w:rsidR="003B2027" w:rsidRPr="00BA79A1">
        <w:rPr>
          <w:color w:val="auto"/>
        </w:rPr>
        <w:t>Niue has</w:t>
      </w:r>
      <w:r w:rsidRPr="00BA79A1">
        <w:rPr>
          <w:color w:val="auto"/>
        </w:rPr>
        <w:t xml:space="preserve"> a</w:t>
      </w:r>
      <w:r w:rsidR="003B2027" w:rsidRPr="00BA79A1">
        <w:rPr>
          <w:color w:val="auto"/>
        </w:rPr>
        <w:t xml:space="preserve"> l</w:t>
      </w:r>
      <w:r w:rsidR="00D876E9" w:rsidRPr="00BA79A1">
        <w:rPr>
          <w:color w:val="auto"/>
        </w:rPr>
        <w:t xml:space="preserve">imited </w:t>
      </w:r>
      <w:r w:rsidR="003B2027" w:rsidRPr="00BA79A1">
        <w:rPr>
          <w:color w:val="auto"/>
        </w:rPr>
        <w:t xml:space="preserve">ability to </w:t>
      </w:r>
      <w:r w:rsidR="00D876E9" w:rsidRPr="00BA79A1">
        <w:rPr>
          <w:color w:val="auto"/>
        </w:rPr>
        <w:t>invest in</w:t>
      </w:r>
      <w:r w:rsidR="003B2027" w:rsidRPr="00BA79A1">
        <w:rPr>
          <w:color w:val="auto"/>
        </w:rPr>
        <w:t xml:space="preserve"> resilient</w:t>
      </w:r>
      <w:r w:rsidR="00D876E9" w:rsidRPr="00BA79A1">
        <w:rPr>
          <w:color w:val="auto"/>
        </w:rPr>
        <w:t xml:space="preserve"> infrastructure </w:t>
      </w:r>
      <w:r w:rsidR="003B2027" w:rsidRPr="00BA79A1">
        <w:rPr>
          <w:color w:val="auto"/>
        </w:rPr>
        <w:t xml:space="preserve">resulting in </w:t>
      </w:r>
      <w:proofErr w:type="gramStart"/>
      <w:r w:rsidR="003B2027" w:rsidRPr="00BA79A1">
        <w:rPr>
          <w:color w:val="auto"/>
        </w:rPr>
        <w:t>a number of</w:t>
      </w:r>
      <w:proofErr w:type="gramEnd"/>
      <w:r w:rsidR="003B2027" w:rsidRPr="00BA79A1">
        <w:rPr>
          <w:color w:val="auto"/>
        </w:rPr>
        <w:t xml:space="preserve"> </w:t>
      </w:r>
      <w:r w:rsidR="00D876E9" w:rsidRPr="00BA79A1">
        <w:rPr>
          <w:color w:val="auto"/>
        </w:rPr>
        <w:t>gap</w:t>
      </w:r>
      <w:r w:rsidR="003B2027" w:rsidRPr="00BA79A1">
        <w:rPr>
          <w:color w:val="auto"/>
        </w:rPr>
        <w:t>s</w:t>
      </w:r>
      <w:r w:rsidR="00D876E9" w:rsidRPr="00BA79A1">
        <w:rPr>
          <w:color w:val="auto"/>
        </w:rPr>
        <w:t xml:space="preserve">. </w:t>
      </w:r>
      <w:r w:rsidR="00936FCA" w:rsidRPr="00BA79A1">
        <w:rPr>
          <w:color w:val="auto"/>
        </w:rPr>
        <w:t xml:space="preserve">Australia can value add in this sector and </w:t>
      </w:r>
      <w:r w:rsidR="00D32A8B" w:rsidRPr="00BA79A1">
        <w:rPr>
          <w:color w:val="auto"/>
        </w:rPr>
        <w:t xml:space="preserve">build on </w:t>
      </w:r>
      <w:r w:rsidR="00936FCA" w:rsidRPr="00BA79A1">
        <w:rPr>
          <w:color w:val="auto"/>
        </w:rPr>
        <w:t xml:space="preserve">previous experience </w:t>
      </w:r>
      <w:r w:rsidR="00D32A8B" w:rsidRPr="00BA79A1">
        <w:rPr>
          <w:color w:val="auto"/>
        </w:rPr>
        <w:t xml:space="preserve">and lessons learnt </w:t>
      </w:r>
      <w:r w:rsidR="00D876E9" w:rsidRPr="00BA79A1">
        <w:rPr>
          <w:color w:val="auto"/>
        </w:rPr>
        <w:t xml:space="preserve">(school, power station). </w:t>
      </w:r>
      <w:r w:rsidR="00D32A8B" w:rsidRPr="00BA79A1">
        <w:rPr>
          <w:color w:val="auto"/>
        </w:rPr>
        <w:t xml:space="preserve">The </w:t>
      </w:r>
      <w:r w:rsidR="00D876E9" w:rsidRPr="00BA79A1">
        <w:rPr>
          <w:color w:val="auto"/>
        </w:rPr>
        <w:t xml:space="preserve">focus </w:t>
      </w:r>
      <w:r w:rsidR="00D32A8B" w:rsidRPr="00BA79A1">
        <w:rPr>
          <w:color w:val="auto"/>
        </w:rPr>
        <w:t xml:space="preserve">will be on </w:t>
      </w:r>
      <w:r w:rsidR="00D876E9" w:rsidRPr="00BA79A1">
        <w:rPr>
          <w:color w:val="auto"/>
        </w:rPr>
        <w:t>critical infrastructure</w:t>
      </w:r>
      <w:r w:rsidR="00C671F5" w:rsidRPr="00BA79A1">
        <w:rPr>
          <w:color w:val="auto"/>
        </w:rPr>
        <w:t xml:space="preserve"> which deliver</w:t>
      </w:r>
      <w:r w:rsidR="00CA6633" w:rsidRPr="00BA79A1">
        <w:rPr>
          <w:color w:val="auto"/>
        </w:rPr>
        <w:t>s</w:t>
      </w:r>
      <w:r w:rsidR="00C671F5" w:rsidRPr="00BA79A1">
        <w:rPr>
          <w:color w:val="auto"/>
        </w:rPr>
        <w:t xml:space="preserve"> clear and sustainable development outcomes</w:t>
      </w:r>
      <w:r w:rsidR="00D876E9" w:rsidRPr="00BA79A1">
        <w:rPr>
          <w:color w:val="auto"/>
        </w:rPr>
        <w:t xml:space="preserve">. </w:t>
      </w:r>
      <w:r w:rsidR="00C671F5" w:rsidRPr="00BA79A1">
        <w:rPr>
          <w:color w:val="auto"/>
        </w:rPr>
        <w:t>Infrastructure will need to be c</w:t>
      </w:r>
      <w:r w:rsidR="00D876E9" w:rsidRPr="00BA79A1">
        <w:rPr>
          <w:color w:val="auto"/>
        </w:rPr>
        <w:t xml:space="preserve">ompliant with </w:t>
      </w:r>
      <w:r w:rsidR="00C671F5" w:rsidRPr="00BA79A1">
        <w:rPr>
          <w:color w:val="auto"/>
        </w:rPr>
        <w:t xml:space="preserve">Niue’s </w:t>
      </w:r>
      <w:r w:rsidR="00D876E9" w:rsidRPr="00BA79A1">
        <w:rPr>
          <w:color w:val="auto"/>
        </w:rPr>
        <w:t>new building code at minimum, and in line with build back better principles</w:t>
      </w:r>
      <w:r w:rsidR="00C671F5" w:rsidRPr="00BA79A1">
        <w:rPr>
          <w:color w:val="auto"/>
        </w:rPr>
        <w:t>.</w:t>
      </w:r>
    </w:p>
    <w:p w14:paraId="4A2C2833" w14:textId="01FF8CCB" w:rsidR="0092350F" w:rsidRPr="00BA79A1" w:rsidRDefault="00E47975" w:rsidP="0092350F">
      <w:pPr>
        <w:rPr>
          <w:color w:val="auto"/>
        </w:rPr>
      </w:pPr>
      <w:r w:rsidRPr="00BA79A1">
        <w:rPr>
          <w:color w:val="auto"/>
        </w:rPr>
        <w:t xml:space="preserve">A number of </w:t>
      </w:r>
      <w:r w:rsidR="00671B9E" w:rsidRPr="00BA79A1">
        <w:rPr>
          <w:color w:val="auto"/>
        </w:rPr>
        <w:t>priorities</w:t>
      </w:r>
      <w:r w:rsidRPr="00BA79A1">
        <w:rPr>
          <w:color w:val="auto"/>
        </w:rPr>
        <w:t xml:space="preserve"> have been identified</w:t>
      </w:r>
      <w:r w:rsidR="006544C3" w:rsidRPr="00BA79A1">
        <w:rPr>
          <w:color w:val="auto"/>
        </w:rPr>
        <w:t xml:space="preserve">, particularly relating to climate change considerations </w:t>
      </w:r>
      <w:r w:rsidRPr="00BA79A1">
        <w:rPr>
          <w:color w:val="auto"/>
        </w:rPr>
        <w:t xml:space="preserve">and </w:t>
      </w:r>
      <w:proofErr w:type="gramStart"/>
      <w:r w:rsidRPr="00BA79A1">
        <w:rPr>
          <w:color w:val="auto"/>
        </w:rPr>
        <w:t>include:</w:t>
      </w:r>
      <w:proofErr w:type="gramEnd"/>
      <w:r w:rsidRPr="00BA79A1">
        <w:rPr>
          <w:color w:val="auto"/>
        </w:rPr>
        <w:t xml:space="preserve"> </w:t>
      </w:r>
      <w:r w:rsidR="00C02E11" w:rsidRPr="00BA79A1">
        <w:rPr>
          <w:color w:val="auto"/>
        </w:rPr>
        <w:t>w</w:t>
      </w:r>
      <w:r w:rsidRPr="00BA79A1">
        <w:rPr>
          <w:color w:val="auto"/>
        </w:rPr>
        <w:t xml:space="preserve">ater </w:t>
      </w:r>
      <w:r w:rsidR="00C02E11" w:rsidRPr="00BA79A1">
        <w:rPr>
          <w:color w:val="auto"/>
        </w:rPr>
        <w:t>r</w:t>
      </w:r>
      <w:r w:rsidRPr="00BA79A1">
        <w:rPr>
          <w:color w:val="auto"/>
        </w:rPr>
        <w:t>esource management</w:t>
      </w:r>
      <w:r w:rsidR="00671B9E" w:rsidRPr="00BA79A1">
        <w:rPr>
          <w:color w:val="auto"/>
        </w:rPr>
        <w:t xml:space="preserve">; </w:t>
      </w:r>
      <w:r w:rsidR="00BD4E92" w:rsidRPr="00BA79A1">
        <w:rPr>
          <w:color w:val="auto"/>
        </w:rPr>
        <w:t>and</w:t>
      </w:r>
      <w:r w:rsidRPr="00BA79A1">
        <w:rPr>
          <w:color w:val="auto"/>
        </w:rPr>
        <w:t xml:space="preserve"> </w:t>
      </w:r>
      <w:r w:rsidR="00C02E11" w:rsidRPr="00BA79A1">
        <w:rPr>
          <w:color w:val="auto"/>
        </w:rPr>
        <w:t>w</w:t>
      </w:r>
      <w:r w:rsidRPr="00BA79A1">
        <w:rPr>
          <w:color w:val="auto"/>
        </w:rPr>
        <w:t xml:space="preserve">aste </w:t>
      </w:r>
      <w:r w:rsidR="0051730A" w:rsidRPr="00BA79A1">
        <w:rPr>
          <w:color w:val="auto"/>
        </w:rPr>
        <w:t>and</w:t>
      </w:r>
      <w:r w:rsidRPr="00BA79A1">
        <w:rPr>
          <w:color w:val="auto"/>
        </w:rPr>
        <w:t xml:space="preserve"> sanitation management strategy for general, liquid and organic wastes</w:t>
      </w:r>
      <w:r w:rsidR="00BD4E92" w:rsidRPr="00BA79A1">
        <w:rPr>
          <w:color w:val="auto"/>
        </w:rPr>
        <w:t>.</w:t>
      </w:r>
      <w:r w:rsidR="0092350F" w:rsidRPr="00BA79A1">
        <w:rPr>
          <w:i/>
          <w:iCs/>
          <w:color w:val="auto"/>
        </w:rPr>
        <w:t xml:space="preserve"> </w:t>
      </w:r>
      <w:r w:rsidR="00CA4488" w:rsidRPr="00BA79A1">
        <w:rPr>
          <w:color w:val="auto"/>
        </w:rPr>
        <w:t xml:space="preserve">A key priority during the first year of implementation will be scoping the focus </w:t>
      </w:r>
      <w:r w:rsidR="00431C95" w:rsidRPr="00BA79A1">
        <w:rPr>
          <w:color w:val="auto"/>
        </w:rPr>
        <w:t xml:space="preserve">and modality </w:t>
      </w:r>
      <w:r w:rsidR="00CA4488" w:rsidRPr="00BA79A1">
        <w:rPr>
          <w:color w:val="auto"/>
        </w:rPr>
        <w:t>of our infrastructure support.</w:t>
      </w:r>
      <w:r w:rsidR="00431C95" w:rsidRPr="00BA79A1">
        <w:rPr>
          <w:color w:val="auto"/>
        </w:rPr>
        <w:t xml:space="preserve"> Our approach for implementation will </w:t>
      </w:r>
      <w:proofErr w:type="gramStart"/>
      <w:r w:rsidR="00431C95" w:rsidRPr="00BA79A1">
        <w:rPr>
          <w:color w:val="auto"/>
        </w:rPr>
        <w:t>take into account</w:t>
      </w:r>
      <w:proofErr w:type="gramEnd"/>
      <w:r w:rsidR="00431C95" w:rsidRPr="00BA79A1">
        <w:rPr>
          <w:color w:val="auto"/>
        </w:rPr>
        <w:t xml:space="preserve"> fiduciary risk identified in the ANS. We will look to partner with multilateral partners where possible to leverage additional funding and </w:t>
      </w:r>
      <w:r w:rsidR="00CA6633" w:rsidRPr="00BA79A1">
        <w:rPr>
          <w:color w:val="auto"/>
        </w:rPr>
        <w:t xml:space="preserve">their extensive </w:t>
      </w:r>
      <w:r w:rsidR="00431C95" w:rsidRPr="00BA79A1">
        <w:rPr>
          <w:color w:val="auto"/>
        </w:rPr>
        <w:t>expertise</w:t>
      </w:r>
      <w:r w:rsidR="00CA6633" w:rsidRPr="00BA79A1">
        <w:rPr>
          <w:color w:val="auto"/>
        </w:rPr>
        <w:t xml:space="preserve"> and experience</w:t>
      </w:r>
      <w:r w:rsidR="00431C95" w:rsidRPr="00BA79A1">
        <w:rPr>
          <w:color w:val="auto"/>
        </w:rPr>
        <w:t>.</w:t>
      </w:r>
      <w:r w:rsidR="00D11E15" w:rsidRPr="00BA79A1">
        <w:rPr>
          <w:color w:val="auto"/>
        </w:rPr>
        <w:t xml:space="preserve"> We will look to draw on and build N</w:t>
      </w:r>
      <w:r w:rsidR="00D11E15" w:rsidRPr="00BA79A1">
        <w:rPr>
          <w:rFonts w:eastAsia="Times New Roman"/>
          <w:color w:val="auto"/>
        </w:rPr>
        <w:t xml:space="preserve">iue’s domestic capabilities.  </w:t>
      </w:r>
    </w:p>
    <w:p w14:paraId="3D82DE70" w14:textId="2F0767F7" w:rsidR="0092350F" w:rsidRPr="00BA79A1" w:rsidRDefault="0092350F" w:rsidP="0092350F">
      <w:pPr>
        <w:rPr>
          <w:i/>
          <w:iCs/>
          <w:color w:val="auto"/>
        </w:rPr>
      </w:pPr>
      <w:r w:rsidRPr="00BA79A1">
        <w:rPr>
          <w:i/>
          <w:iCs/>
          <w:color w:val="auto"/>
        </w:rPr>
        <w:t>Disaster Risk reduction and Resilience</w:t>
      </w:r>
    </w:p>
    <w:p w14:paraId="609C3A23" w14:textId="28C6D7F2" w:rsidR="0092350F" w:rsidRPr="00BA79A1" w:rsidRDefault="00CA4488" w:rsidP="0092350F">
      <w:pPr>
        <w:rPr>
          <w:color w:val="auto"/>
        </w:rPr>
      </w:pPr>
      <w:r w:rsidRPr="00BA79A1">
        <w:rPr>
          <w:color w:val="auto"/>
        </w:rPr>
        <w:t>Infrastructure activities</w:t>
      </w:r>
      <w:r w:rsidR="0092350F" w:rsidRPr="00BA79A1">
        <w:rPr>
          <w:color w:val="auto"/>
        </w:rPr>
        <w:t xml:space="preserve"> will be consistent with Australia’s international commitment to the </w:t>
      </w:r>
      <w:r w:rsidR="0092350F" w:rsidRPr="00BA79A1">
        <w:rPr>
          <w:i/>
          <w:iCs/>
          <w:color w:val="auto"/>
        </w:rPr>
        <w:t>Sendai Framework for Disaster Risk Reduction 2015-2030</w:t>
      </w:r>
      <w:r w:rsidR="0092350F" w:rsidRPr="00BA79A1">
        <w:rPr>
          <w:color w:val="auto"/>
        </w:rPr>
        <w:t xml:space="preserve"> – the global framework for addressing disaster resilience, risk reduction and response. An agreed priority area for action under the Sendai Framework is to help partner countries ‘build back better’ in recovery, </w:t>
      </w:r>
      <w:proofErr w:type="gramStart"/>
      <w:r w:rsidR="0092350F" w:rsidRPr="00BA79A1">
        <w:rPr>
          <w:color w:val="auto"/>
        </w:rPr>
        <w:t>rehabilitation</w:t>
      </w:r>
      <w:proofErr w:type="gramEnd"/>
      <w:r w:rsidR="0092350F" w:rsidRPr="00BA79A1">
        <w:rPr>
          <w:color w:val="auto"/>
        </w:rPr>
        <w:t xml:space="preserve"> and reconstruction. </w:t>
      </w:r>
    </w:p>
    <w:p w14:paraId="646F4D8B" w14:textId="122ADCB7" w:rsidR="0092350F" w:rsidRPr="00BA79A1" w:rsidRDefault="0092350F" w:rsidP="0092350F">
      <w:pPr>
        <w:rPr>
          <w:color w:val="auto"/>
        </w:rPr>
      </w:pPr>
      <w:r w:rsidRPr="00BA79A1">
        <w:rPr>
          <w:color w:val="auto"/>
        </w:rPr>
        <w:t>Building Back Better entails identifying the social and structural causes of damage and ensuring reconstruction does not rebuild the same vulnerabilities and is accessible to all. Where practicable, our assistance to public infrastructure will help Niue be better prepared for future natural disasters. Building resilience also applies to government resources. Where the opportunity exists, Post will encourage the Niue Government to build greater financial resilience and predictability to manage and respond to disasters. This could include areas such as improved management of the Trust Fund and increased levels of cash reserves.</w:t>
      </w:r>
    </w:p>
    <w:p w14:paraId="7AABAA71" w14:textId="1AEF4138" w:rsidR="00F151CF" w:rsidRPr="00BA79A1" w:rsidRDefault="00BD4E92" w:rsidP="00A32858">
      <w:pPr>
        <w:rPr>
          <w:color w:val="auto"/>
          <w:sz w:val="21"/>
          <w:szCs w:val="21"/>
          <w:u w:val="single"/>
        </w:rPr>
      </w:pPr>
      <w:r w:rsidRPr="00BA79A1">
        <w:rPr>
          <w:color w:val="auto"/>
          <w:sz w:val="21"/>
          <w:szCs w:val="21"/>
          <w:u w:val="single"/>
        </w:rPr>
        <w:t>Econom</w:t>
      </w:r>
      <w:r w:rsidR="005E0ABF" w:rsidRPr="00BA79A1">
        <w:rPr>
          <w:color w:val="auto"/>
          <w:sz w:val="21"/>
          <w:szCs w:val="21"/>
          <w:u w:val="single"/>
        </w:rPr>
        <w:t>ic Recovery</w:t>
      </w:r>
    </w:p>
    <w:p w14:paraId="35560F6B" w14:textId="77777777" w:rsidR="00782C48" w:rsidRPr="00BA79A1" w:rsidRDefault="00BC2F7D" w:rsidP="00A32858">
      <w:pPr>
        <w:rPr>
          <w:color w:val="auto"/>
        </w:rPr>
      </w:pPr>
      <w:r w:rsidRPr="00BA79A1">
        <w:rPr>
          <w:color w:val="auto"/>
        </w:rPr>
        <w:t>Niue faces significant budget constraints which have been exacerbated by</w:t>
      </w:r>
      <w:r w:rsidR="00EE73BA" w:rsidRPr="00BA79A1">
        <w:rPr>
          <w:color w:val="auto"/>
        </w:rPr>
        <w:t xml:space="preserve"> the loss of tourism revenue due to</w:t>
      </w:r>
      <w:r w:rsidRPr="00BA79A1">
        <w:rPr>
          <w:color w:val="auto"/>
        </w:rPr>
        <w:t xml:space="preserve"> </w:t>
      </w:r>
      <w:r w:rsidR="00EE73BA" w:rsidRPr="00BA79A1">
        <w:rPr>
          <w:color w:val="auto"/>
        </w:rPr>
        <w:t xml:space="preserve">COVID-19 travel restrictions. </w:t>
      </w:r>
      <w:r w:rsidR="00225A22" w:rsidRPr="00BA79A1">
        <w:rPr>
          <w:color w:val="auto"/>
        </w:rPr>
        <w:t>New Zealand, as the major donor in Niue, provide</w:t>
      </w:r>
      <w:r w:rsidR="00782C48" w:rsidRPr="00BA79A1">
        <w:rPr>
          <w:color w:val="auto"/>
        </w:rPr>
        <w:t>s</w:t>
      </w:r>
      <w:r w:rsidR="00225A22" w:rsidRPr="00BA79A1">
        <w:rPr>
          <w:color w:val="auto"/>
        </w:rPr>
        <w:t xml:space="preserve"> substantial budget support. </w:t>
      </w:r>
    </w:p>
    <w:p w14:paraId="0D1DF71E" w14:textId="141534C5" w:rsidR="001D4759" w:rsidRPr="00BA79A1" w:rsidRDefault="001D4759" w:rsidP="00A32858">
      <w:pPr>
        <w:rPr>
          <w:i/>
          <w:iCs/>
          <w:color w:val="auto"/>
          <w:sz w:val="21"/>
          <w:szCs w:val="21"/>
        </w:rPr>
      </w:pPr>
      <w:r w:rsidRPr="00BA79A1">
        <w:rPr>
          <w:i/>
          <w:iCs/>
          <w:color w:val="auto"/>
          <w:sz w:val="21"/>
          <w:szCs w:val="21"/>
        </w:rPr>
        <w:t>Niue International Trust Fund</w:t>
      </w:r>
    </w:p>
    <w:p w14:paraId="768B5A7B" w14:textId="10656533" w:rsidR="00431C95" w:rsidRPr="00BA79A1" w:rsidRDefault="00431C95" w:rsidP="00A32858">
      <w:pPr>
        <w:rPr>
          <w:color w:val="auto"/>
        </w:rPr>
      </w:pPr>
      <w:r w:rsidRPr="00BA79A1">
        <w:rPr>
          <w:color w:val="auto"/>
        </w:rPr>
        <w:t>In recognition of the important role of the NITF</w:t>
      </w:r>
      <w:r w:rsidR="00C02E11" w:rsidRPr="00BA79A1">
        <w:rPr>
          <w:color w:val="auto"/>
        </w:rPr>
        <w:t xml:space="preserve"> in providing stability</w:t>
      </w:r>
      <w:r w:rsidRPr="00BA79A1">
        <w:rPr>
          <w:color w:val="auto"/>
        </w:rPr>
        <w:t xml:space="preserve">, we will provide support to the trust fund over the life of the investment. Our contribution will be assessed on an annual basis and will depend in part on implementation rates of infrastructure activities. </w:t>
      </w:r>
    </w:p>
    <w:p w14:paraId="0C962E94" w14:textId="3C7E2E0E" w:rsidR="001D4759" w:rsidRPr="00BA79A1" w:rsidRDefault="00431C95" w:rsidP="00A32858">
      <w:pPr>
        <w:rPr>
          <w:color w:val="auto"/>
        </w:rPr>
      </w:pPr>
      <w:r w:rsidRPr="00BA79A1">
        <w:rPr>
          <w:color w:val="auto"/>
        </w:rPr>
        <w:t>As agreed in late 2021, Australia will provide funding for professional service</w:t>
      </w:r>
      <w:r w:rsidR="00DF688A">
        <w:rPr>
          <w:color w:val="auto"/>
        </w:rPr>
        <w:t>s</w:t>
      </w:r>
      <w:r w:rsidRPr="00BA79A1">
        <w:rPr>
          <w:color w:val="auto"/>
        </w:rPr>
        <w:t xml:space="preserve"> to the NITF. In-country technical advice remains an important option </w:t>
      </w:r>
      <w:proofErr w:type="gramStart"/>
      <w:r w:rsidRPr="00BA79A1">
        <w:rPr>
          <w:color w:val="auto"/>
        </w:rPr>
        <w:t>with regard to</w:t>
      </w:r>
      <w:proofErr w:type="gramEnd"/>
      <w:r w:rsidRPr="00BA79A1">
        <w:rPr>
          <w:color w:val="auto"/>
        </w:rPr>
        <w:t xml:space="preserve"> support the sustainability and improving the effectiveness of the NITF. With border and travel restrictions likely to remain in some form in 2022, remote options may be more appropriate.</w:t>
      </w:r>
    </w:p>
    <w:p w14:paraId="25EDD102" w14:textId="639D2A07" w:rsidR="000953F0" w:rsidRPr="00BA79A1" w:rsidRDefault="000953F0" w:rsidP="00A32858">
      <w:pPr>
        <w:rPr>
          <w:color w:val="auto"/>
        </w:rPr>
      </w:pPr>
      <w:r w:rsidRPr="00BA79A1">
        <w:rPr>
          <w:color w:val="auto"/>
        </w:rPr>
        <w:t xml:space="preserve">We will also look for opportunities to support emerging innovative financing options such as the Niue Oceans Wide (NOW) Trust </w:t>
      </w:r>
      <w:proofErr w:type="gramStart"/>
      <w:r w:rsidRPr="00BA79A1">
        <w:rPr>
          <w:color w:val="auto"/>
        </w:rPr>
        <w:t>which</w:t>
      </w:r>
      <w:proofErr w:type="gramEnd"/>
      <w:r w:rsidRPr="00BA79A1">
        <w:rPr>
          <w:color w:val="auto"/>
        </w:rPr>
        <w:t xml:space="preserve"> is currently being developed by Government of Niue as part of public private partnership with </w:t>
      </w:r>
      <w:proofErr w:type="spellStart"/>
      <w:r w:rsidRPr="00BA79A1">
        <w:rPr>
          <w:color w:val="auto"/>
        </w:rPr>
        <w:t>Tofia</w:t>
      </w:r>
      <w:proofErr w:type="spellEnd"/>
      <w:r w:rsidRPr="00BA79A1">
        <w:rPr>
          <w:color w:val="auto"/>
        </w:rPr>
        <w:t xml:space="preserve"> Niue.</w:t>
      </w:r>
    </w:p>
    <w:p w14:paraId="2850D90E" w14:textId="6AFA08D5" w:rsidR="00DC0D2B" w:rsidRPr="00BA79A1" w:rsidRDefault="00DC0D2B" w:rsidP="00DC0D2B">
      <w:pPr>
        <w:rPr>
          <w:i/>
          <w:iCs/>
          <w:color w:val="auto"/>
          <w:sz w:val="21"/>
          <w:szCs w:val="21"/>
          <w:lang w:val="en-AU"/>
        </w:rPr>
      </w:pPr>
      <w:r w:rsidRPr="00BA79A1">
        <w:rPr>
          <w:i/>
          <w:iCs/>
          <w:color w:val="auto"/>
          <w:sz w:val="21"/>
          <w:szCs w:val="21"/>
        </w:rPr>
        <w:t>Government Systems</w:t>
      </w:r>
    </w:p>
    <w:p w14:paraId="5FC010CB" w14:textId="21FF0D57" w:rsidR="00DC0D2B" w:rsidRPr="00BA79A1" w:rsidRDefault="00DC0D2B" w:rsidP="00087E5E">
      <w:pPr>
        <w:rPr>
          <w:color w:val="auto"/>
        </w:rPr>
      </w:pPr>
      <w:r w:rsidRPr="00BA79A1">
        <w:rPr>
          <w:color w:val="auto"/>
        </w:rPr>
        <w:t xml:space="preserve">If requested by the Niue Government in </w:t>
      </w:r>
      <w:proofErr w:type="gramStart"/>
      <w:r w:rsidRPr="00BA79A1">
        <w:rPr>
          <w:color w:val="auto"/>
        </w:rPr>
        <w:t>an emergency situation</w:t>
      </w:r>
      <w:proofErr w:type="gramEnd"/>
      <w:r w:rsidRPr="00BA79A1">
        <w:rPr>
          <w:color w:val="auto"/>
        </w:rPr>
        <w:t xml:space="preserve">, we will consider providing direct financing to </w:t>
      </w:r>
      <w:proofErr w:type="spellStart"/>
      <w:r w:rsidR="00BA4EA2" w:rsidRPr="00BA79A1">
        <w:rPr>
          <w:color w:val="auto"/>
        </w:rPr>
        <w:t>GoN</w:t>
      </w:r>
      <w:proofErr w:type="spellEnd"/>
      <w:r w:rsidR="00BA4EA2" w:rsidRPr="00BA79A1">
        <w:rPr>
          <w:color w:val="auto"/>
        </w:rPr>
        <w:t xml:space="preserve"> to </w:t>
      </w:r>
      <w:r w:rsidRPr="00BA79A1">
        <w:rPr>
          <w:color w:val="auto"/>
        </w:rPr>
        <w:t xml:space="preserve">help maintain service delivery in the short-to-medium term. Financing would be limited to clearly defined, small value and time-limited projects or other earmarked expenditures, not for general budget </w:t>
      </w:r>
      <w:r w:rsidRPr="00BA79A1">
        <w:rPr>
          <w:color w:val="auto"/>
        </w:rPr>
        <w:lastRenderedPageBreak/>
        <w:t xml:space="preserve">support. We would only </w:t>
      </w:r>
      <w:r w:rsidR="00DF688A">
        <w:rPr>
          <w:color w:val="auto"/>
        </w:rPr>
        <w:t>provide</w:t>
      </w:r>
      <w:r w:rsidR="003D5665">
        <w:rPr>
          <w:color w:val="auto"/>
        </w:rPr>
        <w:t xml:space="preserve"> general budget support</w:t>
      </w:r>
      <w:r w:rsidR="00B90B5A">
        <w:rPr>
          <w:color w:val="auto"/>
        </w:rPr>
        <w:t xml:space="preserve"> </w:t>
      </w:r>
      <w:r w:rsidRPr="00BA79A1">
        <w:rPr>
          <w:color w:val="auto"/>
        </w:rPr>
        <w:t>where the alternative would be a substantial decrease in the delivery of health, education or justice services or an unacceptable risk of a fiscal crisis. Any such support would need to address fiduciary risks.</w:t>
      </w:r>
    </w:p>
    <w:p w14:paraId="2EDB71F9" w14:textId="40126C98" w:rsidR="00A32858" w:rsidRPr="00BA79A1" w:rsidRDefault="00A32858" w:rsidP="00A32858">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auto"/>
          <w:szCs w:val="21"/>
        </w:rPr>
      </w:pPr>
      <w:r w:rsidRPr="00BA79A1">
        <w:rPr>
          <w:rFonts w:asciiTheme="majorHAnsi" w:hAnsiTheme="majorHAnsi"/>
          <w:b/>
          <w:color w:val="auto"/>
          <w:szCs w:val="21"/>
        </w:rPr>
        <w:t xml:space="preserve">Implementation Arrangements </w:t>
      </w:r>
    </w:p>
    <w:p w14:paraId="6C054A58" w14:textId="01FD4BAC" w:rsidR="004B3886" w:rsidRPr="00BA79A1" w:rsidRDefault="004B3886" w:rsidP="004B3886">
      <w:pPr>
        <w:pStyle w:val="BodyText"/>
        <w:rPr>
          <w:color w:val="auto"/>
        </w:rPr>
      </w:pPr>
      <w:r w:rsidRPr="00BA79A1">
        <w:rPr>
          <w:color w:val="auto"/>
        </w:rPr>
        <w:t xml:space="preserve">Implementation of activities will be phased in accordance with Niue Government decisions on priorities and as resources (both human capacity and </w:t>
      </w:r>
      <w:r w:rsidR="00F55310">
        <w:rPr>
          <w:color w:val="auto"/>
        </w:rPr>
        <w:t>financial</w:t>
      </w:r>
      <w:r w:rsidRPr="00BA79A1">
        <w:rPr>
          <w:color w:val="auto"/>
        </w:rPr>
        <w:t>) become available</w:t>
      </w:r>
      <w:r w:rsidR="00F55310">
        <w:rPr>
          <w:color w:val="auto"/>
        </w:rPr>
        <w:t>. DFAT</w:t>
      </w:r>
      <w:r w:rsidRPr="00BA79A1">
        <w:rPr>
          <w:color w:val="auto"/>
        </w:rPr>
        <w:t xml:space="preserve"> will record formal Niue Government approval before proceeding with an activity and all activities will be monitored to ensure outcomes are being achieved. </w:t>
      </w:r>
    </w:p>
    <w:p w14:paraId="22020B34" w14:textId="27821CFA" w:rsidR="004B3886" w:rsidRPr="00BA79A1" w:rsidRDefault="004B3886" w:rsidP="004B3886">
      <w:pPr>
        <w:pStyle w:val="BodyText"/>
        <w:rPr>
          <w:color w:val="auto"/>
        </w:rPr>
      </w:pPr>
      <w:r w:rsidRPr="00BA79A1">
        <w:rPr>
          <w:color w:val="auto"/>
        </w:rPr>
        <w:t xml:space="preserve">Funding for activities will be released in tranches, where appropriate, so that progress can be </w:t>
      </w:r>
      <w:proofErr w:type="gramStart"/>
      <w:r w:rsidRPr="00BA79A1">
        <w:rPr>
          <w:color w:val="auto"/>
        </w:rPr>
        <w:t>monitored</w:t>
      </w:r>
      <w:proofErr w:type="gramEnd"/>
      <w:r w:rsidRPr="00BA79A1">
        <w:rPr>
          <w:color w:val="auto"/>
        </w:rPr>
        <w:t xml:space="preserve"> and tranches adjusted as necessary</w:t>
      </w:r>
      <w:r w:rsidR="00013647" w:rsidRPr="00BA79A1">
        <w:rPr>
          <w:color w:val="auto"/>
        </w:rPr>
        <w:t>.</w:t>
      </w:r>
      <w:r w:rsidRPr="00BA79A1">
        <w:rPr>
          <w:color w:val="auto"/>
        </w:rPr>
        <w:t xml:space="preserve"> We will work with the implementing partner</w:t>
      </w:r>
      <w:r w:rsidR="00BD0559" w:rsidRPr="00BA79A1">
        <w:rPr>
          <w:color w:val="auto"/>
        </w:rPr>
        <w:t>s</w:t>
      </w:r>
      <w:r w:rsidRPr="00BA79A1">
        <w:rPr>
          <w:color w:val="auto"/>
        </w:rPr>
        <w:t xml:space="preserve"> to ensure that Australian-funded projects proceed at the expected rate. </w:t>
      </w:r>
    </w:p>
    <w:p w14:paraId="0BB28077" w14:textId="77777777" w:rsidR="00546621" w:rsidRPr="00BA79A1" w:rsidRDefault="00546621" w:rsidP="00546621">
      <w:pPr>
        <w:pStyle w:val="BodyText"/>
        <w:rPr>
          <w:color w:val="auto"/>
        </w:rPr>
      </w:pPr>
      <w:r w:rsidRPr="00BA79A1">
        <w:rPr>
          <w:color w:val="auto"/>
        </w:rPr>
        <w:t xml:space="preserve">Australia will coordinate its development program with Niue Government systems to the extent possible, including to: </w:t>
      </w:r>
    </w:p>
    <w:p w14:paraId="59F70B67" w14:textId="77777777" w:rsidR="00546621" w:rsidRPr="00BA79A1" w:rsidRDefault="00546621" w:rsidP="00546621">
      <w:pPr>
        <w:pStyle w:val="BodyText"/>
        <w:spacing w:line="276" w:lineRule="auto"/>
        <w:ind w:left="720"/>
        <w:rPr>
          <w:color w:val="auto"/>
        </w:rPr>
      </w:pPr>
      <w:r w:rsidRPr="00BA79A1">
        <w:rPr>
          <w:color w:val="auto"/>
        </w:rPr>
        <w:sym w:font="Symbol" w:char="F0B7"/>
      </w:r>
      <w:r w:rsidRPr="00BA79A1">
        <w:rPr>
          <w:color w:val="auto"/>
        </w:rPr>
        <w:t xml:space="preserve"> coordinate with </w:t>
      </w:r>
      <w:proofErr w:type="gramStart"/>
      <w:r w:rsidRPr="00BA79A1">
        <w:rPr>
          <w:color w:val="auto"/>
        </w:rPr>
        <w:t>stakeholders;</w:t>
      </w:r>
      <w:proofErr w:type="gramEnd"/>
      <w:r w:rsidRPr="00BA79A1">
        <w:rPr>
          <w:color w:val="auto"/>
        </w:rPr>
        <w:t xml:space="preserve"> </w:t>
      </w:r>
    </w:p>
    <w:p w14:paraId="757D54C4" w14:textId="77777777" w:rsidR="00546621" w:rsidRPr="00BA79A1" w:rsidRDefault="00546621" w:rsidP="00546621">
      <w:pPr>
        <w:pStyle w:val="BodyText"/>
        <w:spacing w:line="276" w:lineRule="auto"/>
        <w:ind w:left="720"/>
        <w:rPr>
          <w:color w:val="auto"/>
        </w:rPr>
      </w:pPr>
      <w:r w:rsidRPr="00BA79A1">
        <w:rPr>
          <w:color w:val="auto"/>
        </w:rPr>
        <w:sym w:font="Symbol" w:char="F0B7"/>
      </w:r>
      <w:r w:rsidRPr="00BA79A1">
        <w:rPr>
          <w:color w:val="auto"/>
        </w:rPr>
        <w:t xml:space="preserve"> jointly plan and agree on which activities Australia will support and who will implement </w:t>
      </w:r>
      <w:proofErr w:type="gramStart"/>
      <w:r w:rsidRPr="00BA79A1">
        <w:rPr>
          <w:color w:val="auto"/>
        </w:rPr>
        <w:t>them;</w:t>
      </w:r>
      <w:proofErr w:type="gramEnd"/>
      <w:r w:rsidRPr="00BA79A1">
        <w:rPr>
          <w:color w:val="auto"/>
        </w:rPr>
        <w:t xml:space="preserve"> </w:t>
      </w:r>
    </w:p>
    <w:p w14:paraId="6429E80D" w14:textId="77777777" w:rsidR="00546621" w:rsidRPr="00BA79A1" w:rsidRDefault="00546621" w:rsidP="00546621">
      <w:pPr>
        <w:pStyle w:val="BodyText"/>
        <w:spacing w:line="276" w:lineRule="auto"/>
        <w:ind w:left="720"/>
        <w:rPr>
          <w:color w:val="auto"/>
        </w:rPr>
      </w:pPr>
      <w:r w:rsidRPr="00BA79A1">
        <w:rPr>
          <w:color w:val="auto"/>
        </w:rPr>
        <w:sym w:font="Symbol" w:char="F0B7"/>
      </w:r>
      <w:r w:rsidRPr="00BA79A1">
        <w:rPr>
          <w:color w:val="auto"/>
        </w:rPr>
        <w:t xml:space="preserve"> coordinate implementation of activities including reporting and M&amp;E; and </w:t>
      </w:r>
    </w:p>
    <w:p w14:paraId="36B81683" w14:textId="77777777" w:rsidR="00546621" w:rsidRPr="00BA79A1" w:rsidRDefault="00546621" w:rsidP="00546621">
      <w:pPr>
        <w:pStyle w:val="BodyText"/>
        <w:spacing w:line="276" w:lineRule="auto"/>
        <w:ind w:left="720"/>
        <w:rPr>
          <w:color w:val="auto"/>
        </w:rPr>
      </w:pPr>
      <w:r w:rsidRPr="00BA79A1">
        <w:rPr>
          <w:color w:val="auto"/>
        </w:rPr>
        <w:sym w:font="Symbol" w:char="F0B7"/>
      </w:r>
      <w:r w:rsidRPr="00BA79A1">
        <w:rPr>
          <w:color w:val="auto"/>
        </w:rPr>
        <w:t xml:space="preserve"> manage and disburse Australia’s financial contributions (only if required in an emergency). </w:t>
      </w:r>
    </w:p>
    <w:p w14:paraId="43749FD5" w14:textId="6297C769" w:rsidR="004B3886" w:rsidRPr="00BA79A1" w:rsidRDefault="004B3886" w:rsidP="004B3886">
      <w:pPr>
        <w:pStyle w:val="BodyText"/>
        <w:rPr>
          <w:color w:val="auto"/>
        </w:rPr>
      </w:pPr>
      <w:r w:rsidRPr="00BA79A1">
        <w:rPr>
          <w:color w:val="auto"/>
        </w:rPr>
        <w:t>Where, despite our efforts, there is an under-spend, we can seek to reallocate funds to other recovery projects</w:t>
      </w:r>
      <w:r w:rsidR="000953F0" w:rsidRPr="00BA79A1">
        <w:rPr>
          <w:color w:val="auto"/>
        </w:rPr>
        <w:t xml:space="preserve"> or the NITF</w:t>
      </w:r>
      <w:r w:rsidRPr="00BA79A1">
        <w:rPr>
          <w:color w:val="auto"/>
        </w:rPr>
        <w:t xml:space="preserve">. </w:t>
      </w:r>
    </w:p>
    <w:p w14:paraId="6C249554" w14:textId="77777777" w:rsidR="004B3886" w:rsidRPr="00BA79A1" w:rsidRDefault="004B3886" w:rsidP="004B3886">
      <w:pPr>
        <w:pStyle w:val="BodyText"/>
        <w:rPr>
          <w:b/>
          <w:bCs/>
          <w:color w:val="auto"/>
        </w:rPr>
      </w:pPr>
      <w:r w:rsidRPr="00BA79A1">
        <w:rPr>
          <w:b/>
          <w:bCs/>
          <w:color w:val="auto"/>
        </w:rPr>
        <w:t>Activity Approval Criteria</w:t>
      </w:r>
    </w:p>
    <w:p w14:paraId="5281A762" w14:textId="35802446" w:rsidR="004B3886" w:rsidRPr="00BA79A1" w:rsidRDefault="004B3886" w:rsidP="004B3886">
      <w:pPr>
        <w:pStyle w:val="BodyText"/>
        <w:rPr>
          <w:color w:val="auto"/>
        </w:rPr>
      </w:pPr>
      <w:r w:rsidRPr="00BA79A1">
        <w:rPr>
          <w:color w:val="auto"/>
        </w:rPr>
        <w:t xml:space="preserve">We will follow clear decision-making criteria to determine when and how to invest in potential activities. Activities will need to demonstrate that they are: </w:t>
      </w:r>
    </w:p>
    <w:p w14:paraId="52FF3BC8" w14:textId="5DCFE949" w:rsidR="004B3886" w:rsidRPr="00BA79A1" w:rsidRDefault="009F035B" w:rsidP="004B3886">
      <w:pPr>
        <w:pStyle w:val="BodyText"/>
        <w:numPr>
          <w:ilvl w:val="0"/>
          <w:numId w:val="43"/>
        </w:numPr>
        <w:rPr>
          <w:color w:val="auto"/>
        </w:rPr>
      </w:pPr>
      <w:r>
        <w:rPr>
          <w:color w:val="auto"/>
        </w:rPr>
        <w:t>meet</w:t>
      </w:r>
      <w:r w:rsidR="004B3886" w:rsidRPr="00BA79A1">
        <w:rPr>
          <w:color w:val="auto"/>
        </w:rPr>
        <w:t xml:space="preserve"> DFAT’s Investment Design Quality Criteria: relevant; effective; efficient; sustainable; able to be monitored and evaluated; </w:t>
      </w:r>
      <w:r w:rsidR="002517E4">
        <w:rPr>
          <w:color w:val="auto"/>
        </w:rPr>
        <w:t xml:space="preserve">and </w:t>
      </w:r>
      <w:r w:rsidR="004B3886" w:rsidRPr="00BA79A1">
        <w:rPr>
          <w:color w:val="auto"/>
        </w:rPr>
        <w:t xml:space="preserve">planned to adequately address gender equality and cross cutting </w:t>
      </w:r>
      <w:proofErr w:type="gramStart"/>
      <w:r w:rsidR="004B3886" w:rsidRPr="00BA79A1">
        <w:rPr>
          <w:color w:val="auto"/>
        </w:rPr>
        <w:t>issues;</w:t>
      </w:r>
      <w:proofErr w:type="gramEnd"/>
      <w:r w:rsidR="004B3886" w:rsidRPr="00BA79A1">
        <w:rPr>
          <w:color w:val="auto"/>
        </w:rPr>
        <w:t xml:space="preserve"> </w:t>
      </w:r>
    </w:p>
    <w:p w14:paraId="24A5580D" w14:textId="77777777" w:rsidR="004B3886" w:rsidRPr="00BA79A1" w:rsidRDefault="004B3886" w:rsidP="004B3886">
      <w:pPr>
        <w:pStyle w:val="BodyText"/>
        <w:numPr>
          <w:ilvl w:val="0"/>
          <w:numId w:val="43"/>
        </w:numPr>
        <w:rPr>
          <w:color w:val="auto"/>
        </w:rPr>
      </w:pPr>
      <w:r w:rsidRPr="00BA79A1">
        <w:rPr>
          <w:color w:val="auto"/>
        </w:rPr>
        <w:t>able to manage risks and apply departmental safeguards; and</w:t>
      </w:r>
    </w:p>
    <w:p w14:paraId="762FAFE1" w14:textId="77777777" w:rsidR="004B3886" w:rsidRPr="00BA79A1" w:rsidRDefault="004B3886" w:rsidP="004B3886">
      <w:pPr>
        <w:pStyle w:val="BodyText"/>
        <w:numPr>
          <w:ilvl w:val="0"/>
          <w:numId w:val="43"/>
        </w:numPr>
        <w:rPr>
          <w:color w:val="auto"/>
        </w:rPr>
      </w:pPr>
      <w:r w:rsidRPr="00BA79A1">
        <w:rPr>
          <w:color w:val="auto"/>
        </w:rPr>
        <w:t>using innovative approaches to deliver results in a resource constrained environment.</w:t>
      </w:r>
    </w:p>
    <w:p w14:paraId="1E7B3DAE" w14:textId="77777777" w:rsidR="004B3886" w:rsidRPr="00BA79A1" w:rsidRDefault="004B3886" w:rsidP="004B3886">
      <w:pPr>
        <w:pStyle w:val="BodyText"/>
        <w:rPr>
          <w:color w:val="auto"/>
        </w:rPr>
      </w:pPr>
      <w:r w:rsidRPr="00BA79A1">
        <w:rPr>
          <w:color w:val="auto"/>
        </w:rPr>
        <w:t xml:space="preserve">This means activities should: </w:t>
      </w:r>
    </w:p>
    <w:p w14:paraId="78FA0843" w14:textId="77777777" w:rsidR="004B3886" w:rsidRPr="00BA79A1" w:rsidRDefault="004B3886" w:rsidP="004B3886">
      <w:pPr>
        <w:pStyle w:val="BodyText"/>
        <w:numPr>
          <w:ilvl w:val="0"/>
          <w:numId w:val="44"/>
        </w:numPr>
        <w:rPr>
          <w:color w:val="auto"/>
        </w:rPr>
      </w:pPr>
      <w:r w:rsidRPr="00BA79A1">
        <w:rPr>
          <w:color w:val="auto"/>
        </w:rPr>
        <w:t xml:space="preserve">address a priority of the Government of Niue’s Strategic </w:t>
      </w:r>
      <w:proofErr w:type="gramStart"/>
      <w:r w:rsidRPr="00BA79A1">
        <w:rPr>
          <w:color w:val="auto"/>
        </w:rPr>
        <w:t>Plan;</w:t>
      </w:r>
      <w:proofErr w:type="gramEnd"/>
    </w:p>
    <w:p w14:paraId="2B1BDA31" w14:textId="77777777" w:rsidR="004B3886" w:rsidRPr="00BA79A1" w:rsidRDefault="004B3886" w:rsidP="004B3886">
      <w:pPr>
        <w:pStyle w:val="BodyText"/>
        <w:numPr>
          <w:ilvl w:val="0"/>
          <w:numId w:val="44"/>
        </w:numPr>
        <w:rPr>
          <w:color w:val="auto"/>
        </w:rPr>
      </w:pPr>
      <w:r w:rsidRPr="00BA79A1">
        <w:rPr>
          <w:color w:val="auto"/>
        </w:rPr>
        <w:t xml:space="preserve">align with Australia’s COVID-19 Recovery Strategy in supporting health security, economic recovery or </w:t>
      </w:r>
      <w:proofErr w:type="gramStart"/>
      <w:r w:rsidRPr="00BA79A1">
        <w:rPr>
          <w:color w:val="auto"/>
        </w:rPr>
        <w:t>stability;</w:t>
      </w:r>
      <w:proofErr w:type="gramEnd"/>
      <w:r w:rsidRPr="00BA79A1">
        <w:rPr>
          <w:color w:val="auto"/>
        </w:rPr>
        <w:t xml:space="preserve"> </w:t>
      </w:r>
    </w:p>
    <w:p w14:paraId="668E5A59" w14:textId="77777777" w:rsidR="004B3886" w:rsidRPr="00BA79A1" w:rsidRDefault="004B3886" w:rsidP="004B3886">
      <w:pPr>
        <w:pStyle w:val="BodyText"/>
        <w:numPr>
          <w:ilvl w:val="0"/>
          <w:numId w:val="44"/>
        </w:numPr>
        <w:rPr>
          <w:color w:val="auto"/>
        </w:rPr>
      </w:pPr>
      <w:r w:rsidRPr="00BA79A1">
        <w:rPr>
          <w:color w:val="auto"/>
        </w:rPr>
        <w:t xml:space="preserve">deliver clear economic, social or technical </w:t>
      </w:r>
      <w:proofErr w:type="gramStart"/>
      <w:r w:rsidRPr="00BA79A1">
        <w:rPr>
          <w:color w:val="auto"/>
        </w:rPr>
        <w:t>results;</w:t>
      </w:r>
      <w:proofErr w:type="gramEnd"/>
      <w:r w:rsidRPr="00BA79A1">
        <w:rPr>
          <w:color w:val="auto"/>
        </w:rPr>
        <w:t xml:space="preserve"> </w:t>
      </w:r>
    </w:p>
    <w:p w14:paraId="7E2CEC48" w14:textId="77777777" w:rsidR="004B3886" w:rsidRPr="00BA79A1" w:rsidRDefault="004B3886" w:rsidP="004B3886">
      <w:pPr>
        <w:pStyle w:val="BodyText"/>
        <w:numPr>
          <w:ilvl w:val="0"/>
          <w:numId w:val="44"/>
        </w:numPr>
        <w:rPr>
          <w:color w:val="auto"/>
        </w:rPr>
      </w:pPr>
      <w:r w:rsidRPr="00BA79A1">
        <w:rPr>
          <w:color w:val="auto"/>
        </w:rPr>
        <w:t xml:space="preserve">contain a budget which is realistic, defensible and provides value for </w:t>
      </w:r>
      <w:proofErr w:type="gramStart"/>
      <w:r w:rsidRPr="00BA79A1">
        <w:rPr>
          <w:color w:val="auto"/>
        </w:rPr>
        <w:t>money;</w:t>
      </w:r>
      <w:proofErr w:type="gramEnd"/>
      <w:r w:rsidRPr="00BA79A1">
        <w:rPr>
          <w:color w:val="auto"/>
        </w:rPr>
        <w:t xml:space="preserve"> </w:t>
      </w:r>
    </w:p>
    <w:p w14:paraId="1C719233" w14:textId="77777777" w:rsidR="004B3886" w:rsidRPr="00BA79A1" w:rsidRDefault="004B3886" w:rsidP="004B3886">
      <w:pPr>
        <w:pStyle w:val="BodyText"/>
        <w:numPr>
          <w:ilvl w:val="0"/>
          <w:numId w:val="44"/>
        </w:numPr>
        <w:rPr>
          <w:color w:val="auto"/>
        </w:rPr>
      </w:pPr>
      <w:r w:rsidRPr="00BA79A1">
        <w:rPr>
          <w:color w:val="auto"/>
        </w:rPr>
        <w:t xml:space="preserve">consider sustainability including whole of life costs and capacity </w:t>
      </w:r>
      <w:proofErr w:type="gramStart"/>
      <w:r w:rsidRPr="00BA79A1">
        <w:rPr>
          <w:color w:val="auto"/>
        </w:rPr>
        <w:t>building;</w:t>
      </w:r>
      <w:proofErr w:type="gramEnd"/>
    </w:p>
    <w:p w14:paraId="4C0274BC" w14:textId="77777777" w:rsidR="004B3886" w:rsidRPr="00BA79A1" w:rsidRDefault="004B3886" w:rsidP="004B3886">
      <w:pPr>
        <w:pStyle w:val="BodyText"/>
        <w:numPr>
          <w:ilvl w:val="0"/>
          <w:numId w:val="44"/>
        </w:numPr>
        <w:rPr>
          <w:color w:val="auto"/>
        </w:rPr>
      </w:pPr>
      <w:r w:rsidRPr="00BA79A1">
        <w:rPr>
          <w:color w:val="auto"/>
        </w:rPr>
        <w:t>harmonise with support from other development partners; and</w:t>
      </w:r>
    </w:p>
    <w:p w14:paraId="154531B5" w14:textId="77777777" w:rsidR="004B3886" w:rsidRPr="00BA79A1" w:rsidRDefault="004B3886" w:rsidP="004B3886">
      <w:pPr>
        <w:pStyle w:val="BodyText"/>
        <w:numPr>
          <w:ilvl w:val="0"/>
          <w:numId w:val="44"/>
        </w:numPr>
        <w:rPr>
          <w:color w:val="auto"/>
        </w:rPr>
      </w:pPr>
      <w:r w:rsidRPr="00BA79A1">
        <w:rPr>
          <w:color w:val="auto"/>
        </w:rPr>
        <w:t>support gender and disability inclusion.</w:t>
      </w:r>
    </w:p>
    <w:p w14:paraId="1A90A554" w14:textId="77777777" w:rsidR="004B3886" w:rsidRPr="00BA79A1" w:rsidRDefault="004B3886" w:rsidP="004B3886">
      <w:pPr>
        <w:pStyle w:val="BodyText"/>
        <w:rPr>
          <w:color w:val="auto"/>
        </w:rPr>
      </w:pPr>
      <w:r w:rsidRPr="00BA79A1">
        <w:rPr>
          <w:color w:val="auto"/>
        </w:rPr>
        <w:lastRenderedPageBreak/>
        <w:t xml:space="preserve">It is expected that activities will meet </w:t>
      </w:r>
      <w:proofErr w:type="gramStart"/>
      <w:r w:rsidRPr="00BA79A1">
        <w:rPr>
          <w:color w:val="auto"/>
        </w:rPr>
        <w:t>all of</w:t>
      </w:r>
      <w:proofErr w:type="gramEnd"/>
      <w:r w:rsidRPr="00BA79A1">
        <w:rPr>
          <w:color w:val="auto"/>
        </w:rPr>
        <w:t xml:space="preserve"> these criteria or provide clear justification why the activity should be funded in instances where all criteria are not met. </w:t>
      </w:r>
    </w:p>
    <w:p w14:paraId="3A234050" w14:textId="77777777" w:rsidR="004B3886" w:rsidRPr="00BA79A1" w:rsidRDefault="004B3886" w:rsidP="004B3886">
      <w:pPr>
        <w:pStyle w:val="BodyText"/>
        <w:rPr>
          <w:color w:val="auto"/>
        </w:rPr>
      </w:pPr>
      <w:r w:rsidRPr="00BA79A1">
        <w:rPr>
          <w:color w:val="auto"/>
        </w:rPr>
        <w:t>We will use these criteria to assess and approve activities. These activity approval criteria may not relate to the provision of general budget support (if requested) which may be based on broader considerations.</w:t>
      </w:r>
    </w:p>
    <w:p w14:paraId="75670AC3" w14:textId="77777777" w:rsidR="004B3886" w:rsidRPr="00BA79A1" w:rsidRDefault="004B3886" w:rsidP="004B3886">
      <w:pPr>
        <w:pStyle w:val="BodyText"/>
        <w:rPr>
          <w:b/>
          <w:bCs/>
          <w:color w:val="auto"/>
        </w:rPr>
      </w:pPr>
      <w:r w:rsidRPr="00BA79A1">
        <w:rPr>
          <w:b/>
          <w:bCs/>
          <w:color w:val="auto"/>
        </w:rPr>
        <w:t xml:space="preserve">Design and governance </w:t>
      </w:r>
    </w:p>
    <w:p w14:paraId="0D14C28B" w14:textId="77777777" w:rsidR="004B3886" w:rsidRPr="00BA79A1" w:rsidRDefault="004B3886" w:rsidP="004B3886">
      <w:pPr>
        <w:pStyle w:val="BodyText"/>
        <w:rPr>
          <w:color w:val="auto"/>
        </w:rPr>
      </w:pPr>
      <w:r w:rsidRPr="00BA79A1">
        <w:rPr>
          <w:color w:val="auto"/>
        </w:rPr>
        <w:t>This section describes the processes that we will follow to ensure that development funds are used to support high-quality activities.</w:t>
      </w:r>
    </w:p>
    <w:p w14:paraId="707810F4" w14:textId="1DF50C3C" w:rsidR="004B3886" w:rsidRPr="00BA79A1" w:rsidRDefault="004B3886" w:rsidP="004B3886">
      <w:pPr>
        <w:pStyle w:val="BodyText"/>
        <w:rPr>
          <w:color w:val="auto"/>
        </w:rPr>
      </w:pPr>
      <w:r w:rsidRPr="00BA79A1">
        <w:rPr>
          <w:color w:val="auto"/>
        </w:rPr>
        <w:t xml:space="preserve">We will </w:t>
      </w:r>
      <w:r w:rsidR="00D1526A">
        <w:rPr>
          <w:color w:val="auto"/>
        </w:rPr>
        <w:t>make decisions about</w:t>
      </w:r>
      <w:r w:rsidR="00D1526A" w:rsidRPr="00BA79A1">
        <w:rPr>
          <w:color w:val="auto"/>
        </w:rPr>
        <w:t xml:space="preserve"> </w:t>
      </w:r>
      <w:r w:rsidRPr="00BA79A1">
        <w:rPr>
          <w:color w:val="auto"/>
        </w:rPr>
        <w:t xml:space="preserve">whether to proceed </w:t>
      </w:r>
      <w:r w:rsidR="00FC38A3">
        <w:rPr>
          <w:color w:val="auto"/>
        </w:rPr>
        <w:t>based on</w:t>
      </w:r>
      <w:r w:rsidR="00FC38A3" w:rsidRPr="00BA79A1">
        <w:rPr>
          <w:color w:val="auto"/>
        </w:rPr>
        <w:t xml:space="preserve"> </w:t>
      </w:r>
      <w:r w:rsidRPr="00BA79A1">
        <w:rPr>
          <w:color w:val="auto"/>
        </w:rPr>
        <w:t xml:space="preserve">the quality assurance process </w:t>
      </w:r>
      <w:r w:rsidR="00FC38A3">
        <w:rPr>
          <w:color w:val="auto"/>
        </w:rPr>
        <w:t>stipulated in</w:t>
      </w:r>
      <w:r w:rsidRPr="00BA79A1">
        <w:rPr>
          <w:color w:val="auto"/>
        </w:rPr>
        <w:t xml:space="preserve"> DFAT’s Aid Programming Guide. The process involves assessing whether the project will be effective, efficient, relevant, and sustainable, in line with the criteria above, and whether the risks inherent in the process have been addressed.</w:t>
      </w:r>
    </w:p>
    <w:p w14:paraId="492F6543" w14:textId="5CE32CBE" w:rsidR="004B3886" w:rsidRPr="00BA79A1" w:rsidRDefault="00197D32" w:rsidP="004B3886">
      <w:pPr>
        <w:pStyle w:val="BodyText"/>
        <w:rPr>
          <w:color w:val="auto"/>
        </w:rPr>
      </w:pPr>
      <w:r w:rsidRPr="00BA79A1">
        <w:rPr>
          <w:color w:val="auto"/>
        </w:rPr>
        <w:t>In line with the Aid Programming Guide, investment level risk registers will be maintained across the portfolio of investments. The local engaged Policy Officer</w:t>
      </w:r>
      <w:r w:rsidR="00D815C8">
        <w:rPr>
          <w:color w:val="auto"/>
        </w:rPr>
        <w:t xml:space="preserve"> based at the Australian High Commission in Alofi</w:t>
      </w:r>
      <w:r w:rsidRPr="00BA79A1">
        <w:rPr>
          <w:color w:val="auto"/>
        </w:rPr>
        <w:t xml:space="preserve"> will be the delegate for the DAP risk register, Suva Post for AAPS and Niue desk officer </w:t>
      </w:r>
      <w:r w:rsidR="00D815C8">
        <w:rPr>
          <w:color w:val="auto"/>
        </w:rPr>
        <w:t xml:space="preserve">(DFAT Canberra) </w:t>
      </w:r>
      <w:r w:rsidRPr="00BA79A1">
        <w:rPr>
          <w:color w:val="auto"/>
        </w:rPr>
        <w:t xml:space="preserve">for the Niue Australia Development Program (primary investment).  </w:t>
      </w:r>
      <w:r w:rsidR="004B3886" w:rsidRPr="00BA79A1">
        <w:rPr>
          <w:color w:val="auto"/>
        </w:rPr>
        <w:t xml:space="preserve">The </w:t>
      </w:r>
      <w:r w:rsidR="004F6EC1">
        <w:rPr>
          <w:color w:val="auto"/>
        </w:rPr>
        <w:t xml:space="preserve">Australian </w:t>
      </w:r>
      <w:r w:rsidR="004B3886" w:rsidRPr="00BA79A1">
        <w:rPr>
          <w:color w:val="auto"/>
        </w:rPr>
        <w:t xml:space="preserve">High Commissioner </w:t>
      </w:r>
      <w:r w:rsidR="004F6EC1">
        <w:rPr>
          <w:color w:val="auto"/>
        </w:rPr>
        <w:t xml:space="preserve">to Niue </w:t>
      </w:r>
      <w:r w:rsidR="004B3886" w:rsidRPr="00BA79A1">
        <w:rPr>
          <w:color w:val="auto"/>
        </w:rPr>
        <w:t xml:space="preserve">is the delegate for </w:t>
      </w:r>
      <w:r w:rsidRPr="00BA79A1">
        <w:rPr>
          <w:color w:val="auto"/>
        </w:rPr>
        <w:t xml:space="preserve">the overarching Post risk register and risks that are assessed as high or above will be elevated to the High Commissioner </w:t>
      </w:r>
      <w:r w:rsidR="007F78DD" w:rsidRPr="00BA79A1">
        <w:rPr>
          <w:color w:val="auto"/>
        </w:rPr>
        <w:t>o</w:t>
      </w:r>
      <w:r w:rsidR="007F78DD">
        <w:rPr>
          <w:color w:val="auto"/>
        </w:rPr>
        <w:t>r</w:t>
      </w:r>
      <w:r w:rsidR="007F78DD" w:rsidRPr="00BA79A1">
        <w:rPr>
          <w:color w:val="auto"/>
        </w:rPr>
        <w:t xml:space="preserve"> </w:t>
      </w:r>
      <w:r w:rsidRPr="00BA79A1">
        <w:rPr>
          <w:color w:val="auto"/>
        </w:rPr>
        <w:t xml:space="preserve">delegate in Canberra. </w:t>
      </w:r>
      <w:r w:rsidR="004B3886" w:rsidRPr="00BA79A1">
        <w:rPr>
          <w:color w:val="auto"/>
        </w:rPr>
        <w:t>The appropriate financial delegate will be determined based on DFAT’s financial delegations.</w:t>
      </w:r>
      <w:r w:rsidR="00CA6633" w:rsidRPr="00BA79A1">
        <w:rPr>
          <w:color w:val="auto"/>
        </w:rPr>
        <w:t xml:space="preserve"> </w:t>
      </w:r>
    </w:p>
    <w:p w14:paraId="3A4CA8A9" w14:textId="180ECCFE" w:rsidR="004B3886" w:rsidRPr="00BA79A1" w:rsidRDefault="004B3886" w:rsidP="004B3886">
      <w:pPr>
        <w:pStyle w:val="BodyText"/>
        <w:rPr>
          <w:color w:val="auto"/>
        </w:rPr>
      </w:pPr>
      <w:r w:rsidRPr="00BA79A1">
        <w:rPr>
          <w:color w:val="auto"/>
        </w:rPr>
        <w:t>Once we have received approval</w:t>
      </w:r>
      <w:r w:rsidR="001320EF" w:rsidRPr="00BA79A1">
        <w:rPr>
          <w:color w:val="auto"/>
        </w:rPr>
        <w:t>s</w:t>
      </w:r>
      <w:r w:rsidRPr="00BA79A1">
        <w:rPr>
          <w:color w:val="auto"/>
        </w:rPr>
        <w:t xml:space="preserve"> to proceed, we will work with the relevant implementing partner to ensure that the agreed administrative and reporting tasks are completed. </w:t>
      </w:r>
    </w:p>
    <w:p w14:paraId="44A38A38" w14:textId="3B70430A" w:rsidR="004B3886" w:rsidRPr="00BA79A1" w:rsidRDefault="004B3886" w:rsidP="004B3886">
      <w:pPr>
        <w:pStyle w:val="BodyText"/>
        <w:rPr>
          <w:color w:val="auto"/>
        </w:rPr>
      </w:pPr>
      <w:r w:rsidRPr="00BA79A1">
        <w:rPr>
          <w:color w:val="auto"/>
        </w:rPr>
        <w:t xml:space="preserve">Our involvement in procurement, contracting and implementation arrangements will depend on the activity. In general, we need to be assured that procurement and contracting meet our quality, value for money, </w:t>
      </w:r>
      <w:proofErr w:type="gramStart"/>
      <w:r w:rsidRPr="00BA79A1">
        <w:rPr>
          <w:color w:val="auto"/>
        </w:rPr>
        <w:t>risk</w:t>
      </w:r>
      <w:proofErr w:type="gramEnd"/>
      <w:r w:rsidRPr="00BA79A1">
        <w:rPr>
          <w:color w:val="auto"/>
        </w:rPr>
        <w:t xml:space="preserve"> and safeguards requirements. We can do this in </w:t>
      </w:r>
      <w:proofErr w:type="gramStart"/>
      <w:r w:rsidRPr="00BA79A1">
        <w:rPr>
          <w:color w:val="auto"/>
        </w:rPr>
        <w:t>a number of</w:t>
      </w:r>
      <w:proofErr w:type="gramEnd"/>
      <w:r w:rsidRPr="00BA79A1">
        <w:rPr>
          <w:color w:val="auto"/>
        </w:rPr>
        <w:t xml:space="preserve"> ways, including reviewing completed tender, contracting and risk management documentation before releasing funds. Implementing contracts will generally form the basis of payments for which we will approve the release of funds. </w:t>
      </w:r>
    </w:p>
    <w:p w14:paraId="50FA5731" w14:textId="69CD871B" w:rsidR="004B3886" w:rsidRPr="00BA79A1" w:rsidRDefault="004B3886" w:rsidP="004B3886">
      <w:pPr>
        <w:pStyle w:val="BodyText"/>
        <w:rPr>
          <w:color w:val="auto"/>
        </w:rPr>
      </w:pPr>
      <w:r w:rsidRPr="00BA79A1">
        <w:rPr>
          <w:color w:val="auto"/>
        </w:rPr>
        <w:t xml:space="preserve">We will not proceed with a process where there is evidence of error, </w:t>
      </w:r>
      <w:proofErr w:type="gramStart"/>
      <w:r w:rsidRPr="00BA79A1">
        <w:rPr>
          <w:color w:val="auto"/>
        </w:rPr>
        <w:t>mismanagement</w:t>
      </w:r>
      <w:proofErr w:type="gramEnd"/>
      <w:r w:rsidRPr="00BA79A1">
        <w:rPr>
          <w:color w:val="auto"/>
        </w:rPr>
        <w:t xml:space="preserve"> or misdirection. We will also verify that the partner has performed satisfactor</w:t>
      </w:r>
      <w:r w:rsidR="007F78DD">
        <w:rPr>
          <w:color w:val="auto"/>
        </w:rPr>
        <w:t>ily</w:t>
      </w:r>
      <w:r w:rsidRPr="00BA79A1">
        <w:rPr>
          <w:color w:val="auto"/>
        </w:rPr>
        <w:t xml:space="preserve">; has the capacity to deliver on the body of work; and can put the appropriate fiduciary controls in place. </w:t>
      </w:r>
    </w:p>
    <w:p w14:paraId="2EEFCC44" w14:textId="0CC4FB24" w:rsidR="004B3886" w:rsidRPr="00BA79A1" w:rsidRDefault="004B3886" w:rsidP="004B3886">
      <w:pPr>
        <w:pStyle w:val="BodyText"/>
        <w:rPr>
          <w:color w:val="auto"/>
        </w:rPr>
      </w:pPr>
      <w:r w:rsidRPr="00BA79A1">
        <w:rPr>
          <w:color w:val="auto"/>
        </w:rPr>
        <w:t xml:space="preserve">DFAT staff in the Australian High Commission in </w:t>
      </w:r>
      <w:r w:rsidR="007F78DD">
        <w:rPr>
          <w:color w:val="auto"/>
        </w:rPr>
        <w:t>Alofi</w:t>
      </w:r>
      <w:r w:rsidR="007F78DD" w:rsidRPr="00BA79A1">
        <w:rPr>
          <w:color w:val="auto"/>
        </w:rPr>
        <w:t xml:space="preserve"> </w:t>
      </w:r>
      <w:r w:rsidRPr="00BA79A1">
        <w:rPr>
          <w:color w:val="auto"/>
        </w:rPr>
        <w:t>will undertake the analysis, with support from DFAT’s Canberra-based public financial management specialists</w:t>
      </w:r>
      <w:r w:rsidR="001320EF" w:rsidRPr="00BA79A1">
        <w:rPr>
          <w:color w:val="auto"/>
        </w:rPr>
        <w:t xml:space="preserve"> and </w:t>
      </w:r>
      <w:r w:rsidR="00B67107">
        <w:rPr>
          <w:color w:val="auto"/>
        </w:rPr>
        <w:t xml:space="preserve">the country </w:t>
      </w:r>
      <w:r w:rsidR="001320EF" w:rsidRPr="00BA79A1">
        <w:rPr>
          <w:color w:val="auto"/>
        </w:rPr>
        <w:t>desk</w:t>
      </w:r>
      <w:r w:rsidRPr="00BA79A1">
        <w:rPr>
          <w:color w:val="auto"/>
        </w:rPr>
        <w:t xml:space="preserve">. We will </w:t>
      </w:r>
      <w:proofErr w:type="gramStart"/>
      <w:r w:rsidRPr="00BA79A1">
        <w:rPr>
          <w:color w:val="auto"/>
        </w:rPr>
        <w:t>make an assessment of</w:t>
      </w:r>
      <w:proofErr w:type="gramEnd"/>
      <w:r w:rsidRPr="00BA79A1">
        <w:rPr>
          <w:color w:val="auto"/>
        </w:rPr>
        <w:t xml:space="preserve"> potential implementing partners on appropriateness based on annual performance and partner assessments, </w:t>
      </w:r>
      <w:r w:rsidR="001320EF" w:rsidRPr="00BA79A1">
        <w:rPr>
          <w:color w:val="auto"/>
        </w:rPr>
        <w:t xml:space="preserve">and </w:t>
      </w:r>
      <w:r w:rsidRPr="00BA79A1">
        <w:rPr>
          <w:color w:val="auto"/>
        </w:rPr>
        <w:t>independent and periodic review reports</w:t>
      </w:r>
      <w:r w:rsidR="001320EF" w:rsidRPr="00BA79A1">
        <w:rPr>
          <w:color w:val="auto"/>
        </w:rPr>
        <w:t>.</w:t>
      </w:r>
    </w:p>
    <w:p w14:paraId="407C21E6" w14:textId="77777777" w:rsidR="004B3886" w:rsidRPr="00BA79A1" w:rsidRDefault="004B3886" w:rsidP="004B3886">
      <w:pPr>
        <w:pStyle w:val="BodyText"/>
        <w:rPr>
          <w:color w:val="auto"/>
        </w:rPr>
      </w:pPr>
      <w:r w:rsidRPr="00BA79A1">
        <w:rPr>
          <w:color w:val="auto"/>
        </w:rPr>
        <w:t xml:space="preserve">Implementing partners and agreements could range from NGO or multilateral partners with grant agreements, to </w:t>
      </w:r>
      <w:proofErr w:type="gramStart"/>
      <w:r w:rsidRPr="00BA79A1">
        <w:rPr>
          <w:color w:val="auto"/>
        </w:rPr>
        <w:t>community based</w:t>
      </w:r>
      <w:proofErr w:type="gramEnd"/>
      <w:r w:rsidRPr="00BA79A1">
        <w:rPr>
          <w:color w:val="auto"/>
        </w:rPr>
        <w:t xml:space="preserve"> organisations with direct financing agreements, to contracts with managing contractors. </w:t>
      </w:r>
    </w:p>
    <w:p w14:paraId="752D3C2F" w14:textId="5A7BF5E7" w:rsidR="004B3886" w:rsidRPr="00BA79A1" w:rsidRDefault="004B3886" w:rsidP="004B3886">
      <w:pPr>
        <w:pStyle w:val="BodyText"/>
        <w:rPr>
          <w:color w:val="auto"/>
        </w:rPr>
      </w:pPr>
      <w:r w:rsidRPr="00BA79A1">
        <w:rPr>
          <w:color w:val="auto"/>
        </w:rPr>
        <w:t xml:space="preserve">Depending on the size of these activities, agreements </w:t>
      </w:r>
      <w:r w:rsidR="00744A6C">
        <w:rPr>
          <w:color w:val="auto"/>
        </w:rPr>
        <w:t>will be</w:t>
      </w:r>
      <w:r w:rsidRPr="00BA79A1">
        <w:rPr>
          <w:color w:val="auto"/>
        </w:rPr>
        <w:t xml:space="preserve"> governed by separate designs, and explicit financing, procurement and monitoring arrangements that align with DFAT policies. </w:t>
      </w:r>
      <w:r w:rsidR="00540A80" w:rsidRPr="00BA79A1">
        <w:rPr>
          <w:color w:val="auto"/>
        </w:rPr>
        <w:t>We</w:t>
      </w:r>
      <w:r w:rsidR="00744A6C">
        <w:rPr>
          <w:color w:val="auto"/>
        </w:rPr>
        <w:t xml:space="preserve"> will</w:t>
      </w:r>
      <w:r w:rsidR="00540A80" w:rsidRPr="00BA79A1">
        <w:rPr>
          <w:color w:val="auto"/>
        </w:rPr>
        <w:t xml:space="preserve"> </w:t>
      </w:r>
      <w:r w:rsidR="00540A80" w:rsidRPr="00BA79A1">
        <w:rPr>
          <w:rFonts w:eastAsia="Times New Roman"/>
          <w:color w:val="auto"/>
        </w:rPr>
        <w:t>draw on Canberra for contracting, safeguarding and quality assurance expertise.</w:t>
      </w:r>
    </w:p>
    <w:p w14:paraId="4B23FB7F" w14:textId="77777777" w:rsidR="00B74740" w:rsidRPr="00BA79A1" w:rsidRDefault="004B3886" w:rsidP="004B3886">
      <w:pPr>
        <w:pStyle w:val="BodyText"/>
        <w:rPr>
          <w:color w:val="auto"/>
        </w:rPr>
      </w:pPr>
      <w:r w:rsidRPr="00BA79A1">
        <w:rPr>
          <w:color w:val="auto"/>
        </w:rPr>
        <w:t>While we have allocated indicative funding amounts against sectors, the joint and iterative decision-making process means that the quantum of investment in each sector will change over time. As agreements are reached with the Niue Government on activities to be funded, a detailed pipeline of investments and consolidated budget for all activities will be prepared.</w:t>
      </w:r>
    </w:p>
    <w:p w14:paraId="12CC27D2" w14:textId="30FA85F7" w:rsidR="004B3886" w:rsidRPr="00BA79A1" w:rsidRDefault="00B74740" w:rsidP="004B3886">
      <w:pPr>
        <w:pStyle w:val="BodyText"/>
        <w:rPr>
          <w:color w:val="auto"/>
        </w:rPr>
      </w:pPr>
      <w:r w:rsidRPr="00BA79A1">
        <w:rPr>
          <w:color w:val="auto"/>
        </w:rPr>
        <w:lastRenderedPageBreak/>
        <w:t xml:space="preserve">A key priority during the first year of implementation will be agreement on priorities for our infrastructure support. Once agreed with the Government of Niue, we will work </w:t>
      </w:r>
      <w:r w:rsidR="00744A6C">
        <w:rPr>
          <w:color w:val="auto"/>
        </w:rPr>
        <w:t xml:space="preserve">with </w:t>
      </w:r>
      <w:r w:rsidRPr="00BA79A1">
        <w:rPr>
          <w:color w:val="auto"/>
        </w:rPr>
        <w:t>relevant line ministry and likeminded partners to design our activity.</w:t>
      </w:r>
      <w:r w:rsidR="004B3886" w:rsidRPr="00BA79A1">
        <w:rPr>
          <w:color w:val="auto"/>
        </w:rPr>
        <w:t xml:space="preserve"> </w:t>
      </w:r>
    </w:p>
    <w:p w14:paraId="3D206A2C" w14:textId="77777777" w:rsidR="004B3886" w:rsidRPr="00BA79A1" w:rsidRDefault="004B3886" w:rsidP="004B3886">
      <w:pPr>
        <w:pStyle w:val="BodyText"/>
        <w:rPr>
          <w:i/>
          <w:iCs/>
          <w:color w:val="auto"/>
        </w:rPr>
      </w:pPr>
      <w:r w:rsidRPr="00BA79A1">
        <w:rPr>
          <w:i/>
          <w:iCs/>
          <w:color w:val="auto"/>
        </w:rPr>
        <w:t xml:space="preserve">Project cancellations and fund reallocation </w:t>
      </w:r>
    </w:p>
    <w:p w14:paraId="55C08272" w14:textId="5FB7DE3D" w:rsidR="004B3886" w:rsidRPr="00BA79A1" w:rsidRDefault="004B3886" w:rsidP="004B3886">
      <w:pPr>
        <w:pStyle w:val="BodyText"/>
        <w:rPr>
          <w:color w:val="auto"/>
        </w:rPr>
      </w:pPr>
      <w:r w:rsidRPr="00BA79A1">
        <w:rPr>
          <w:color w:val="auto"/>
        </w:rPr>
        <w:t xml:space="preserve">We will discuss any substantial under-spends or project cancellations with the Niue Government. Ordinarily, we would seek to reallocate funds to other </w:t>
      </w:r>
      <w:r w:rsidR="00A92977" w:rsidRPr="00BA79A1">
        <w:rPr>
          <w:color w:val="auto"/>
        </w:rPr>
        <w:t>activities</w:t>
      </w:r>
      <w:r w:rsidRPr="00BA79A1">
        <w:rPr>
          <w:color w:val="auto"/>
        </w:rPr>
        <w:t xml:space="preserve"> in line with this design. However</w:t>
      </w:r>
      <w:r w:rsidR="00071554" w:rsidRPr="00BA79A1">
        <w:rPr>
          <w:color w:val="auto"/>
        </w:rPr>
        <w:t>,</w:t>
      </w:r>
      <w:r w:rsidRPr="00BA79A1">
        <w:rPr>
          <w:color w:val="auto"/>
        </w:rPr>
        <w:t xml:space="preserve"> a substantial under-spend or cancellation in the third and final year of the investment may not be able to be addressed in this way. Where reallocation is not possible because of a lack of agreement between Australia and Niue or the lack of any appropriate projects, we are able to seek the </w:t>
      </w:r>
      <w:r w:rsidR="001320EF" w:rsidRPr="00BA79A1">
        <w:rPr>
          <w:color w:val="auto"/>
        </w:rPr>
        <w:t xml:space="preserve">investment of the funds in the Niue </w:t>
      </w:r>
      <w:r w:rsidR="00071554" w:rsidRPr="00BA79A1">
        <w:rPr>
          <w:color w:val="auto"/>
        </w:rPr>
        <w:t xml:space="preserve">International </w:t>
      </w:r>
      <w:r w:rsidR="001320EF" w:rsidRPr="00BA79A1">
        <w:rPr>
          <w:color w:val="auto"/>
        </w:rPr>
        <w:t>Trust Fund</w:t>
      </w:r>
      <w:r w:rsidRPr="00BA79A1">
        <w:rPr>
          <w:color w:val="auto"/>
        </w:rPr>
        <w:t>.</w:t>
      </w:r>
    </w:p>
    <w:p w14:paraId="0770782F" w14:textId="3CA49A7F" w:rsidR="00A32858" w:rsidRPr="00BA79A1" w:rsidRDefault="00A32858" w:rsidP="002066BC">
      <w:pPr>
        <w:pStyle w:val="BodyText"/>
        <w:rPr>
          <w:i/>
          <w:iCs/>
          <w:color w:val="auto"/>
        </w:rPr>
      </w:pPr>
      <w:r w:rsidRPr="00BA79A1">
        <w:rPr>
          <w:i/>
          <w:iCs/>
          <w:color w:val="auto"/>
        </w:rPr>
        <w:t>Policy Dialogue</w:t>
      </w:r>
    </w:p>
    <w:p w14:paraId="0BE40342" w14:textId="7FD99D79" w:rsidR="00A96ABF" w:rsidRPr="00BA79A1" w:rsidRDefault="00A96ABF" w:rsidP="00E069D4">
      <w:pPr>
        <w:tabs>
          <w:tab w:val="left" w:pos="284"/>
        </w:tabs>
        <w:suppressAutoHyphens w:val="0"/>
        <w:spacing w:before="0" w:line="280" w:lineRule="exact"/>
        <w:rPr>
          <w:color w:val="auto"/>
        </w:rPr>
      </w:pPr>
      <w:r w:rsidRPr="00BA79A1">
        <w:rPr>
          <w:color w:val="auto"/>
        </w:rPr>
        <w:t>DFAT will organise an annual senior official</w:t>
      </w:r>
      <w:r w:rsidR="00D2130E" w:rsidRPr="00BA79A1">
        <w:rPr>
          <w:color w:val="auto"/>
        </w:rPr>
        <w:t>’</w:t>
      </w:r>
      <w:r w:rsidRPr="00BA79A1">
        <w:rPr>
          <w:color w:val="auto"/>
        </w:rPr>
        <w:t xml:space="preserve">s meeting at which </w:t>
      </w:r>
      <w:r w:rsidR="00A32858" w:rsidRPr="00BA79A1">
        <w:rPr>
          <w:color w:val="auto"/>
        </w:rPr>
        <w:t xml:space="preserve">policy reform roadmaps and strategic policy and budget dialogue </w:t>
      </w:r>
      <w:r w:rsidRPr="00BA79A1">
        <w:rPr>
          <w:color w:val="auto"/>
        </w:rPr>
        <w:t xml:space="preserve">can be discussed. </w:t>
      </w:r>
      <w:r w:rsidR="00917DAD" w:rsidRPr="00BA79A1">
        <w:rPr>
          <w:color w:val="auto"/>
        </w:rPr>
        <w:t>Dialogues</w:t>
      </w:r>
      <w:r w:rsidR="00080FBE" w:rsidRPr="00BA79A1">
        <w:rPr>
          <w:color w:val="auto"/>
        </w:rPr>
        <w:t xml:space="preserve"> with other key stakeholders will be organised on an as needed basis. </w:t>
      </w:r>
    </w:p>
    <w:p w14:paraId="485C85E7" w14:textId="091A863C" w:rsidR="00A32858" w:rsidRPr="00BA79A1" w:rsidRDefault="00A32858" w:rsidP="00A32858">
      <w:pPr>
        <w:rPr>
          <w:i/>
          <w:color w:val="auto"/>
        </w:rPr>
      </w:pPr>
      <w:r w:rsidRPr="00BA79A1">
        <w:rPr>
          <w:i/>
          <w:color w:val="auto"/>
        </w:rPr>
        <w:t>Profile and Public Diplomacy</w:t>
      </w:r>
    </w:p>
    <w:p w14:paraId="2089C34A" w14:textId="158F661E" w:rsidR="009B6281" w:rsidRPr="00BA79A1" w:rsidRDefault="00D61236" w:rsidP="00D2130E">
      <w:pPr>
        <w:tabs>
          <w:tab w:val="left" w:pos="284"/>
        </w:tabs>
        <w:suppressAutoHyphens w:val="0"/>
        <w:spacing w:before="0" w:line="280" w:lineRule="exact"/>
        <w:rPr>
          <w:rFonts w:eastAsia="Times New Roman" w:cs="Times New Roman"/>
          <w:i/>
          <w:color w:val="auto"/>
          <w:sz w:val="21"/>
          <w:szCs w:val="24"/>
          <w:lang w:val="en-AU" w:eastAsia="en-AU"/>
        </w:rPr>
      </w:pPr>
      <w:r w:rsidRPr="00BA79A1">
        <w:rPr>
          <w:rFonts w:eastAsia="Times New Roman" w:cs="Times New Roman"/>
          <w:color w:val="auto"/>
          <w:sz w:val="21"/>
          <w:szCs w:val="24"/>
          <w:lang w:val="en-AU"/>
        </w:rPr>
        <w:t>We will pursue</w:t>
      </w:r>
      <w:r w:rsidR="00A32858" w:rsidRPr="00BA79A1">
        <w:rPr>
          <w:rFonts w:eastAsia="Times New Roman" w:cs="Times New Roman"/>
          <w:color w:val="auto"/>
          <w:sz w:val="21"/>
          <w:szCs w:val="24"/>
          <w:lang w:val="en-AU"/>
        </w:rPr>
        <w:t xml:space="preserve"> opportunities to promote Australian development engagement, including through events, use of media, digital content, signage, branding and production of project communication materials.</w:t>
      </w:r>
    </w:p>
    <w:p w14:paraId="6015C10D" w14:textId="7C0AD9D4" w:rsidR="00A32858" w:rsidRPr="00BA79A1" w:rsidRDefault="00A32858" w:rsidP="002066BC">
      <w:pPr>
        <w:rPr>
          <w:i/>
          <w:color w:val="auto"/>
        </w:rPr>
      </w:pPr>
      <w:r w:rsidRPr="00BA79A1">
        <w:rPr>
          <w:i/>
          <w:color w:val="auto"/>
        </w:rPr>
        <w:t>Sustainability</w:t>
      </w:r>
    </w:p>
    <w:p w14:paraId="4DADDA7A" w14:textId="4136762A" w:rsidR="000D5FBB" w:rsidRPr="00BA79A1" w:rsidRDefault="00CB542C" w:rsidP="00942063">
      <w:pPr>
        <w:tabs>
          <w:tab w:val="left" w:pos="284"/>
        </w:tabs>
        <w:suppressAutoHyphens w:val="0"/>
        <w:spacing w:before="0" w:line="280" w:lineRule="exact"/>
        <w:rPr>
          <w:rFonts w:eastAsia="Times New Roman" w:cs="Times New Roman"/>
          <w:color w:val="auto"/>
          <w:sz w:val="21"/>
          <w:szCs w:val="24"/>
          <w:lang w:val="en-AU"/>
        </w:rPr>
      </w:pPr>
      <w:r w:rsidRPr="00BA79A1">
        <w:rPr>
          <w:rFonts w:eastAsia="Times New Roman" w:cs="Times New Roman"/>
          <w:color w:val="auto"/>
          <w:sz w:val="21"/>
          <w:szCs w:val="24"/>
          <w:lang w:val="en-AU"/>
        </w:rPr>
        <w:t>Noting that Niue has limited capacity to manage and finance additional complex projects, w</w:t>
      </w:r>
      <w:r w:rsidR="00161C95" w:rsidRPr="00BA79A1">
        <w:rPr>
          <w:rFonts w:eastAsia="Times New Roman" w:cs="Times New Roman"/>
          <w:color w:val="auto"/>
          <w:sz w:val="21"/>
          <w:szCs w:val="24"/>
          <w:lang w:val="en-AU"/>
        </w:rPr>
        <w:t xml:space="preserve">e will collaborate with local stakeholders throughout the design and implementation process to ensure that </w:t>
      </w:r>
      <w:r w:rsidR="00D16D3C" w:rsidRPr="00BA79A1">
        <w:rPr>
          <w:rFonts w:eastAsia="Times New Roman" w:cs="Times New Roman"/>
          <w:color w:val="auto"/>
          <w:sz w:val="21"/>
          <w:szCs w:val="24"/>
          <w:lang w:val="en-AU"/>
        </w:rPr>
        <w:t>projects are contextually appropriate</w:t>
      </w:r>
      <w:r w:rsidR="00446986" w:rsidRPr="00BA79A1">
        <w:rPr>
          <w:rFonts w:eastAsia="Times New Roman" w:cs="Times New Roman"/>
          <w:color w:val="auto"/>
          <w:sz w:val="21"/>
          <w:szCs w:val="24"/>
          <w:lang w:val="en-AU"/>
        </w:rPr>
        <w:t xml:space="preserve"> and </w:t>
      </w:r>
      <w:r w:rsidR="00751C5E" w:rsidRPr="00BA79A1">
        <w:rPr>
          <w:rFonts w:eastAsia="Times New Roman" w:cs="Times New Roman"/>
          <w:color w:val="auto"/>
          <w:sz w:val="21"/>
          <w:szCs w:val="24"/>
          <w:lang w:val="en-AU"/>
        </w:rPr>
        <w:t>aligned with Niue’s development goals</w:t>
      </w:r>
      <w:r w:rsidR="00446986" w:rsidRPr="00BA79A1">
        <w:rPr>
          <w:rFonts w:eastAsia="Times New Roman" w:cs="Times New Roman"/>
          <w:color w:val="auto"/>
          <w:sz w:val="21"/>
          <w:szCs w:val="24"/>
          <w:lang w:val="en-AU"/>
        </w:rPr>
        <w:t xml:space="preserve">. Close collaboration with </w:t>
      </w:r>
      <w:r w:rsidR="00B13D13" w:rsidRPr="00BA79A1">
        <w:rPr>
          <w:rFonts w:eastAsia="Times New Roman" w:cs="Times New Roman"/>
          <w:color w:val="auto"/>
          <w:sz w:val="21"/>
          <w:szCs w:val="24"/>
          <w:lang w:val="en-AU"/>
        </w:rPr>
        <w:t>Niuean</w:t>
      </w:r>
      <w:r w:rsidR="00446986" w:rsidRPr="00BA79A1">
        <w:rPr>
          <w:rFonts w:eastAsia="Times New Roman" w:cs="Times New Roman"/>
          <w:color w:val="auto"/>
          <w:sz w:val="21"/>
          <w:szCs w:val="24"/>
          <w:lang w:val="en-AU"/>
        </w:rPr>
        <w:t xml:space="preserve"> stakeholder</w:t>
      </w:r>
      <w:r w:rsidR="005B20DC" w:rsidRPr="00BA79A1">
        <w:rPr>
          <w:rFonts w:eastAsia="Times New Roman" w:cs="Times New Roman"/>
          <w:color w:val="auto"/>
          <w:sz w:val="21"/>
          <w:szCs w:val="24"/>
          <w:lang w:val="en-AU"/>
        </w:rPr>
        <w:t>s</w:t>
      </w:r>
      <w:r w:rsidR="00446986" w:rsidRPr="00BA79A1">
        <w:rPr>
          <w:rFonts w:eastAsia="Times New Roman" w:cs="Times New Roman"/>
          <w:color w:val="auto"/>
          <w:sz w:val="21"/>
          <w:szCs w:val="24"/>
          <w:lang w:val="en-AU"/>
        </w:rPr>
        <w:t xml:space="preserve"> will ensure that projects are driven by </w:t>
      </w:r>
      <w:r w:rsidR="00D16D3C" w:rsidRPr="00BA79A1">
        <w:rPr>
          <w:rFonts w:eastAsia="Times New Roman" w:cs="Times New Roman"/>
          <w:color w:val="auto"/>
          <w:sz w:val="21"/>
          <w:szCs w:val="24"/>
          <w:lang w:val="en-AU"/>
        </w:rPr>
        <w:t>local</w:t>
      </w:r>
      <w:r w:rsidR="00A7492D" w:rsidRPr="00BA79A1">
        <w:rPr>
          <w:rFonts w:eastAsia="Times New Roman" w:cs="Times New Roman"/>
          <w:color w:val="auto"/>
          <w:sz w:val="21"/>
          <w:szCs w:val="24"/>
          <w:lang w:val="en-AU"/>
        </w:rPr>
        <w:t xml:space="preserve"> interests and increase the likelihood of local ownership of projects in the long term. </w:t>
      </w:r>
    </w:p>
    <w:p w14:paraId="24EE21DC" w14:textId="1780D141" w:rsidR="00A32858" w:rsidRPr="00BA79A1" w:rsidRDefault="00A32858" w:rsidP="00A32858">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auto"/>
          <w:szCs w:val="21"/>
        </w:rPr>
      </w:pPr>
      <w:r w:rsidRPr="00BA79A1">
        <w:rPr>
          <w:rFonts w:asciiTheme="majorHAnsi" w:hAnsiTheme="majorHAnsi"/>
          <w:b/>
          <w:color w:val="auto"/>
          <w:szCs w:val="21"/>
        </w:rPr>
        <w:t>Monitoring and Evaluation</w:t>
      </w:r>
    </w:p>
    <w:p w14:paraId="7B5FAC80" w14:textId="471E51EA" w:rsidR="00017ABB" w:rsidRPr="00BA79A1" w:rsidRDefault="00867941" w:rsidP="00867941">
      <w:pPr>
        <w:tabs>
          <w:tab w:val="left" w:pos="284"/>
        </w:tabs>
        <w:suppressAutoHyphens w:val="0"/>
        <w:spacing w:before="0" w:line="280" w:lineRule="exact"/>
        <w:rPr>
          <w:color w:val="auto"/>
        </w:rPr>
      </w:pPr>
      <w:r w:rsidRPr="00BA79A1">
        <w:rPr>
          <w:color w:val="auto"/>
        </w:rPr>
        <w:t xml:space="preserve">As progress and decisions are made on the activities to be supported, we will identify and plan the range of approaches to be taken for </w:t>
      </w:r>
      <w:r w:rsidR="004B1CF9">
        <w:rPr>
          <w:color w:val="auto"/>
        </w:rPr>
        <w:t>mentoring and evaluation (M&amp;E)</w:t>
      </w:r>
      <w:r w:rsidR="00760CEF">
        <w:rPr>
          <w:color w:val="auto"/>
        </w:rPr>
        <w:t>.</w:t>
      </w:r>
      <w:r w:rsidRPr="00BA79A1">
        <w:rPr>
          <w:color w:val="auto"/>
        </w:rPr>
        <w:t xml:space="preserve"> </w:t>
      </w:r>
      <w:r w:rsidR="00017ABB" w:rsidRPr="00BA79A1">
        <w:rPr>
          <w:color w:val="auto"/>
        </w:rPr>
        <w:t>Implementing partners will be required to provide M&amp;E reports proportional to the level of funding provided.</w:t>
      </w:r>
    </w:p>
    <w:p w14:paraId="46DBE57D" w14:textId="286094BE" w:rsidR="000953F0" w:rsidRPr="00BA79A1" w:rsidRDefault="00867941" w:rsidP="00867941">
      <w:pPr>
        <w:tabs>
          <w:tab w:val="left" w:pos="284"/>
        </w:tabs>
        <w:suppressAutoHyphens w:val="0"/>
        <w:spacing w:before="0" w:line="280" w:lineRule="exact"/>
        <w:rPr>
          <w:color w:val="auto"/>
        </w:rPr>
      </w:pPr>
      <w:r w:rsidRPr="00BA79A1">
        <w:rPr>
          <w:color w:val="auto"/>
        </w:rPr>
        <w:t xml:space="preserve">M&amp;E frameworks </w:t>
      </w:r>
      <w:r w:rsidR="00017ABB" w:rsidRPr="00BA79A1">
        <w:rPr>
          <w:color w:val="auto"/>
        </w:rPr>
        <w:t xml:space="preserve">and plans </w:t>
      </w:r>
      <w:r w:rsidRPr="00BA79A1">
        <w:rPr>
          <w:color w:val="auto"/>
        </w:rPr>
        <w:t xml:space="preserve">will be developed for new activities during </w:t>
      </w:r>
      <w:r w:rsidR="00017ABB" w:rsidRPr="00BA79A1">
        <w:rPr>
          <w:color w:val="auto"/>
        </w:rPr>
        <w:t xml:space="preserve">planning stages. Where possible </w:t>
      </w:r>
      <w:r w:rsidRPr="00BA79A1">
        <w:rPr>
          <w:color w:val="auto"/>
        </w:rPr>
        <w:t xml:space="preserve">M&amp;E data will be disaggregated by gender and disability. </w:t>
      </w:r>
      <w:r w:rsidR="000953F0" w:rsidRPr="00BA79A1">
        <w:rPr>
          <w:color w:val="auto"/>
        </w:rPr>
        <w:t xml:space="preserve">The overarching investment M&amp;E Framework (see Annex </w:t>
      </w:r>
      <w:r w:rsidR="00D11E15" w:rsidRPr="00BA79A1">
        <w:rPr>
          <w:color w:val="auto"/>
        </w:rPr>
        <w:t>B</w:t>
      </w:r>
      <w:r w:rsidR="000953F0" w:rsidRPr="00BA79A1">
        <w:rPr>
          <w:color w:val="auto"/>
        </w:rPr>
        <w:t>) will remain live and will be updated to reflect new activities</w:t>
      </w:r>
      <w:r w:rsidR="00A31EDF" w:rsidRPr="00BA79A1">
        <w:rPr>
          <w:color w:val="auto"/>
        </w:rPr>
        <w:t>.</w:t>
      </w:r>
    </w:p>
    <w:p w14:paraId="552C2304" w14:textId="6F6EDA0E" w:rsidR="00017ABB" w:rsidRPr="00BA79A1" w:rsidRDefault="00017ABB" w:rsidP="00867941">
      <w:pPr>
        <w:tabs>
          <w:tab w:val="left" w:pos="284"/>
        </w:tabs>
        <w:suppressAutoHyphens w:val="0"/>
        <w:spacing w:before="0" w:line="280" w:lineRule="exact"/>
        <w:rPr>
          <w:color w:val="auto"/>
        </w:rPr>
      </w:pPr>
      <w:r w:rsidRPr="00BA79A1">
        <w:rPr>
          <w:color w:val="auto"/>
        </w:rPr>
        <w:t>E</w:t>
      </w:r>
      <w:r w:rsidR="00F55310">
        <w:rPr>
          <w:color w:val="auto"/>
        </w:rPr>
        <w:t>ighteen months to two years i</w:t>
      </w:r>
      <w:r w:rsidR="00867941" w:rsidRPr="00BA79A1">
        <w:rPr>
          <w:color w:val="auto"/>
        </w:rPr>
        <w:t xml:space="preserve">nto the </w:t>
      </w:r>
      <w:r w:rsidRPr="00BA79A1">
        <w:rPr>
          <w:color w:val="auto"/>
        </w:rPr>
        <w:t>investment</w:t>
      </w:r>
      <w:r w:rsidR="00F55310">
        <w:rPr>
          <w:color w:val="auto"/>
        </w:rPr>
        <w:t>,</w:t>
      </w:r>
      <w:r w:rsidR="00867941" w:rsidRPr="00BA79A1">
        <w:rPr>
          <w:color w:val="auto"/>
        </w:rPr>
        <w:t xml:space="preserve"> DFAT will hold a mid-term review to test the extent to which </w:t>
      </w:r>
      <w:r w:rsidRPr="00BA79A1">
        <w:rPr>
          <w:color w:val="auto"/>
        </w:rPr>
        <w:t>outcomes are being achieved</w:t>
      </w:r>
      <w:r w:rsidR="00867941" w:rsidRPr="00BA79A1">
        <w:rPr>
          <w:color w:val="auto"/>
        </w:rPr>
        <w:t xml:space="preserve">. </w:t>
      </w:r>
      <w:r w:rsidRPr="00BA79A1">
        <w:rPr>
          <w:color w:val="auto"/>
        </w:rPr>
        <w:t>Key questions to be asked at this stage are:</w:t>
      </w:r>
    </w:p>
    <w:p w14:paraId="7A7777B6" w14:textId="77777777" w:rsidR="000D5FBB" w:rsidRPr="00BA79A1" w:rsidRDefault="000D5FBB" w:rsidP="000D5FBB">
      <w:pPr>
        <w:tabs>
          <w:tab w:val="left" w:pos="284"/>
        </w:tabs>
        <w:suppressAutoHyphens w:val="0"/>
        <w:spacing w:before="0" w:line="280" w:lineRule="exact"/>
        <w:ind w:left="284"/>
        <w:rPr>
          <w:i/>
          <w:iCs/>
          <w:color w:val="auto"/>
        </w:rPr>
      </w:pPr>
      <w:r w:rsidRPr="00BA79A1">
        <w:rPr>
          <w:i/>
          <w:iCs/>
          <w:color w:val="auto"/>
        </w:rPr>
        <w:t xml:space="preserve">Relevance </w:t>
      </w:r>
    </w:p>
    <w:p w14:paraId="15982631" w14:textId="53BD3FEE" w:rsidR="000D5FBB" w:rsidRPr="00BA79A1" w:rsidRDefault="000D5FBB" w:rsidP="000D5FBB">
      <w:pPr>
        <w:tabs>
          <w:tab w:val="left" w:pos="284"/>
        </w:tabs>
        <w:suppressAutoHyphens w:val="0"/>
        <w:spacing w:before="0" w:line="280" w:lineRule="exact"/>
        <w:ind w:left="284"/>
        <w:rPr>
          <w:color w:val="auto"/>
        </w:rPr>
      </w:pPr>
      <w:r w:rsidRPr="00BA79A1">
        <w:rPr>
          <w:color w:val="auto"/>
        </w:rPr>
        <w:sym w:font="Symbol" w:char="F0B7"/>
      </w:r>
      <w:r w:rsidRPr="00BA79A1">
        <w:rPr>
          <w:color w:val="auto"/>
        </w:rPr>
        <w:t xml:space="preserve"> Did the processes to identify development needs, and implementation arrangements, ensure that the program addressed high priority needs?</w:t>
      </w:r>
    </w:p>
    <w:p w14:paraId="1125C0B2" w14:textId="1E4A7E75" w:rsidR="000D5FBB" w:rsidRPr="00BA79A1" w:rsidRDefault="000D5FBB" w:rsidP="000D5FBB">
      <w:pPr>
        <w:tabs>
          <w:tab w:val="left" w:pos="284"/>
        </w:tabs>
        <w:suppressAutoHyphens w:val="0"/>
        <w:spacing w:before="0" w:line="280" w:lineRule="exact"/>
        <w:ind w:left="284"/>
        <w:rPr>
          <w:color w:val="auto"/>
        </w:rPr>
      </w:pPr>
      <w:r w:rsidRPr="00BA79A1">
        <w:rPr>
          <w:color w:val="auto"/>
        </w:rPr>
        <w:t xml:space="preserve">Effectiveness </w:t>
      </w:r>
    </w:p>
    <w:p w14:paraId="67B0237A" w14:textId="5E59E171" w:rsidR="000D5FBB" w:rsidRPr="00BA79A1" w:rsidRDefault="000D5FBB" w:rsidP="000D5FBB">
      <w:pPr>
        <w:tabs>
          <w:tab w:val="left" w:pos="284"/>
        </w:tabs>
        <w:suppressAutoHyphens w:val="0"/>
        <w:spacing w:before="0" w:line="280" w:lineRule="exact"/>
        <w:ind w:left="284"/>
        <w:rPr>
          <w:color w:val="auto"/>
        </w:rPr>
      </w:pPr>
      <w:r w:rsidRPr="00BA79A1">
        <w:rPr>
          <w:color w:val="auto"/>
        </w:rPr>
        <w:sym w:font="Symbol" w:char="F0B7"/>
      </w:r>
      <w:r w:rsidRPr="00BA79A1">
        <w:rPr>
          <w:color w:val="auto"/>
        </w:rPr>
        <w:t xml:space="preserve"> To what extent has the </w:t>
      </w:r>
      <w:r w:rsidR="00A44688" w:rsidRPr="00BA79A1">
        <w:rPr>
          <w:color w:val="auto"/>
        </w:rPr>
        <w:t>investment</w:t>
      </w:r>
      <w:r w:rsidRPr="00BA79A1">
        <w:rPr>
          <w:color w:val="auto"/>
        </w:rPr>
        <w:t xml:space="preserve"> address</w:t>
      </w:r>
      <w:r w:rsidR="00A44688" w:rsidRPr="00BA79A1">
        <w:rPr>
          <w:color w:val="auto"/>
        </w:rPr>
        <w:t>ed</w:t>
      </w:r>
      <w:r w:rsidRPr="00BA79A1">
        <w:rPr>
          <w:color w:val="auto"/>
        </w:rPr>
        <w:t xml:space="preserve"> high priority needs? </w:t>
      </w:r>
    </w:p>
    <w:p w14:paraId="2A398A63" w14:textId="29251736" w:rsidR="000D5FBB" w:rsidRPr="00BA79A1" w:rsidRDefault="000D5FBB" w:rsidP="000D5FBB">
      <w:pPr>
        <w:tabs>
          <w:tab w:val="left" w:pos="284"/>
        </w:tabs>
        <w:suppressAutoHyphens w:val="0"/>
        <w:spacing w:before="0" w:line="280" w:lineRule="exact"/>
        <w:ind w:left="284"/>
        <w:rPr>
          <w:color w:val="auto"/>
        </w:rPr>
      </w:pPr>
      <w:r w:rsidRPr="00BA79A1">
        <w:rPr>
          <w:color w:val="auto"/>
        </w:rPr>
        <w:sym w:font="Symbol" w:char="F0B7"/>
      </w:r>
      <w:r w:rsidRPr="00BA79A1">
        <w:rPr>
          <w:color w:val="auto"/>
        </w:rPr>
        <w:t xml:space="preserve"> Do the targeted beneficiaries have greater </w:t>
      </w:r>
      <w:r w:rsidR="00064998" w:rsidRPr="00BA79A1">
        <w:rPr>
          <w:color w:val="auto"/>
        </w:rPr>
        <w:t xml:space="preserve">access to skills, </w:t>
      </w:r>
      <w:proofErr w:type="gramStart"/>
      <w:r w:rsidR="00064998" w:rsidRPr="00BA79A1">
        <w:rPr>
          <w:color w:val="auto"/>
        </w:rPr>
        <w:t>equipment</w:t>
      </w:r>
      <w:proofErr w:type="gramEnd"/>
      <w:r w:rsidR="00064998" w:rsidRPr="00BA79A1">
        <w:rPr>
          <w:color w:val="auto"/>
        </w:rPr>
        <w:t xml:space="preserve"> and services</w:t>
      </w:r>
      <w:r w:rsidRPr="00BA79A1">
        <w:rPr>
          <w:color w:val="auto"/>
        </w:rPr>
        <w:t xml:space="preserve"> as a result of the </w:t>
      </w:r>
      <w:r w:rsidR="00064998" w:rsidRPr="00BA79A1">
        <w:rPr>
          <w:color w:val="auto"/>
        </w:rPr>
        <w:t>activity</w:t>
      </w:r>
      <w:r w:rsidRPr="00BA79A1">
        <w:rPr>
          <w:color w:val="auto"/>
        </w:rPr>
        <w:t xml:space="preserve">? </w:t>
      </w:r>
    </w:p>
    <w:p w14:paraId="72B834F4" w14:textId="77777777" w:rsidR="000D5FBB" w:rsidRPr="00BA79A1" w:rsidRDefault="000D5FBB" w:rsidP="000D5FBB">
      <w:pPr>
        <w:tabs>
          <w:tab w:val="left" w:pos="284"/>
        </w:tabs>
        <w:suppressAutoHyphens w:val="0"/>
        <w:spacing w:before="0" w:line="280" w:lineRule="exact"/>
        <w:ind w:left="284"/>
        <w:rPr>
          <w:color w:val="auto"/>
        </w:rPr>
      </w:pPr>
      <w:r w:rsidRPr="00BA79A1">
        <w:rPr>
          <w:color w:val="auto"/>
        </w:rPr>
        <w:sym w:font="Symbol" w:char="F0B7"/>
      </w:r>
      <w:r w:rsidRPr="00BA79A1">
        <w:rPr>
          <w:color w:val="auto"/>
        </w:rPr>
        <w:t xml:space="preserve"> Were gender equality and protection addressed effectively in delivery of the program? </w:t>
      </w:r>
    </w:p>
    <w:p w14:paraId="31183C4F" w14:textId="77777777" w:rsidR="000D5FBB" w:rsidRPr="00BA79A1" w:rsidRDefault="000D5FBB" w:rsidP="000D5FBB">
      <w:pPr>
        <w:tabs>
          <w:tab w:val="left" w:pos="284"/>
        </w:tabs>
        <w:suppressAutoHyphens w:val="0"/>
        <w:spacing w:before="0" w:line="280" w:lineRule="exact"/>
        <w:ind w:left="284"/>
        <w:rPr>
          <w:color w:val="auto"/>
        </w:rPr>
      </w:pPr>
      <w:r w:rsidRPr="00BA79A1">
        <w:rPr>
          <w:color w:val="auto"/>
        </w:rPr>
        <w:lastRenderedPageBreak/>
        <w:sym w:font="Symbol" w:char="F0B7"/>
      </w:r>
      <w:r w:rsidRPr="00BA79A1">
        <w:rPr>
          <w:color w:val="auto"/>
        </w:rPr>
        <w:t xml:space="preserve"> Were implementation arrangements effective? </w:t>
      </w:r>
    </w:p>
    <w:p w14:paraId="4E818EDA" w14:textId="77777777" w:rsidR="000D5FBB" w:rsidRPr="00BA79A1" w:rsidRDefault="000D5FBB" w:rsidP="000D5FBB">
      <w:pPr>
        <w:tabs>
          <w:tab w:val="left" w:pos="284"/>
        </w:tabs>
        <w:suppressAutoHyphens w:val="0"/>
        <w:spacing w:before="0" w:line="280" w:lineRule="exact"/>
        <w:ind w:left="284"/>
        <w:rPr>
          <w:color w:val="auto"/>
        </w:rPr>
      </w:pPr>
      <w:r w:rsidRPr="00BA79A1">
        <w:rPr>
          <w:color w:val="auto"/>
        </w:rPr>
        <w:t xml:space="preserve">Efficiency </w:t>
      </w:r>
    </w:p>
    <w:p w14:paraId="78769358" w14:textId="77777777" w:rsidR="000D5FBB" w:rsidRPr="00BA79A1" w:rsidRDefault="000D5FBB" w:rsidP="000D5FBB">
      <w:pPr>
        <w:tabs>
          <w:tab w:val="left" w:pos="284"/>
        </w:tabs>
        <w:suppressAutoHyphens w:val="0"/>
        <w:spacing w:before="0" w:line="280" w:lineRule="exact"/>
        <w:ind w:left="284"/>
        <w:rPr>
          <w:color w:val="auto"/>
        </w:rPr>
      </w:pPr>
      <w:r w:rsidRPr="00BA79A1">
        <w:rPr>
          <w:color w:val="auto"/>
        </w:rPr>
        <w:sym w:font="Symbol" w:char="F0B7"/>
      </w:r>
      <w:r w:rsidRPr="00BA79A1">
        <w:rPr>
          <w:color w:val="auto"/>
        </w:rPr>
        <w:t xml:space="preserve"> Did the implementation arrangements provide good value for money? </w:t>
      </w:r>
    </w:p>
    <w:p w14:paraId="49B9CC70" w14:textId="5E5BB855" w:rsidR="000D5FBB" w:rsidRPr="00BA79A1" w:rsidRDefault="000D5FBB" w:rsidP="000D5FBB">
      <w:pPr>
        <w:tabs>
          <w:tab w:val="left" w:pos="284"/>
        </w:tabs>
        <w:suppressAutoHyphens w:val="0"/>
        <w:spacing w:before="0" w:line="280" w:lineRule="exact"/>
        <w:ind w:left="284"/>
        <w:rPr>
          <w:color w:val="auto"/>
        </w:rPr>
      </w:pPr>
      <w:r w:rsidRPr="00BA79A1">
        <w:rPr>
          <w:color w:val="auto"/>
        </w:rPr>
        <w:sym w:font="Symbol" w:char="F0B7"/>
      </w:r>
      <w:r w:rsidRPr="00BA79A1">
        <w:rPr>
          <w:color w:val="auto"/>
        </w:rPr>
        <w:t xml:space="preserve"> To what extent can Government budget allocations meet the recurrent costs of </w:t>
      </w:r>
      <w:r w:rsidR="006A23EB" w:rsidRPr="00BA79A1">
        <w:rPr>
          <w:color w:val="auto"/>
        </w:rPr>
        <w:t>any</w:t>
      </w:r>
      <w:r w:rsidRPr="00BA79A1">
        <w:rPr>
          <w:color w:val="auto"/>
        </w:rPr>
        <w:t xml:space="preserve"> public infrastructure built by the </w:t>
      </w:r>
      <w:r w:rsidR="006A23EB" w:rsidRPr="00BA79A1">
        <w:rPr>
          <w:color w:val="auto"/>
        </w:rPr>
        <w:t>investment</w:t>
      </w:r>
      <w:r w:rsidRPr="00BA79A1">
        <w:rPr>
          <w:color w:val="auto"/>
        </w:rPr>
        <w:t xml:space="preserve">? </w:t>
      </w:r>
    </w:p>
    <w:p w14:paraId="14ADB347" w14:textId="77777777" w:rsidR="00546621" w:rsidRPr="00BA79A1" w:rsidRDefault="000D5FBB" w:rsidP="00B74740">
      <w:pPr>
        <w:tabs>
          <w:tab w:val="left" w:pos="284"/>
        </w:tabs>
        <w:suppressAutoHyphens w:val="0"/>
        <w:spacing w:before="0" w:line="280" w:lineRule="exact"/>
        <w:ind w:left="284"/>
        <w:rPr>
          <w:color w:val="auto"/>
        </w:rPr>
      </w:pPr>
      <w:r w:rsidRPr="00BA79A1">
        <w:rPr>
          <w:color w:val="auto"/>
        </w:rPr>
        <w:sym w:font="Symbol" w:char="F0B7"/>
      </w:r>
      <w:r w:rsidRPr="00BA79A1">
        <w:rPr>
          <w:color w:val="auto"/>
        </w:rPr>
        <w:t xml:space="preserve"> Did Australia and </w:t>
      </w:r>
      <w:r w:rsidR="00542F63" w:rsidRPr="00BA79A1">
        <w:rPr>
          <w:color w:val="auto"/>
        </w:rPr>
        <w:t>Niue</w:t>
      </w:r>
      <w:r w:rsidRPr="00BA79A1">
        <w:rPr>
          <w:color w:val="auto"/>
        </w:rPr>
        <w:t xml:space="preserve"> meet their commitments to each other?</w:t>
      </w:r>
    </w:p>
    <w:p w14:paraId="032E8257" w14:textId="58A4CA39" w:rsidR="00546621" w:rsidRPr="00BA79A1" w:rsidRDefault="00055E8F" w:rsidP="00733630">
      <w:pPr>
        <w:pStyle w:val="ListParagraph"/>
        <w:numPr>
          <w:ilvl w:val="0"/>
          <w:numId w:val="50"/>
        </w:numPr>
        <w:suppressAutoHyphens w:val="0"/>
        <w:spacing w:before="0" w:line="280" w:lineRule="exact"/>
        <w:ind w:left="426" w:hanging="142"/>
        <w:rPr>
          <w:color w:val="auto"/>
        </w:rPr>
      </w:pPr>
      <w:r w:rsidRPr="00BA79A1">
        <w:rPr>
          <w:color w:val="auto"/>
        </w:rPr>
        <w:t>W</w:t>
      </w:r>
      <w:r w:rsidR="00546621" w:rsidRPr="00BA79A1">
        <w:rPr>
          <w:color w:val="auto"/>
        </w:rPr>
        <w:t>as the choice of modalities efficient and effective?</w:t>
      </w:r>
    </w:p>
    <w:p w14:paraId="2AF43E6A" w14:textId="77777777" w:rsidR="00546621" w:rsidRPr="00BA79A1" w:rsidRDefault="00546621" w:rsidP="000D5FBB">
      <w:pPr>
        <w:tabs>
          <w:tab w:val="left" w:pos="284"/>
        </w:tabs>
        <w:suppressAutoHyphens w:val="0"/>
        <w:spacing w:before="0" w:line="280" w:lineRule="exact"/>
        <w:ind w:left="284"/>
        <w:rPr>
          <w:color w:val="auto"/>
        </w:rPr>
      </w:pPr>
    </w:p>
    <w:p w14:paraId="4533FFEF" w14:textId="27392701" w:rsidR="000D5FBB" w:rsidRPr="00BA79A1" w:rsidRDefault="000D5FBB" w:rsidP="00867941">
      <w:pPr>
        <w:tabs>
          <w:tab w:val="left" w:pos="284"/>
        </w:tabs>
        <w:suppressAutoHyphens w:val="0"/>
        <w:spacing w:before="0" w:line="280" w:lineRule="exact"/>
        <w:rPr>
          <w:color w:val="auto"/>
        </w:rPr>
      </w:pPr>
      <w:r w:rsidRPr="00BA79A1">
        <w:rPr>
          <w:color w:val="auto"/>
        </w:rPr>
        <w:t xml:space="preserve">DFAT will test whether these questions remain relevant, and whether we have the information base to answer them at the mid-term review in 18 </w:t>
      </w:r>
      <w:r w:rsidR="00F55310">
        <w:rPr>
          <w:color w:val="auto"/>
        </w:rPr>
        <w:t>– 24 months</w:t>
      </w:r>
      <w:r w:rsidRPr="00BA79A1">
        <w:rPr>
          <w:color w:val="auto"/>
        </w:rPr>
        <w:t>.</w:t>
      </w:r>
    </w:p>
    <w:p w14:paraId="58BEE51B" w14:textId="18E5A783" w:rsidR="00017ABB" w:rsidRPr="00BA79A1" w:rsidRDefault="00867941" w:rsidP="00867941">
      <w:pPr>
        <w:tabs>
          <w:tab w:val="left" w:pos="284"/>
        </w:tabs>
        <w:suppressAutoHyphens w:val="0"/>
        <w:spacing w:before="0" w:line="280" w:lineRule="exact"/>
        <w:rPr>
          <w:color w:val="auto"/>
        </w:rPr>
      </w:pPr>
      <w:r w:rsidRPr="00BA79A1">
        <w:rPr>
          <w:color w:val="auto"/>
        </w:rPr>
        <w:t xml:space="preserve">At the end of the </w:t>
      </w:r>
      <w:r w:rsidR="00017ABB" w:rsidRPr="00BA79A1">
        <w:rPr>
          <w:color w:val="auto"/>
        </w:rPr>
        <w:t>four-</w:t>
      </w:r>
      <w:r w:rsidRPr="00BA79A1">
        <w:rPr>
          <w:color w:val="auto"/>
        </w:rPr>
        <w:t xml:space="preserve">year </w:t>
      </w:r>
      <w:r w:rsidR="00017ABB" w:rsidRPr="00BA79A1">
        <w:rPr>
          <w:color w:val="auto"/>
        </w:rPr>
        <w:t>investment</w:t>
      </w:r>
      <w:r w:rsidRPr="00BA79A1">
        <w:rPr>
          <w:color w:val="auto"/>
        </w:rPr>
        <w:t xml:space="preserve">, DFAT will conduct an end-of-program evaluation (completion review). </w:t>
      </w:r>
    </w:p>
    <w:p w14:paraId="1A4693C5" w14:textId="77777777" w:rsidR="00A32858" w:rsidRPr="00BA79A1" w:rsidRDefault="00A32858" w:rsidP="00A32858">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auto"/>
          <w:szCs w:val="21"/>
        </w:rPr>
      </w:pPr>
      <w:r w:rsidRPr="00BA79A1">
        <w:rPr>
          <w:rFonts w:asciiTheme="majorHAnsi" w:hAnsiTheme="majorHAnsi"/>
          <w:b/>
          <w:color w:val="auto"/>
          <w:szCs w:val="21"/>
        </w:rPr>
        <w:t>Gender, Disability and Other Cross Cutting Issues</w:t>
      </w:r>
    </w:p>
    <w:p w14:paraId="379922F7" w14:textId="77777777" w:rsidR="003E4014" w:rsidRPr="00BA79A1" w:rsidRDefault="003E4014" w:rsidP="003E4014">
      <w:pPr>
        <w:rPr>
          <w:i/>
          <w:iCs/>
          <w:color w:val="auto"/>
        </w:rPr>
      </w:pPr>
      <w:r w:rsidRPr="00BA79A1">
        <w:rPr>
          <w:i/>
          <w:iCs/>
          <w:color w:val="auto"/>
        </w:rPr>
        <w:t>Gender</w:t>
      </w:r>
    </w:p>
    <w:p w14:paraId="08DF224B" w14:textId="50BA73B3" w:rsidR="003E4014" w:rsidRPr="00BA79A1" w:rsidRDefault="003E4014" w:rsidP="003E4014">
      <w:pPr>
        <w:rPr>
          <w:color w:val="auto"/>
        </w:rPr>
      </w:pPr>
      <w:r w:rsidRPr="00BA79A1">
        <w:rPr>
          <w:color w:val="auto"/>
        </w:rPr>
        <w:t xml:space="preserve">Gender equality reduces the likelihood of violence against girls and women and is at the heart of our development program. We will ensure any activities are sensitive to this and will promote gender equality across our program. </w:t>
      </w:r>
      <w:r w:rsidR="00212D2F" w:rsidRPr="00BA79A1">
        <w:rPr>
          <w:color w:val="auto"/>
        </w:rPr>
        <w:t xml:space="preserve">Niue’s </w:t>
      </w:r>
      <w:r w:rsidR="008A7E42" w:rsidRPr="00BA79A1">
        <w:rPr>
          <w:color w:val="auto"/>
        </w:rPr>
        <w:t xml:space="preserve">small, geographically concentrated population and close familial connections means that support for </w:t>
      </w:r>
      <w:r w:rsidR="008A7E42" w:rsidRPr="00BA79A1" w:rsidDel="00776CC4">
        <w:rPr>
          <w:color w:val="auto"/>
        </w:rPr>
        <w:t xml:space="preserve">the most vulnerable </w:t>
      </w:r>
      <w:r w:rsidR="00212D2F" w:rsidRPr="00BA79A1">
        <w:rPr>
          <w:color w:val="auto"/>
        </w:rPr>
        <w:t xml:space="preserve">will be </w:t>
      </w:r>
      <w:r w:rsidR="008A7E42" w:rsidRPr="00BA79A1">
        <w:rPr>
          <w:color w:val="auto"/>
        </w:rPr>
        <w:t xml:space="preserve">most effective when </w:t>
      </w:r>
      <w:r w:rsidR="008A7E42" w:rsidRPr="00BA79A1" w:rsidDel="00776CC4">
        <w:rPr>
          <w:color w:val="auto"/>
        </w:rPr>
        <w:t>mainstreamed across our response</w:t>
      </w:r>
      <w:r w:rsidR="00212D2F" w:rsidRPr="00BA79A1">
        <w:rPr>
          <w:color w:val="auto"/>
        </w:rPr>
        <w:t>.</w:t>
      </w:r>
      <w:r w:rsidR="008A7E42" w:rsidRPr="00BA79A1">
        <w:rPr>
          <w:color w:val="auto"/>
        </w:rPr>
        <w:t xml:space="preserve"> </w:t>
      </w:r>
      <w:r w:rsidRPr="00BA79A1">
        <w:rPr>
          <w:color w:val="auto"/>
        </w:rPr>
        <w:t>We will seek Niue Government agreement to ensure that safety is addressed in a</w:t>
      </w:r>
      <w:r w:rsidR="00212D2F" w:rsidRPr="00BA79A1">
        <w:rPr>
          <w:color w:val="auto"/>
        </w:rPr>
        <w:t>ny</w:t>
      </w:r>
      <w:r w:rsidRPr="00BA79A1">
        <w:rPr>
          <w:color w:val="auto"/>
        </w:rPr>
        <w:t xml:space="preserve"> public infrastructure projects (</w:t>
      </w:r>
      <w:proofErr w:type="spellStart"/>
      <w:proofErr w:type="gramStart"/>
      <w:r w:rsidRPr="00BA79A1">
        <w:rPr>
          <w:color w:val="auto"/>
        </w:rPr>
        <w:t>eg</w:t>
      </w:r>
      <w:proofErr w:type="spellEnd"/>
      <w:proofErr w:type="gramEnd"/>
      <w:r w:rsidRPr="00BA79A1">
        <w:rPr>
          <w:color w:val="auto"/>
        </w:rPr>
        <w:t xml:space="preserve"> good lighting), and other implementation partners are aware of our gender requirements and proportional gender plans are put in place.</w:t>
      </w:r>
    </w:p>
    <w:p w14:paraId="73335270" w14:textId="77777777" w:rsidR="003E4014" w:rsidRPr="00BA79A1" w:rsidRDefault="003E4014" w:rsidP="003E4014">
      <w:pPr>
        <w:rPr>
          <w:i/>
          <w:iCs/>
          <w:color w:val="auto"/>
        </w:rPr>
      </w:pPr>
      <w:r w:rsidRPr="00BA79A1">
        <w:rPr>
          <w:i/>
          <w:iCs/>
          <w:color w:val="auto"/>
        </w:rPr>
        <w:t xml:space="preserve">Child Protection </w:t>
      </w:r>
    </w:p>
    <w:p w14:paraId="12EE7F90" w14:textId="4CD9C54A" w:rsidR="003E4014" w:rsidRPr="00BA79A1" w:rsidRDefault="003E4014" w:rsidP="003E4014">
      <w:pPr>
        <w:rPr>
          <w:color w:val="auto"/>
        </w:rPr>
      </w:pPr>
      <w:r w:rsidRPr="00BA79A1">
        <w:rPr>
          <w:color w:val="auto"/>
        </w:rPr>
        <w:t>Formal child protection systems in Niue are weak</w:t>
      </w:r>
      <w:r w:rsidR="00632763">
        <w:rPr>
          <w:color w:val="auto"/>
        </w:rPr>
        <w:t xml:space="preserve">. </w:t>
      </w:r>
      <w:r w:rsidRPr="00BA79A1">
        <w:rPr>
          <w:color w:val="auto"/>
        </w:rPr>
        <w:t xml:space="preserve">To reduce vulnerability in line with the DFAT Child Protection policy, we </w:t>
      </w:r>
      <w:r w:rsidR="007E0307" w:rsidRPr="00BA79A1">
        <w:rPr>
          <w:color w:val="auto"/>
        </w:rPr>
        <w:t>will conduct</w:t>
      </w:r>
      <w:r w:rsidRPr="00BA79A1">
        <w:rPr>
          <w:color w:val="auto"/>
        </w:rPr>
        <w:t xml:space="preserve"> screening of contractors and sub-contractors for compliance with the DFAT policy. </w:t>
      </w:r>
    </w:p>
    <w:p w14:paraId="62A067F0" w14:textId="77777777" w:rsidR="003E4014" w:rsidRPr="00BA79A1" w:rsidRDefault="003E4014" w:rsidP="003E4014">
      <w:pPr>
        <w:rPr>
          <w:i/>
          <w:iCs/>
          <w:color w:val="auto"/>
        </w:rPr>
      </w:pPr>
      <w:r w:rsidRPr="00BA79A1">
        <w:rPr>
          <w:i/>
          <w:iCs/>
          <w:color w:val="auto"/>
        </w:rPr>
        <w:t>Disability Inclusiveness</w:t>
      </w:r>
    </w:p>
    <w:p w14:paraId="3EC05DF8" w14:textId="289B99FE" w:rsidR="003E4014" w:rsidRPr="00BA79A1" w:rsidRDefault="003E4014" w:rsidP="003E4014">
      <w:pPr>
        <w:rPr>
          <w:color w:val="auto"/>
        </w:rPr>
      </w:pPr>
      <w:r w:rsidRPr="00BA79A1">
        <w:rPr>
          <w:color w:val="auto"/>
        </w:rPr>
        <w:t>According to the 20</w:t>
      </w:r>
      <w:r w:rsidR="00216237" w:rsidRPr="00BA79A1">
        <w:rPr>
          <w:color w:val="auto"/>
        </w:rPr>
        <w:t>17</w:t>
      </w:r>
      <w:r w:rsidRPr="00BA79A1">
        <w:rPr>
          <w:color w:val="auto"/>
        </w:rPr>
        <w:t xml:space="preserve"> census, </w:t>
      </w:r>
      <w:r w:rsidR="00216237" w:rsidRPr="00BA79A1">
        <w:rPr>
          <w:color w:val="auto"/>
        </w:rPr>
        <w:t>a small percentage</w:t>
      </w:r>
      <w:r w:rsidRPr="00BA79A1">
        <w:rPr>
          <w:color w:val="auto"/>
        </w:rPr>
        <w:t xml:space="preserve"> of </w:t>
      </w:r>
      <w:proofErr w:type="spellStart"/>
      <w:r w:rsidRPr="00BA79A1">
        <w:rPr>
          <w:color w:val="auto"/>
        </w:rPr>
        <w:t>Niueans</w:t>
      </w:r>
      <w:proofErr w:type="spellEnd"/>
      <w:r w:rsidRPr="00BA79A1">
        <w:rPr>
          <w:color w:val="auto"/>
        </w:rPr>
        <w:t xml:space="preserve"> </w:t>
      </w:r>
      <w:r w:rsidR="00ED096A" w:rsidRPr="00BA79A1">
        <w:rPr>
          <w:color w:val="auto"/>
        </w:rPr>
        <w:t xml:space="preserve">identified as </w:t>
      </w:r>
      <w:r w:rsidRPr="00BA79A1">
        <w:rPr>
          <w:color w:val="auto"/>
        </w:rPr>
        <w:t>hav</w:t>
      </w:r>
      <w:r w:rsidR="00ED096A" w:rsidRPr="00BA79A1">
        <w:rPr>
          <w:color w:val="auto"/>
        </w:rPr>
        <w:t>ing</w:t>
      </w:r>
      <w:r w:rsidRPr="00BA79A1">
        <w:rPr>
          <w:color w:val="auto"/>
        </w:rPr>
        <w:t xml:space="preserve"> some </w:t>
      </w:r>
      <w:r w:rsidR="00216237" w:rsidRPr="00BA79A1">
        <w:rPr>
          <w:color w:val="auto"/>
        </w:rPr>
        <w:t xml:space="preserve">problem which has a negative impact on daily activities. The highest numbers include problems with vision (14.7%), mobility (7.9%) and memory (7.1%). </w:t>
      </w:r>
      <w:r w:rsidRPr="00BA79A1">
        <w:rPr>
          <w:color w:val="auto"/>
        </w:rPr>
        <w:t xml:space="preserve">In line with our obligations under the UN Convention on the Rights of Persons with Disabilities, we will promote disability-inclusive development (in line with DFAT’s Development for All </w:t>
      </w:r>
      <w:r w:rsidR="00ED096A" w:rsidRPr="00BA79A1">
        <w:rPr>
          <w:color w:val="auto"/>
        </w:rPr>
        <w:t>S</w:t>
      </w:r>
      <w:r w:rsidRPr="00BA79A1">
        <w:rPr>
          <w:color w:val="auto"/>
        </w:rPr>
        <w:t xml:space="preserve">trategy) in all activities implemented through the development program. Post will promote disability-inclusive services and infrastructure activities will help remove physical barriers. </w:t>
      </w:r>
      <w:r w:rsidR="00ED096A" w:rsidRPr="00BA79A1">
        <w:rPr>
          <w:color w:val="auto"/>
        </w:rPr>
        <w:t>I</w:t>
      </w:r>
      <w:r w:rsidRPr="00BA79A1">
        <w:rPr>
          <w:color w:val="auto"/>
        </w:rPr>
        <w:t xml:space="preserve">mplementing partners </w:t>
      </w:r>
      <w:r w:rsidR="00ED096A" w:rsidRPr="00BA79A1">
        <w:rPr>
          <w:color w:val="auto"/>
        </w:rPr>
        <w:t xml:space="preserve">will be encouraged to </w:t>
      </w:r>
      <w:r w:rsidRPr="00BA79A1">
        <w:rPr>
          <w:color w:val="auto"/>
        </w:rPr>
        <w:t>use the design principles for accessibility. Recognising the vital role of people with disabilities, Post will consult with</w:t>
      </w:r>
      <w:r w:rsidR="00503ECF" w:rsidRPr="00BA79A1">
        <w:rPr>
          <w:color w:val="auto"/>
        </w:rPr>
        <w:t xml:space="preserve"> people with disabilities and</w:t>
      </w:r>
      <w:r w:rsidRPr="00BA79A1">
        <w:rPr>
          <w:color w:val="auto"/>
        </w:rPr>
        <w:t xml:space="preserve"> </w:t>
      </w:r>
      <w:r w:rsidR="00D0288E" w:rsidRPr="00BA79A1">
        <w:rPr>
          <w:color w:val="auto"/>
        </w:rPr>
        <w:t>including but not limited to</w:t>
      </w:r>
      <w:r w:rsidR="006B3A27" w:rsidRPr="00BA79A1">
        <w:rPr>
          <w:color w:val="auto"/>
        </w:rPr>
        <w:t xml:space="preserve"> </w:t>
      </w:r>
      <w:r w:rsidR="00D0288E" w:rsidRPr="00BA79A1">
        <w:rPr>
          <w:color w:val="auto"/>
        </w:rPr>
        <w:t xml:space="preserve">the </w:t>
      </w:r>
      <w:r w:rsidR="00503ECF" w:rsidRPr="00BA79A1">
        <w:rPr>
          <w:color w:val="auto"/>
        </w:rPr>
        <w:t xml:space="preserve">Niue </w:t>
      </w:r>
      <w:proofErr w:type="spellStart"/>
      <w:r w:rsidR="00503ECF" w:rsidRPr="00BA79A1">
        <w:rPr>
          <w:color w:val="auto"/>
        </w:rPr>
        <w:t>Tolomaki</w:t>
      </w:r>
      <w:proofErr w:type="spellEnd"/>
      <w:r w:rsidR="00503ECF" w:rsidRPr="00BA79A1">
        <w:rPr>
          <w:color w:val="auto"/>
        </w:rPr>
        <w:t xml:space="preserve"> </w:t>
      </w:r>
      <w:proofErr w:type="spellStart"/>
      <w:r w:rsidR="00503ECF" w:rsidRPr="00BA79A1">
        <w:rPr>
          <w:color w:val="auto"/>
        </w:rPr>
        <w:t>Auloa</w:t>
      </w:r>
      <w:proofErr w:type="spellEnd"/>
      <w:r w:rsidR="00503ECF" w:rsidRPr="00BA79A1">
        <w:rPr>
          <w:color w:val="auto"/>
        </w:rPr>
        <w:t xml:space="preserve"> Association</w:t>
      </w:r>
      <w:r w:rsidRPr="00BA79A1">
        <w:rPr>
          <w:color w:val="auto"/>
        </w:rPr>
        <w:t>.</w:t>
      </w:r>
    </w:p>
    <w:p w14:paraId="6F9256D9" w14:textId="30826554" w:rsidR="00A32858" w:rsidRPr="00BA79A1" w:rsidRDefault="00A32858" w:rsidP="00A32858">
      <w:pPr>
        <w:rPr>
          <w:i/>
          <w:color w:val="auto"/>
        </w:rPr>
      </w:pPr>
      <w:r w:rsidRPr="00BA79A1">
        <w:rPr>
          <w:i/>
          <w:color w:val="auto"/>
        </w:rPr>
        <w:t>Climate Change</w:t>
      </w:r>
    </w:p>
    <w:p w14:paraId="157611D9" w14:textId="529399B6" w:rsidR="00310953" w:rsidRPr="00BA79A1" w:rsidRDefault="0085067B" w:rsidP="00A32858">
      <w:pPr>
        <w:rPr>
          <w:iCs/>
          <w:color w:val="auto"/>
        </w:rPr>
      </w:pPr>
      <w:r w:rsidRPr="00BA79A1">
        <w:rPr>
          <w:iCs/>
          <w:color w:val="auto"/>
        </w:rPr>
        <w:t xml:space="preserve">Niue faces </w:t>
      </w:r>
      <w:r w:rsidR="00915195" w:rsidRPr="00BA79A1">
        <w:rPr>
          <w:iCs/>
          <w:color w:val="auto"/>
        </w:rPr>
        <w:t xml:space="preserve">both </w:t>
      </w:r>
      <w:r w:rsidRPr="00BA79A1">
        <w:rPr>
          <w:iCs/>
          <w:color w:val="auto"/>
        </w:rPr>
        <w:t xml:space="preserve">severe events </w:t>
      </w:r>
      <w:r w:rsidR="00915195" w:rsidRPr="00BA79A1">
        <w:rPr>
          <w:iCs/>
          <w:color w:val="auto"/>
        </w:rPr>
        <w:t xml:space="preserve">such as cyclones, </w:t>
      </w:r>
      <w:r w:rsidRPr="00BA79A1">
        <w:rPr>
          <w:iCs/>
          <w:color w:val="auto"/>
        </w:rPr>
        <w:t xml:space="preserve">and slow onset events </w:t>
      </w:r>
      <w:r w:rsidR="00B4629D" w:rsidRPr="00BA79A1">
        <w:rPr>
          <w:iCs/>
          <w:color w:val="auto"/>
        </w:rPr>
        <w:t xml:space="preserve">such as contamination of the water lens from salt inundation, </w:t>
      </w:r>
      <w:r w:rsidRPr="00BA79A1">
        <w:rPr>
          <w:iCs/>
          <w:color w:val="auto"/>
        </w:rPr>
        <w:t xml:space="preserve">from changes to the climate system.  </w:t>
      </w:r>
      <w:r w:rsidR="009C7A0B" w:rsidRPr="00BA79A1">
        <w:rPr>
          <w:iCs/>
          <w:color w:val="auto"/>
        </w:rPr>
        <w:t>The</w:t>
      </w:r>
      <w:r w:rsidR="00C41600" w:rsidRPr="00BA79A1">
        <w:rPr>
          <w:iCs/>
          <w:color w:val="auto"/>
        </w:rPr>
        <w:t xml:space="preserve"> </w:t>
      </w:r>
      <w:r w:rsidR="009C7A0B" w:rsidRPr="00BA79A1">
        <w:rPr>
          <w:iCs/>
          <w:color w:val="auto"/>
        </w:rPr>
        <w:t>key guiding documents for building resilience to Climate Change in Niue are the National Climate Change Policy (2009) and Niue’s Joint Action Plan for Disaster</w:t>
      </w:r>
      <w:r w:rsidR="001A0DDA" w:rsidRPr="00BA79A1">
        <w:rPr>
          <w:iCs/>
          <w:color w:val="auto"/>
        </w:rPr>
        <w:t xml:space="preserve"> risk management and Climate Change (2012)</w:t>
      </w:r>
      <w:r w:rsidR="00C41600" w:rsidRPr="00BA79A1">
        <w:rPr>
          <w:iCs/>
          <w:color w:val="auto"/>
        </w:rPr>
        <w:t xml:space="preserve">.  </w:t>
      </w:r>
      <w:r w:rsidR="00C0395E" w:rsidRPr="00BA79A1">
        <w:rPr>
          <w:iCs/>
          <w:color w:val="auto"/>
        </w:rPr>
        <w:t xml:space="preserve">DFAT will align </w:t>
      </w:r>
      <w:r w:rsidR="004C45D7" w:rsidRPr="00BA79A1">
        <w:rPr>
          <w:iCs/>
          <w:color w:val="auto"/>
        </w:rPr>
        <w:t xml:space="preserve">its development program to </w:t>
      </w:r>
      <w:r w:rsidR="004C45D7" w:rsidRPr="00BA79A1">
        <w:rPr>
          <w:iCs/>
          <w:color w:val="auto"/>
        </w:rPr>
        <w:lastRenderedPageBreak/>
        <w:t>the priorities identified in these national policies</w:t>
      </w:r>
      <w:r w:rsidR="002D291E" w:rsidRPr="00BA79A1">
        <w:rPr>
          <w:iCs/>
          <w:color w:val="auto"/>
        </w:rPr>
        <w:t>, including awareness raising, adaptation and mitigation measures.</w:t>
      </w:r>
      <w:r w:rsidR="00AF38CF" w:rsidRPr="00BA79A1">
        <w:rPr>
          <w:iCs/>
          <w:color w:val="auto"/>
        </w:rPr>
        <w:t xml:space="preserve">  </w:t>
      </w:r>
    </w:p>
    <w:p w14:paraId="2CA87065" w14:textId="7F1824F6" w:rsidR="004F2AF9" w:rsidRPr="00BA79A1" w:rsidRDefault="004F2AF9" w:rsidP="004F2AF9">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auto"/>
          <w:szCs w:val="21"/>
        </w:rPr>
      </w:pPr>
      <w:r w:rsidRPr="00BA79A1">
        <w:rPr>
          <w:rFonts w:asciiTheme="majorHAnsi" w:hAnsiTheme="majorHAnsi"/>
          <w:b/>
          <w:color w:val="auto"/>
          <w:szCs w:val="21"/>
        </w:rPr>
        <w:t xml:space="preserve">Budget and Resources </w:t>
      </w:r>
    </w:p>
    <w:p w14:paraId="30219211" w14:textId="77777777" w:rsidR="004509E4" w:rsidRPr="00BA79A1" w:rsidRDefault="004509E4" w:rsidP="004509E4">
      <w:pPr>
        <w:rPr>
          <w:b/>
          <w:bCs/>
          <w:i/>
          <w:iCs/>
          <w:color w:val="auto"/>
        </w:rPr>
      </w:pPr>
      <w:r w:rsidRPr="00BA79A1">
        <w:rPr>
          <w:b/>
          <w:bCs/>
          <w:i/>
          <w:iCs/>
          <w:color w:val="auto"/>
        </w:rPr>
        <w:t>Indicative Funding</w:t>
      </w:r>
    </w:p>
    <w:p w14:paraId="12ED751D" w14:textId="24740BDD" w:rsidR="004509E4" w:rsidRPr="00BA79A1" w:rsidRDefault="004509E4" w:rsidP="004509E4">
      <w:pPr>
        <w:rPr>
          <w:color w:val="auto"/>
        </w:rPr>
      </w:pPr>
      <w:r w:rsidRPr="00BA79A1">
        <w:rPr>
          <w:color w:val="auto"/>
        </w:rPr>
        <w:t>In consultation with the Government of Niue the development program will target the greatest needs and build on the strengths of Australian support. Following initial consultations undertaken during the</w:t>
      </w:r>
      <w:r w:rsidR="00A3315B">
        <w:rPr>
          <w:color w:val="auto"/>
        </w:rPr>
        <w:t xml:space="preserve"> 2021</w:t>
      </w:r>
      <w:r w:rsidRPr="00BA79A1">
        <w:rPr>
          <w:color w:val="auto"/>
        </w:rPr>
        <w:t xml:space="preserve"> evaluation of the aid program, the indicative breakdown of the program </w:t>
      </w:r>
      <w:r w:rsidR="001D4759" w:rsidRPr="00BA79A1">
        <w:rPr>
          <w:color w:val="auto"/>
        </w:rPr>
        <w:t xml:space="preserve">over the life of the investment </w:t>
      </w:r>
      <w:r w:rsidRPr="00BA79A1">
        <w:rPr>
          <w:color w:val="auto"/>
        </w:rPr>
        <w:t>will be:</w:t>
      </w:r>
    </w:p>
    <w:p w14:paraId="7F42957F" w14:textId="1B7911C3" w:rsidR="0090649F" w:rsidRPr="00BA79A1" w:rsidRDefault="00776742" w:rsidP="004509E4">
      <w:pPr>
        <w:pStyle w:val="ListParagraph"/>
        <w:numPr>
          <w:ilvl w:val="0"/>
          <w:numId w:val="45"/>
        </w:numPr>
        <w:rPr>
          <w:color w:val="auto"/>
        </w:rPr>
      </w:pPr>
      <w:r w:rsidRPr="00BA79A1">
        <w:rPr>
          <w:color w:val="auto"/>
        </w:rPr>
        <w:t>45</w:t>
      </w:r>
      <w:r w:rsidR="0090649F" w:rsidRPr="00BA79A1">
        <w:rPr>
          <w:color w:val="auto"/>
        </w:rPr>
        <w:t>% economy</w:t>
      </w:r>
    </w:p>
    <w:p w14:paraId="3AB29255" w14:textId="7411D9FF" w:rsidR="004509E4" w:rsidRPr="00BA79A1" w:rsidRDefault="00776742" w:rsidP="004509E4">
      <w:pPr>
        <w:pStyle w:val="ListParagraph"/>
        <w:numPr>
          <w:ilvl w:val="0"/>
          <w:numId w:val="45"/>
        </w:numPr>
        <w:rPr>
          <w:color w:val="auto"/>
        </w:rPr>
      </w:pPr>
      <w:r w:rsidRPr="00BA79A1">
        <w:rPr>
          <w:color w:val="auto"/>
        </w:rPr>
        <w:t>50%</w:t>
      </w:r>
      <w:r w:rsidR="0090649F" w:rsidRPr="00BA79A1">
        <w:rPr>
          <w:color w:val="auto"/>
        </w:rPr>
        <w:t xml:space="preserve"> </w:t>
      </w:r>
      <w:r w:rsidR="004509E4" w:rsidRPr="00BA79A1">
        <w:rPr>
          <w:color w:val="auto"/>
        </w:rPr>
        <w:t>infrastructure</w:t>
      </w:r>
    </w:p>
    <w:p w14:paraId="12986B63" w14:textId="5AACE4B5" w:rsidR="0090649F" w:rsidRPr="00BA79A1" w:rsidRDefault="0090649F" w:rsidP="004509E4">
      <w:pPr>
        <w:pStyle w:val="ListParagraph"/>
        <w:numPr>
          <w:ilvl w:val="0"/>
          <w:numId w:val="45"/>
        </w:numPr>
        <w:rPr>
          <w:color w:val="auto"/>
        </w:rPr>
      </w:pPr>
      <w:r w:rsidRPr="00BA79A1">
        <w:rPr>
          <w:color w:val="auto"/>
        </w:rPr>
        <w:t>5% monitoring and evaluation</w:t>
      </w:r>
    </w:p>
    <w:p w14:paraId="6141F23E" w14:textId="605763BC" w:rsidR="00A31EDF" w:rsidRPr="00933E74" w:rsidRDefault="00A31EDF" w:rsidP="002066BC">
      <w:pPr>
        <w:rPr>
          <w:color w:val="auto"/>
        </w:rPr>
      </w:pPr>
      <w:r w:rsidRPr="00933E74">
        <w:rPr>
          <w:color w:val="auto"/>
        </w:rPr>
        <w:t>It is important to note</w:t>
      </w:r>
      <w:r w:rsidR="00776742" w:rsidRPr="00933E74">
        <w:rPr>
          <w:color w:val="auto"/>
        </w:rPr>
        <w:t xml:space="preserve"> that funding for social services ($0.2m per annum) is </w:t>
      </w:r>
      <w:r w:rsidRPr="00933E74">
        <w:rPr>
          <w:color w:val="auto"/>
        </w:rPr>
        <w:t xml:space="preserve">already </w:t>
      </w:r>
      <w:r w:rsidR="00776742" w:rsidRPr="00933E74">
        <w:rPr>
          <w:color w:val="auto"/>
        </w:rPr>
        <w:t xml:space="preserve">allocated to </w:t>
      </w:r>
      <w:r w:rsidRPr="00933E74">
        <w:rPr>
          <w:color w:val="auto"/>
        </w:rPr>
        <w:t xml:space="preserve">existing </w:t>
      </w:r>
      <w:r w:rsidR="00776742" w:rsidRPr="00933E74">
        <w:rPr>
          <w:color w:val="auto"/>
        </w:rPr>
        <w:t>compl</w:t>
      </w:r>
      <w:r w:rsidR="008A43D0" w:rsidRPr="00933E74">
        <w:rPr>
          <w:color w:val="auto"/>
        </w:rPr>
        <w:t>e</w:t>
      </w:r>
      <w:r w:rsidR="00776742" w:rsidRPr="00933E74">
        <w:rPr>
          <w:color w:val="auto"/>
        </w:rPr>
        <w:t>mentary investment</w:t>
      </w:r>
      <w:r w:rsidRPr="00933E74">
        <w:rPr>
          <w:color w:val="auto"/>
        </w:rPr>
        <w:t>s</w:t>
      </w:r>
      <w:r w:rsidR="00776742" w:rsidRPr="00933E74">
        <w:rPr>
          <w:color w:val="auto"/>
        </w:rPr>
        <w:t xml:space="preserve">. </w:t>
      </w:r>
    </w:p>
    <w:p w14:paraId="17E4D978" w14:textId="1FD2BDC7" w:rsidR="004509E4" w:rsidRPr="00933E74" w:rsidRDefault="004509E4" w:rsidP="002066BC">
      <w:pPr>
        <w:rPr>
          <w:color w:val="auto"/>
        </w:rPr>
      </w:pPr>
      <w:r w:rsidRPr="00933E74">
        <w:rPr>
          <w:color w:val="auto"/>
        </w:rPr>
        <w:t>We will consider investing in innovative or high-priority activities outside these sectors if we are asked by the Government of Niue.</w:t>
      </w:r>
    </w:p>
    <w:p w14:paraId="54ECAAF5" w14:textId="0BE2DA28" w:rsidR="004F2AF9" w:rsidRPr="00933E74" w:rsidRDefault="004F2AF9" w:rsidP="004F2AF9">
      <w:pPr>
        <w:rPr>
          <w:i/>
          <w:color w:val="auto"/>
        </w:rPr>
      </w:pPr>
      <w:r w:rsidRPr="00933E74">
        <w:rPr>
          <w:i/>
          <w:color w:val="auto"/>
        </w:rPr>
        <w:t>Budget</w:t>
      </w:r>
    </w:p>
    <w:p w14:paraId="58F9D469" w14:textId="147153F9" w:rsidR="00A31EDF" w:rsidRPr="00933E74" w:rsidRDefault="00A31EDF" w:rsidP="00C02E11">
      <w:pPr>
        <w:tabs>
          <w:tab w:val="left" w:pos="284"/>
        </w:tabs>
        <w:suppressAutoHyphens w:val="0"/>
        <w:spacing w:before="0" w:line="280" w:lineRule="exact"/>
        <w:rPr>
          <w:rFonts w:eastAsia="Times New Roman" w:cs="Times New Roman"/>
          <w:iCs/>
          <w:color w:val="auto"/>
          <w:lang w:val="en-AU" w:eastAsia="en-AU"/>
        </w:rPr>
      </w:pPr>
      <w:r w:rsidRPr="00933E74">
        <w:rPr>
          <w:rFonts w:eastAsia="Times New Roman" w:cs="Times New Roman"/>
          <w:iCs/>
          <w:color w:val="auto"/>
          <w:lang w:val="en-AU" w:eastAsia="en-AU"/>
        </w:rPr>
        <w:t xml:space="preserve">Annex </w:t>
      </w:r>
      <w:r w:rsidR="00D11E15" w:rsidRPr="00933E74">
        <w:rPr>
          <w:rFonts w:eastAsia="Times New Roman" w:cs="Times New Roman"/>
          <w:iCs/>
          <w:color w:val="auto"/>
          <w:lang w:val="en-AU" w:eastAsia="en-AU"/>
        </w:rPr>
        <w:t>D</w:t>
      </w:r>
      <w:r w:rsidRPr="00933E74">
        <w:rPr>
          <w:rFonts w:eastAsia="Times New Roman" w:cs="Times New Roman"/>
          <w:iCs/>
          <w:color w:val="auto"/>
          <w:lang w:val="en-AU" w:eastAsia="en-AU"/>
        </w:rPr>
        <w:t xml:space="preserve"> provides an indicative budget for the investment by priority area. To ensure visibility of our holistic efforts in Niue, the budget also notes flows to compl</w:t>
      </w:r>
      <w:r w:rsidR="008A43D0" w:rsidRPr="00933E74">
        <w:rPr>
          <w:rFonts w:eastAsia="Times New Roman" w:cs="Times New Roman"/>
          <w:iCs/>
          <w:color w:val="auto"/>
          <w:lang w:val="en-AU" w:eastAsia="en-AU"/>
        </w:rPr>
        <w:t>e</w:t>
      </w:r>
      <w:r w:rsidRPr="00933E74">
        <w:rPr>
          <w:rFonts w:eastAsia="Times New Roman" w:cs="Times New Roman"/>
          <w:iCs/>
          <w:color w:val="auto"/>
          <w:lang w:val="en-AU" w:eastAsia="en-AU"/>
        </w:rPr>
        <w:t xml:space="preserve">mentary investments </w:t>
      </w:r>
      <w:r w:rsidR="00055E8F" w:rsidRPr="00933E74">
        <w:rPr>
          <w:rFonts w:eastAsia="Times New Roman" w:cs="Times New Roman"/>
          <w:iCs/>
          <w:color w:val="auto"/>
          <w:lang w:val="en-AU" w:eastAsia="en-AU"/>
        </w:rPr>
        <w:t xml:space="preserve">in </w:t>
      </w:r>
      <w:r w:rsidRPr="00933E74">
        <w:rPr>
          <w:rFonts w:eastAsia="Times New Roman" w:cs="Times New Roman"/>
          <w:iCs/>
          <w:color w:val="auto"/>
          <w:lang w:val="en-AU" w:eastAsia="en-AU"/>
        </w:rPr>
        <w:t xml:space="preserve">the services sector. The level of contribution for the NITF will </w:t>
      </w:r>
      <w:r w:rsidR="001327D7">
        <w:rPr>
          <w:rFonts w:eastAsia="Times New Roman" w:cs="Times New Roman"/>
          <w:iCs/>
          <w:color w:val="auto"/>
          <w:lang w:val="en-AU" w:eastAsia="en-AU"/>
        </w:rPr>
        <w:t xml:space="preserve">be </w:t>
      </w:r>
      <w:r w:rsidRPr="00933E74">
        <w:rPr>
          <w:rFonts w:eastAsia="Times New Roman" w:cs="Times New Roman"/>
          <w:iCs/>
          <w:color w:val="auto"/>
          <w:lang w:val="en-AU" w:eastAsia="en-AU"/>
        </w:rPr>
        <w:t xml:space="preserve">reviewed annually and will provide a buffer if there </w:t>
      </w:r>
      <w:r w:rsidR="00055E8F" w:rsidRPr="00933E74">
        <w:rPr>
          <w:rFonts w:eastAsia="Times New Roman" w:cs="Times New Roman"/>
          <w:iCs/>
          <w:color w:val="auto"/>
          <w:lang w:val="en-AU" w:eastAsia="en-AU"/>
        </w:rPr>
        <w:t xml:space="preserve">are </w:t>
      </w:r>
      <w:r w:rsidRPr="00933E74">
        <w:rPr>
          <w:rFonts w:eastAsia="Times New Roman" w:cs="Times New Roman"/>
          <w:iCs/>
          <w:color w:val="auto"/>
          <w:lang w:val="en-AU" w:eastAsia="en-AU"/>
        </w:rPr>
        <w:t xml:space="preserve">implementation delays with infrastructure activities. Given the very limited resources at Post, the NITF represents an efficient mechanism to deliver support. </w:t>
      </w:r>
    </w:p>
    <w:p w14:paraId="273811E1" w14:textId="3479632E" w:rsidR="004F2AF9" w:rsidRPr="00933E74" w:rsidRDefault="004F2AF9" w:rsidP="004F2AF9">
      <w:pPr>
        <w:rPr>
          <w:i/>
          <w:color w:val="auto"/>
        </w:rPr>
      </w:pPr>
      <w:r w:rsidRPr="00933E74">
        <w:rPr>
          <w:i/>
          <w:color w:val="auto"/>
        </w:rPr>
        <w:t>Resources</w:t>
      </w:r>
    </w:p>
    <w:p w14:paraId="0009E6F4" w14:textId="02813F5B" w:rsidR="00B66144" w:rsidRPr="00933E74" w:rsidRDefault="00805E02" w:rsidP="00B66144">
      <w:pPr>
        <w:tabs>
          <w:tab w:val="left" w:pos="284"/>
        </w:tabs>
        <w:suppressAutoHyphens w:val="0"/>
        <w:spacing w:before="0" w:line="280" w:lineRule="exact"/>
        <w:rPr>
          <w:rFonts w:eastAsia="Times New Roman" w:cs="Times New Roman"/>
          <w:color w:val="auto"/>
          <w:lang w:val="en-AU" w:eastAsia="en-AU"/>
        </w:rPr>
      </w:pPr>
      <w:r w:rsidRPr="00933E74">
        <w:rPr>
          <w:rFonts w:eastAsia="Times New Roman" w:cs="Times New Roman"/>
          <w:color w:val="auto"/>
          <w:lang w:val="en-AU" w:eastAsia="en-AU"/>
        </w:rPr>
        <w:t xml:space="preserve">Responsibility for managing </w:t>
      </w:r>
      <w:r w:rsidR="003C32B4" w:rsidRPr="00933E74">
        <w:rPr>
          <w:rFonts w:eastAsia="Times New Roman" w:cs="Times New Roman"/>
          <w:color w:val="auto"/>
          <w:lang w:val="en-AU" w:eastAsia="en-AU"/>
        </w:rPr>
        <w:t xml:space="preserve">the Investment will sit with Post (one A-based HOM) and </w:t>
      </w:r>
      <w:r w:rsidR="001327D7">
        <w:rPr>
          <w:rFonts w:eastAsia="Times New Roman" w:cs="Times New Roman"/>
          <w:color w:val="auto"/>
          <w:lang w:val="en-AU" w:eastAsia="en-AU"/>
        </w:rPr>
        <w:t>one</w:t>
      </w:r>
      <w:r w:rsidR="003C32B4" w:rsidRPr="00933E74">
        <w:rPr>
          <w:rFonts w:eastAsia="Times New Roman" w:cs="Times New Roman"/>
          <w:color w:val="auto"/>
          <w:lang w:val="en-AU" w:eastAsia="en-AU"/>
        </w:rPr>
        <w:t xml:space="preserve"> locally engaged staff member. Desk will provide support as necessary (FTE 0.5). </w:t>
      </w:r>
    </w:p>
    <w:p w14:paraId="7731A9E3" w14:textId="5C4EF2C4" w:rsidR="004F2AF9" w:rsidRPr="00BA79A1" w:rsidRDefault="004F2AF9" w:rsidP="004F2AF9">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auto"/>
          <w:szCs w:val="21"/>
        </w:rPr>
      </w:pPr>
      <w:r w:rsidRPr="00BA79A1">
        <w:rPr>
          <w:rFonts w:asciiTheme="majorHAnsi" w:hAnsiTheme="majorHAnsi"/>
          <w:b/>
          <w:color w:val="auto"/>
          <w:szCs w:val="21"/>
        </w:rPr>
        <w:t xml:space="preserve">Risk Management and Safeguards </w:t>
      </w:r>
    </w:p>
    <w:p w14:paraId="2EA3897C" w14:textId="3EA26365" w:rsidR="00961ECD" w:rsidRPr="00BA79A1" w:rsidRDefault="00867941" w:rsidP="00867941">
      <w:pPr>
        <w:tabs>
          <w:tab w:val="left" w:pos="284"/>
        </w:tabs>
        <w:suppressAutoHyphens w:val="0"/>
        <w:spacing w:before="0" w:line="280" w:lineRule="exact"/>
        <w:rPr>
          <w:color w:val="auto"/>
        </w:rPr>
      </w:pPr>
      <w:bookmarkStart w:id="4" w:name="_Hlk97283146"/>
      <w:r w:rsidRPr="00933E74">
        <w:rPr>
          <w:color w:val="auto"/>
        </w:rPr>
        <w:t xml:space="preserve">The </w:t>
      </w:r>
      <w:r w:rsidR="00961ECD" w:rsidRPr="00933E74">
        <w:rPr>
          <w:color w:val="auto"/>
        </w:rPr>
        <w:t>investment</w:t>
      </w:r>
      <w:r w:rsidRPr="00933E74">
        <w:rPr>
          <w:color w:val="auto"/>
        </w:rPr>
        <w:t xml:space="preserve"> was assessed as having an </w:t>
      </w:r>
      <w:r w:rsidR="00961ECD" w:rsidRPr="00933E74">
        <w:rPr>
          <w:color w:val="auto"/>
        </w:rPr>
        <w:t xml:space="preserve">inherent </w:t>
      </w:r>
      <w:r w:rsidRPr="00933E74">
        <w:rPr>
          <w:color w:val="auto"/>
        </w:rPr>
        <w:t xml:space="preserve">risk rating of </w:t>
      </w:r>
      <w:r w:rsidR="00961ECD" w:rsidRPr="00933E74">
        <w:rPr>
          <w:color w:val="auto"/>
        </w:rPr>
        <w:t>medium</w:t>
      </w:r>
      <w:r w:rsidRPr="00933E74">
        <w:rPr>
          <w:color w:val="auto"/>
        </w:rPr>
        <w:t xml:space="preserve"> risk</w:t>
      </w:r>
      <w:r w:rsidR="00A918C1" w:rsidRPr="00933E74">
        <w:rPr>
          <w:color w:val="auto"/>
        </w:rPr>
        <w:t xml:space="preserve"> (see Risk and Safeguard Tool</w:t>
      </w:r>
      <w:bookmarkEnd w:id="4"/>
      <w:r w:rsidR="00A918C1" w:rsidRPr="00933E74">
        <w:rPr>
          <w:color w:val="auto"/>
        </w:rPr>
        <w:t>)</w:t>
      </w:r>
      <w:r w:rsidRPr="00933E74">
        <w:rPr>
          <w:color w:val="auto"/>
        </w:rPr>
        <w:t>.</w:t>
      </w:r>
      <w:r w:rsidRPr="00BA79A1">
        <w:rPr>
          <w:color w:val="auto"/>
        </w:rPr>
        <w:t xml:space="preserve"> </w:t>
      </w:r>
      <w:r w:rsidR="00961ECD" w:rsidRPr="00BA79A1">
        <w:rPr>
          <w:color w:val="auto"/>
        </w:rPr>
        <w:t xml:space="preserve"> </w:t>
      </w:r>
      <w:r w:rsidR="003E4014" w:rsidRPr="00BA79A1">
        <w:rPr>
          <w:color w:val="auto"/>
        </w:rPr>
        <w:t>Ongoing and regular consultations with all stakeholders will inform the regular assessment of risks</w:t>
      </w:r>
      <w:r w:rsidR="00055E8F" w:rsidRPr="00BA79A1">
        <w:rPr>
          <w:color w:val="auto"/>
        </w:rPr>
        <w:t xml:space="preserve"> on a quarterly basis or the risk environment changes</w:t>
      </w:r>
      <w:r w:rsidR="003E4014" w:rsidRPr="00BA79A1">
        <w:rPr>
          <w:color w:val="auto"/>
        </w:rPr>
        <w:t xml:space="preserve">. </w:t>
      </w:r>
      <w:r w:rsidR="00961ECD" w:rsidRPr="00BA79A1">
        <w:rPr>
          <w:color w:val="auto"/>
        </w:rPr>
        <w:t>During implementation</w:t>
      </w:r>
      <w:r w:rsidR="001327D7">
        <w:rPr>
          <w:color w:val="auto"/>
        </w:rPr>
        <w:t>,</w:t>
      </w:r>
      <w:r w:rsidR="00961ECD" w:rsidRPr="00BA79A1">
        <w:rPr>
          <w:color w:val="auto"/>
        </w:rPr>
        <w:t xml:space="preserve"> k</w:t>
      </w:r>
      <w:r w:rsidRPr="00BA79A1">
        <w:rPr>
          <w:color w:val="auto"/>
        </w:rPr>
        <w:t xml:space="preserve">ey risks will be escalated to </w:t>
      </w:r>
      <w:proofErr w:type="gramStart"/>
      <w:r w:rsidRPr="00BA79A1">
        <w:rPr>
          <w:color w:val="auto"/>
        </w:rPr>
        <w:t xml:space="preserve">the </w:t>
      </w:r>
      <w:r w:rsidR="005A3CD7">
        <w:rPr>
          <w:color w:val="auto"/>
        </w:rPr>
        <w:t xml:space="preserve"> Australian</w:t>
      </w:r>
      <w:proofErr w:type="gramEnd"/>
      <w:r w:rsidR="005A3CD7">
        <w:rPr>
          <w:color w:val="auto"/>
        </w:rPr>
        <w:t xml:space="preserve"> High Commission in Alofi</w:t>
      </w:r>
      <w:r w:rsidRPr="00BA79A1">
        <w:rPr>
          <w:color w:val="auto"/>
        </w:rPr>
        <w:t xml:space="preserve"> and to the Assistant Secretary of the New Zealand</w:t>
      </w:r>
      <w:r w:rsidR="004219AB">
        <w:rPr>
          <w:color w:val="auto"/>
        </w:rPr>
        <w:t xml:space="preserve"> and Polynesia</w:t>
      </w:r>
      <w:r w:rsidRPr="00BA79A1">
        <w:rPr>
          <w:color w:val="auto"/>
        </w:rPr>
        <w:t xml:space="preserve"> Branch</w:t>
      </w:r>
      <w:r w:rsidR="001327D7">
        <w:rPr>
          <w:color w:val="auto"/>
        </w:rPr>
        <w:t xml:space="preserve"> (DFAT, Canberra)</w:t>
      </w:r>
      <w:r w:rsidRPr="00BA79A1">
        <w:rPr>
          <w:color w:val="auto"/>
        </w:rPr>
        <w:t xml:space="preserve">. </w:t>
      </w:r>
      <w:r w:rsidR="00197D32" w:rsidRPr="00BA79A1">
        <w:rPr>
          <w:color w:val="auto"/>
        </w:rPr>
        <w:t xml:space="preserve">Risks arising from regional and globally funded and managed programs will be considered as part of the quarterly post risk meeting. </w:t>
      </w:r>
      <w:r w:rsidRPr="00BA79A1">
        <w:rPr>
          <w:color w:val="auto"/>
        </w:rPr>
        <w:t xml:space="preserve">DFAT will ensure each activity has a risk management plan in place before disbursement of funds. The most significant risks are: </w:t>
      </w:r>
    </w:p>
    <w:p w14:paraId="2E741FED" w14:textId="76CBF327" w:rsidR="00961ECD" w:rsidRPr="00BA79A1" w:rsidRDefault="00A918C1" w:rsidP="00867941">
      <w:pPr>
        <w:tabs>
          <w:tab w:val="left" w:pos="284"/>
        </w:tabs>
        <w:suppressAutoHyphens w:val="0"/>
        <w:spacing w:before="0" w:line="280" w:lineRule="exact"/>
        <w:rPr>
          <w:color w:val="auto"/>
        </w:rPr>
      </w:pPr>
      <w:bookmarkStart w:id="5" w:name="_Hlk97283169"/>
      <w:r w:rsidRPr="00BA79A1">
        <w:rPr>
          <w:color w:val="auto"/>
          <w:u w:val="single"/>
        </w:rPr>
        <w:t>Political and Reputational</w:t>
      </w:r>
      <w:r w:rsidR="00961ECD" w:rsidRPr="00BA79A1">
        <w:rPr>
          <w:i/>
          <w:iCs/>
          <w:color w:val="auto"/>
        </w:rPr>
        <w:t xml:space="preserve">: </w:t>
      </w:r>
      <w:r w:rsidR="00835854" w:rsidRPr="00BA79A1">
        <w:rPr>
          <w:color w:val="auto"/>
        </w:rPr>
        <w:t xml:space="preserve">Given the level of need </w:t>
      </w:r>
      <w:r w:rsidR="0057031A" w:rsidRPr="00BA79A1">
        <w:rPr>
          <w:color w:val="auto"/>
        </w:rPr>
        <w:t xml:space="preserve">there will be areas that remain unaddressed. A </w:t>
      </w:r>
      <w:r w:rsidRPr="00BA79A1">
        <w:rPr>
          <w:color w:val="auto"/>
        </w:rPr>
        <w:t xml:space="preserve">lack of alignment </w:t>
      </w:r>
      <w:r w:rsidR="0062276D">
        <w:rPr>
          <w:color w:val="auto"/>
        </w:rPr>
        <w:t>between</w:t>
      </w:r>
      <w:r w:rsidR="0062276D" w:rsidRPr="00BA79A1">
        <w:rPr>
          <w:color w:val="auto"/>
        </w:rPr>
        <w:t xml:space="preserve"> </w:t>
      </w:r>
      <w:r w:rsidRPr="00BA79A1">
        <w:rPr>
          <w:color w:val="auto"/>
        </w:rPr>
        <w:t>political priorit</w:t>
      </w:r>
      <w:r w:rsidR="0057031A" w:rsidRPr="00BA79A1">
        <w:rPr>
          <w:color w:val="auto"/>
        </w:rPr>
        <w:t>ies</w:t>
      </w:r>
      <w:r w:rsidRPr="00BA79A1">
        <w:rPr>
          <w:color w:val="auto"/>
        </w:rPr>
        <w:t xml:space="preserve"> and the development program</w:t>
      </w:r>
      <w:r w:rsidR="0057031A" w:rsidRPr="00BA79A1">
        <w:rPr>
          <w:color w:val="auto"/>
        </w:rPr>
        <w:t xml:space="preserve"> could lead to dissatisfaction</w:t>
      </w:r>
      <w:r w:rsidRPr="00BA79A1">
        <w:rPr>
          <w:i/>
          <w:iCs/>
          <w:color w:val="auto"/>
        </w:rPr>
        <w:t xml:space="preserve">. </w:t>
      </w:r>
      <w:r w:rsidRPr="00BA79A1">
        <w:rPr>
          <w:color w:val="auto"/>
        </w:rPr>
        <w:t xml:space="preserve">Clear communication with stakeholders about </w:t>
      </w:r>
      <w:r w:rsidR="0062276D">
        <w:rPr>
          <w:color w:val="auto"/>
        </w:rPr>
        <w:t xml:space="preserve">the </w:t>
      </w:r>
      <w:r w:rsidR="0057031A" w:rsidRPr="00BA79A1">
        <w:rPr>
          <w:color w:val="auto"/>
        </w:rPr>
        <w:t xml:space="preserve">level of support available and strategic priorities will minimise any </w:t>
      </w:r>
      <w:r w:rsidRPr="00BA79A1">
        <w:rPr>
          <w:iCs/>
          <w:color w:val="auto"/>
        </w:rPr>
        <w:t>perce</w:t>
      </w:r>
      <w:r w:rsidR="0057031A" w:rsidRPr="00BA79A1">
        <w:rPr>
          <w:iCs/>
          <w:color w:val="auto"/>
        </w:rPr>
        <w:t>ption of Australia</w:t>
      </w:r>
      <w:r w:rsidRPr="00BA79A1">
        <w:rPr>
          <w:iCs/>
          <w:color w:val="auto"/>
        </w:rPr>
        <w:t xml:space="preserve"> not </w:t>
      </w:r>
      <w:r w:rsidR="0057031A" w:rsidRPr="00BA79A1">
        <w:rPr>
          <w:iCs/>
          <w:color w:val="auto"/>
        </w:rPr>
        <w:t>providing enough support, or not in the best sectors.</w:t>
      </w:r>
    </w:p>
    <w:p w14:paraId="022FFEA7" w14:textId="4C81E559" w:rsidR="0057031A" w:rsidRPr="00BA79A1" w:rsidRDefault="00867941" w:rsidP="00867941">
      <w:pPr>
        <w:tabs>
          <w:tab w:val="left" w:pos="284"/>
        </w:tabs>
        <w:suppressAutoHyphens w:val="0"/>
        <w:spacing w:before="0" w:line="280" w:lineRule="exact"/>
        <w:rPr>
          <w:color w:val="auto"/>
        </w:rPr>
      </w:pPr>
      <w:r w:rsidRPr="00BA79A1">
        <w:rPr>
          <w:color w:val="auto"/>
          <w:u w:val="single"/>
        </w:rPr>
        <w:t>Implementation delays</w:t>
      </w:r>
      <w:r w:rsidRPr="00BA79A1">
        <w:rPr>
          <w:color w:val="auto"/>
        </w:rPr>
        <w:t xml:space="preserve">: While it is not unusual for there to be delays in implementing </w:t>
      </w:r>
      <w:r w:rsidR="002E5AF6" w:rsidRPr="00BA79A1">
        <w:rPr>
          <w:color w:val="auto"/>
        </w:rPr>
        <w:t>p</w:t>
      </w:r>
      <w:r w:rsidRPr="00BA79A1">
        <w:rPr>
          <w:color w:val="auto"/>
        </w:rPr>
        <w:t xml:space="preserve">rojects, the risk of delays is much higher in a </w:t>
      </w:r>
      <w:r w:rsidR="0057031A" w:rsidRPr="00BA79A1">
        <w:rPr>
          <w:color w:val="auto"/>
        </w:rPr>
        <w:t xml:space="preserve">capacity constrained environment like Niue. </w:t>
      </w:r>
      <w:r w:rsidR="002E5AF6" w:rsidRPr="00BA79A1">
        <w:rPr>
          <w:color w:val="auto"/>
        </w:rPr>
        <w:t xml:space="preserve">There is a </w:t>
      </w:r>
      <w:r w:rsidR="002E5AF6" w:rsidRPr="00BA79A1">
        <w:rPr>
          <w:iCs/>
          <w:color w:val="auto"/>
        </w:rPr>
        <w:t xml:space="preserve">lack of forward planning and </w:t>
      </w:r>
      <w:r w:rsidR="002E5AF6" w:rsidRPr="00BA79A1">
        <w:rPr>
          <w:color w:val="auto"/>
        </w:rPr>
        <w:t>a weak capacity to systematically assess and prioritise</w:t>
      </w:r>
      <w:r w:rsidR="003E4014" w:rsidRPr="00BA79A1">
        <w:rPr>
          <w:color w:val="auto"/>
        </w:rPr>
        <w:t xml:space="preserve"> projects and </w:t>
      </w:r>
      <w:r w:rsidR="002E5AF6" w:rsidRPr="00BA79A1">
        <w:rPr>
          <w:color w:val="auto"/>
        </w:rPr>
        <w:t xml:space="preserve">capacity building needs.  </w:t>
      </w:r>
      <w:r w:rsidRPr="00BA79A1">
        <w:rPr>
          <w:color w:val="auto"/>
        </w:rPr>
        <w:t>Th</w:t>
      </w:r>
      <w:r w:rsidR="002E5AF6" w:rsidRPr="00BA79A1">
        <w:rPr>
          <w:color w:val="auto"/>
        </w:rPr>
        <w:t xml:space="preserve">ere </w:t>
      </w:r>
      <w:r w:rsidRPr="00BA79A1">
        <w:rPr>
          <w:color w:val="auto"/>
        </w:rPr>
        <w:t xml:space="preserve">is </w:t>
      </w:r>
      <w:r w:rsidR="002E5AF6" w:rsidRPr="00BA79A1">
        <w:rPr>
          <w:color w:val="auto"/>
        </w:rPr>
        <w:t>also</w:t>
      </w:r>
      <w:r w:rsidR="0057031A" w:rsidRPr="00BA79A1">
        <w:rPr>
          <w:color w:val="auto"/>
        </w:rPr>
        <w:t xml:space="preserve"> </w:t>
      </w:r>
      <w:r w:rsidRPr="00BA79A1">
        <w:rPr>
          <w:color w:val="auto"/>
        </w:rPr>
        <w:lastRenderedPageBreak/>
        <w:t xml:space="preserve">great demand for a </w:t>
      </w:r>
      <w:r w:rsidR="0057031A" w:rsidRPr="00BA79A1">
        <w:rPr>
          <w:color w:val="auto"/>
        </w:rPr>
        <w:t xml:space="preserve">very </w:t>
      </w:r>
      <w:r w:rsidRPr="00BA79A1">
        <w:rPr>
          <w:color w:val="auto"/>
        </w:rPr>
        <w:t xml:space="preserve">small pool of human and material resources as individuals, </w:t>
      </w:r>
      <w:proofErr w:type="gramStart"/>
      <w:r w:rsidRPr="00BA79A1">
        <w:rPr>
          <w:color w:val="auto"/>
        </w:rPr>
        <w:t>businesses</w:t>
      </w:r>
      <w:proofErr w:type="gramEnd"/>
      <w:r w:rsidRPr="00BA79A1">
        <w:rPr>
          <w:color w:val="auto"/>
        </w:rPr>
        <w:t xml:space="preserve"> and Government. Slow implementation can increase costs</w:t>
      </w:r>
      <w:r w:rsidR="003E4014" w:rsidRPr="00BA79A1">
        <w:rPr>
          <w:color w:val="auto"/>
        </w:rPr>
        <w:t>,</w:t>
      </w:r>
      <w:r w:rsidRPr="00BA79A1">
        <w:rPr>
          <w:color w:val="auto"/>
        </w:rPr>
        <w:t xml:space="preserve"> frustrate achievement of </w:t>
      </w:r>
      <w:proofErr w:type="gramStart"/>
      <w:r w:rsidRPr="00BA79A1">
        <w:rPr>
          <w:color w:val="auto"/>
        </w:rPr>
        <w:t>projects</w:t>
      </w:r>
      <w:proofErr w:type="gramEnd"/>
      <w:r w:rsidR="003E4014" w:rsidRPr="00BA79A1">
        <w:rPr>
          <w:color w:val="auto"/>
        </w:rPr>
        <w:t xml:space="preserve"> and </w:t>
      </w:r>
      <w:r w:rsidRPr="00BA79A1">
        <w:rPr>
          <w:color w:val="auto"/>
        </w:rPr>
        <w:t xml:space="preserve">create development and reputational risks for Australia. The Delivery Approach described above is designed to ensure that we only fund the efficient implementation of high-quality and highly relevant projects. Specific implementation risks </w:t>
      </w:r>
      <w:r w:rsidR="0057031A" w:rsidRPr="00BA79A1">
        <w:rPr>
          <w:color w:val="auto"/>
        </w:rPr>
        <w:t>will be</w:t>
      </w:r>
      <w:r w:rsidRPr="00BA79A1">
        <w:rPr>
          <w:color w:val="auto"/>
        </w:rPr>
        <w:t xml:space="preserve"> monitored through </w:t>
      </w:r>
      <w:r w:rsidR="0057031A" w:rsidRPr="00BA79A1">
        <w:rPr>
          <w:color w:val="auto"/>
        </w:rPr>
        <w:t>activity</w:t>
      </w:r>
      <w:r w:rsidRPr="00BA79A1">
        <w:rPr>
          <w:color w:val="auto"/>
        </w:rPr>
        <w:t xml:space="preserve"> risk register</w:t>
      </w:r>
      <w:r w:rsidR="0057031A" w:rsidRPr="00BA79A1">
        <w:rPr>
          <w:color w:val="auto"/>
        </w:rPr>
        <w:t>s</w:t>
      </w:r>
      <w:r w:rsidRPr="00BA79A1">
        <w:rPr>
          <w:color w:val="auto"/>
        </w:rPr>
        <w:t xml:space="preserve"> and mitigated as appropriate. Where implementation becomes so slow as to put our funds at risk, we can also take other action </w:t>
      </w:r>
      <w:r w:rsidR="0057031A" w:rsidRPr="00BA79A1">
        <w:rPr>
          <w:color w:val="auto"/>
        </w:rPr>
        <w:t>such as reallocation or cancellation</w:t>
      </w:r>
    </w:p>
    <w:p w14:paraId="1C0EDF9E" w14:textId="673BFFEB" w:rsidR="00A918C1" w:rsidRPr="00BA79A1" w:rsidRDefault="00867941" w:rsidP="00867941">
      <w:pPr>
        <w:tabs>
          <w:tab w:val="left" w:pos="284"/>
        </w:tabs>
        <w:suppressAutoHyphens w:val="0"/>
        <w:spacing w:before="0" w:line="280" w:lineRule="exact"/>
        <w:rPr>
          <w:color w:val="auto"/>
        </w:rPr>
      </w:pPr>
      <w:r w:rsidRPr="00BA79A1">
        <w:rPr>
          <w:color w:val="auto"/>
          <w:u w:val="single"/>
        </w:rPr>
        <w:t>Implementation resources</w:t>
      </w:r>
      <w:r w:rsidRPr="00BA79A1">
        <w:rPr>
          <w:color w:val="auto"/>
        </w:rPr>
        <w:t xml:space="preserve">: Implementation of the </w:t>
      </w:r>
      <w:r w:rsidR="0057031A" w:rsidRPr="00BA79A1">
        <w:rPr>
          <w:color w:val="auto"/>
        </w:rPr>
        <w:t>investment activities</w:t>
      </w:r>
      <w:r w:rsidRPr="00BA79A1">
        <w:rPr>
          <w:color w:val="auto"/>
        </w:rPr>
        <w:t xml:space="preserve"> will increase the workload at post and in Canberra</w:t>
      </w:r>
      <w:r w:rsidR="0057031A" w:rsidRPr="00BA79A1">
        <w:rPr>
          <w:color w:val="auto"/>
        </w:rPr>
        <w:t xml:space="preserve"> as </w:t>
      </w:r>
      <w:r w:rsidR="00A7360D">
        <w:rPr>
          <w:color w:val="auto"/>
        </w:rPr>
        <w:t>Australia’s support to Niue was previously delivered by</w:t>
      </w:r>
      <w:r w:rsidR="00891B5F">
        <w:rPr>
          <w:color w:val="auto"/>
        </w:rPr>
        <w:t xml:space="preserve"> </w:t>
      </w:r>
      <w:r w:rsidR="0057031A" w:rsidRPr="00BA79A1">
        <w:rPr>
          <w:color w:val="auto"/>
        </w:rPr>
        <w:t>New Zealand</w:t>
      </w:r>
      <w:r w:rsidRPr="00BA79A1">
        <w:rPr>
          <w:color w:val="auto"/>
        </w:rPr>
        <w:t>. L</w:t>
      </w:r>
      <w:r w:rsidR="00891B5F">
        <w:rPr>
          <w:color w:val="auto"/>
        </w:rPr>
        <w:t>imited</w:t>
      </w:r>
      <w:r w:rsidRPr="00BA79A1">
        <w:rPr>
          <w:color w:val="auto"/>
        </w:rPr>
        <w:t xml:space="preserve"> staffing resources in both locations may impact implementation.</w:t>
      </w:r>
    </w:p>
    <w:p w14:paraId="69B13708" w14:textId="10B9B177" w:rsidR="00A918C1" w:rsidRPr="00BA79A1" w:rsidRDefault="00867941" w:rsidP="00867941">
      <w:pPr>
        <w:tabs>
          <w:tab w:val="left" w:pos="284"/>
        </w:tabs>
        <w:suppressAutoHyphens w:val="0"/>
        <w:spacing w:before="0" w:line="280" w:lineRule="exact"/>
        <w:rPr>
          <w:color w:val="auto"/>
        </w:rPr>
      </w:pPr>
      <w:r w:rsidRPr="00BA79A1">
        <w:rPr>
          <w:color w:val="auto"/>
          <w:u w:val="single"/>
        </w:rPr>
        <w:t>Gender Equality/disability inclusiveness/child protection</w:t>
      </w:r>
      <w:r w:rsidRPr="00BA79A1">
        <w:rPr>
          <w:color w:val="auto"/>
        </w:rPr>
        <w:t xml:space="preserve">: Research suggests that with increased stress on families, </w:t>
      </w:r>
      <w:r w:rsidR="00A918C1" w:rsidRPr="00BA79A1">
        <w:rPr>
          <w:color w:val="auto"/>
        </w:rPr>
        <w:t xml:space="preserve">such as during a pandemic, </w:t>
      </w:r>
      <w:r w:rsidRPr="00BA79A1">
        <w:rPr>
          <w:color w:val="auto"/>
        </w:rPr>
        <w:t xml:space="preserve">there may be an increase in levels of domestic violence. In addition, child protection risks are heightened </w:t>
      </w:r>
      <w:r w:rsidR="00A918C1" w:rsidRPr="00BA79A1">
        <w:rPr>
          <w:color w:val="auto"/>
        </w:rPr>
        <w:t>when schools close</w:t>
      </w:r>
      <w:r w:rsidRPr="00BA79A1">
        <w:rPr>
          <w:color w:val="auto"/>
        </w:rPr>
        <w:t xml:space="preserve">, and </w:t>
      </w:r>
      <w:r w:rsidR="00A918C1" w:rsidRPr="00BA79A1">
        <w:rPr>
          <w:color w:val="auto"/>
        </w:rPr>
        <w:t xml:space="preserve">when there is </w:t>
      </w:r>
      <w:r w:rsidRPr="00BA79A1">
        <w:rPr>
          <w:color w:val="auto"/>
        </w:rPr>
        <w:t xml:space="preserve">an influx of people working on the </w:t>
      </w:r>
      <w:r w:rsidR="00A918C1" w:rsidRPr="00BA79A1">
        <w:rPr>
          <w:color w:val="auto"/>
        </w:rPr>
        <w:t>program</w:t>
      </w:r>
      <w:r w:rsidRPr="00BA79A1">
        <w:rPr>
          <w:color w:val="auto"/>
        </w:rPr>
        <w:t xml:space="preserve"> with access to / contact with children. </w:t>
      </w:r>
      <w:r w:rsidR="00A918C1" w:rsidRPr="00BA79A1">
        <w:rPr>
          <w:color w:val="auto"/>
        </w:rPr>
        <w:t>Implementation partners will be required to be aware of the risks and have policies/procedures in place to identify and address risks.</w:t>
      </w:r>
    </w:p>
    <w:p w14:paraId="455CB098" w14:textId="0BA79019" w:rsidR="00A918C1" w:rsidRPr="00BA79A1" w:rsidRDefault="00867941" w:rsidP="00867941">
      <w:pPr>
        <w:tabs>
          <w:tab w:val="left" w:pos="284"/>
        </w:tabs>
        <w:suppressAutoHyphens w:val="0"/>
        <w:spacing w:before="0" w:line="280" w:lineRule="exact"/>
        <w:rPr>
          <w:color w:val="auto"/>
        </w:rPr>
      </w:pPr>
      <w:r w:rsidRPr="00BA79A1">
        <w:rPr>
          <w:color w:val="auto"/>
          <w:u w:val="single"/>
        </w:rPr>
        <w:t>Fiduciary risks with Government systems</w:t>
      </w:r>
      <w:r w:rsidRPr="00BA79A1">
        <w:rPr>
          <w:color w:val="auto"/>
        </w:rPr>
        <w:t xml:space="preserve">: DFAT’s </w:t>
      </w:r>
      <w:r w:rsidR="00891B5F">
        <w:rPr>
          <w:color w:val="auto"/>
        </w:rPr>
        <w:t xml:space="preserve">2021 </w:t>
      </w:r>
      <w:r w:rsidRPr="00BA79A1">
        <w:rPr>
          <w:color w:val="auto"/>
        </w:rPr>
        <w:t xml:space="preserve">assessment of </w:t>
      </w:r>
      <w:r w:rsidR="002E5AF6" w:rsidRPr="00BA79A1">
        <w:rPr>
          <w:color w:val="auto"/>
        </w:rPr>
        <w:t>Niue</w:t>
      </w:r>
      <w:r w:rsidRPr="00BA79A1">
        <w:rPr>
          <w:color w:val="auto"/>
        </w:rPr>
        <w:t xml:space="preserve"> national systems found risks to be </w:t>
      </w:r>
      <w:r w:rsidR="0090649F" w:rsidRPr="00BA79A1">
        <w:rPr>
          <w:color w:val="auto"/>
        </w:rPr>
        <w:t>medium-high</w:t>
      </w:r>
      <w:r w:rsidRPr="00BA79A1">
        <w:rPr>
          <w:color w:val="auto"/>
        </w:rPr>
        <w:t xml:space="preserve">, </w:t>
      </w:r>
      <w:r w:rsidR="002E5AF6" w:rsidRPr="00BA79A1">
        <w:rPr>
          <w:color w:val="auto"/>
        </w:rPr>
        <w:t xml:space="preserve">and Australia is not proposing to </w:t>
      </w:r>
      <w:r w:rsidR="00055E8F" w:rsidRPr="00BA79A1">
        <w:rPr>
          <w:color w:val="auto"/>
        </w:rPr>
        <w:t>provide general budget support</w:t>
      </w:r>
      <w:r w:rsidR="003E4014" w:rsidRPr="00BA79A1">
        <w:rPr>
          <w:color w:val="auto"/>
        </w:rPr>
        <w:t>. However,</w:t>
      </w:r>
      <w:r w:rsidR="002E5AF6" w:rsidRPr="00BA79A1">
        <w:rPr>
          <w:color w:val="auto"/>
        </w:rPr>
        <w:t xml:space="preserve"> in </w:t>
      </w:r>
      <w:r w:rsidR="003E4014" w:rsidRPr="00BA79A1">
        <w:rPr>
          <w:color w:val="auto"/>
        </w:rPr>
        <w:t xml:space="preserve">the </w:t>
      </w:r>
      <w:r w:rsidR="002E5AF6" w:rsidRPr="00BA79A1">
        <w:rPr>
          <w:color w:val="auto"/>
        </w:rPr>
        <w:t>case of any emergency</w:t>
      </w:r>
      <w:r w:rsidR="00055E8F" w:rsidRPr="00BA79A1">
        <w:rPr>
          <w:color w:val="auto"/>
        </w:rPr>
        <w:t>, financing may be provided directly to Government of Niue</w:t>
      </w:r>
      <w:r w:rsidR="002E5AF6" w:rsidRPr="00BA79A1">
        <w:rPr>
          <w:color w:val="auto"/>
        </w:rPr>
        <w:t xml:space="preserve"> </w:t>
      </w:r>
      <w:r w:rsidR="00055E8F" w:rsidRPr="00BA79A1">
        <w:rPr>
          <w:color w:val="auto"/>
        </w:rPr>
        <w:t>for clearly defined, small value and time-limited projects or other earmarked expenditures</w:t>
      </w:r>
      <w:r w:rsidR="002E5AF6" w:rsidRPr="00BA79A1">
        <w:rPr>
          <w:color w:val="auto"/>
        </w:rPr>
        <w:t xml:space="preserve">. </w:t>
      </w:r>
      <w:r w:rsidR="00DF664B">
        <w:rPr>
          <w:color w:val="auto"/>
        </w:rPr>
        <w:t>A</w:t>
      </w:r>
      <w:r w:rsidRPr="00BA79A1">
        <w:rPr>
          <w:color w:val="auto"/>
        </w:rPr>
        <w:t xml:space="preserve"> clear Direct Funding Arrangement </w:t>
      </w:r>
      <w:r w:rsidR="002E5AF6" w:rsidRPr="00BA79A1">
        <w:rPr>
          <w:color w:val="auto"/>
        </w:rPr>
        <w:t xml:space="preserve">will be </w:t>
      </w:r>
      <w:r w:rsidRPr="00BA79A1">
        <w:rPr>
          <w:color w:val="auto"/>
        </w:rPr>
        <w:t xml:space="preserve">a strong risk mitigation measure. DFAT maintains a </w:t>
      </w:r>
      <w:proofErr w:type="gramStart"/>
      <w:r w:rsidRPr="00BA79A1">
        <w:rPr>
          <w:color w:val="auto"/>
        </w:rPr>
        <w:t>zero tolerance</w:t>
      </w:r>
      <w:proofErr w:type="gramEnd"/>
      <w:r w:rsidRPr="00BA79A1">
        <w:rPr>
          <w:color w:val="auto"/>
        </w:rPr>
        <w:t xml:space="preserve"> </w:t>
      </w:r>
      <w:r w:rsidR="00426C42">
        <w:rPr>
          <w:color w:val="auto"/>
        </w:rPr>
        <w:t xml:space="preserve">policy in relation </w:t>
      </w:r>
      <w:r w:rsidRPr="00BA79A1">
        <w:rPr>
          <w:color w:val="auto"/>
        </w:rPr>
        <w:t xml:space="preserve">to </w:t>
      </w:r>
      <w:r w:rsidR="00426C42">
        <w:rPr>
          <w:color w:val="auto"/>
        </w:rPr>
        <w:t>f</w:t>
      </w:r>
      <w:r w:rsidR="00426C42" w:rsidRPr="00BA79A1">
        <w:rPr>
          <w:color w:val="auto"/>
        </w:rPr>
        <w:t>raud</w:t>
      </w:r>
      <w:r w:rsidR="00DF664B">
        <w:rPr>
          <w:color w:val="auto"/>
        </w:rPr>
        <w:t>.</w:t>
      </w:r>
      <w:r w:rsidR="00DF664B" w:rsidRPr="00BA79A1">
        <w:rPr>
          <w:color w:val="auto"/>
        </w:rPr>
        <w:t xml:space="preserve"> </w:t>
      </w:r>
      <w:r w:rsidR="00DF664B">
        <w:rPr>
          <w:color w:val="auto"/>
        </w:rPr>
        <w:t>A</w:t>
      </w:r>
      <w:r w:rsidRPr="00BA79A1">
        <w:rPr>
          <w:color w:val="auto"/>
        </w:rPr>
        <w:t xml:space="preserve"> Direct Funding Arrangement </w:t>
      </w:r>
      <w:r w:rsidR="009B5C9D">
        <w:rPr>
          <w:color w:val="auto"/>
        </w:rPr>
        <w:t xml:space="preserve">would </w:t>
      </w:r>
      <w:r w:rsidRPr="00BA79A1">
        <w:rPr>
          <w:color w:val="auto"/>
        </w:rPr>
        <w:t xml:space="preserve">require the </w:t>
      </w:r>
      <w:r w:rsidR="002E5AF6" w:rsidRPr="00BA79A1">
        <w:rPr>
          <w:color w:val="auto"/>
        </w:rPr>
        <w:t>Niue</w:t>
      </w:r>
      <w:r w:rsidRPr="00BA79A1">
        <w:rPr>
          <w:color w:val="auto"/>
        </w:rPr>
        <w:t xml:space="preserve"> Government to prevent, detect, report on and act on any actual or suspected fraudulent activity. </w:t>
      </w:r>
    </w:p>
    <w:p w14:paraId="74B3BD15" w14:textId="3AD24901" w:rsidR="00A918C1" w:rsidRPr="00BA79A1" w:rsidRDefault="00867941" w:rsidP="00867941">
      <w:pPr>
        <w:tabs>
          <w:tab w:val="left" w:pos="284"/>
        </w:tabs>
        <w:suppressAutoHyphens w:val="0"/>
        <w:spacing w:before="0" w:line="280" w:lineRule="exact"/>
        <w:rPr>
          <w:color w:val="auto"/>
        </w:rPr>
      </w:pPr>
      <w:r w:rsidRPr="00BA79A1">
        <w:rPr>
          <w:color w:val="auto"/>
          <w:u w:val="single"/>
        </w:rPr>
        <w:t>Fiduciary risks with implementing partners</w:t>
      </w:r>
      <w:r w:rsidRPr="00BA79A1">
        <w:rPr>
          <w:color w:val="auto"/>
        </w:rPr>
        <w:t>: Activities will be implemented through managing contractors, multilaterals</w:t>
      </w:r>
      <w:r w:rsidR="002E5AF6" w:rsidRPr="00BA79A1">
        <w:rPr>
          <w:color w:val="auto"/>
        </w:rPr>
        <w:t>,</w:t>
      </w:r>
      <w:r w:rsidRPr="00BA79A1">
        <w:rPr>
          <w:color w:val="auto"/>
        </w:rPr>
        <w:t xml:space="preserve"> </w:t>
      </w:r>
      <w:proofErr w:type="gramStart"/>
      <w:r w:rsidRPr="00BA79A1">
        <w:rPr>
          <w:color w:val="auto"/>
        </w:rPr>
        <w:t>NGOs</w:t>
      </w:r>
      <w:proofErr w:type="gramEnd"/>
      <w:r w:rsidRPr="00BA79A1">
        <w:rPr>
          <w:color w:val="auto"/>
        </w:rPr>
        <w:t xml:space="preserve"> </w:t>
      </w:r>
      <w:r w:rsidR="00C531FE" w:rsidRPr="00BA79A1">
        <w:rPr>
          <w:color w:val="auto"/>
        </w:rPr>
        <w:t>or</w:t>
      </w:r>
      <w:r w:rsidR="002E5AF6" w:rsidRPr="00BA79A1">
        <w:rPr>
          <w:color w:val="auto"/>
        </w:rPr>
        <w:t xml:space="preserve"> community groups</w:t>
      </w:r>
      <w:r w:rsidRPr="00BA79A1">
        <w:rPr>
          <w:color w:val="auto"/>
        </w:rPr>
        <w:t xml:space="preserve">. </w:t>
      </w:r>
      <w:r w:rsidR="002E5AF6" w:rsidRPr="00BA79A1">
        <w:rPr>
          <w:color w:val="auto"/>
        </w:rPr>
        <w:t xml:space="preserve"> Risk mitigation measures will be proportional to the level of funding dispersed and include acquittal measures.</w:t>
      </w:r>
    </w:p>
    <w:p w14:paraId="0C8E9F40" w14:textId="77777777" w:rsidR="002E5AF6" w:rsidRPr="00BA79A1" w:rsidRDefault="00867941" w:rsidP="00867941">
      <w:pPr>
        <w:tabs>
          <w:tab w:val="left" w:pos="284"/>
        </w:tabs>
        <w:suppressAutoHyphens w:val="0"/>
        <w:spacing w:before="0" w:line="280" w:lineRule="exact"/>
        <w:rPr>
          <w:color w:val="auto"/>
        </w:rPr>
      </w:pPr>
      <w:r w:rsidRPr="00BA79A1">
        <w:rPr>
          <w:color w:val="auto"/>
          <w:u w:val="single"/>
        </w:rPr>
        <w:t>Future disasters</w:t>
      </w:r>
      <w:r w:rsidRPr="00BA79A1">
        <w:rPr>
          <w:color w:val="auto"/>
        </w:rPr>
        <w:t xml:space="preserve">: </w:t>
      </w:r>
      <w:r w:rsidR="002E5AF6" w:rsidRPr="00BA79A1">
        <w:rPr>
          <w:color w:val="auto"/>
        </w:rPr>
        <w:t>Niue</w:t>
      </w:r>
      <w:r w:rsidRPr="00BA79A1">
        <w:rPr>
          <w:color w:val="auto"/>
        </w:rPr>
        <w:t xml:space="preserve">’s exposure to natural disasters increases risks to activities and possible reallocation of funds to future disasters. </w:t>
      </w:r>
    </w:p>
    <w:p w14:paraId="2CEE4A97" w14:textId="505D0B72" w:rsidR="00A918C1" w:rsidRPr="00BA79A1" w:rsidRDefault="00867941" w:rsidP="00867941">
      <w:pPr>
        <w:tabs>
          <w:tab w:val="left" w:pos="284"/>
        </w:tabs>
        <w:suppressAutoHyphens w:val="0"/>
        <w:spacing w:before="0" w:line="280" w:lineRule="exact"/>
        <w:rPr>
          <w:color w:val="auto"/>
        </w:rPr>
      </w:pPr>
      <w:r w:rsidRPr="00BA79A1">
        <w:rPr>
          <w:color w:val="auto"/>
          <w:u w:val="single"/>
        </w:rPr>
        <w:t>Environment:</w:t>
      </w:r>
      <w:r w:rsidRPr="00BA79A1">
        <w:rPr>
          <w:color w:val="auto"/>
        </w:rPr>
        <w:t xml:space="preserve"> Environment impacts could potentially arise from infrastructure investment activities (for example erosion, flooding, water pollution or asbestos). Land use planning, building standards, livelihood development and service delivery </w:t>
      </w:r>
      <w:r w:rsidR="002E5AF6" w:rsidRPr="00BA79A1">
        <w:rPr>
          <w:color w:val="auto"/>
        </w:rPr>
        <w:t xml:space="preserve">improvements will be used to minimise investments </w:t>
      </w:r>
      <w:r w:rsidRPr="00BA79A1">
        <w:rPr>
          <w:color w:val="auto"/>
        </w:rPr>
        <w:t xml:space="preserve">that do not consider future disaster risks </w:t>
      </w:r>
      <w:r w:rsidR="002E5AF6" w:rsidRPr="00BA79A1">
        <w:rPr>
          <w:color w:val="auto"/>
        </w:rPr>
        <w:t xml:space="preserve">and therefore </w:t>
      </w:r>
      <w:r w:rsidRPr="00BA79A1">
        <w:rPr>
          <w:color w:val="auto"/>
        </w:rPr>
        <w:t>be vulnerable in the event of another natural shock.</w:t>
      </w:r>
    </w:p>
    <w:p w14:paraId="76D3C13C" w14:textId="734C476D" w:rsidR="00A918C1" w:rsidRPr="00BA79A1" w:rsidRDefault="00A918C1" w:rsidP="00867941">
      <w:pPr>
        <w:tabs>
          <w:tab w:val="left" w:pos="284"/>
        </w:tabs>
        <w:suppressAutoHyphens w:val="0"/>
        <w:spacing w:before="0" w:line="280" w:lineRule="exact"/>
        <w:rPr>
          <w:color w:val="auto"/>
        </w:rPr>
      </w:pPr>
      <w:r w:rsidRPr="00BA79A1">
        <w:rPr>
          <w:color w:val="auto"/>
          <w:u w:val="single"/>
        </w:rPr>
        <w:t>Harmonisation with New Zealand</w:t>
      </w:r>
      <w:r w:rsidR="002E5AF6" w:rsidRPr="00BA79A1">
        <w:rPr>
          <w:color w:val="auto"/>
          <w:u w:val="single"/>
        </w:rPr>
        <w:t xml:space="preserve"> and other partners</w:t>
      </w:r>
      <w:r w:rsidRPr="00BA79A1">
        <w:rPr>
          <w:color w:val="auto"/>
        </w:rPr>
        <w:t xml:space="preserve">: </w:t>
      </w:r>
      <w:r w:rsidR="002E5AF6" w:rsidRPr="00BA79A1">
        <w:rPr>
          <w:color w:val="auto"/>
        </w:rPr>
        <w:t xml:space="preserve">There is a </w:t>
      </w:r>
      <w:r w:rsidRPr="00BA79A1">
        <w:rPr>
          <w:color w:val="auto"/>
        </w:rPr>
        <w:t xml:space="preserve">risk of duplication </w:t>
      </w:r>
      <w:r w:rsidR="002E5AF6" w:rsidRPr="00BA79A1">
        <w:rPr>
          <w:color w:val="auto"/>
        </w:rPr>
        <w:t xml:space="preserve">which </w:t>
      </w:r>
      <w:r w:rsidRPr="00BA79A1">
        <w:rPr>
          <w:color w:val="auto"/>
        </w:rPr>
        <w:t xml:space="preserve">will impact on </w:t>
      </w:r>
      <w:r w:rsidR="002E5AF6" w:rsidRPr="00BA79A1">
        <w:rPr>
          <w:color w:val="auto"/>
        </w:rPr>
        <w:t>effectiveness</w:t>
      </w:r>
      <w:r w:rsidRPr="00BA79A1">
        <w:rPr>
          <w:color w:val="auto"/>
        </w:rPr>
        <w:t>. Frequent coordination with N</w:t>
      </w:r>
      <w:r w:rsidR="002E5AF6" w:rsidRPr="00BA79A1">
        <w:rPr>
          <w:color w:val="auto"/>
        </w:rPr>
        <w:t xml:space="preserve">ew </w:t>
      </w:r>
      <w:r w:rsidRPr="00BA79A1">
        <w:rPr>
          <w:color w:val="auto"/>
        </w:rPr>
        <w:t>Z</w:t>
      </w:r>
      <w:r w:rsidR="002E5AF6" w:rsidRPr="00BA79A1">
        <w:rPr>
          <w:color w:val="auto"/>
        </w:rPr>
        <w:t>ealand and any other partners will minimise the risk of overlapping development programs.</w:t>
      </w:r>
    </w:p>
    <w:bookmarkEnd w:id="5"/>
    <w:p w14:paraId="61882940" w14:textId="77777777" w:rsidR="004F2AF9" w:rsidRPr="00BA79A1" w:rsidRDefault="004F2AF9" w:rsidP="004F2AF9">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auto"/>
          <w:szCs w:val="21"/>
        </w:rPr>
      </w:pPr>
      <w:r w:rsidRPr="00BA79A1">
        <w:rPr>
          <w:rFonts w:asciiTheme="majorHAnsi" w:hAnsiTheme="majorHAnsi"/>
          <w:b/>
          <w:color w:val="auto"/>
          <w:szCs w:val="21"/>
        </w:rPr>
        <w:t>Annexes</w:t>
      </w:r>
    </w:p>
    <w:p w14:paraId="3FA36CDE" w14:textId="77777777" w:rsidR="004F2AF9" w:rsidRPr="00BA79A1" w:rsidRDefault="004F2AF9" w:rsidP="004F2AF9">
      <w:pPr>
        <w:rPr>
          <w:i/>
          <w:color w:val="auto"/>
        </w:rPr>
      </w:pPr>
      <w:r w:rsidRPr="00BA79A1">
        <w:rPr>
          <w:i/>
          <w:color w:val="auto"/>
        </w:rPr>
        <w:t>Required Annexes:</w:t>
      </w:r>
    </w:p>
    <w:p w14:paraId="21B37886" w14:textId="2D64710A" w:rsidR="004F2AF9" w:rsidRPr="00BA79A1" w:rsidRDefault="00D11E15" w:rsidP="004F2AF9">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color w:val="auto"/>
          <w:sz w:val="21"/>
          <w:szCs w:val="21"/>
          <w:lang w:val="en-AU"/>
        </w:rPr>
      </w:pPr>
      <w:bookmarkStart w:id="6" w:name="_Hlk97106373"/>
      <w:r w:rsidRPr="00BA79A1">
        <w:rPr>
          <w:rFonts w:eastAsia="Times New Roman" w:cs="Times New Roman"/>
          <w:color w:val="auto"/>
          <w:sz w:val="21"/>
          <w:szCs w:val="21"/>
          <w:lang w:val="en-AU"/>
        </w:rPr>
        <w:t xml:space="preserve">Annex A: </w:t>
      </w:r>
      <w:r w:rsidR="004F2AF9" w:rsidRPr="00BA79A1">
        <w:rPr>
          <w:rFonts w:eastAsia="Times New Roman" w:cs="Times New Roman"/>
          <w:color w:val="auto"/>
          <w:sz w:val="21"/>
          <w:szCs w:val="21"/>
          <w:lang w:val="en-AU"/>
        </w:rPr>
        <w:t xml:space="preserve">Policy Dialogue </w:t>
      </w:r>
      <w:proofErr w:type="gramStart"/>
      <w:r w:rsidR="004F2AF9" w:rsidRPr="00BA79A1">
        <w:rPr>
          <w:rFonts w:eastAsia="Times New Roman" w:cs="Times New Roman"/>
          <w:color w:val="auto"/>
          <w:sz w:val="21"/>
          <w:szCs w:val="21"/>
          <w:lang w:val="en-AU"/>
        </w:rPr>
        <w:t>Matrix;</w:t>
      </w:r>
      <w:proofErr w:type="gramEnd"/>
    </w:p>
    <w:p w14:paraId="7D2369BE" w14:textId="4E416715" w:rsidR="004F2AF9" w:rsidRPr="00BA79A1" w:rsidRDefault="00D11E15" w:rsidP="004F2AF9">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color w:val="auto"/>
          <w:sz w:val="21"/>
          <w:szCs w:val="21"/>
          <w:lang w:val="en-AU"/>
        </w:rPr>
      </w:pPr>
      <w:r w:rsidRPr="00BA79A1">
        <w:rPr>
          <w:rFonts w:eastAsia="Times New Roman" w:cs="Times New Roman"/>
          <w:color w:val="auto"/>
          <w:sz w:val="21"/>
          <w:szCs w:val="21"/>
          <w:lang w:val="en-AU"/>
        </w:rPr>
        <w:t xml:space="preserve">Annex B: </w:t>
      </w:r>
      <w:r w:rsidR="004F2AF9" w:rsidRPr="00BA79A1">
        <w:rPr>
          <w:rFonts w:eastAsia="Times New Roman" w:cs="Times New Roman"/>
          <w:color w:val="auto"/>
          <w:sz w:val="21"/>
          <w:szCs w:val="21"/>
          <w:lang w:val="en-AU"/>
        </w:rPr>
        <w:t xml:space="preserve"> M&amp;E </w:t>
      </w:r>
      <w:proofErr w:type="gramStart"/>
      <w:r w:rsidR="004F2AF9" w:rsidRPr="00BA79A1">
        <w:rPr>
          <w:rFonts w:eastAsia="Times New Roman" w:cs="Times New Roman"/>
          <w:color w:val="auto"/>
          <w:sz w:val="21"/>
          <w:szCs w:val="21"/>
          <w:lang w:val="en-AU"/>
        </w:rPr>
        <w:t>Framework;</w:t>
      </w:r>
      <w:proofErr w:type="gramEnd"/>
    </w:p>
    <w:p w14:paraId="529C9FA6" w14:textId="79B6DA66" w:rsidR="00215C4D" w:rsidRPr="00BA79A1" w:rsidRDefault="00D11E15" w:rsidP="005B1CE0">
      <w:pPr>
        <w:pStyle w:val="ListParagraph"/>
        <w:numPr>
          <w:ilvl w:val="0"/>
          <w:numId w:val="35"/>
        </w:numPr>
        <w:tabs>
          <w:tab w:val="left" w:pos="284"/>
        </w:tabs>
        <w:suppressAutoHyphens w:val="0"/>
        <w:spacing w:before="0" w:line="280" w:lineRule="exact"/>
        <w:ind w:left="568" w:hanging="284"/>
        <w:contextualSpacing w:val="0"/>
        <w:rPr>
          <w:color w:val="auto"/>
          <w:sz w:val="21"/>
          <w:szCs w:val="21"/>
        </w:rPr>
      </w:pPr>
      <w:r w:rsidRPr="00BA79A1">
        <w:rPr>
          <w:color w:val="auto"/>
        </w:rPr>
        <w:t xml:space="preserve">Annex C: </w:t>
      </w:r>
      <w:hyperlink r:id="rId16" w:history="1">
        <w:r w:rsidR="00BE6074" w:rsidRPr="00BA79A1">
          <w:rPr>
            <w:rStyle w:val="Hyperlink"/>
            <w:rFonts w:eastAsia="Times New Roman" w:cs="Times New Roman"/>
            <w:sz w:val="21"/>
            <w:szCs w:val="24"/>
            <w:lang w:val="en-AU"/>
          </w:rPr>
          <w:t>Risk and Safeguards Tool</w:t>
        </w:r>
      </w:hyperlink>
      <w:r w:rsidR="00EF1A8A" w:rsidRPr="00BA79A1">
        <w:rPr>
          <w:rStyle w:val="Hyperlink"/>
          <w:rFonts w:eastAsia="Times New Roman" w:cs="Times New Roman"/>
          <w:sz w:val="21"/>
          <w:szCs w:val="24"/>
          <w:lang w:val="en-AU"/>
        </w:rPr>
        <w:t xml:space="preserve"> including the risk </w:t>
      </w:r>
      <w:proofErr w:type="gramStart"/>
      <w:r w:rsidR="00EF1A8A" w:rsidRPr="00BA79A1">
        <w:rPr>
          <w:rStyle w:val="Hyperlink"/>
          <w:rFonts w:eastAsia="Times New Roman" w:cs="Times New Roman"/>
          <w:sz w:val="21"/>
          <w:szCs w:val="24"/>
          <w:lang w:val="en-AU"/>
        </w:rPr>
        <w:t>register</w:t>
      </w:r>
      <w:r w:rsidR="00215C4D" w:rsidRPr="00BA79A1">
        <w:rPr>
          <w:color w:val="auto"/>
          <w:sz w:val="21"/>
          <w:szCs w:val="21"/>
        </w:rPr>
        <w:t>;</w:t>
      </w:r>
      <w:proofErr w:type="gramEnd"/>
    </w:p>
    <w:p w14:paraId="638008CB" w14:textId="6E29A239" w:rsidR="004F2AF9" w:rsidRPr="00BA79A1" w:rsidRDefault="00D11E15" w:rsidP="009B1186">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color w:val="auto"/>
          <w:sz w:val="21"/>
          <w:szCs w:val="24"/>
          <w:lang w:val="en-AU"/>
        </w:rPr>
      </w:pPr>
      <w:r w:rsidRPr="00BA79A1">
        <w:rPr>
          <w:rFonts w:eastAsia="Times New Roman" w:cs="Times New Roman"/>
          <w:color w:val="auto"/>
          <w:sz w:val="21"/>
          <w:szCs w:val="21"/>
          <w:lang w:val="en-AU"/>
        </w:rPr>
        <w:t xml:space="preserve">Annex D: </w:t>
      </w:r>
      <w:r w:rsidR="004F6AE3" w:rsidRPr="00BA79A1">
        <w:rPr>
          <w:rFonts w:eastAsia="Times New Roman" w:cs="Times New Roman"/>
          <w:color w:val="auto"/>
          <w:sz w:val="21"/>
          <w:szCs w:val="21"/>
          <w:lang w:val="en-AU"/>
        </w:rPr>
        <w:t>Indicative budget</w:t>
      </w:r>
    </w:p>
    <w:bookmarkEnd w:id="6"/>
    <w:p w14:paraId="41DE4FD4" w14:textId="77777777" w:rsidR="00B22583" w:rsidRPr="00BA79A1" w:rsidRDefault="00B22583">
      <w:pPr>
        <w:suppressAutoHyphens w:val="0"/>
        <w:spacing w:before="0" w:after="120" w:line="440" w:lineRule="atLeast"/>
        <w:rPr>
          <w:color w:val="auto"/>
        </w:rPr>
        <w:sectPr w:rsidR="00B22583" w:rsidRPr="00BA79A1" w:rsidSect="002066BC">
          <w:pgSz w:w="11906" w:h="16838" w:code="9"/>
          <w:pgMar w:top="2694" w:right="1134" w:bottom="1418" w:left="1134" w:header="425" w:footer="493" w:gutter="0"/>
          <w:cols w:space="397"/>
          <w:titlePg/>
          <w:docGrid w:linePitch="360"/>
        </w:sectPr>
      </w:pPr>
    </w:p>
    <w:p w14:paraId="08A94A11" w14:textId="77777777" w:rsidR="00B22583" w:rsidRPr="00BA79A1" w:rsidRDefault="00B22583">
      <w:pPr>
        <w:suppressAutoHyphens w:val="0"/>
        <w:spacing w:before="0" w:after="120" w:line="440" w:lineRule="atLeast"/>
        <w:rPr>
          <w:color w:val="auto"/>
        </w:rPr>
      </w:pPr>
    </w:p>
    <w:p w14:paraId="618B1DAE" w14:textId="77777777" w:rsidR="004C6342" w:rsidRPr="00BA79A1" w:rsidRDefault="004C6342" w:rsidP="004C6342">
      <w:pPr>
        <w:rPr>
          <w:color w:val="auto"/>
        </w:rPr>
      </w:pPr>
    </w:p>
    <w:p w14:paraId="30FE7C32" w14:textId="77777777" w:rsidR="00774EE4" w:rsidRPr="00BA79A1" w:rsidRDefault="00774EE4" w:rsidP="0048492D">
      <w:pPr>
        <w:rPr>
          <w:color w:val="auto"/>
        </w:rPr>
      </w:pPr>
    </w:p>
    <w:p w14:paraId="2DEF57CB" w14:textId="03474708" w:rsidR="00B22583" w:rsidRPr="00BA79A1" w:rsidRDefault="00D11E15" w:rsidP="00B22583">
      <w:pPr>
        <w:pBdr>
          <w:bottom w:val="single" w:sz="4" w:space="1" w:color="auto"/>
        </w:pBdr>
        <w:suppressAutoHyphens w:val="0"/>
        <w:spacing w:before="0" w:after="120" w:line="440" w:lineRule="atLeast"/>
        <w:rPr>
          <w:rFonts w:eastAsiaTheme="majorEastAsia" w:cstheme="majorBidi"/>
          <w:color w:val="auto"/>
          <w:sz w:val="38"/>
          <w:szCs w:val="38"/>
        </w:rPr>
      </w:pPr>
      <w:r w:rsidRPr="00BA79A1">
        <w:rPr>
          <w:rFonts w:eastAsiaTheme="majorEastAsia" w:cstheme="majorBidi"/>
          <w:color w:val="auto"/>
          <w:sz w:val="38"/>
          <w:szCs w:val="38"/>
        </w:rPr>
        <w:br/>
        <w:t xml:space="preserve">Annex A: </w:t>
      </w:r>
      <w:r w:rsidR="00B22583" w:rsidRPr="00BA79A1">
        <w:rPr>
          <w:rFonts w:eastAsiaTheme="majorEastAsia" w:cstheme="majorBidi"/>
          <w:color w:val="auto"/>
          <w:sz w:val="38"/>
          <w:szCs w:val="38"/>
        </w:rPr>
        <w:t>Policy Dialogue Matrix</w:t>
      </w:r>
    </w:p>
    <w:p w14:paraId="5207C11D" w14:textId="77777777" w:rsidR="00B22583" w:rsidRPr="00BA79A1" w:rsidRDefault="00B22583" w:rsidP="00B22583">
      <w:pPr>
        <w:suppressAutoHyphens w:val="0"/>
        <w:spacing w:before="0" w:after="120" w:line="440" w:lineRule="atLeast"/>
        <w:rPr>
          <w:rFonts w:ascii="Calibri" w:eastAsiaTheme="majorEastAsia" w:hAnsi="Calibri" w:cstheme="majorBidi"/>
          <w:b/>
          <w:color w:val="auto"/>
          <w:sz w:val="26"/>
          <w:szCs w:val="26"/>
        </w:rPr>
      </w:pPr>
    </w:p>
    <w:tbl>
      <w:tblPr>
        <w:tblStyle w:val="TableGrid1"/>
        <w:tblW w:w="14479" w:type="dxa"/>
        <w:tblLook w:val="04A0" w:firstRow="1" w:lastRow="0" w:firstColumn="1" w:lastColumn="0" w:noHBand="0" w:noVBand="1"/>
      </w:tblPr>
      <w:tblGrid>
        <w:gridCol w:w="1826"/>
        <w:gridCol w:w="1553"/>
        <w:gridCol w:w="1505"/>
        <w:gridCol w:w="1691"/>
        <w:gridCol w:w="1831"/>
        <w:gridCol w:w="2103"/>
        <w:gridCol w:w="2107"/>
        <w:gridCol w:w="1863"/>
      </w:tblGrid>
      <w:tr w:rsidR="00BA79A1" w:rsidRPr="00BA79A1" w14:paraId="11A69640" w14:textId="77777777" w:rsidTr="0021478B">
        <w:trPr>
          <w:trHeight w:val="1086"/>
        </w:trPr>
        <w:tc>
          <w:tcPr>
            <w:tcW w:w="1826" w:type="dxa"/>
          </w:tcPr>
          <w:p w14:paraId="0E88627C" w14:textId="77777777" w:rsidR="00B22583" w:rsidRPr="00BA79A1" w:rsidRDefault="00B22583" w:rsidP="00B22583">
            <w:pPr>
              <w:rPr>
                <w:color w:val="auto"/>
              </w:rPr>
            </w:pPr>
            <w:r w:rsidRPr="00BA79A1">
              <w:rPr>
                <w:b/>
                <w:bCs/>
                <w:color w:val="auto"/>
                <w:sz w:val="20"/>
                <w:szCs w:val="20"/>
              </w:rPr>
              <w:t>Related End-of-Investment Outcome</w:t>
            </w:r>
          </w:p>
        </w:tc>
        <w:tc>
          <w:tcPr>
            <w:tcW w:w="1553" w:type="dxa"/>
          </w:tcPr>
          <w:p w14:paraId="2136E692" w14:textId="77777777" w:rsidR="00B22583" w:rsidRPr="00BA79A1" w:rsidRDefault="00B22583" w:rsidP="00B22583">
            <w:pPr>
              <w:rPr>
                <w:color w:val="auto"/>
              </w:rPr>
            </w:pPr>
            <w:r w:rsidRPr="00BA79A1">
              <w:rPr>
                <w:b/>
                <w:bCs/>
                <w:color w:val="auto"/>
                <w:sz w:val="20"/>
                <w:szCs w:val="20"/>
              </w:rPr>
              <w:t>Problem/ Issue</w:t>
            </w:r>
          </w:p>
        </w:tc>
        <w:tc>
          <w:tcPr>
            <w:tcW w:w="1505" w:type="dxa"/>
          </w:tcPr>
          <w:p w14:paraId="5238395E" w14:textId="77777777" w:rsidR="00B22583" w:rsidRPr="00BA79A1" w:rsidRDefault="00B22583" w:rsidP="00B22583">
            <w:pPr>
              <w:rPr>
                <w:color w:val="auto"/>
              </w:rPr>
            </w:pPr>
            <w:r w:rsidRPr="00BA79A1">
              <w:rPr>
                <w:b/>
                <w:bCs/>
                <w:color w:val="auto"/>
                <w:sz w:val="20"/>
                <w:szCs w:val="20"/>
              </w:rPr>
              <w:t>Policy outcome sought</w:t>
            </w:r>
          </w:p>
        </w:tc>
        <w:tc>
          <w:tcPr>
            <w:tcW w:w="1691" w:type="dxa"/>
          </w:tcPr>
          <w:p w14:paraId="51FDAC2E" w14:textId="77777777" w:rsidR="00B22583" w:rsidRPr="00BA79A1" w:rsidRDefault="00B22583" w:rsidP="00B22583">
            <w:pPr>
              <w:rPr>
                <w:color w:val="auto"/>
              </w:rPr>
            </w:pPr>
            <w:r w:rsidRPr="00BA79A1">
              <w:rPr>
                <w:b/>
                <w:bCs/>
                <w:color w:val="auto"/>
                <w:sz w:val="20"/>
                <w:szCs w:val="20"/>
              </w:rPr>
              <w:t>Program entry points for policy dialogue</w:t>
            </w:r>
          </w:p>
        </w:tc>
        <w:tc>
          <w:tcPr>
            <w:tcW w:w="1831" w:type="dxa"/>
          </w:tcPr>
          <w:p w14:paraId="0BC3432C" w14:textId="77777777" w:rsidR="00B22583" w:rsidRPr="00BA79A1" w:rsidRDefault="00B22583" w:rsidP="00B22583">
            <w:pPr>
              <w:rPr>
                <w:color w:val="auto"/>
              </w:rPr>
            </w:pPr>
            <w:r w:rsidRPr="00BA79A1">
              <w:rPr>
                <w:b/>
                <w:bCs/>
                <w:color w:val="auto"/>
                <w:sz w:val="20"/>
                <w:szCs w:val="20"/>
              </w:rPr>
              <w:t>Influential stakeholders</w:t>
            </w:r>
          </w:p>
        </w:tc>
        <w:tc>
          <w:tcPr>
            <w:tcW w:w="2103" w:type="dxa"/>
          </w:tcPr>
          <w:p w14:paraId="5CF49605" w14:textId="77777777" w:rsidR="00B22583" w:rsidRPr="00BA79A1" w:rsidRDefault="00B22583" w:rsidP="00B22583">
            <w:pPr>
              <w:rPr>
                <w:color w:val="auto"/>
              </w:rPr>
            </w:pPr>
            <w:r w:rsidRPr="00BA79A1">
              <w:rPr>
                <w:b/>
                <w:bCs/>
                <w:color w:val="auto"/>
                <w:sz w:val="20"/>
                <w:szCs w:val="20"/>
              </w:rPr>
              <w:t>Resources required</w:t>
            </w:r>
          </w:p>
        </w:tc>
        <w:tc>
          <w:tcPr>
            <w:tcW w:w="2107" w:type="dxa"/>
          </w:tcPr>
          <w:p w14:paraId="2E2C3002" w14:textId="77777777" w:rsidR="00B22583" w:rsidRPr="00BA79A1" w:rsidRDefault="00B22583" w:rsidP="00B22583">
            <w:pPr>
              <w:rPr>
                <w:color w:val="auto"/>
              </w:rPr>
            </w:pPr>
            <w:r w:rsidRPr="00BA79A1">
              <w:rPr>
                <w:b/>
                <w:bCs/>
                <w:color w:val="auto"/>
                <w:sz w:val="20"/>
                <w:szCs w:val="20"/>
              </w:rPr>
              <w:t>Policy dialogue lead within AHC</w:t>
            </w:r>
          </w:p>
        </w:tc>
        <w:tc>
          <w:tcPr>
            <w:tcW w:w="1863" w:type="dxa"/>
          </w:tcPr>
          <w:p w14:paraId="703A8FAB" w14:textId="6ADFE03F" w:rsidR="00B22583" w:rsidRPr="00BA79A1" w:rsidRDefault="00B22583" w:rsidP="00B22583">
            <w:pPr>
              <w:rPr>
                <w:color w:val="auto"/>
              </w:rPr>
            </w:pPr>
            <w:r w:rsidRPr="00BA79A1">
              <w:rPr>
                <w:b/>
                <w:bCs/>
                <w:color w:val="auto"/>
                <w:sz w:val="20"/>
                <w:szCs w:val="20"/>
              </w:rPr>
              <w:t xml:space="preserve">Partnership engagement lead </w:t>
            </w:r>
          </w:p>
        </w:tc>
      </w:tr>
      <w:tr w:rsidR="00BA79A1" w:rsidRPr="00BA79A1" w14:paraId="4B84C233" w14:textId="77777777" w:rsidTr="0021478B">
        <w:trPr>
          <w:trHeight w:val="2325"/>
        </w:trPr>
        <w:tc>
          <w:tcPr>
            <w:tcW w:w="1826" w:type="dxa"/>
          </w:tcPr>
          <w:p w14:paraId="1209E28F" w14:textId="41E5EC15" w:rsidR="00C02E11" w:rsidRPr="00BA79A1" w:rsidRDefault="00C02E11" w:rsidP="00C02E11">
            <w:pPr>
              <w:spacing w:before="0" w:after="0" w:line="240" w:lineRule="auto"/>
              <w:rPr>
                <w:color w:val="auto"/>
                <w:sz w:val="20"/>
                <w:szCs w:val="20"/>
              </w:rPr>
            </w:pPr>
            <w:r w:rsidRPr="00BA79A1">
              <w:rPr>
                <w:color w:val="auto"/>
                <w:sz w:val="20"/>
                <w:szCs w:val="20"/>
              </w:rPr>
              <w:t xml:space="preserve">Niue has increasingly resilient and sustainable budgets and infrastructure </w:t>
            </w:r>
          </w:p>
        </w:tc>
        <w:tc>
          <w:tcPr>
            <w:tcW w:w="1553" w:type="dxa"/>
          </w:tcPr>
          <w:p w14:paraId="20454A30" w14:textId="29AAB01F" w:rsidR="00C02E11" w:rsidRPr="00BA79A1" w:rsidRDefault="00C02E11" w:rsidP="00B22583">
            <w:pPr>
              <w:rPr>
                <w:color w:val="auto"/>
                <w:sz w:val="20"/>
                <w:szCs w:val="20"/>
              </w:rPr>
            </w:pPr>
            <w:r w:rsidRPr="00BA79A1">
              <w:rPr>
                <w:color w:val="auto"/>
                <w:sz w:val="20"/>
                <w:szCs w:val="20"/>
              </w:rPr>
              <w:t xml:space="preserve">Extremely narrow revenue base with high dependence on ODA and tourism revenue affected by COVID-19 </w:t>
            </w:r>
          </w:p>
        </w:tc>
        <w:tc>
          <w:tcPr>
            <w:tcW w:w="1505" w:type="dxa"/>
          </w:tcPr>
          <w:p w14:paraId="2C1F0C07" w14:textId="77777777" w:rsidR="00C02E11" w:rsidRPr="00BA79A1" w:rsidRDefault="00C02E11" w:rsidP="00B22583">
            <w:pPr>
              <w:rPr>
                <w:color w:val="auto"/>
                <w:sz w:val="20"/>
                <w:szCs w:val="20"/>
              </w:rPr>
            </w:pPr>
            <w:r w:rsidRPr="00BA79A1">
              <w:rPr>
                <w:color w:val="auto"/>
                <w:sz w:val="20"/>
                <w:szCs w:val="20"/>
              </w:rPr>
              <w:t>Improved performance and efficiency of the NITF</w:t>
            </w:r>
          </w:p>
          <w:p w14:paraId="1D3BDCCB" w14:textId="167650A6" w:rsidR="002806DA" w:rsidRPr="00BA79A1" w:rsidRDefault="002806DA" w:rsidP="00B22583">
            <w:pPr>
              <w:rPr>
                <w:color w:val="auto"/>
                <w:sz w:val="20"/>
                <w:szCs w:val="20"/>
              </w:rPr>
            </w:pPr>
          </w:p>
        </w:tc>
        <w:tc>
          <w:tcPr>
            <w:tcW w:w="1691" w:type="dxa"/>
          </w:tcPr>
          <w:p w14:paraId="5C5C4DC2" w14:textId="77777777" w:rsidR="00C02E11" w:rsidRPr="00BA79A1" w:rsidRDefault="00C02E11" w:rsidP="00B22583">
            <w:pPr>
              <w:rPr>
                <w:color w:val="auto"/>
                <w:sz w:val="20"/>
                <w:szCs w:val="20"/>
              </w:rPr>
            </w:pPr>
            <w:r w:rsidRPr="00BA79A1">
              <w:rPr>
                <w:color w:val="auto"/>
                <w:sz w:val="20"/>
                <w:szCs w:val="20"/>
              </w:rPr>
              <w:t>Annual bilateral talks</w:t>
            </w:r>
          </w:p>
          <w:p w14:paraId="49B4CDB6" w14:textId="3A95DDA1" w:rsidR="00C02E11" w:rsidRPr="00BA79A1" w:rsidRDefault="00C02E11" w:rsidP="00B22583">
            <w:pPr>
              <w:rPr>
                <w:color w:val="auto"/>
                <w:sz w:val="20"/>
                <w:szCs w:val="20"/>
              </w:rPr>
            </w:pPr>
            <w:r w:rsidRPr="00BA79A1">
              <w:rPr>
                <w:color w:val="auto"/>
                <w:sz w:val="20"/>
                <w:szCs w:val="20"/>
              </w:rPr>
              <w:t>NITF Board of Trustees meetings</w:t>
            </w:r>
          </w:p>
          <w:p w14:paraId="2264438E" w14:textId="5400A940" w:rsidR="00C02E11" w:rsidRPr="00BA79A1" w:rsidRDefault="00C02E11" w:rsidP="00B22583">
            <w:pPr>
              <w:rPr>
                <w:color w:val="auto"/>
                <w:sz w:val="20"/>
                <w:szCs w:val="20"/>
              </w:rPr>
            </w:pPr>
            <w:r w:rsidRPr="00BA79A1">
              <w:rPr>
                <w:color w:val="auto"/>
                <w:sz w:val="20"/>
                <w:szCs w:val="20"/>
              </w:rPr>
              <w:t>NOW Trust consultations</w:t>
            </w:r>
          </w:p>
          <w:p w14:paraId="3869D7E3" w14:textId="79680026" w:rsidR="002806DA" w:rsidRPr="00BA79A1" w:rsidRDefault="002806DA" w:rsidP="00B22583">
            <w:pPr>
              <w:rPr>
                <w:color w:val="auto"/>
                <w:sz w:val="20"/>
                <w:szCs w:val="20"/>
              </w:rPr>
            </w:pPr>
            <w:r w:rsidRPr="00BA79A1">
              <w:rPr>
                <w:color w:val="auto"/>
                <w:sz w:val="20"/>
                <w:szCs w:val="20"/>
              </w:rPr>
              <w:t>Donor partner group</w:t>
            </w:r>
          </w:p>
          <w:p w14:paraId="3671D934" w14:textId="77777777" w:rsidR="00C02E11" w:rsidRPr="00BA79A1" w:rsidRDefault="00C02E11" w:rsidP="00B22583">
            <w:pPr>
              <w:rPr>
                <w:color w:val="auto"/>
                <w:sz w:val="20"/>
                <w:szCs w:val="20"/>
              </w:rPr>
            </w:pPr>
          </w:p>
          <w:p w14:paraId="7659C8CA" w14:textId="77777777" w:rsidR="00C02E11" w:rsidRPr="00BA79A1" w:rsidRDefault="00C02E11" w:rsidP="00B22583">
            <w:pPr>
              <w:rPr>
                <w:color w:val="auto"/>
                <w:sz w:val="20"/>
                <w:szCs w:val="20"/>
              </w:rPr>
            </w:pPr>
          </w:p>
          <w:p w14:paraId="1C922AEB" w14:textId="3FDAD89D" w:rsidR="00C02E11" w:rsidRPr="00BA79A1" w:rsidRDefault="00C02E11" w:rsidP="00B22583">
            <w:pPr>
              <w:rPr>
                <w:color w:val="auto"/>
                <w:sz w:val="20"/>
                <w:szCs w:val="20"/>
              </w:rPr>
            </w:pPr>
          </w:p>
        </w:tc>
        <w:tc>
          <w:tcPr>
            <w:tcW w:w="1831" w:type="dxa"/>
          </w:tcPr>
          <w:p w14:paraId="2E8544AD" w14:textId="25C57D53" w:rsidR="00C02E11" w:rsidRPr="00BA79A1" w:rsidRDefault="00C02E11" w:rsidP="00B22583">
            <w:pPr>
              <w:rPr>
                <w:color w:val="auto"/>
                <w:sz w:val="20"/>
                <w:szCs w:val="20"/>
              </w:rPr>
            </w:pPr>
            <w:r w:rsidRPr="00BA79A1">
              <w:rPr>
                <w:color w:val="auto"/>
                <w:sz w:val="20"/>
                <w:szCs w:val="20"/>
              </w:rPr>
              <w:t>Premier, Minister of Finance, Secretary of Government, Directory General Treasury, NZ, Cabinet, ADB, IMF -PFTAC,</w:t>
            </w:r>
            <w:r w:rsidR="002806DA" w:rsidRPr="00BA79A1">
              <w:rPr>
                <w:color w:val="auto"/>
                <w:sz w:val="20"/>
                <w:szCs w:val="20"/>
              </w:rPr>
              <w:t xml:space="preserve"> MIDP</w:t>
            </w:r>
          </w:p>
        </w:tc>
        <w:tc>
          <w:tcPr>
            <w:tcW w:w="2103" w:type="dxa"/>
          </w:tcPr>
          <w:p w14:paraId="13AFFD45" w14:textId="77777777" w:rsidR="00C02E11" w:rsidRPr="00BA79A1" w:rsidRDefault="00C02E11" w:rsidP="00B22583">
            <w:pPr>
              <w:rPr>
                <w:color w:val="auto"/>
                <w:sz w:val="20"/>
                <w:szCs w:val="20"/>
              </w:rPr>
            </w:pPr>
            <w:r w:rsidRPr="00BA79A1">
              <w:rPr>
                <w:color w:val="auto"/>
                <w:sz w:val="20"/>
                <w:szCs w:val="20"/>
              </w:rPr>
              <w:t>Professional services for NITF (TA)</w:t>
            </w:r>
          </w:p>
          <w:p w14:paraId="49A86961" w14:textId="45F2EE62" w:rsidR="00C02E11" w:rsidRPr="00BA79A1" w:rsidRDefault="00C02E11" w:rsidP="00B22583">
            <w:pPr>
              <w:rPr>
                <w:color w:val="auto"/>
                <w:sz w:val="20"/>
                <w:szCs w:val="20"/>
              </w:rPr>
            </w:pPr>
          </w:p>
        </w:tc>
        <w:tc>
          <w:tcPr>
            <w:tcW w:w="2107" w:type="dxa"/>
          </w:tcPr>
          <w:p w14:paraId="3E7DFEFB" w14:textId="77777777" w:rsidR="00C02E11" w:rsidRPr="00BA79A1" w:rsidRDefault="00C02E11" w:rsidP="00B22583">
            <w:pPr>
              <w:rPr>
                <w:color w:val="auto"/>
                <w:sz w:val="20"/>
                <w:szCs w:val="20"/>
              </w:rPr>
            </w:pPr>
            <w:r w:rsidRPr="00BA79A1">
              <w:rPr>
                <w:color w:val="auto"/>
                <w:sz w:val="20"/>
                <w:szCs w:val="20"/>
              </w:rPr>
              <w:t>High Commissioner</w:t>
            </w:r>
          </w:p>
          <w:p w14:paraId="5CDF817B" w14:textId="211F152C" w:rsidR="00C02E11" w:rsidRPr="00BA79A1" w:rsidRDefault="00C02E11" w:rsidP="00B22583">
            <w:pPr>
              <w:rPr>
                <w:color w:val="auto"/>
                <w:sz w:val="20"/>
                <w:szCs w:val="20"/>
              </w:rPr>
            </w:pPr>
            <w:r w:rsidRPr="00BA79A1">
              <w:rPr>
                <w:color w:val="auto"/>
                <w:sz w:val="20"/>
                <w:szCs w:val="20"/>
              </w:rPr>
              <w:t>Australian trustee (AS PZB)</w:t>
            </w:r>
          </w:p>
        </w:tc>
        <w:tc>
          <w:tcPr>
            <w:tcW w:w="1863" w:type="dxa"/>
          </w:tcPr>
          <w:p w14:paraId="05774452" w14:textId="137692EA" w:rsidR="00C02E11" w:rsidRPr="00BA79A1" w:rsidRDefault="00794EC2" w:rsidP="00B22583">
            <w:pPr>
              <w:rPr>
                <w:color w:val="auto"/>
                <w:sz w:val="20"/>
                <w:szCs w:val="20"/>
              </w:rPr>
            </w:pPr>
            <w:r w:rsidRPr="00BA79A1">
              <w:rPr>
                <w:color w:val="auto"/>
                <w:sz w:val="20"/>
                <w:szCs w:val="20"/>
              </w:rPr>
              <w:t>Not applicable</w:t>
            </w:r>
          </w:p>
        </w:tc>
      </w:tr>
      <w:tr w:rsidR="00BA79A1" w:rsidRPr="00BA79A1" w14:paraId="6DCAA3FE" w14:textId="77777777" w:rsidTr="00C02E11">
        <w:tc>
          <w:tcPr>
            <w:tcW w:w="1826" w:type="dxa"/>
          </w:tcPr>
          <w:p w14:paraId="6CD0079B" w14:textId="0323C03B" w:rsidR="00C02E11" w:rsidRPr="00BA79A1" w:rsidRDefault="00C02E11" w:rsidP="00C02E11">
            <w:pPr>
              <w:spacing w:before="0" w:after="0" w:line="240" w:lineRule="auto"/>
              <w:rPr>
                <w:color w:val="auto"/>
              </w:rPr>
            </w:pPr>
          </w:p>
        </w:tc>
        <w:tc>
          <w:tcPr>
            <w:tcW w:w="1553" w:type="dxa"/>
          </w:tcPr>
          <w:p w14:paraId="03C0B75A" w14:textId="1D9740E7" w:rsidR="00C02E11" w:rsidRPr="00BA79A1" w:rsidRDefault="00C02E11" w:rsidP="00C02E11">
            <w:pPr>
              <w:spacing w:before="0" w:after="0" w:line="240" w:lineRule="auto"/>
              <w:rPr>
                <w:color w:val="auto"/>
                <w:sz w:val="20"/>
                <w:szCs w:val="20"/>
              </w:rPr>
            </w:pPr>
            <w:r w:rsidRPr="00BA79A1">
              <w:rPr>
                <w:color w:val="auto"/>
                <w:sz w:val="20"/>
                <w:szCs w:val="20"/>
              </w:rPr>
              <w:t xml:space="preserve">Aging critical public infrastructure requires repair (due to </w:t>
            </w:r>
            <w:r w:rsidRPr="00BA79A1">
              <w:rPr>
                <w:color w:val="auto"/>
                <w:sz w:val="20"/>
                <w:szCs w:val="20"/>
              </w:rPr>
              <w:lastRenderedPageBreak/>
              <w:t xml:space="preserve">cyclones) or replacement  </w:t>
            </w:r>
          </w:p>
        </w:tc>
        <w:tc>
          <w:tcPr>
            <w:tcW w:w="1505" w:type="dxa"/>
          </w:tcPr>
          <w:p w14:paraId="1346BCDB" w14:textId="39132270" w:rsidR="00C02E11" w:rsidRPr="00BA79A1" w:rsidRDefault="00C02E11" w:rsidP="00C02E11">
            <w:pPr>
              <w:spacing w:before="0" w:after="0" w:line="240" w:lineRule="auto"/>
              <w:rPr>
                <w:color w:val="auto"/>
                <w:sz w:val="20"/>
                <w:szCs w:val="20"/>
              </w:rPr>
            </w:pPr>
            <w:r w:rsidRPr="00BA79A1">
              <w:rPr>
                <w:color w:val="auto"/>
                <w:sz w:val="20"/>
                <w:szCs w:val="20"/>
              </w:rPr>
              <w:lastRenderedPageBreak/>
              <w:t xml:space="preserve">Agreement with partner government on priorities for infrastructure support and </w:t>
            </w:r>
            <w:r w:rsidRPr="00BA79A1">
              <w:rPr>
                <w:color w:val="auto"/>
                <w:sz w:val="20"/>
                <w:szCs w:val="20"/>
              </w:rPr>
              <w:lastRenderedPageBreak/>
              <w:t>modality for implementation</w:t>
            </w:r>
          </w:p>
        </w:tc>
        <w:tc>
          <w:tcPr>
            <w:tcW w:w="1691" w:type="dxa"/>
          </w:tcPr>
          <w:p w14:paraId="01805B47" w14:textId="701A28FA" w:rsidR="00C02E11" w:rsidRPr="00BA79A1" w:rsidRDefault="00C02E11" w:rsidP="00D148A8">
            <w:pPr>
              <w:rPr>
                <w:color w:val="auto"/>
                <w:sz w:val="20"/>
                <w:szCs w:val="20"/>
              </w:rPr>
            </w:pPr>
            <w:r w:rsidRPr="00BA79A1">
              <w:rPr>
                <w:color w:val="auto"/>
                <w:sz w:val="20"/>
                <w:szCs w:val="20"/>
              </w:rPr>
              <w:lastRenderedPageBreak/>
              <w:t>Annual bilateral talks</w:t>
            </w:r>
          </w:p>
          <w:p w14:paraId="36A30159" w14:textId="78037DD9" w:rsidR="00C02E11" w:rsidRPr="00BA79A1" w:rsidRDefault="00C02E11" w:rsidP="00D148A8">
            <w:pPr>
              <w:rPr>
                <w:color w:val="auto"/>
                <w:sz w:val="20"/>
                <w:szCs w:val="20"/>
              </w:rPr>
            </w:pPr>
            <w:r w:rsidRPr="00BA79A1">
              <w:rPr>
                <w:color w:val="auto"/>
                <w:sz w:val="20"/>
                <w:szCs w:val="20"/>
              </w:rPr>
              <w:t>HOM-Premier monthly meeting</w:t>
            </w:r>
          </w:p>
          <w:p w14:paraId="38FFF202" w14:textId="6DD4E8FF" w:rsidR="00C02E11" w:rsidRPr="00BA79A1" w:rsidRDefault="00C02E11" w:rsidP="00D148A8">
            <w:pPr>
              <w:rPr>
                <w:color w:val="auto"/>
                <w:sz w:val="20"/>
                <w:szCs w:val="20"/>
              </w:rPr>
            </w:pPr>
            <w:r w:rsidRPr="00BA79A1">
              <w:rPr>
                <w:color w:val="auto"/>
                <w:sz w:val="20"/>
                <w:szCs w:val="20"/>
              </w:rPr>
              <w:lastRenderedPageBreak/>
              <w:t>HOM-Secretary of Government meetings</w:t>
            </w:r>
          </w:p>
          <w:p w14:paraId="4FA72299" w14:textId="77777777" w:rsidR="00C02E11" w:rsidRPr="00BA79A1" w:rsidRDefault="00C02E11" w:rsidP="0021478B">
            <w:pPr>
              <w:rPr>
                <w:color w:val="auto"/>
                <w:sz w:val="20"/>
                <w:szCs w:val="20"/>
              </w:rPr>
            </w:pPr>
            <w:r w:rsidRPr="00BA79A1">
              <w:rPr>
                <w:color w:val="auto"/>
                <w:sz w:val="20"/>
                <w:szCs w:val="20"/>
              </w:rPr>
              <w:t>Community consultations</w:t>
            </w:r>
          </w:p>
          <w:p w14:paraId="1BC7EA23" w14:textId="18F24B0D" w:rsidR="002806DA" w:rsidRPr="00BA79A1" w:rsidRDefault="002806DA" w:rsidP="0021478B">
            <w:pPr>
              <w:rPr>
                <w:color w:val="auto"/>
                <w:sz w:val="20"/>
                <w:szCs w:val="20"/>
              </w:rPr>
            </w:pPr>
            <w:r w:rsidRPr="00BA79A1">
              <w:rPr>
                <w:color w:val="auto"/>
                <w:sz w:val="20"/>
                <w:szCs w:val="20"/>
              </w:rPr>
              <w:t>Donor partner group</w:t>
            </w:r>
          </w:p>
        </w:tc>
        <w:tc>
          <w:tcPr>
            <w:tcW w:w="1831" w:type="dxa"/>
          </w:tcPr>
          <w:p w14:paraId="5F6E0C9E" w14:textId="0CE40698" w:rsidR="00C02E11" w:rsidRPr="00BA79A1" w:rsidRDefault="00C02E11" w:rsidP="00C02E11">
            <w:pPr>
              <w:spacing w:before="0" w:after="0" w:line="240" w:lineRule="auto"/>
              <w:rPr>
                <w:color w:val="auto"/>
                <w:sz w:val="20"/>
                <w:szCs w:val="20"/>
              </w:rPr>
            </w:pPr>
            <w:r w:rsidRPr="00BA79A1">
              <w:rPr>
                <w:color w:val="auto"/>
                <w:sz w:val="20"/>
                <w:szCs w:val="20"/>
              </w:rPr>
              <w:lastRenderedPageBreak/>
              <w:t>Premier, Minister of Finance and Infrastructure, Cabinet, PMCU, NZ, Cabinet, ADB,</w:t>
            </w:r>
            <w:r w:rsidR="001A7A55" w:rsidRPr="00BA79A1">
              <w:rPr>
                <w:color w:val="auto"/>
                <w:sz w:val="20"/>
                <w:szCs w:val="20"/>
              </w:rPr>
              <w:t xml:space="preserve"> AIFFP</w:t>
            </w:r>
            <w:r w:rsidR="002806DA" w:rsidRPr="00BA79A1">
              <w:rPr>
                <w:color w:val="auto"/>
                <w:sz w:val="20"/>
                <w:szCs w:val="20"/>
              </w:rPr>
              <w:t>, MIDP</w:t>
            </w:r>
          </w:p>
        </w:tc>
        <w:tc>
          <w:tcPr>
            <w:tcW w:w="2103" w:type="dxa"/>
          </w:tcPr>
          <w:p w14:paraId="1BE6E351" w14:textId="28D0E277" w:rsidR="00C02E11" w:rsidRPr="00BA79A1" w:rsidRDefault="00C02E11" w:rsidP="00C02E11">
            <w:pPr>
              <w:spacing w:before="0" w:after="0" w:line="240" w:lineRule="auto"/>
              <w:rPr>
                <w:color w:val="auto"/>
                <w:sz w:val="20"/>
                <w:szCs w:val="20"/>
              </w:rPr>
            </w:pPr>
            <w:r w:rsidRPr="00BA79A1">
              <w:rPr>
                <w:color w:val="auto"/>
                <w:sz w:val="20"/>
                <w:szCs w:val="20"/>
              </w:rPr>
              <w:t>Community consultations</w:t>
            </w:r>
          </w:p>
        </w:tc>
        <w:tc>
          <w:tcPr>
            <w:tcW w:w="2107" w:type="dxa"/>
          </w:tcPr>
          <w:p w14:paraId="230872B2" w14:textId="77777777" w:rsidR="00C02E11" w:rsidRPr="00BA79A1" w:rsidRDefault="00C02E11" w:rsidP="00D148A8">
            <w:pPr>
              <w:rPr>
                <w:color w:val="auto"/>
                <w:sz w:val="20"/>
                <w:szCs w:val="20"/>
              </w:rPr>
            </w:pPr>
            <w:r w:rsidRPr="00BA79A1">
              <w:rPr>
                <w:color w:val="auto"/>
                <w:sz w:val="20"/>
                <w:szCs w:val="20"/>
              </w:rPr>
              <w:t>High Commissioner</w:t>
            </w:r>
          </w:p>
          <w:p w14:paraId="03AB4CB5" w14:textId="77777777" w:rsidR="00C02E11" w:rsidRPr="00BA79A1" w:rsidRDefault="00C02E11" w:rsidP="00C02E11">
            <w:pPr>
              <w:spacing w:before="0" w:after="0" w:line="240" w:lineRule="auto"/>
              <w:rPr>
                <w:color w:val="auto"/>
                <w:sz w:val="20"/>
                <w:szCs w:val="20"/>
              </w:rPr>
            </w:pPr>
          </w:p>
        </w:tc>
        <w:tc>
          <w:tcPr>
            <w:tcW w:w="1863" w:type="dxa"/>
          </w:tcPr>
          <w:p w14:paraId="5DAA6AA8" w14:textId="3B45010C" w:rsidR="00C02E11" w:rsidRPr="00BA79A1" w:rsidRDefault="00794EC2" w:rsidP="00C02E11">
            <w:pPr>
              <w:spacing w:before="0" w:after="0" w:line="240" w:lineRule="auto"/>
              <w:rPr>
                <w:color w:val="auto"/>
                <w:sz w:val="20"/>
                <w:szCs w:val="20"/>
              </w:rPr>
            </w:pPr>
            <w:r w:rsidRPr="00BA79A1">
              <w:rPr>
                <w:color w:val="auto"/>
                <w:sz w:val="20"/>
                <w:szCs w:val="20"/>
              </w:rPr>
              <w:t>To be determined</w:t>
            </w:r>
          </w:p>
        </w:tc>
      </w:tr>
      <w:tr w:rsidR="00796CB4" w:rsidRPr="00BA79A1" w14:paraId="00B83B7A" w14:textId="77777777" w:rsidTr="00C02E11">
        <w:tc>
          <w:tcPr>
            <w:tcW w:w="1826" w:type="dxa"/>
          </w:tcPr>
          <w:p w14:paraId="120235DF" w14:textId="1743796C" w:rsidR="00B22583" w:rsidRPr="00BA79A1" w:rsidRDefault="00D148A8" w:rsidP="00B22583">
            <w:pPr>
              <w:rPr>
                <w:color w:val="auto"/>
                <w:sz w:val="20"/>
                <w:szCs w:val="20"/>
              </w:rPr>
            </w:pPr>
            <w:r w:rsidRPr="00BA79A1">
              <w:rPr>
                <w:color w:val="auto"/>
                <w:sz w:val="20"/>
                <w:szCs w:val="20"/>
              </w:rPr>
              <w:t xml:space="preserve">People have increased access to quality services to optimise livelihood opportunities </w:t>
            </w:r>
          </w:p>
        </w:tc>
        <w:tc>
          <w:tcPr>
            <w:tcW w:w="1553" w:type="dxa"/>
          </w:tcPr>
          <w:p w14:paraId="79D96361" w14:textId="27DAEFBE" w:rsidR="00B22583" w:rsidRPr="00BA79A1" w:rsidRDefault="00C02E11" w:rsidP="00B22583">
            <w:pPr>
              <w:rPr>
                <w:color w:val="auto"/>
                <w:sz w:val="20"/>
                <w:szCs w:val="20"/>
              </w:rPr>
            </w:pPr>
            <w:r w:rsidRPr="00BA79A1">
              <w:rPr>
                <w:color w:val="auto"/>
                <w:sz w:val="20"/>
                <w:szCs w:val="20"/>
              </w:rPr>
              <w:t>Skills gaps due narrow and small pool of workers</w:t>
            </w:r>
          </w:p>
        </w:tc>
        <w:tc>
          <w:tcPr>
            <w:tcW w:w="1505" w:type="dxa"/>
          </w:tcPr>
          <w:p w14:paraId="23C6895C" w14:textId="3EA5ED06" w:rsidR="00B22583" w:rsidRPr="00BA79A1" w:rsidRDefault="00C02E11" w:rsidP="00B22583">
            <w:pPr>
              <w:rPr>
                <w:color w:val="auto"/>
                <w:sz w:val="20"/>
                <w:szCs w:val="20"/>
              </w:rPr>
            </w:pPr>
            <w:r w:rsidRPr="00BA79A1">
              <w:rPr>
                <w:color w:val="auto"/>
                <w:sz w:val="20"/>
                <w:szCs w:val="20"/>
              </w:rPr>
              <w:t xml:space="preserve">Agreement with partner government on sectoral priorities for AAPS </w:t>
            </w:r>
          </w:p>
        </w:tc>
        <w:tc>
          <w:tcPr>
            <w:tcW w:w="1691" w:type="dxa"/>
          </w:tcPr>
          <w:p w14:paraId="0C56C41E" w14:textId="77777777" w:rsidR="00B22583" w:rsidRPr="00BA79A1" w:rsidRDefault="00794EC2" w:rsidP="00B22583">
            <w:pPr>
              <w:rPr>
                <w:color w:val="auto"/>
                <w:sz w:val="20"/>
                <w:szCs w:val="20"/>
              </w:rPr>
            </w:pPr>
            <w:r w:rsidRPr="00BA79A1">
              <w:rPr>
                <w:color w:val="auto"/>
                <w:sz w:val="20"/>
                <w:szCs w:val="20"/>
              </w:rPr>
              <w:t>Annual bilateral talks</w:t>
            </w:r>
          </w:p>
          <w:p w14:paraId="0D969E72" w14:textId="77777777" w:rsidR="00794EC2" w:rsidRPr="00BA79A1" w:rsidRDefault="00794EC2" w:rsidP="00B22583">
            <w:pPr>
              <w:rPr>
                <w:color w:val="auto"/>
                <w:sz w:val="20"/>
                <w:szCs w:val="20"/>
              </w:rPr>
            </w:pPr>
            <w:r w:rsidRPr="00BA79A1">
              <w:rPr>
                <w:color w:val="auto"/>
                <w:sz w:val="20"/>
                <w:szCs w:val="20"/>
              </w:rPr>
              <w:t>HOM-Minister of Social Service meetings</w:t>
            </w:r>
          </w:p>
          <w:p w14:paraId="1290517C" w14:textId="4CDCEB77" w:rsidR="00794EC2" w:rsidRPr="00BA79A1" w:rsidRDefault="00794EC2" w:rsidP="00B22583">
            <w:pPr>
              <w:rPr>
                <w:color w:val="auto"/>
                <w:sz w:val="20"/>
                <w:szCs w:val="20"/>
              </w:rPr>
            </w:pPr>
            <w:r w:rsidRPr="00BA79A1">
              <w:rPr>
                <w:color w:val="auto"/>
                <w:sz w:val="20"/>
                <w:szCs w:val="20"/>
              </w:rPr>
              <w:t>HOM-Public Service Commissioner meetings</w:t>
            </w:r>
          </w:p>
        </w:tc>
        <w:tc>
          <w:tcPr>
            <w:tcW w:w="1831" w:type="dxa"/>
          </w:tcPr>
          <w:p w14:paraId="4592CB54" w14:textId="714D94C7" w:rsidR="00B9156E" w:rsidRPr="00BA79A1" w:rsidRDefault="00794EC2" w:rsidP="00B22583">
            <w:pPr>
              <w:rPr>
                <w:color w:val="auto"/>
                <w:sz w:val="20"/>
                <w:szCs w:val="20"/>
              </w:rPr>
            </w:pPr>
            <w:r w:rsidRPr="00BA79A1">
              <w:rPr>
                <w:color w:val="auto"/>
                <w:sz w:val="20"/>
                <w:szCs w:val="20"/>
              </w:rPr>
              <w:t>Premier, Minister for Social Services, Public Service Commissioners, USP Director, Chamber of Commerce</w:t>
            </w:r>
          </w:p>
        </w:tc>
        <w:tc>
          <w:tcPr>
            <w:tcW w:w="2103" w:type="dxa"/>
          </w:tcPr>
          <w:p w14:paraId="2B8F21B8" w14:textId="72F2D732" w:rsidR="00B22583" w:rsidRPr="00BA79A1" w:rsidRDefault="00794EC2" w:rsidP="00B22583">
            <w:pPr>
              <w:rPr>
                <w:color w:val="auto"/>
                <w:sz w:val="20"/>
                <w:szCs w:val="20"/>
              </w:rPr>
            </w:pPr>
            <w:r w:rsidRPr="00BA79A1">
              <w:rPr>
                <w:color w:val="auto"/>
                <w:sz w:val="20"/>
                <w:szCs w:val="20"/>
              </w:rPr>
              <w:t>Nil</w:t>
            </w:r>
          </w:p>
        </w:tc>
        <w:tc>
          <w:tcPr>
            <w:tcW w:w="2107" w:type="dxa"/>
          </w:tcPr>
          <w:p w14:paraId="2D0D5F45" w14:textId="031CC92E" w:rsidR="00B22583" w:rsidRPr="00BA79A1" w:rsidRDefault="00794EC2" w:rsidP="00B22583">
            <w:pPr>
              <w:rPr>
                <w:color w:val="auto"/>
              </w:rPr>
            </w:pPr>
            <w:r w:rsidRPr="00BA79A1">
              <w:rPr>
                <w:color w:val="auto"/>
              </w:rPr>
              <w:t>High Commissioner (w. LES Policy Officer)</w:t>
            </w:r>
          </w:p>
        </w:tc>
        <w:tc>
          <w:tcPr>
            <w:tcW w:w="1863" w:type="dxa"/>
          </w:tcPr>
          <w:p w14:paraId="750CA238" w14:textId="7831EFBC" w:rsidR="00B22583" w:rsidRPr="00BA79A1" w:rsidRDefault="00794EC2" w:rsidP="00B22583">
            <w:pPr>
              <w:rPr>
                <w:color w:val="auto"/>
              </w:rPr>
            </w:pPr>
            <w:r w:rsidRPr="00BA79A1">
              <w:rPr>
                <w:color w:val="auto"/>
              </w:rPr>
              <w:t>Not applicable</w:t>
            </w:r>
          </w:p>
        </w:tc>
      </w:tr>
    </w:tbl>
    <w:p w14:paraId="1F908732" w14:textId="77777777" w:rsidR="00B22583" w:rsidRPr="00BA79A1" w:rsidRDefault="00B22583" w:rsidP="00B22583">
      <w:pPr>
        <w:rPr>
          <w:color w:val="auto"/>
        </w:rPr>
      </w:pPr>
    </w:p>
    <w:p w14:paraId="069F44A9" w14:textId="77777777" w:rsidR="00B22583" w:rsidRPr="00BA79A1" w:rsidRDefault="00B22583" w:rsidP="004C6342">
      <w:pPr>
        <w:rPr>
          <w:color w:val="auto"/>
        </w:rPr>
        <w:sectPr w:rsidR="00B22583" w:rsidRPr="00BA79A1" w:rsidSect="0027114E">
          <w:pgSz w:w="16838" w:h="11906" w:orient="landscape" w:code="9"/>
          <w:pgMar w:top="1134" w:right="1701" w:bottom="1134" w:left="1418" w:header="425" w:footer="493" w:gutter="0"/>
          <w:cols w:space="397"/>
          <w:titlePg/>
          <w:docGrid w:linePitch="360"/>
        </w:sectPr>
      </w:pPr>
    </w:p>
    <w:p w14:paraId="2719C36A" w14:textId="77777777" w:rsidR="00774EE4" w:rsidRPr="00BA79A1" w:rsidRDefault="00774EE4" w:rsidP="004C6342">
      <w:pPr>
        <w:rPr>
          <w:color w:val="auto"/>
        </w:rPr>
      </w:pPr>
    </w:p>
    <w:p w14:paraId="226A7FF1" w14:textId="77777777" w:rsidR="00B22583" w:rsidRPr="00BA79A1" w:rsidRDefault="00EB74EB" w:rsidP="00EB74EB">
      <w:pPr>
        <w:tabs>
          <w:tab w:val="left" w:pos="8094"/>
        </w:tabs>
        <w:rPr>
          <w:color w:val="auto"/>
        </w:rPr>
      </w:pPr>
      <w:r w:rsidRPr="00BA79A1">
        <w:rPr>
          <w:color w:val="auto"/>
        </w:rPr>
        <w:tab/>
      </w:r>
    </w:p>
    <w:p w14:paraId="6ABB107F" w14:textId="77777777" w:rsidR="00B22583" w:rsidRPr="00BA79A1" w:rsidRDefault="00B22583" w:rsidP="004C6342">
      <w:pPr>
        <w:rPr>
          <w:color w:val="auto"/>
        </w:rPr>
      </w:pPr>
    </w:p>
    <w:p w14:paraId="2574D113" w14:textId="43F95220" w:rsidR="00B22583" w:rsidRPr="00BA79A1" w:rsidRDefault="00D11E15" w:rsidP="00B22583">
      <w:pPr>
        <w:pStyle w:val="Heading3"/>
        <w:pBdr>
          <w:bottom w:val="single" w:sz="4" w:space="1" w:color="auto"/>
        </w:pBdr>
        <w:rPr>
          <w:rFonts w:asciiTheme="minorHAnsi" w:hAnsiTheme="minorHAnsi" w:cstheme="minorHAnsi"/>
          <w:color w:val="auto"/>
          <w:sz w:val="38"/>
          <w:szCs w:val="38"/>
        </w:rPr>
      </w:pPr>
      <w:r w:rsidRPr="00BA79A1">
        <w:rPr>
          <w:rStyle w:val="BookTitle"/>
          <w:rFonts w:asciiTheme="minorHAnsi" w:hAnsiTheme="minorHAnsi" w:cstheme="minorHAnsi"/>
          <w:b w:val="0"/>
          <w:bCs w:val="0"/>
          <w:color w:val="auto"/>
          <w:sz w:val="38"/>
          <w:szCs w:val="38"/>
        </w:rPr>
        <w:t xml:space="preserve">Annex B: </w:t>
      </w:r>
      <w:r w:rsidR="00B22583" w:rsidRPr="00BA79A1">
        <w:rPr>
          <w:rFonts w:asciiTheme="minorHAnsi" w:hAnsiTheme="minorHAnsi" w:cstheme="minorHAnsi"/>
          <w:color w:val="auto"/>
          <w:sz w:val="38"/>
          <w:szCs w:val="38"/>
        </w:rPr>
        <w:t xml:space="preserve">Monitoring and Evaluation Framework </w:t>
      </w:r>
    </w:p>
    <w:p w14:paraId="0FCACE52" w14:textId="5D94D140" w:rsidR="005E0ABF" w:rsidRPr="00BA79A1" w:rsidRDefault="005E0ABF" w:rsidP="00B22583">
      <w:pPr>
        <w:pStyle w:val="BodyTextHanging"/>
        <w:rPr>
          <w:b/>
          <w:color w:val="auto"/>
          <w:sz w:val="24"/>
          <w:u w:val="single"/>
        </w:rPr>
      </w:pPr>
    </w:p>
    <w:tbl>
      <w:tblPr>
        <w:tblStyle w:val="TableGrid"/>
        <w:tblW w:w="13745" w:type="dxa"/>
        <w:tblLook w:val="04A0" w:firstRow="1" w:lastRow="0" w:firstColumn="1" w:lastColumn="0" w:noHBand="0" w:noVBand="1"/>
      </w:tblPr>
      <w:tblGrid>
        <w:gridCol w:w="2284"/>
        <w:gridCol w:w="3240"/>
        <w:gridCol w:w="2551"/>
        <w:gridCol w:w="3402"/>
        <w:gridCol w:w="2268"/>
      </w:tblGrid>
      <w:tr w:rsidR="00BA79A1" w:rsidRPr="00BA79A1" w14:paraId="5AEFA6BD" w14:textId="77777777" w:rsidTr="008B3495">
        <w:tc>
          <w:tcPr>
            <w:tcW w:w="2284" w:type="dxa"/>
          </w:tcPr>
          <w:p w14:paraId="182E4B21" w14:textId="16529923" w:rsidR="000F27A6" w:rsidRPr="00BA79A1" w:rsidRDefault="000F27A6" w:rsidP="00B22583">
            <w:pPr>
              <w:pStyle w:val="BodyTextHanging"/>
              <w:rPr>
                <w:b/>
                <w:color w:val="auto"/>
                <w:sz w:val="24"/>
                <w:u w:val="single"/>
              </w:rPr>
            </w:pPr>
            <w:r w:rsidRPr="00BA79A1">
              <w:rPr>
                <w:b/>
                <w:color w:val="auto"/>
                <w:sz w:val="24"/>
                <w:u w:val="single"/>
              </w:rPr>
              <w:t>Outcomes</w:t>
            </w:r>
          </w:p>
        </w:tc>
        <w:tc>
          <w:tcPr>
            <w:tcW w:w="3240" w:type="dxa"/>
          </w:tcPr>
          <w:p w14:paraId="4304E66A" w14:textId="483965DA" w:rsidR="000F27A6" w:rsidRPr="00BA79A1" w:rsidRDefault="000F27A6" w:rsidP="00B22583">
            <w:pPr>
              <w:pStyle w:val="BodyTextHanging"/>
              <w:rPr>
                <w:b/>
                <w:color w:val="auto"/>
                <w:sz w:val="24"/>
                <w:u w:val="single"/>
              </w:rPr>
            </w:pPr>
            <w:r w:rsidRPr="00BA79A1">
              <w:rPr>
                <w:b/>
                <w:color w:val="auto"/>
                <w:sz w:val="24"/>
                <w:u w:val="single"/>
              </w:rPr>
              <w:t>Measures</w:t>
            </w:r>
          </w:p>
        </w:tc>
        <w:tc>
          <w:tcPr>
            <w:tcW w:w="2551" w:type="dxa"/>
          </w:tcPr>
          <w:p w14:paraId="2E08378B" w14:textId="178A8DB9" w:rsidR="000F27A6" w:rsidRPr="00BA79A1" w:rsidRDefault="000F27A6" w:rsidP="00B22583">
            <w:pPr>
              <w:pStyle w:val="BodyTextHanging"/>
              <w:rPr>
                <w:b/>
                <w:color w:val="auto"/>
                <w:sz w:val="24"/>
                <w:u w:val="single"/>
              </w:rPr>
            </w:pPr>
            <w:r w:rsidRPr="00BA79A1">
              <w:rPr>
                <w:b/>
                <w:color w:val="auto"/>
                <w:sz w:val="24"/>
                <w:u w:val="single"/>
              </w:rPr>
              <w:t>Deliverables</w:t>
            </w:r>
          </w:p>
        </w:tc>
        <w:tc>
          <w:tcPr>
            <w:tcW w:w="3402" w:type="dxa"/>
          </w:tcPr>
          <w:p w14:paraId="0C478A78" w14:textId="30BAC28A" w:rsidR="000F27A6" w:rsidRPr="00BA79A1" w:rsidRDefault="000F27A6" w:rsidP="00B22583">
            <w:pPr>
              <w:pStyle w:val="BodyTextHanging"/>
              <w:rPr>
                <w:b/>
                <w:color w:val="auto"/>
                <w:sz w:val="24"/>
                <w:u w:val="single"/>
              </w:rPr>
            </w:pPr>
            <w:r w:rsidRPr="00BA79A1">
              <w:rPr>
                <w:b/>
                <w:color w:val="auto"/>
                <w:sz w:val="24"/>
                <w:u w:val="single"/>
              </w:rPr>
              <w:t>Distribution</w:t>
            </w:r>
          </w:p>
        </w:tc>
        <w:tc>
          <w:tcPr>
            <w:tcW w:w="2268" w:type="dxa"/>
          </w:tcPr>
          <w:p w14:paraId="2F97CF33" w14:textId="62C3D824" w:rsidR="000F27A6" w:rsidRPr="00BA79A1" w:rsidRDefault="000F27A6" w:rsidP="00B22583">
            <w:pPr>
              <w:pStyle w:val="BodyTextHanging"/>
              <w:rPr>
                <w:b/>
                <w:color w:val="auto"/>
                <w:sz w:val="24"/>
                <w:u w:val="single"/>
              </w:rPr>
            </w:pPr>
            <w:r w:rsidRPr="00BA79A1">
              <w:rPr>
                <w:b/>
                <w:color w:val="auto"/>
                <w:sz w:val="24"/>
                <w:u w:val="single"/>
              </w:rPr>
              <w:t>Expenditure</w:t>
            </w:r>
          </w:p>
        </w:tc>
      </w:tr>
      <w:tr w:rsidR="00BA79A1" w:rsidRPr="00BA79A1" w14:paraId="5A312294" w14:textId="77777777" w:rsidTr="008B3495">
        <w:tc>
          <w:tcPr>
            <w:tcW w:w="2284" w:type="dxa"/>
          </w:tcPr>
          <w:p w14:paraId="36DC8BE2" w14:textId="5D8CC25A" w:rsidR="000F27A6" w:rsidRPr="00BA79A1" w:rsidRDefault="000F27A6" w:rsidP="008B3495">
            <w:pPr>
              <w:rPr>
                <w:color w:val="auto"/>
                <w:sz w:val="20"/>
                <w:szCs w:val="20"/>
              </w:rPr>
            </w:pPr>
            <w:r w:rsidRPr="00BA79A1">
              <w:rPr>
                <w:color w:val="auto"/>
                <w:sz w:val="20"/>
                <w:szCs w:val="20"/>
              </w:rPr>
              <w:t xml:space="preserve">People have increased access to quality services to optimise livelihood opportunities </w:t>
            </w:r>
          </w:p>
        </w:tc>
        <w:tc>
          <w:tcPr>
            <w:tcW w:w="3240" w:type="dxa"/>
          </w:tcPr>
          <w:p w14:paraId="455EDCD6" w14:textId="79075472"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Proportion of AAPS graduates who are employed within 12 months of completion (rolling 5</w:t>
            </w:r>
            <w:r w:rsidR="00794EC2" w:rsidRPr="00BA79A1">
              <w:rPr>
                <w:rFonts w:asciiTheme="minorHAnsi" w:hAnsiTheme="minorHAnsi"/>
                <w:color w:val="auto"/>
                <w:sz w:val="20"/>
                <w:szCs w:val="20"/>
                <w:lang w:eastAsia="en-US"/>
              </w:rPr>
              <w:t>-</w:t>
            </w:r>
            <w:r w:rsidRPr="00BA79A1">
              <w:rPr>
                <w:rFonts w:asciiTheme="minorHAnsi" w:hAnsiTheme="minorHAnsi"/>
                <w:color w:val="auto"/>
                <w:sz w:val="20"/>
                <w:szCs w:val="20"/>
                <w:lang w:eastAsia="en-US"/>
              </w:rPr>
              <w:t>year average).</w:t>
            </w:r>
          </w:p>
          <w:p w14:paraId="2B25AB1D" w14:textId="1B829756"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Number of DAP projects completed</w:t>
            </w:r>
          </w:p>
          <w:p w14:paraId="45EF342B" w14:textId="5065871F"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COVID vaccination rates</w:t>
            </w:r>
          </w:p>
        </w:tc>
        <w:tc>
          <w:tcPr>
            <w:tcW w:w="2551" w:type="dxa"/>
          </w:tcPr>
          <w:p w14:paraId="3F659B0B" w14:textId="77777777"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Niue residents only</w:t>
            </w:r>
          </w:p>
          <w:p w14:paraId="2F6F64BA" w14:textId="77777777"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Non-government sector – villages, community groups, etc.</w:t>
            </w:r>
          </w:p>
          <w:p w14:paraId="04B13203" w14:textId="4885F4E0"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Eligible population</w:t>
            </w:r>
          </w:p>
        </w:tc>
        <w:tc>
          <w:tcPr>
            <w:tcW w:w="3402" w:type="dxa"/>
          </w:tcPr>
          <w:p w14:paraId="509EAD0D" w14:textId="77777777"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Gender parity maintained for awardees</w:t>
            </w:r>
          </w:p>
          <w:p w14:paraId="5634DE4A" w14:textId="77777777"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Proportion of villages (of 14) that have received DAP support in last three years.</w:t>
            </w:r>
          </w:p>
          <w:p w14:paraId="1CD84F25" w14:textId="5B48C070"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Eligible population, disaggregated by cohort.</w:t>
            </w:r>
          </w:p>
        </w:tc>
        <w:tc>
          <w:tcPr>
            <w:tcW w:w="2268" w:type="dxa"/>
          </w:tcPr>
          <w:p w14:paraId="1BAE2F37" w14:textId="77777777"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$0.17m per annum</w:t>
            </w:r>
          </w:p>
          <w:p w14:paraId="5506A3B3" w14:textId="77777777"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$0.03m per annum</w:t>
            </w:r>
          </w:p>
          <w:p w14:paraId="3FAED377" w14:textId="77777777"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Emergency funding</w:t>
            </w:r>
          </w:p>
          <w:p w14:paraId="3160FECE" w14:textId="74A673E7"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NZ primary delivery partner</w:t>
            </w:r>
          </w:p>
        </w:tc>
      </w:tr>
      <w:tr w:rsidR="00BA79A1" w:rsidRPr="00BA79A1" w14:paraId="71C2D1FF" w14:textId="77777777" w:rsidTr="008B3495">
        <w:tc>
          <w:tcPr>
            <w:tcW w:w="2284" w:type="dxa"/>
          </w:tcPr>
          <w:p w14:paraId="2A087024" w14:textId="1760B0EA" w:rsidR="000F27A6" w:rsidRPr="00BA79A1" w:rsidRDefault="000F27A6" w:rsidP="008B3495">
            <w:pPr>
              <w:rPr>
                <w:color w:val="auto"/>
                <w:sz w:val="20"/>
                <w:szCs w:val="20"/>
              </w:rPr>
            </w:pPr>
            <w:r w:rsidRPr="00BA79A1">
              <w:rPr>
                <w:color w:val="auto"/>
                <w:sz w:val="20"/>
                <w:szCs w:val="20"/>
              </w:rPr>
              <w:t xml:space="preserve">Niue has increasingly resilient and sustainable budgets and infrastructure </w:t>
            </w:r>
          </w:p>
        </w:tc>
        <w:tc>
          <w:tcPr>
            <w:tcW w:w="3240" w:type="dxa"/>
          </w:tcPr>
          <w:p w14:paraId="0A9893B6" w14:textId="293F94D3" w:rsidR="000F27A6" w:rsidRPr="00BA79A1" w:rsidRDefault="00794EC2"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Growth in NITF balance</w:t>
            </w:r>
          </w:p>
          <w:p w14:paraId="10FD8D7C" w14:textId="4E7836CC"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 xml:space="preserve">Improved efficiency in distribution of NITF </w:t>
            </w:r>
            <w:r w:rsidR="00794EC2" w:rsidRPr="00BA79A1">
              <w:rPr>
                <w:rFonts w:asciiTheme="minorHAnsi" w:hAnsiTheme="minorHAnsi"/>
                <w:color w:val="auto"/>
                <w:sz w:val="20"/>
                <w:szCs w:val="20"/>
                <w:lang w:eastAsia="en-US"/>
              </w:rPr>
              <w:t>revenues</w:t>
            </w:r>
          </w:p>
          <w:p w14:paraId="20C2EFE5" w14:textId="1141A4A9" w:rsidR="000F27A6" w:rsidRPr="00BA79A1" w:rsidRDefault="000F27A6"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 xml:space="preserve">Number of climate resilient and disability accessible infrastructure projects delivered </w:t>
            </w:r>
          </w:p>
        </w:tc>
        <w:tc>
          <w:tcPr>
            <w:tcW w:w="2551" w:type="dxa"/>
          </w:tcPr>
          <w:p w14:paraId="2B2D021E" w14:textId="21B2C7DF" w:rsidR="008B3495" w:rsidRPr="00BA79A1" w:rsidRDefault="008B3495"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 xml:space="preserve">NITF income generated as proportion of total </w:t>
            </w:r>
            <w:proofErr w:type="spellStart"/>
            <w:r w:rsidRPr="00BA79A1">
              <w:rPr>
                <w:rFonts w:asciiTheme="minorHAnsi" w:hAnsiTheme="minorHAnsi"/>
                <w:color w:val="auto"/>
                <w:sz w:val="20"/>
                <w:szCs w:val="20"/>
                <w:lang w:eastAsia="en-US"/>
              </w:rPr>
              <w:t>GoN</w:t>
            </w:r>
            <w:proofErr w:type="spellEnd"/>
            <w:r w:rsidRPr="00BA79A1">
              <w:rPr>
                <w:rFonts w:asciiTheme="minorHAnsi" w:hAnsiTheme="minorHAnsi"/>
                <w:color w:val="auto"/>
                <w:sz w:val="20"/>
                <w:szCs w:val="20"/>
                <w:lang w:eastAsia="en-US"/>
              </w:rPr>
              <w:t xml:space="preserve"> budget.</w:t>
            </w:r>
          </w:p>
          <w:p w14:paraId="7179DD5C" w14:textId="38F3C55A" w:rsidR="008B3495" w:rsidRPr="00BA79A1" w:rsidRDefault="008B3495"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Proportion of projects that adhere to DFAT Accessibility Guidelines</w:t>
            </w:r>
            <w:r w:rsidR="00D11E15" w:rsidRPr="00BA79A1">
              <w:rPr>
                <w:rFonts w:asciiTheme="minorHAnsi" w:hAnsiTheme="minorHAnsi"/>
                <w:color w:val="auto"/>
                <w:sz w:val="20"/>
                <w:szCs w:val="20"/>
                <w:lang w:eastAsia="en-US"/>
              </w:rPr>
              <w:t>.</w:t>
            </w:r>
          </w:p>
        </w:tc>
        <w:tc>
          <w:tcPr>
            <w:tcW w:w="3402" w:type="dxa"/>
          </w:tcPr>
          <w:p w14:paraId="4FE7C440" w14:textId="77777777" w:rsidR="000F27A6" w:rsidRPr="00BA79A1" w:rsidRDefault="008B3495"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Government of Niue, with indirect benefits flowing to population.</w:t>
            </w:r>
          </w:p>
          <w:p w14:paraId="49C1A3FF" w14:textId="77777777" w:rsidR="008B3495" w:rsidRPr="00BA79A1" w:rsidRDefault="008B3495"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Ministry of Finance</w:t>
            </w:r>
          </w:p>
          <w:p w14:paraId="6B2E02F6" w14:textId="77DCB4F9" w:rsidR="008B3495" w:rsidRPr="00BA79A1" w:rsidRDefault="008B3495"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 xml:space="preserve">Niue residents (if </w:t>
            </w:r>
            <w:proofErr w:type="gramStart"/>
            <w:r w:rsidRPr="00BA79A1">
              <w:rPr>
                <w:rFonts w:asciiTheme="minorHAnsi" w:hAnsiTheme="minorHAnsi"/>
                <w:color w:val="auto"/>
                <w:sz w:val="20"/>
                <w:szCs w:val="20"/>
                <w:lang w:eastAsia="en-US"/>
              </w:rPr>
              <w:t>waste water</w:t>
            </w:r>
            <w:proofErr w:type="gramEnd"/>
            <w:r w:rsidRPr="00BA79A1">
              <w:rPr>
                <w:rFonts w:asciiTheme="minorHAnsi" w:hAnsiTheme="minorHAnsi"/>
                <w:color w:val="auto"/>
                <w:sz w:val="20"/>
                <w:szCs w:val="20"/>
                <w:lang w:eastAsia="en-US"/>
              </w:rPr>
              <w:t xml:space="preserve"> or waste manag</w:t>
            </w:r>
            <w:r w:rsidR="00794EC2" w:rsidRPr="00BA79A1">
              <w:rPr>
                <w:rFonts w:asciiTheme="minorHAnsi" w:hAnsiTheme="minorHAnsi"/>
                <w:color w:val="auto"/>
                <w:sz w:val="20"/>
                <w:szCs w:val="20"/>
                <w:lang w:eastAsia="en-US"/>
              </w:rPr>
              <w:t>e</w:t>
            </w:r>
            <w:r w:rsidRPr="00BA79A1">
              <w:rPr>
                <w:rFonts w:asciiTheme="minorHAnsi" w:hAnsiTheme="minorHAnsi"/>
                <w:color w:val="auto"/>
                <w:sz w:val="20"/>
                <w:szCs w:val="20"/>
                <w:lang w:eastAsia="en-US"/>
              </w:rPr>
              <w:t>ment is pursued)</w:t>
            </w:r>
          </w:p>
        </w:tc>
        <w:tc>
          <w:tcPr>
            <w:tcW w:w="2268" w:type="dxa"/>
          </w:tcPr>
          <w:p w14:paraId="2DC76C96" w14:textId="77777777" w:rsidR="008B3495" w:rsidRPr="00BA79A1" w:rsidRDefault="008B3495"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 xml:space="preserve">$2.16 over four years with majority of expenditure in year 1 </w:t>
            </w:r>
          </w:p>
          <w:p w14:paraId="5F3490F9" w14:textId="13D3C717" w:rsidR="000F27A6" w:rsidRPr="00BA79A1" w:rsidRDefault="008B3495" w:rsidP="00B22583">
            <w:pPr>
              <w:pStyle w:val="BodyTextHanging"/>
              <w:rPr>
                <w:rFonts w:asciiTheme="minorHAnsi" w:hAnsiTheme="minorHAnsi"/>
                <w:color w:val="auto"/>
                <w:sz w:val="20"/>
                <w:szCs w:val="20"/>
                <w:lang w:eastAsia="en-US"/>
              </w:rPr>
            </w:pPr>
            <w:r w:rsidRPr="00BA79A1">
              <w:rPr>
                <w:rFonts w:asciiTheme="minorHAnsi" w:hAnsiTheme="minorHAnsi"/>
                <w:color w:val="auto"/>
                <w:sz w:val="20"/>
                <w:szCs w:val="20"/>
                <w:lang w:eastAsia="en-US"/>
              </w:rPr>
              <w:t>$2.4m over four years</w:t>
            </w:r>
          </w:p>
        </w:tc>
      </w:tr>
    </w:tbl>
    <w:p w14:paraId="393ADC01" w14:textId="77777777" w:rsidR="005E0ABF" w:rsidRPr="00BA79A1" w:rsidRDefault="005E0ABF" w:rsidP="005E0ABF">
      <w:pPr>
        <w:pStyle w:val="BodyText"/>
        <w:rPr>
          <w:b/>
          <w:color w:val="auto"/>
          <w:szCs w:val="20"/>
        </w:rPr>
      </w:pPr>
      <w:r w:rsidRPr="00BA79A1">
        <w:rPr>
          <w:b/>
          <w:color w:val="auto"/>
          <w:szCs w:val="20"/>
        </w:rPr>
        <w:t xml:space="preserve">Elements that </w:t>
      </w:r>
      <w:r w:rsidRPr="00BA79A1">
        <w:rPr>
          <w:b/>
          <w:color w:val="auto"/>
          <w:szCs w:val="20"/>
          <w:u w:val="single"/>
        </w:rPr>
        <w:t>must</w:t>
      </w:r>
      <w:r w:rsidRPr="00BA79A1">
        <w:rPr>
          <w:b/>
          <w:color w:val="auto"/>
          <w:szCs w:val="20"/>
        </w:rPr>
        <w:t xml:space="preserve"> be included in the ‘minimum sufficient’ M&amp;E Framework at design stage for monitoring from start-up / inception:</w:t>
      </w:r>
    </w:p>
    <w:p w14:paraId="2216EB61" w14:textId="77777777" w:rsidR="005E0ABF" w:rsidRPr="00BA79A1" w:rsidRDefault="005E0ABF" w:rsidP="005E0ABF">
      <w:pPr>
        <w:pStyle w:val="BodyText"/>
        <w:rPr>
          <w:color w:val="auto"/>
          <w:szCs w:val="20"/>
        </w:rPr>
      </w:pPr>
      <w:r w:rsidRPr="00BA79A1">
        <w:rPr>
          <w:b/>
          <w:color w:val="auto"/>
          <w:szCs w:val="20"/>
        </w:rPr>
        <w:t xml:space="preserve">Deliverables: </w:t>
      </w:r>
      <w:r w:rsidRPr="00BA79A1">
        <w:rPr>
          <w:color w:val="auto"/>
          <w:szCs w:val="20"/>
        </w:rPr>
        <w:t>Level, reach / coverage and quality of key deliverables produced.</w:t>
      </w:r>
    </w:p>
    <w:p w14:paraId="6450B9FC" w14:textId="77777777" w:rsidR="005E0ABF" w:rsidRPr="00BA79A1" w:rsidRDefault="005E0ABF" w:rsidP="005E0ABF">
      <w:pPr>
        <w:pStyle w:val="BodyText"/>
        <w:rPr>
          <w:color w:val="auto"/>
          <w:szCs w:val="20"/>
        </w:rPr>
      </w:pPr>
      <w:r w:rsidRPr="00BA79A1">
        <w:rPr>
          <w:b/>
          <w:color w:val="auto"/>
          <w:szCs w:val="20"/>
        </w:rPr>
        <w:t xml:space="preserve">Distribution: </w:t>
      </w:r>
      <w:r w:rsidRPr="00BA79A1">
        <w:rPr>
          <w:color w:val="auto"/>
          <w:szCs w:val="20"/>
        </w:rPr>
        <w:t>Beneficiary access to and control over benefits delivered by the program</w:t>
      </w:r>
      <w:r w:rsidRPr="00BA79A1">
        <w:rPr>
          <w:b/>
          <w:color w:val="auto"/>
          <w:szCs w:val="20"/>
        </w:rPr>
        <w:t xml:space="preserve"> </w:t>
      </w:r>
      <w:r w:rsidRPr="00BA79A1">
        <w:rPr>
          <w:color w:val="auto"/>
          <w:szCs w:val="20"/>
        </w:rPr>
        <w:t xml:space="preserve">(disaggregated by gender, age, disability, ethnicity) </w:t>
      </w:r>
    </w:p>
    <w:p w14:paraId="07FBD8E9" w14:textId="77777777" w:rsidR="005E0ABF" w:rsidRPr="00BA79A1" w:rsidRDefault="005E0ABF" w:rsidP="005E0ABF">
      <w:pPr>
        <w:pStyle w:val="BodyText"/>
        <w:rPr>
          <w:color w:val="auto"/>
          <w:szCs w:val="20"/>
        </w:rPr>
      </w:pPr>
      <w:r w:rsidRPr="00BA79A1">
        <w:rPr>
          <w:b/>
          <w:color w:val="auto"/>
          <w:szCs w:val="20"/>
        </w:rPr>
        <w:t>Expenditure</w:t>
      </w:r>
      <w:r w:rsidRPr="00BA79A1">
        <w:rPr>
          <w:b/>
          <w:color w:val="auto"/>
          <w:sz w:val="24"/>
        </w:rPr>
        <w:t>:</w:t>
      </w:r>
      <w:r w:rsidRPr="00BA79A1">
        <w:rPr>
          <w:rStyle w:val="BodyTextChar"/>
          <w:caps/>
          <w:color w:val="auto"/>
          <w:szCs w:val="20"/>
        </w:rPr>
        <w:t xml:space="preserve"> </w:t>
      </w:r>
      <w:r w:rsidRPr="00BA79A1">
        <w:rPr>
          <w:color w:val="auto"/>
          <w:szCs w:val="20"/>
        </w:rPr>
        <w:t>Level and rate of expenditure</w:t>
      </w:r>
    </w:p>
    <w:p w14:paraId="24AFD058" w14:textId="77241107" w:rsidR="0036178A" w:rsidRPr="00BA79A1" w:rsidRDefault="0036178A">
      <w:pPr>
        <w:suppressAutoHyphens w:val="0"/>
        <w:spacing w:before="0" w:after="120" w:line="440" w:lineRule="atLeast"/>
        <w:rPr>
          <w:color w:val="auto"/>
        </w:rPr>
      </w:pPr>
    </w:p>
    <w:p w14:paraId="2ABF7874" w14:textId="77777777" w:rsidR="008B3495" w:rsidRPr="00BA79A1" w:rsidRDefault="008B3495" w:rsidP="0036178A">
      <w:pPr>
        <w:pStyle w:val="Heading1"/>
        <w:pBdr>
          <w:bottom w:val="single" w:sz="4" w:space="1" w:color="auto"/>
        </w:pBdr>
        <w:rPr>
          <w:rFonts w:asciiTheme="minorHAnsi" w:hAnsiTheme="minorHAnsi" w:cstheme="minorHAnsi"/>
          <w:b w:val="0"/>
          <w:caps w:val="0"/>
          <w:color w:val="auto"/>
          <w:szCs w:val="38"/>
        </w:rPr>
      </w:pPr>
      <w:r w:rsidRPr="00BA79A1">
        <w:rPr>
          <w:rFonts w:asciiTheme="minorHAnsi" w:hAnsiTheme="minorHAnsi" w:cstheme="minorHAnsi"/>
          <w:b w:val="0"/>
          <w:caps w:val="0"/>
          <w:color w:val="auto"/>
          <w:szCs w:val="38"/>
        </w:rPr>
        <w:br w:type="page"/>
      </w:r>
    </w:p>
    <w:p w14:paraId="169327BF" w14:textId="61DE786C" w:rsidR="0036178A" w:rsidRPr="00BA79A1" w:rsidRDefault="00D11E15" w:rsidP="0036178A">
      <w:pPr>
        <w:pStyle w:val="Heading1"/>
        <w:pBdr>
          <w:bottom w:val="single" w:sz="4" w:space="1" w:color="auto"/>
        </w:pBdr>
        <w:rPr>
          <w:rFonts w:asciiTheme="minorHAnsi" w:hAnsiTheme="minorHAnsi" w:cstheme="minorHAnsi"/>
          <w:b w:val="0"/>
          <w:caps w:val="0"/>
          <w:color w:val="auto"/>
          <w:szCs w:val="38"/>
        </w:rPr>
      </w:pPr>
      <w:r w:rsidRPr="00BA79A1">
        <w:rPr>
          <w:rFonts w:asciiTheme="minorHAnsi" w:hAnsiTheme="minorHAnsi" w:cstheme="minorHAnsi"/>
          <w:b w:val="0"/>
          <w:caps w:val="0"/>
          <w:color w:val="auto"/>
          <w:szCs w:val="38"/>
        </w:rPr>
        <w:lastRenderedPageBreak/>
        <w:t xml:space="preserve">Annex D: Indicative </w:t>
      </w:r>
      <w:r w:rsidR="0036178A" w:rsidRPr="00BA79A1">
        <w:rPr>
          <w:rFonts w:asciiTheme="minorHAnsi" w:hAnsiTheme="minorHAnsi" w:cstheme="minorHAnsi"/>
          <w:b w:val="0"/>
          <w:caps w:val="0"/>
          <w:color w:val="auto"/>
          <w:szCs w:val="38"/>
        </w:rPr>
        <w:t>Budget</w:t>
      </w:r>
      <w:r w:rsidR="004F6AE3" w:rsidRPr="00BA79A1">
        <w:rPr>
          <w:rFonts w:asciiTheme="minorHAnsi" w:hAnsiTheme="minorHAnsi" w:cstheme="minorHAnsi"/>
          <w:b w:val="0"/>
          <w:caps w:val="0"/>
          <w:color w:val="auto"/>
          <w:szCs w:val="38"/>
        </w:rPr>
        <w:t xml:space="preserve"> </w:t>
      </w:r>
    </w:p>
    <w:p w14:paraId="6736FDE2" w14:textId="52425630" w:rsidR="0036178A" w:rsidRPr="00BA79A1" w:rsidRDefault="0036178A" w:rsidP="0036178A">
      <w:pPr>
        <w:rPr>
          <w:color w:val="auto"/>
        </w:rPr>
      </w:pPr>
    </w:p>
    <w:tbl>
      <w:tblPr>
        <w:tblStyle w:val="GridTable1Light"/>
        <w:tblW w:w="12686" w:type="dxa"/>
        <w:tblLook w:val="04A0" w:firstRow="1" w:lastRow="0" w:firstColumn="1" w:lastColumn="0" w:noHBand="0" w:noVBand="1"/>
      </w:tblPr>
      <w:tblGrid>
        <w:gridCol w:w="668"/>
        <w:gridCol w:w="5398"/>
        <w:gridCol w:w="1270"/>
        <w:gridCol w:w="1274"/>
        <w:gridCol w:w="1272"/>
        <w:gridCol w:w="1274"/>
        <w:gridCol w:w="1530"/>
      </w:tblGrid>
      <w:tr w:rsidR="00BA79A1" w:rsidRPr="00BA79A1" w14:paraId="5024238E" w14:textId="77777777" w:rsidTr="002066B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8" w:type="dxa"/>
          </w:tcPr>
          <w:p w14:paraId="060E3D7B" w14:textId="28EFBFDE" w:rsidR="0036178A" w:rsidRPr="00BA79A1" w:rsidRDefault="0036178A" w:rsidP="00892464">
            <w:pPr>
              <w:rPr>
                <w:color w:val="auto"/>
                <w:sz w:val="20"/>
                <w:szCs w:val="20"/>
              </w:rPr>
            </w:pPr>
            <w:r w:rsidRPr="00BA79A1">
              <w:rPr>
                <w:color w:val="auto"/>
                <w:sz w:val="20"/>
                <w:szCs w:val="20"/>
              </w:rPr>
              <w:t xml:space="preserve">No. </w:t>
            </w:r>
          </w:p>
        </w:tc>
        <w:tc>
          <w:tcPr>
            <w:tcW w:w="5398" w:type="dxa"/>
          </w:tcPr>
          <w:p w14:paraId="6B593A26" w14:textId="05CC960E" w:rsidR="0036178A" w:rsidRPr="00BA79A1" w:rsidRDefault="0036178A" w:rsidP="008924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 xml:space="preserve">Items </w:t>
            </w:r>
            <w:r w:rsidR="00CA14B5" w:rsidRPr="00BA79A1">
              <w:rPr>
                <w:b w:val="0"/>
                <w:i/>
                <w:color w:val="auto"/>
                <w:sz w:val="20"/>
                <w:szCs w:val="20"/>
              </w:rPr>
              <w:t>(indicative)</w:t>
            </w:r>
          </w:p>
        </w:tc>
        <w:tc>
          <w:tcPr>
            <w:tcW w:w="1270" w:type="dxa"/>
          </w:tcPr>
          <w:p w14:paraId="5918B2EC" w14:textId="77777777" w:rsidR="0036178A" w:rsidRPr="00BA79A1" w:rsidRDefault="0036178A" w:rsidP="008924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Year 1</w:t>
            </w:r>
          </w:p>
        </w:tc>
        <w:tc>
          <w:tcPr>
            <w:tcW w:w="1274" w:type="dxa"/>
          </w:tcPr>
          <w:p w14:paraId="2394EFF6" w14:textId="77777777" w:rsidR="0036178A" w:rsidRPr="00BA79A1" w:rsidRDefault="0036178A" w:rsidP="008924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Year 2</w:t>
            </w:r>
          </w:p>
        </w:tc>
        <w:tc>
          <w:tcPr>
            <w:tcW w:w="1272" w:type="dxa"/>
          </w:tcPr>
          <w:p w14:paraId="23C67D3F" w14:textId="77777777" w:rsidR="0036178A" w:rsidRPr="00BA79A1" w:rsidRDefault="0036178A" w:rsidP="008924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Year 3</w:t>
            </w:r>
          </w:p>
        </w:tc>
        <w:tc>
          <w:tcPr>
            <w:tcW w:w="1274" w:type="dxa"/>
          </w:tcPr>
          <w:p w14:paraId="10BF9B4D" w14:textId="77777777" w:rsidR="0036178A" w:rsidRPr="00BA79A1" w:rsidRDefault="0036178A" w:rsidP="008924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Year 4</w:t>
            </w:r>
          </w:p>
        </w:tc>
        <w:tc>
          <w:tcPr>
            <w:tcW w:w="1530" w:type="dxa"/>
          </w:tcPr>
          <w:p w14:paraId="21B5A268" w14:textId="77777777" w:rsidR="0036178A" w:rsidRPr="00BA79A1" w:rsidRDefault="0036178A" w:rsidP="008924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Total</w:t>
            </w:r>
          </w:p>
        </w:tc>
      </w:tr>
      <w:tr w:rsidR="00BA79A1" w:rsidRPr="00BA79A1" w14:paraId="580EF135" w14:textId="77777777" w:rsidTr="002066BC">
        <w:tc>
          <w:tcPr>
            <w:cnfStyle w:val="001000000000" w:firstRow="0" w:lastRow="0" w:firstColumn="1" w:lastColumn="0" w:oddVBand="0" w:evenVBand="0" w:oddHBand="0" w:evenHBand="0" w:firstRowFirstColumn="0" w:firstRowLastColumn="0" w:lastRowFirstColumn="0" w:lastRowLastColumn="0"/>
            <w:tcW w:w="668" w:type="dxa"/>
          </w:tcPr>
          <w:p w14:paraId="2240C90C" w14:textId="77777777" w:rsidR="004F6AE3" w:rsidRPr="00BA79A1" w:rsidRDefault="004F6AE3" w:rsidP="009D54FA">
            <w:pPr>
              <w:jc w:val="center"/>
              <w:rPr>
                <w:color w:val="auto"/>
                <w:sz w:val="20"/>
                <w:szCs w:val="20"/>
              </w:rPr>
            </w:pPr>
          </w:p>
        </w:tc>
        <w:tc>
          <w:tcPr>
            <w:tcW w:w="5398" w:type="dxa"/>
          </w:tcPr>
          <w:p w14:paraId="2A6D8CA1" w14:textId="7573C9EE" w:rsidR="004F6AE3" w:rsidRPr="00BA79A1" w:rsidRDefault="004F6AE3" w:rsidP="009D54FA">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A79A1">
              <w:rPr>
                <w:b/>
                <w:bCs/>
                <w:color w:val="auto"/>
                <w:sz w:val="20"/>
                <w:szCs w:val="20"/>
              </w:rPr>
              <w:t>Niue Development Program</w:t>
            </w:r>
          </w:p>
        </w:tc>
        <w:tc>
          <w:tcPr>
            <w:tcW w:w="1270" w:type="dxa"/>
          </w:tcPr>
          <w:p w14:paraId="47B8C9F7" w14:textId="77777777" w:rsidR="004F6AE3" w:rsidRPr="00BA79A1" w:rsidRDefault="004F6AE3" w:rsidP="009D54FA">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274" w:type="dxa"/>
          </w:tcPr>
          <w:p w14:paraId="1728DB87" w14:textId="77777777" w:rsidR="004F6AE3" w:rsidRPr="00BA79A1" w:rsidRDefault="004F6AE3" w:rsidP="009D54FA">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272" w:type="dxa"/>
          </w:tcPr>
          <w:p w14:paraId="157A98DF" w14:textId="77777777" w:rsidR="004F6AE3" w:rsidRPr="00BA79A1" w:rsidRDefault="004F6AE3" w:rsidP="009D54FA">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274" w:type="dxa"/>
          </w:tcPr>
          <w:p w14:paraId="1B4759C9" w14:textId="77777777" w:rsidR="004F6AE3" w:rsidRPr="00BA79A1" w:rsidRDefault="004F6AE3" w:rsidP="009D54FA">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530" w:type="dxa"/>
          </w:tcPr>
          <w:p w14:paraId="1B4C4565" w14:textId="77777777" w:rsidR="004F6AE3" w:rsidRPr="00BA79A1" w:rsidRDefault="004F6AE3" w:rsidP="009D54FA">
            <w:pP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A79A1" w:rsidRPr="00BA79A1" w14:paraId="593F7D4D" w14:textId="77777777" w:rsidTr="002066BC">
        <w:tc>
          <w:tcPr>
            <w:cnfStyle w:val="001000000000" w:firstRow="0" w:lastRow="0" w:firstColumn="1" w:lastColumn="0" w:oddVBand="0" w:evenVBand="0" w:oddHBand="0" w:evenHBand="0" w:firstRowFirstColumn="0" w:firstRowLastColumn="0" w:lastRowFirstColumn="0" w:lastRowLastColumn="0"/>
            <w:tcW w:w="668" w:type="dxa"/>
          </w:tcPr>
          <w:p w14:paraId="7DB6C00F" w14:textId="55F14574" w:rsidR="009D54FA" w:rsidRPr="00BA79A1" w:rsidRDefault="002066BC" w:rsidP="009D54FA">
            <w:pPr>
              <w:jc w:val="center"/>
              <w:rPr>
                <w:color w:val="auto"/>
                <w:sz w:val="20"/>
                <w:szCs w:val="20"/>
              </w:rPr>
            </w:pPr>
            <w:r w:rsidRPr="00BA79A1">
              <w:rPr>
                <w:color w:val="auto"/>
                <w:sz w:val="20"/>
                <w:szCs w:val="20"/>
              </w:rPr>
              <w:t>1</w:t>
            </w:r>
          </w:p>
        </w:tc>
        <w:tc>
          <w:tcPr>
            <w:tcW w:w="5398" w:type="dxa"/>
          </w:tcPr>
          <w:p w14:paraId="66F30651" w14:textId="7650EE2E" w:rsidR="009D54FA" w:rsidRPr="00BA79A1" w:rsidRDefault="004F6AE3" w:rsidP="009D54F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Critical i</w:t>
            </w:r>
            <w:r w:rsidR="009D54FA" w:rsidRPr="00BA79A1">
              <w:rPr>
                <w:color w:val="auto"/>
                <w:sz w:val="20"/>
                <w:szCs w:val="20"/>
              </w:rPr>
              <w:t xml:space="preserve">nfrastructure </w:t>
            </w:r>
          </w:p>
        </w:tc>
        <w:tc>
          <w:tcPr>
            <w:tcW w:w="1270" w:type="dxa"/>
          </w:tcPr>
          <w:p w14:paraId="14464FD5" w14:textId="77777777" w:rsidR="009D54FA" w:rsidRPr="00BA79A1" w:rsidRDefault="009D54FA" w:rsidP="009D54FA">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274" w:type="dxa"/>
          </w:tcPr>
          <w:p w14:paraId="68716243" w14:textId="52AD0207" w:rsidR="009D54FA" w:rsidRPr="00BA79A1" w:rsidRDefault="009D54FA" w:rsidP="009D54F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w:t>
            </w:r>
            <w:r w:rsidR="00CA14B5" w:rsidRPr="00BA79A1">
              <w:rPr>
                <w:color w:val="auto"/>
                <w:sz w:val="20"/>
                <w:szCs w:val="20"/>
              </w:rPr>
              <w:t>1.0</w:t>
            </w:r>
            <w:r w:rsidR="002066BC" w:rsidRPr="00BA79A1">
              <w:rPr>
                <w:color w:val="auto"/>
                <w:sz w:val="20"/>
                <w:szCs w:val="20"/>
              </w:rPr>
              <w:t>2</w:t>
            </w:r>
            <w:r w:rsidRPr="00BA79A1">
              <w:rPr>
                <w:color w:val="auto"/>
                <w:sz w:val="20"/>
                <w:szCs w:val="20"/>
              </w:rPr>
              <w:t>m</w:t>
            </w:r>
          </w:p>
        </w:tc>
        <w:tc>
          <w:tcPr>
            <w:tcW w:w="1272" w:type="dxa"/>
          </w:tcPr>
          <w:p w14:paraId="60D393E8" w14:textId="319A663B" w:rsidR="009D54FA" w:rsidRPr="00BA79A1" w:rsidRDefault="009D54FA" w:rsidP="009D54F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w:t>
            </w:r>
            <w:r w:rsidR="00CA14B5" w:rsidRPr="00BA79A1">
              <w:rPr>
                <w:color w:val="auto"/>
                <w:sz w:val="20"/>
                <w:szCs w:val="20"/>
              </w:rPr>
              <w:t>1.0</w:t>
            </w:r>
            <w:r w:rsidR="002066BC" w:rsidRPr="00BA79A1">
              <w:rPr>
                <w:color w:val="auto"/>
                <w:sz w:val="20"/>
                <w:szCs w:val="20"/>
              </w:rPr>
              <w:t>4</w:t>
            </w:r>
            <w:r w:rsidRPr="00BA79A1">
              <w:rPr>
                <w:color w:val="auto"/>
                <w:sz w:val="20"/>
                <w:szCs w:val="20"/>
              </w:rPr>
              <w:t>m</w:t>
            </w:r>
          </w:p>
        </w:tc>
        <w:tc>
          <w:tcPr>
            <w:tcW w:w="1274" w:type="dxa"/>
          </w:tcPr>
          <w:p w14:paraId="2FDE16E1" w14:textId="5197B6CC" w:rsidR="009D54FA" w:rsidRPr="00BA79A1" w:rsidRDefault="009D54FA" w:rsidP="009D54F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w:t>
            </w:r>
            <w:r w:rsidR="00CA14B5" w:rsidRPr="00BA79A1">
              <w:rPr>
                <w:color w:val="auto"/>
                <w:sz w:val="20"/>
                <w:szCs w:val="20"/>
              </w:rPr>
              <w:t>3</w:t>
            </w:r>
            <w:r w:rsidR="002066BC" w:rsidRPr="00BA79A1">
              <w:rPr>
                <w:color w:val="auto"/>
                <w:sz w:val="20"/>
                <w:szCs w:val="20"/>
              </w:rPr>
              <w:t>4</w:t>
            </w:r>
            <w:r w:rsidR="00CA14B5" w:rsidRPr="00BA79A1">
              <w:rPr>
                <w:color w:val="auto"/>
                <w:sz w:val="20"/>
                <w:szCs w:val="20"/>
              </w:rPr>
              <w:t>m</w:t>
            </w:r>
          </w:p>
        </w:tc>
        <w:tc>
          <w:tcPr>
            <w:tcW w:w="1530" w:type="dxa"/>
          </w:tcPr>
          <w:p w14:paraId="76208948" w14:textId="6AB240A3" w:rsidR="009D54FA" w:rsidRPr="00BA79A1" w:rsidRDefault="009D54FA" w:rsidP="009D54FA">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w:t>
            </w:r>
            <w:r w:rsidR="00CA14B5" w:rsidRPr="00BA79A1">
              <w:rPr>
                <w:color w:val="auto"/>
                <w:sz w:val="20"/>
                <w:szCs w:val="20"/>
              </w:rPr>
              <w:t>2.4</w:t>
            </w:r>
            <w:r w:rsidRPr="00BA79A1">
              <w:rPr>
                <w:color w:val="auto"/>
                <w:sz w:val="20"/>
                <w:szCs w:val="20"/>
              </w:rPr>
              <w:t>m</w:t>
            </w:r>
          </w:p>
        </w:tc>
      </w:tr>
      <w:tr w:rsidR="00BA79A1" w:rsidRPr="00BA79A1" w14:paraId="445D1C2F" w14:textId="77777777" w:rsidTr="002066BC">
        <w:tc>
          <w:tcPr>
            <w:cnfStyle w:val="001000000000" w:firstRow="0" w:lastRow="0" w:firstColumn="1" w:lastColumn="0" w:oddVBand="0" w:evenVBand="0" w:oddHBand="0" w:evenHBand="0" w:firstRowFirstColumn="0" w:firstRowLastColumn="0" w:lastRowFirstColumn="0" w:lastRowLastColumn="0"/>
            <w:tcW w:w="668" w:type="dxa"/>
          </w:tcPr>
          <w:p w14:paraId="1B7370AB" w14:textId="24026110" w:rsidR="0036178A" w:rsidRPr="00BA79A1" w:rsidRDefault="002066BC" w:rsidP="002066BC">
            <w:pPr>
              <w:jc w:val="center"/>
              <w:rPr>
                <w:color w:val="auto"/>
                <w:sz w:val="20"/>
                <w:szCs w:val="20"/>
              </w:rPr>
            </w:pPr>
            <w:r w:rsidRPr="00BA79A1">
              <w:rPr>
                <w:color w:val="auto"/>
                <w:sz w:val="20"/>
                <w:szCs w:val="20"/>
              </w:rPr>
              <w:t>2</w:t>
            </w:r>
            <w:r w:rsidR="00776742" w:rsidRPr="00BA79A1">
              <w:rPr>
                <w:color w:val="auto"/>
                <w:sz w:val="20"/>
                <w:szCs w:val="20"/>
              </w:rPr>
              <w:t>a</w:t>
            </w:r>
          </w:p>
        </w:tc>
        <w:tc>
          <w:tcPr>
            <w:tcW w:w="5398" w:type="dxa"/>
          </w:tcPr>
          <w:p w14:paraId="36B619B4" w14:textId="7FAB3754" w:rsidR="0036178A" w:rsidRPr="00BA79A1" w:rsidRDefault="009D54FA"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 xml:space="preserve">Economy </w:t>
            </w:r>
            <w:r w:rsidR="00776742" w:rsidRPr="00BA79A1">
              <w:rPr>
                <w:color w:val="auto"/>
                <w:sz w:val="20"/>
                <w:szCs w:val="20"/>
              </w:rPr>
              <w:t>–</w:t>
            </w:r>
            <w:r w:rsidRPr="00BA79A1">
              <w:rPr>
                <w:color w:val="auto"/>
                <w:sz w:val="20"/>
                <w:szCs w:val="20"/>
              </w:rPr>
              <w:t xml:space="preserve"> </w:t>
            </w:r>
            <w:r w:rsidR="00CA14B5" w:rsidRPr="00BA79A1">
              <w:rPr>
                <w:color w:val="auto"/>
                <w:sz w:val="20"/>
                <w:szCs w:val="20"/>
              </w:rPr>
              <w:t xml:space="preserve">including not limited to </w:t>
            </w:r>
            <w:r w:rsidRPr="00BA79A1">
              <w:rPr>
                <w:color w:val="auto"/>
                <w:sz w:val="20"/>
                <w:szCs w:val="20"/>
              </w:rPr>
              <w:t>NITF</w:t>
            </w:r>
          </w:p>
        </w:tc>
        <w:tc>
          <w:tcPr>
            <w:tcW w:w="1270" w:type="dxa"/>
          </w:tcPr>
          <w:p w14:paraId="0304D01B" w14:textId="7A477ED2" w:rsidR="0036178A" w:rsidRPr="00BA79A1" w:rsidRDefault="0090649F"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$1.</w:t>
            </w:r>
            <w:r w:rsidR="00CA14B5" w:rsidRPr="00BA79A1">
              <w:rPr>
                <w:color w:val="auto"/>
                <w:sz w:val="20"/>
                <w:szCs w:val="20"/>
              </w:rPr>
              <w:t>2</w:t>
            </w:r>
            <w:r w:rsidRPr="00BA79A1">
              <w:rPr>
                <w:color w:val="auto"/>
                <w:sz w:val="20"/>
                <w:szCs w:val="20"/>
              </w:rPr>
              <w:t>m</w:t>
            </w:r>
          </w:p>
        </w:tc>
        <w:tc>
          <w:tcPr>
            <w:tcW w:w="1274" w:type="dxa"/>
          </w:tcPr>
          <w:p w14:paraId="6AB05ABF" w14:textId="77777777" w:rsidR="0036178A" w:rsidRPr="00BA79A1" w:rsidRDefault="0036178A"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272" w:type="dxa"/>
          </w:tcPr>
          <w:p w14:paraId="0A964169" w14:textId="7F9927D7" w:rsidR="0036178A" w:rsidRPr="00BA79A1" w:rsidRDefault="0036178A"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274" w:type="dxa"/>
          </w:tcPr>
          <w:p w14:paraId="41581277" w14:textId="4D91A205" w:rsidR="0036178A" w:rsidRPr="00BA79A1" w:rsidRDefault="002066BC"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$0.7m</w:t>
            </w:r>
          </w:p>
        </w:tc>
        <w:tc>
          <w:tcPr>
            <w:tcW w:w="1530" w:type="dxa"/>
          </w:tcPr>
          <w:p w14:paraId="6AC93758" w14:textId="5E377A1C" w:rsidR="0036178A" w:rsidRPr="00BA79A1" w:rsidRDefault="00776742"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w:t>
            </w:r>
            <w:r w:rsidR="00CA14B5" w:rsidRPr="00BA79A1">
              <w:rPr>
                <w:color w:val="auto"/>
                <w:sz w:val="20"/>
                <w:szCs w:val="20"/>
              </w:rPr>
              <w:t>1.9</w:t>
            </w:r>
            <w:r w:rsidRPr="00BA79A1">
              <w:rPr>
                <w:color w:val="auto"/>
                <w:sz w:val="20"/>
                <w:szCs w:val="20"/>
              </w:rPr>
              <w:t>m</w:t>
            </w:r>
          </w:p>
        </w:tc>
      </w:tr>
      <w:tr w:rsidR="00BA79A1" w:rsidRPr="00BA79A1" w14:paraId="18201986" w14:textId="77777777" w:rsidTr="002066BC">
        <w:tc>
          <w:tcPr>
            <w:cnfStyle w:val="001000000000" w:firstRow="0" w:lastRow="0" w:firstColumn="1" w:lastColumn="0" w:oddVBand="0" w:evenVBand="0" w:oddHBand="0" w:evenHBand="0" w:firstRowFirstColumn="0" w:firstRowLastColumn="0" w:lastRowFirstColumn="0" w:lastRowLastColumn="0"/>
            <w:tcW w:w="668" w:type="dxa"/>
          </w:tcPr>
          <w:p w14:paraId="5AAE6F21" w14:textId="0A526833" w:rsidR="0036178A" w:rsidRPr="00BA79A1" w:rsidRDefault="002066BC" w:rsidP="002066BC">
            <w:pPr>
              <w:jc w:val="center"/>
              <w:rPr>
                <w:color w:val="auto"/>
                <w:sz w:val="20"/>
                <w:szCs w:val="20"/>
              </w:rPr>
            </w:pPr>
            <w:r w:rsidRPr="00BA79A1">
              <w:rPr>
                <w:color w:val="auto"/>
                <w:sz w:val="20"/>
                <w:szCs w:val="20"/>
              </w:rPr>
              <w:t>2</w:t>
            </w:r>
            <w:r w:rsidR="00776742" w:rsidRPr="00BA79A1">
              <w:rPr>
                <w:color w:val="auto"/>
                <w:sz w:val="20"/>
                <w:szCs w:val="20"/>
              </w:rPr>
              <w:t>b</w:t>
            </w:r>
          </w:p>
        </w:tc>
        <w:tc>
          <w:tcPr>
            <w:tcW w:w="5398" w:type="dxa"/>
          </w:tcPr>
          <w:p w14:paraId="70EA325F" w14:textId="3070BD26" w:rsidR="0036178A" w:rsidRPr="00BA79A1" w:rsidRDefault="00776742"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 xml:space="preserve">Economy - </w:t>
            </w:r>
            <w:r w:rsidR="0036178A" w:rsidRPr="00BA79A1">
              <w:rPr>
                <w:color w:val="auto"/>
                <w:sz w:val="20"/>
                <w:szCs w:val="20"/>
              </w:rPr>
              <w:t>Technical Assistance (international/national)</w:t>
            </w:r>
          </w:p>
        </w:tc>
        <w:tc>
          <w:tcPr>
            <w:tcW w:w="1270" w:type="dxa"/>
          </w:tcPr>
          <w:p w14:paraId="639B5EEB" w14:textId="1CBB85AB" w:rsidR="0036178A" w:rsidRPr="00BA79A1" w:rsidRDefault="0036178A"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274" w:type="dxa"/>
          </w:tcPr>
          <w:p w14:paraId="5A9559AD" w14:textId="4C92C883" w:rsidR="0036178A" w:rsidRPr="00BA79A1" w:rsidRDefault="009D54FA"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w:t>
            </w:r>
            <w:r w:rsidR="00CA14B5" w:rsidRPr="00BA79A1">
              <w:rPr>
                <w:color w:val="auto"/>
                <w:sz w:val="20"/>
                <w:szCs w:val="20"/>
              </w:rPr>
              <w:t>1</w:t>
            </w:r>
            <w:r w:rsidRPr="00BA79A1">
              <w:rPr>
                <w:color w:val="auto"/>
                <w:sz w:val="20"/>
                <w:szCs w:val="20"/>
              </w:rPr>
              <w:t>m</w:t>
            </w:r>
          </w:p>
        </w:tc>
        <w:tc>
          <w:tcPr>
            <w:tcW w:w="1272" w:type="dxa"/>
          </w:tcPr>
          <w:p w14:paraId="2E9E28CD" w14:textId="3020E3EC" w:rsidR="0036178A" w:rsidRPr="00BA79A1" w:rsidRDefault="00CA14B5"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$0.08m</w:t>
            </w:r>
          </w:p>
        </w:tc>
        <w:tc>
          <w:tcPr>
            <w:tcW w:w="1274" w:type="dxa"/>
          </w:tcPr>
          <w:p w14:paraId="049009FB" w14:textId="677C61ED" w:rsidR="0036178A" w:rsidRPr="00BA79A1" w:rsidRDefault="00CA14B5"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$0.08m</w:t>
            </w:r>
          </w:p>
        </w:tc>
        <w:tc>
          <w:tcPr>
            <w:tcW w:w="1530" w:type="dxa"/>
          </w:tcPr>
          <w:p w14:paraId="24DB9CEE" w14:textId="7DB3FD63" w:rsidR="0036178A" w:rsidRPr="00BA79A1" w:rsidRDefault="00776742"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w:t>
            </w:r>
            <w:r w:rsidR="00CA14B5" w:rsidRPr="00BA79A1">
              <w:rPr>
                <w:color w:val="auto"/>
                <w:sz w:val="20"/>
                <w:szCs w:val="20"/>
              </w:rPr>
              <w:t>0.26m</w:t>
            </w:r>
          </w:p>
        </w:tc>
      </w:tr>
      <w:tr w:rsidR="00BA79A1" w:rsidRPr="00BA79A1" w14:paraId="544A57D3" w14:textId="77777777" w:rsidTr="002066BC">
        <w:tc>
          <w:tcPr>
            <w:cnfStyle w:val="001000000000" w:firstRow="0" w:lastRow="0" w:firstColumn="1" w:lastColumn="0" w:oddVBand="0" w:evenVBand="0" w:oddHBand="0" w:evenHBand="0" w:firstRowFirstColumn="0" w:firstRowLastColumn="0" w:lastRowFirstColumn="0" w:lastRowLastColumn="0"/>
            <w:tcW w:w="668" w:type="dxa"/>
          </w:tcPr>
          <w:p w14:paraId="4C3D2BD8" w14:textId="167427A6" w:rsidR="0036178A" w:rsidRPr="00BA79A1" w:rsidRDefault="002066BC" w:rsidP="002066BC">
            <w:pPr>
              <w:jc w:val="center"/>
              <w:rPr>
                <w:color w:val="auto"/>
                <w:sz w:val="20"/>
                <w:szCs w:val="20"/>
              </w:rPr>
            </w:pPr>
            <w:r w:rsidRPr="00BA79A1">
              <w:rPr>
                <w:color w:val="auto"/>
                <w:sz w:val="20"/>
                <w:szCs w:val="20"/>
              </w:rPr>
              <w:t>3</w:t>
            </w:r>
          </w:p>
        </w:tc>
        <w:tc>
          <w:tcPr>
            <w:tcW w:w="5398" w:type="dxa"/>
          </w:tcPr>
          <w:p w14:paraId="61C7E34B" w14:textId="77777777" w:rsidR="0036178A" w:rsidRPr="00BA79A1" w:rsidRDefault="0036178A"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Monitoring and Evaluation</w:t>
            </w:r>
          </w:p>
        </w:tc>
        <w:tc>
          <w:tcPr>
            <w:tcW w:w="1270" w:type="dxa"/>
          </w:tcPr>
          <w:p w14:paraId="4C67AEAE" w14:textId="77777777" w:rsidR="0036178A" w:rsidRPr="00BA79A1" w:rsidRDefault="0036178A"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274" w:type="dxa"/>
          </w:tcPr>
          <w:p w14:paraId="40A51B68" w14:textId="486ECEB7" w:rsidR="0036178A" w:rsidRPr="00BA79A1" w:rsidRDefault="009D54FA"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$0.0</w:t>
            </w:r>
            <w:r w:rsidR="002066BC" w:rsidRPr="00BA79A1">
              <w:rPr>
                <w:color w:val="auto"/>
                <w:sz w:val="20"/>
                <w:szCs w:val="20"/>
              </w:rPr>
              <w:t>8m</w:t>
            </w:r>
          </w:p>
        </w:tc>
        <w:tc>
          <w:tcPr>
            <w:tcW w:w="1272" w:type="dxa"/>
          </w:tcPr>
          <w:p w14:paraId="19194897" w14:textId="5D123B9A" w:rsidR="0036178A" w:rsidRPr="00BA79A1" w:rsidRDefault="002066BC"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$0.08m</w:t>
            </w:r>
          </w:p>
        </w:tc>
        <w:tc>
          <w:tcPr>
            <w:tcW w:w="1274" w:type="dxa"/>
          </w:tcPr>
          <w:p w14:paraId="7A027A3B" w14:textId="0E95F060" w:rsidR="0036178A" w:rsidRPr="00BA79A1" w:rsidRDefault="009D54FA"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$0.0</w:t>
            </w:r>
            <w:r w:rsidR="002066BC" w:rsidRPr="00BA79A1">
              <w:rPr>
                <w:color w:val="auto"/>
                <w:sz w:val="20"/>
                <w:szCs w:val="20"/>
              </w:rPr>
              <w:t>8</w:t>
            </w:r>
            <w:r w:rsidRPr="00BA79A1">
              <w:rPr>
                <w:color w:val="auto"/>
                <w:sz w:val="20"/>
                <w:szCs w:val="20"/>
              </w:rPr>
              <w:t>m</w:t>
            </w:r>
          </w:p>
        </w:tc>
        <w:tc>
          <w:tcPr>
            <w:tcW w:w="1530" w:type="dxa"/>
          </w:tcPr>
          <w:p w14:paraId="4C181E2C" w14:textId="2DAAC352" w:rsidR="0036178A" w:rsidRPr="00BA79A1" w:rsidRDefault="00776742"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w:t>
            </w:r>
            <w:r w:rsidR="002066BC" w:rsidRPr="00BA79A1">
              <w:rPr>
                <w:color w:val="auto"/>
                <w:sz w:val="20"/>
                <w:szCs w:val="20"/>
              </w:rPr>
              <w:t>0.24</w:t>
            </w:r>
            <w:r w:rsidRPr="00BA79A1">
              <w:rPr>
                <w:color w:val="auto"/>
                <w:sz w:val="20"/>
                <w:szCs w:val="20"/>
              </w:rPr>
              <w:t>m</w:t>
            </w:r>
          </w:p>
        </w:tc>
      </w:tr>
      <w:tr w:rsidR="00BA79A1" w:rsidRPr="00BA79A1" w14:paraId="36F55171" w14:textId="77777777" w:rsidTr="002066BC">
        <w:tc>
          <w:tcPr>
            <w:cnfStyle w:val="001000000000" w:firstRow="0" w:lastRow="0" w:firstColumn="1" w:lastColumn="0" w:oddVBand="0" w:evenVBand="0" w:oddHBand="0" w:evenHBand="0" w:firstRowFirstColumn="0" w:firstRowLastColumn="0" w:lastRowFirstColumn="0" w:lastRowLastColumn="0"/>
            <w:tcW w:w="668" w:type="dxa"/>
          </w:tcPr>
          <w:p w14:paraId="37975744" w14:textId="77777777" w:rsidR="0036178A" w:rsidRPr="00BA79A1" w:rsidRDefault="0036178A" w:rsidP="00892464">
            <w:pPr>
              <w:rPr>
                <w:color w:val="auto"/>
                <w:sz w:val="20"/>
                <w:szCs w:val="20"/>
              </w:rPr>
            </w:pPr>
          </w:p>
        </w:tc>
        <w:tc>
          <w:tcPr>
            <w:tcW w:w="5398" w:type="dxa"/>
          </w:tcPr>
          <w:p w14:paraId="43FB9D13" w14:textId="42363033" w:rsidR="0036178A" w:rsidRPr="00BA79A1" w:rsidRDefault="0036178A" w:rsidP="001D68F9">
            <w:pPr>
              <w:jc w:val="right"/>
              <w:cnfStyle w:val="000000000000" w:firstRow="0" w:lastRow="0" w:firstColumn="0" w:lastColumn="0" w:oddVBand="0" w:evenVBand="0" w:oddHBand="0" w:evenHBand="0" w:firstRowFirstColumn="0" w:firstRowLastColumn="0" w:lastRowFirstColumn="0" w:lastRowLastColumn="0"/>
              <w:rPr>
                <w:b/>
                <w:color w:val="auto"/>
                <w:sz w:val="20"/>
                <w:szCs w:val="20"/>
              </w:rPr>
            </w:pPr>
            <w:r w:rsidRPr="00BA79A1">
              <w:rPr>
                <w:b/>
                <w:color w:val="auto"/>
                <w:sz w:val="20"/>
                <w:szCs w:val="20"/>
              </w:rPr>
              <w:t>Total</w:t>
            </w:r>
            <w:r w:rsidR="00794EC2" w:rsidRPr="00BA79A1">
              <w:rPr>
                <w:b/>
                <w:color w:val="auto"/>
                <w:sz w:val="20"/>
                <w:szCs w:val="20"/>
              </w:rPr>
              <w:t xml:space="preserve"> – Niue Australia Development Program</w:t>
            </w:r>
          </w:p>
        </w:tc>
        <w:tc>
          <w:tcPr>
            <w:tcW w:w="1270" w:type="dxa"/>
          </w:tcPr>
          <w:p w14:paraId="26C5C5C9" w14:textId="0121CAD9" w:rsidR="0036178A" w:rsidRPr="00BA79A1" w:rsidRDefault="0090649F" w:rsidP="00892464">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A79A1">
              <w:rPr>
                <w:b/>
                <w:bCs/>
                <w:color w:val="auto"/>
                <w:sz w:val="20"/>
                <w:szCs w:val="20"/>
              </w:rPr>
              <w:t>$1.</w:t>
            </w:r>
            <w:r w:rsidR="004F6AE3" w:rsidRPr="00BA79A1">
              <w:rPr>
                <w:b/>
                <w:bCs/>
                <w:color w:val="auto"/>
                <w:sz w:val="20"/>
                <w:szCs w:val="20"/>
              </w:rPr>
              <w:t>2</w:t>
            </w:r>
            <w:r w:rsidRPr="00BA79A1">
              <w:rPr>
                <w:b/>
                <w:bCs/>
                <w:color w:val="auto"/>
                <w:sz w:val="20"/>
                <w:szCs w:val="20"/>
              </w:rPr>
              <w:t>m</w:t>
            </w:r>
          </w:p>
        </w:tc>
        <w:tc>
          <w:tcPr>
            <w:tcW w:w="1274" w:type="dxa"/>
          </w:tcPr>
          <w:p w14:paraId="0C41685E" w14:textId="086F9B83" w:rsidR="0036178A" w:rsidRPr="00BA79A1" w:rsidRDefault="00776742" w:rsidP="00892464">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A79A1">
              <w:rPr>
                <w:b/>
                <w:bCs/>
                <w:color w:val="auto"/>
                <w:sz w:val="20"/>
                <w:szCs w:val="20"/>
              </w:rPr>
              <w:t>$1.</w:t>
            </w:r>
            <w:r w:rsidR="004F6AE3" w:rsidRPr="00BA79A1">
              <w:rPr>
                <w:b/>
                <w:bCs/>
                <w:color w:val="auto"/>
                <w:sz w:val="20"/>
                <w:szCs w:val="20"/>
              </w:rPr>
              <w:t>2</w:t>
            </w:r>
            <w:r w:rsidRPr="00BA79A1">
              <w:rPr>
                <w:b/>
                <w:bCs/>
                <w:color w:val="auto"/>
                <w:sz w:val="20"/>
                <w:szCs w:val="20"/>
              </w:rPr>
              <w:t>m</w:t>
            </w:r>
          </w:p>
        </w:tc>
        <w:tc>
          <w:tcPr>
            <w:tcW w:w="1272" w:type="dxa"/>
          </w:tcPr>
          <w:p w14:paraId="444DA867" w14:textId="3CAD984E" w:rsidR="0036178A" w:rsidRPr="00BA79A1" w:rsidRDefault="00776742" w:rsidP="00892464">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A79A1">
              <w:rPr>
                <w:b/>
                <w:bCs/>
                <w:color w:val="auto"/>
                <w:sz w:val="20"/>
                <w:szCs w:val="20"/>
              </w:rPr>
              <w:t>$1.</w:t>
            </w:r>
            <w:r w:rsidR="004F6AE3" w:rsidRPr="00BA79A1">
              <w:rPr>
                <w:b/>
                <w:bCs/>
                <w:color w:val="auto"/>
                <w:sz w:val="20"/>
                <w:szCs w:val="20"/>
              </w:rPr>
              <w:t>2</w:t>
            </w:r>
            <w:r w:rsidRPr="00BA79A1">
              <w:rPr>
                <w:b/>
                <w:bCs/>
                <w:color w:val="auto"/>
                <w:sz w:val="20"/>
                <w:szCs w:val="20"/>
              </w:rPr>
              <w:t>m</w:t>
            </w:r>
          </w:p>
        </w:tc>
        <w:tc>
          <w:tcPr>
            <w:tcW w:w="1274" w:type="dxa"/>
          </w:tcPr>
          <w:p w14:paraId="7242517B" w14:textId="6AB8B1A7" w:rsidR="0036178A" w:rsidRPr="00BA79A1" w:rsidRDefault="00776742" w:rsidP="00892464">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A79A1">
              <w:rPr>
                <w:b/>
                <w:bCs/>
                <w:color w:val="auto"/>
                <w:sz w:val="20"/>
                <w:szCs w:val="20"/>
              </w:rPr>
              <w:t>$1.</w:t>
            </w:r>
            <w:r w:rsidR="004F6AE3" w:rsidRPr="00BA79A1">
              <w:rPr>
                <w:b/>
                <w:bCs/>
                <w:color w:val="auto"/>
                <w:sz w:val="20"/>
                <w:szCs w:val="20"/>
              </w:rPr>
              <w:t>2</w:t>
            </w:r>
            <w:r w:rsidRPr="00BA79A1">
              <w:rPr>
                <w:b/>
                <w:bCs/>
                <w:color w:val="auto"/>
                <w:sz w:val="20"/>
                <w:szCs w:val="20"/>
              </w:rPr>
              <w:t>m</w:t>
            </w:r>
          </w:p>
        </w:tc>
        <w:tc>
          <w:tcPr>
            <w:tcW w:w="1530" w:type="dxa"/>
          </w:tcPr>
          <w:p w14:paraId="753CC242" w14:textId="111610FA" w:rsidR="0036178A" w:rsidRPr="00BA79A1" w:rsidRDefault="00776742" w:rsidP="00892464">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A79A1">
              <w:rPr>
                <w:b/>
                <w:bCs/>
                <w:color w:val="auto"/>
                <w:sz w:val="20"/>
                <w:szCs w:val="20"/>
              </w:rPr>
              <w:t>$4.8m</w:t>
            </w:r>
          </w:p>
        </w:tc>
      </w:tr>
      <w:tr w:rsidR="00BA79A1" w:rsidRPr="00BA79A1" w14:paraId="335C1396" w14:textId="77777777" w:rsidTr="002066BC">
        <w:tc>
          <w:tcPr>
            <w:cnfStyle w:val="001000000000" w:firstRow="0" w:lastRow="0" w:firstColumn="1" w:lastColumn="0" w:oddVBand="0" w:evenVBand="0" w:oddHBand="0" w:evenHBand="0" w:firstRowFirstColumn="0" w:firstRowLastColumn="0" w:lastRowFirstColumn="0" w:lastRowLastColumn="0"/>
            <w:tcW w:w="668" w:type="dxa"/>
          </w:tcPr>
          <w:p w14:paraId="228E7D98" w14:textId="77777777" w:rsidR="002066BC" w:rsidRPr="00BA79A1" w:rsidRDefault="002066BC" w:rsidP="00892464">
            <w:pPr>
              <w:rPr>
                <w:color w:val="auto"/>
                <w:sz w:val="20"/>
                <w:szCs w:val="20"/>
              </w:rPr>
            </w:pPr>
          </w:p>
        </w:tc>
        <w:tc>
          <w:tcPr>
            <w:tcW w:w="5398" w:type="dxa"/>
          </w:tcPr>
          <w:p w14:paraId="4F74FA79" w14:textId="1AC1B121" w:rsidR="002066BC" w:rsidRPr="00BA79A1" w:rsidRDefault="004F6AE3" w:rsidP="00892464">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BA79A1">
              <w:rPr>
                <w:b/>
                <w:bCs/>
                <w:color w:val="auto"/>
                <w:sz w:val="20"/>
                <w:szCs w:val="20"/>
              </w:rPr>
              <w:t>Other investments</w:t>
            </w:r>
            <w:r w:rsidR="00794EC2" w:rsidRPr="00BA79A1">
              <w:rPr>
                <w:b/>
                <w:bCs/>
                <w:color w:val="auto"/>
                <w:sz w:val="20"/>
                <w:szCs w:val="20"/>
              </w:rPr>
              <w:t xml:space="preserve"> (bilateral)</w:t>
            </w:r>
          </w:p>
        </w:tc>
        <w:tc>
          <w:tcPr>
            <w:tcW w:w="1270" w:type="dxa"/>
          </w:tcPr>
          <w:p w14:paraId="55B9CE05" w14:textId="77777777" w:rsidR="002066BC" w:rsidRPr="00BA79A1" w:rsidRDefault="002066BC"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274" w:type="dxa"/>
          </w:tcPr>
          <w:p w14:paraId="54217C64" w14:textId="77777777" w:rsidR="002066BC" w:rsidRPr="00BA79A1" w:rsidRDefault="002066BC"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272" w:type="dxa"/>
          </w:tcPr>
          <w:p w14:paraId="23ADFBB8" w14:textId="77777777" w:rsidR="002066BC" w:rsidRPr="00BA79A1" w:rsidRDefault="002066BC"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274" w:type="dxa"/>
          </w:tcPr>
          <w:p w14:paraId="649E9131" w14:textId="77777777" w:rsidR="002066BC" w:rsidRPr="00BA79A1" w:rsidRDefault="002066BC"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1530" w:type="dxa"/>
          </w:tcPr>
          <w:p w14:paraId="3234EC5A" w14:textId="77777777" w:rsidR="002066BC" w:rsidRPr="00BA79A1" w:rsidRDefault="002066BC" w:rsidP="00892464">
            <w:pP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A79A1" w:rsidRPr="00BA79A1" w14:paraId="19207199" w14:textId="77777777" w:rsidTr="002066BC">
        <w:tc>
          <w:tcPr>
            <w:cnfStyle w:val="001000000000" w:firstRow="0" w:lastRow="0" w:firstColumn="1" w:lastColumn="0" w:oddVBand="0" w:evenVBand="0" w:oddHBand="0" w:evenHBand="0" w:firstRowFirstColumn="0" w:firstRowLastColumn="0" w:lastRowFirstColumn="0" w:lastRowLastColumn="0"/>
            <w:tcW w:w="668" w:type="dxa"/>
          </w:tcPr>
          <w:p w14:paraId="10B1D8AA" w14:textId="00A2335C" w:rsidR="002066BC" w:rsidRPr="00BA79A1" w:rsidRDefault="002066BC" w:rsidP="002066BC">
            <w:pPr>
              <w:rPr>
                <w:color w:val="auto"/>
                <w:sz w:val="20"/>
                <w:szCs w:val="20"/>
              </w:rPr>
            </w:pPr>
            <w:r w:rsidRPr="00BA79A1">
              <w:rPr>
                <w:color w:val="auto"/>
                <w:sz w:val="20"/>
                <w:szCs w:val="20"/>
              </w:rPr>
              <w:t>4</w:t>
            </w:r>
          </w:p>
        </w:tc>
        <w:tc>
          <w:tcPr>
            <w:tcW w:w="5398" w:type="dxa"/>
          </w:tcPr>
          <w:p w14:paraId="11D1A862" w14:textId="22AD2B54" w:rsidR="002066BC" w:rsidRPr="00BA79A1" w:rsidRDefault="002066BC" w:rsidP="002066BC">
            <w:pPr>
              <w:cnfStyle w:val="000000000000" w:firstRow="0" w:lastRow="0" w:firstColumn="0" w:lastColumn="0" w:oddVBand="0" w:evenVBand="0" w:oddHBand="0" w:evenHBand="0" w:firstRowFirstColumn="0" w:firstRowLastColumn="0" w:lastRowFirstColumn="0" w:lastRowLastColumn="0"/>
              <w:rPr>
                <w:b/>
                <w:color w:val="auto"/>
                <w:sz w:val="20"/>
                <w:szCs w:val="20"/>
              </w:rPr>
            </w:pPr>
            <w:r w:rsidRPr="00BA79A1">
              <w:rPr>
                <w:color w:val="auto"/>
                <w:sz w:val="20"/>
                <w:szCs w:val="20"/>
              </w:rPr>
              <w:t>Social Services</w:t>
            </w:r>
            <w:r w:rsidR="004F6AE3" w:rsidRPr="00BA79A1">
              <w:rPr>
                <w:color w:val="auto"/>
                <w:sz w:val="20"/>
                <w:szCs w:val="20"/>
              </w:rPr>
              <w:t xml:space="preserve"> (AAPS)</w:t>
            </w:r>
          </w:p>
        </w:tc>
        <w:tc>
          <w:tcPr>
            <w:tcW w:w="1270" w:type="dxa"/>
          </w:tcPr>
          <w:p w14:paraId="33357B0A" w14:textId="2751B361" w:rsidR="002066BC" w:rsidRPr="00BA79A1" w:rsidRDefault="002066BC" w:rsidP="002066B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w:t>
            </w:r>
            <w:r w:rsidR="004F6AE3" w:rsidRPr="00BA79A1">
              <w:rPr>
                <w:color w:val="auto"/>
                <w:sz w:val="20"/>
                <w:szCs w:val="20"/>
              </w:rPr>
              <w:t>17</w:t>
            </w:r>
            <w:r w:rsidRPr="00BA79A1">
              <w:rPr>
                <w:color w:val="auto"/>
                <w:sz w:val="20"/>
                <w:szCs w:val="20"/>
              </w:rPr>
              <w:t>m</w:t>
            </w:r>
          </w:p>
        </w:tc>
        <w:tc>
          <w:tcPr>
            <w:tcW w:w="1274" w:type="dxa"/>
          </w:tcPr>
          <w:p w14:paraId="25BDF465" w14:textId="045B5E18" w:rsidR="002066BC" w:rsidRPr="00BA79A1" w:rsidRDefault="002066BC" w:rsidP="002066B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w:t>
            </w:r>
            <w:r w:rsidR="004F6AE3" w:rsidRPr="00BA79A1">
              <w:rPr>
                <w:color w:val="auto"/>
                <w:sz w:val="20"/>
                <w:szCs w:val="20"/>
              </w:rPr>
              <w:t>17</w:t>
            </w:r>
            <w:r w:rsidRPr="00BA79A1">
              <w:rPr>
                <w:color w:val="auto"/>
                <w:sz w:val="20"/>
                <w:szCs w:val="20"/>
              </w:rPr>
              <w:t>m</w:t>
            </w:r>
          </w:p>
        </w:tc>
        <w:tc>
          <w:tcPr>
            <w:tcW w:w="1272" w:type="dxa"/>
          </w:tcPr>
          <w:p w14:paraId="03557E4B" w14:textId="403567A1" w:rsidR="002066BC" w:rsidRPr="00BA79A1" w:rsidRDefault="002066BC" w:rsidP="002066B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w:t>
            </w:r>
            <w:r w:rsidR="004F6AE3" w:rsidRPr="00BA79A1">
              <w:rPr>
                <w:color w:val="auto"/>
                <w:sz w:val="20"/>
                <w:szCs w:val="20"/>
              </w:rPr>
              <w:t>17</w:t>
            </w:r>
            <w:r w:rsidRPr="00BA79A1">
              <w:rPr>
                <w:color w:val="auto"/>
                <w:sz w:val="20"/>
                <w:szCs w:val="20"/>
              </w:rPr>
              <w:t>m</w:t>
            </w:r>
          </w:p>
        </w:tc>
        <w:tc>
          <w:tcPr>
            <w:tcW w:w="1274" w:type="dxa"/>
          </w:tcPr>
          <w:p w14:paraId="01DAAE2F" w14:textId="5BD56C12" w:rsidR="002066BC" w:rsidRPr="00BA79A1" w:rsidRDefault="002066BC" w:rsidP="002066B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w:t>
            </w:r>
            <w:r w:rsidR="004F6AE3" w:rsidRPr="00BA79A1">
              <w:rPr>
                <w:color w:val="auto"/>
                <w:sz w:val="20"/>
                <w:szCs w:val="20"/>
              </w:rPr>
              <w:t>17</w:t>
            </w:r>
            <w:r w:rsidRPr="00BA79A1">
              <w:rPr>
                <w:color w:val="auto"/>
                <w:sz w:val="20"/>
                <w:szCs w:val="20"/>
              </w:rPr>
              <w:t>m</w:t>
            </w:r>
          </w:p>
        </w:tc>
        <w:tc>
          <w:tcPr>
            <w:tcW w:w="1530" w:type="dxa"/>
          </w:tcPr>
          <w:p w14:paraId="3D58F79F" w14:textId="259FCD8D" w:rsidR="002066BC" w:rsidRPr="00BA79A1" w:rsidRDefault="002066BC" w:rsidP="002066B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w:t>
            </w:r>
            <w:r w:rsidR="004F6AE3" w:rsidRPr="00BA79A1">
              <w:rPr>
                <w:color w:val="auto"/>
                <w:sz w:val="20"/>
                <w:szCs w:val="20"/>
              </w:rPr>
              <w:t>68</w:t>
            </w:r>
            <w:r w:rsidRPr="00BA79A1">
              <w:rPr>
                <w:color w:val="auto"/>
                <w:sz w:val="20"/>
                <w:szCs w:val="20"/>
              </w:rPr>
              <w:t>m</w:t>
            </w:r>
          </w:p>
        </w:tc>
      </w:tr>
      <w:tr w:rsidR="00BA79A1" w:rsidRPr="00BA79A1" w14:paraId="48350AC8" w14:textId="77777777" w:rsidTr="002066BC">
        <w:tc>
          <w:tcPr>
            <w:cnfStyle w:val="001000000000" w:firstRow="0" w:lastRow="0" w:firstColumn="1" w:lastColumn="0" w:oddVBand="0" w:evenVBand="0" w:oddHBand="0" w:evenHBand="0" w:firstRowFirstColumn="0" w:firstRowLastColumn="0" w:lastRowFirstColumn="0" w:lastRowLastColumn="0"/>
            <w:tcW w:w="668" w:type="dxa"/>
          </w:tcPr>
          <w:p w14:paraId="32EEA543" w14:textId="34C21B88" w:rsidR="004F6AE3" w:rsidRPr="00BA79A1" w:rsidRDefault="004F6AE3" w:rsidP="002066BC">
            <w:pPr>
              <w:rPr>
                <w:color w:val="auto"/>
                <w:sz w:val="20"/>
                <w:szCs w:val="20"/>
              </w:rPr>
            </w:pPr>
            <w:r w:rsidRPr="00BA79A1">
              <w:rPr>
                <w:color w:val="auto"/>
                <w:sz w:val="20"/>
                <w:szCs w:val="20"/>
              </w:rPr>
              <w:t>5</w:t>
            </w:r>
          </w:p>
        </w:tc>
        <w:tc>
          <w:tcPr>
            <w:tcW w:w="5398" w:type="dxa"/>
          </w:tcPr>
          <w:p w14:paraId="0846BE68" w14:textId="60915488" w:rsidR="004F6AE3" w:rsidRPr="00BA79A1" w:rsidRDefault="004F6AE3" w:rsidP="002066B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Community grants (DAP)</w:t>
            </w:r>
          </w:p>
        </w:tc>
        <w:tc>
          <w:tcPr>
            <w:tcW w:w="1270" w:type="dxa"/>
          </w:tcPr>
          <w:p w14:paraId="1D033EB3" w14:textId="48CCC940" w:rsidR="004F6AE3" w:rsidRPr="00BA79A1" w:rsidRDefault="004F6AE3" w:rsidP="002066B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$0.03m</w:t>
            </w:r>
          </w:p>
        </w:tc>
        <w:tc>
          <w:tcPr>
            <w:tcW w:w="1274" w:type="dxa"/>
          </w:tcPr>
          <w:p w14:paraId="2089253B" w14:textId="26A44238" w:rsidR="004F6AE3" w:rsidRPr="00BA79A1" w:rsidRDefault="004F6AE3" w:rsidP="002066B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$0.03m</w:t>
            </w:r>
          </w:p>
        </w:tc>
        <w:tc>
          <w:tcPr>
            <w:tcW w:w="1272" w:type="dxa"/>
          </w:tcPr>
          <w:p w14:paraId="486617DB" w14:textId="068D23F5" w:rsidR="004F6AE3" w:rsidRPr="00BA79A1" w:rsidRDefault="004F6AE3" w:rsidP="002066B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$0.03m</w:t>
            </w:r>
          </w:p>
        </w:tc>
        <w:tc>
          <w:tcPr>
            <w:tcW w:w="1274" w:type="dxa"/>
          </w:tcPr>
          <w:p w14:paraId="0FAE1B15" w14:textId="6FA917A9" w:rsidR="004F6AE3" w:rsidRPr="00BA79A1" w:rsidRDefault="004F6AE3" w:rsidP="002066B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$0.03m</w:t>
            </w:r>
          </w:p>
        </w:tc>
        <w:tc>
          <w:tcPr>
            <w:tcW w:w="1530" w:type="dxa"/>
          </w:tcPr>
          <w:p w14:paraId="2551A509" w14:textId="5A3EA47A" w:rsidR="004F6AE3" w:rsidRPr="00BA79A1" w:rsidRDefault="004F6AE3" w:rsidP="002066BC">
            <w:pPr>
              <w:cnfStyle w:val="000000000000" w:firstRow="0" w:lastRow="0" w:firstColumn="0" w:lastColumn="0" w:oddVBand="0" w:evenVBand="0" w:oddHBand="0" w:evenHBand="0" w:firstRowFirstColumn="0" w:firstRowLastColumn="0" w:lastRowFirstColumn="0" w:lastRowLastColumn="0"/>
              <w:rPr>
                <w:color w:val="auto"/>
                <w:sz w:val="20"/>
                <w:szCs w:val="20"/>
              </w:rPr>
            </w:pPr>
            <w:r w:rsidRPr="00BA79A1">
              <w:rPr>
                <w:color w:val="auto"/>
                <w:sz w:val="20"/>
                <w:szCs w:val="20"/>
              </w:rPr>
              <w:t>$0.12m</w:t>
            </w:r>
          </w:p>
        </w:tc>
      </w:tr>
      <w:tr w:rsidR="00BA79A1" w:rsidRPr="00BA79A1" w14:paraId="7F11F542" w14:textId="77777777" w:rsidTr="002066BC">
        <w:tc>
          <w:tcPr>
            <w:cnfStyle w:val="001000000000" w:firstRow="0" w:lastRow="0" w:firstColumn="1" w:lastColumn="0" w:oddVBand="0" w:evenVBand="0" w:oddHBand="0" w:evenHBand="0" w:firstRowFirstColumn="0" w:firstRowLastColumn="0" w:lastRowFirstColumn="0" w:lastRowLastColumn="0"/>
            <w:tcW w:w="668" w:type="dxa"/>
          </w:tcPr>
          <w:p w14:paraId="784F02A4" w14:textId="77777777" w:rsidR="004F6AE3" w:rsidRPr="00BA79A1" w:rsidRDefault="004F6AE3" w:rsidP="002066BC">
            <w:pPr>
              <w:rPr>
                <w:color w:val="auto"/>
                <w:sz w:val="20"/>
                <w:szCs w:val="20"/>
              </w:rPr>
            </w:pPr>
          </w:p>
        </w:tc>
        <w:tc>
          <w:tcPr>
            <w:tcW w:w="5398" w:type="dxa"/>
          </w:tcPr>
          <w:p w14:paraId="0A2554E7" w14:textId="703823CB" w:rsidR="004F6AE3" w:rsidRPr="00BA79A1" w:rsidRDefault="004F6AE3" w:rsidP="001D68F9">
            <w:pPr>
              <w:jc w:val="right"/>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A79A1">
              <w:rPr>
                <w:b/>
                <w:bCs/>
                <w:color w:val="auto"/>
                <w:sz w:val="20"/>
                <w:szCs w:val="20"/>
              </w:rPr>
              <w:t>Total – bilateral budget</w:t>
            </w:r>
          </w:p>
        </w:tc>
        <w:tc>
          <w:tcPr>
            <w:tcW w:w="1270" w:type="dxa"/>
          </w:tcPr>
          <w:p w14:paraId="5536D731" w14:textId="2A04160B" w:rsidR="004F6AE3" w:rsidRPr="00BA79A1" w:rsidRDefault="004F6AE3" w:rsidP="002066BC">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A79A1">
              <w:rPr>
                <w:b/>
                <w:bCs/>
                <w:color w:val="auto"/>
                <w:sz w:val="20"/>
                <w:szCs w:val="20"/>
              </w:rPr>
              <w:t>$1.4m</w:t>
            </w:r>
          </w:p>
        </w:tc>
        <w:tc>
          <w:tcPr>
            <w:tcW w:w="1274" w:type="dxa"/>
          </w:tcPr>
          <w:p w14:paraId="33EA5243" w14:textId="18E13EEB" w:rsidR="004F6AE3" w:rsidRPr="00BA79A1" w:rsidRDefault="004F6AE3" w:rsidP="002066BC">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A79A1">
              <w:rPr>
                <w:b/>
                <w:bCs/>
                <w:color w:val="auto"/>
                <w:sz w:val="20"/>
                <w:szCs w:val="20"/>
              </w:rPr>
              <w:t>$1.4m</w:t>
            </w:r>
          </w:p>
        </w:tc>
        <w:tc>
          <w:tcPr>
            <w:tcW w:w="1272" w:type="dxa"/>
          </w:tcPr>
          <w:p w14:paraId="3F62978D" w14:textId="5D7288E8" w:rsidR="004F6AE3" w:rsidRPr="00BA79A1" w:rsidRDefault="004F6AE3" w:rsidP="002066BC">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A79A1">
              <w:rPr>
                <w:b/>
                <w:bCs/>
                <w:color w:val="auto"/>
                <w:sz w:val="20"/>
                <w:szCs w:val="20"/>
              </w:rPr>
              <w:t>$1.4</w:t>
            </w:r>
          </w:p>
        </w:tc>
        <w:tc>
          <w:tcPr>
            <w:tcW w:w="1274" w:type="dxa"/>
          </w:tcPr>
          <w:p w14:paraId="445CD370" w14:textId="28610083" w:rsidR="004F6AE3" w:rsidRPr="00BA79A1" w:rsidRDefault="004F6AE3" w:rsidP="002066BC">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A79A1">
              <w:rPr>
                <w:b/>
                <w:bCs/>
                <w:color w:val="auto"/>
                <w:sz w:val="20"/>
                <w:szCs w:val="20"/>
              </w:rPr>
              <w:t>$1.4</w:t>
            </w:r>
          </w:p>
        </w:tc>
        <w:tc>
          <w:tcPr>
            <w:tcW w:w="1530" w:type="dxa"/>
          </w:tcPr>
          <w:p w14:paraId="38285A03" w14:textId="62FDB2BB" w:rsidR="004F6AE3" w:rsidRPr="00BA79A1" w:rsidRDefault="004F6AE3" w:rsidP="002066BC">
            <w:pPr>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BA79A1">
              <w:rPr>
                <w:b/>
                <w:bCs/>
                <w:color w:val="auto"/>
                <w:sz w:val="20"/>
                <w:szCs w:val="20"/>
              </w:rPr>
              <w:t>$5.6m</w:t>
            </w:r>
          </w:p>
        </w:tc>
      </w:tr>
    </w:tbl>
    <w:p w14:paraId="7C423271" w14:textId="0A7B4EB8" w:rsidR="0036178A" w:rsidRPr="00BA79A1" w:rsidRDefault="0036178A" w:rsidP="0036178A">
      <w:pPr>
        <w:rPr>
          <w:b/>
          <w:color w:val="auto"/>
        </w:rPr>
      </w:pPr>
      <w:r w:rsidRPr="00BA79A1">
        <w:rPr>
          <w:color w:val="auto"/>
        </w:rPr>
        <w:tab/>
      </w:r>
      <w:r w:rsidRPr="00BA79A1">
        <w:rPr>
          <w:color w:val="auto"/>
        </w:rPr>
        <w:tab/>
      </w:r>
      <w:r w:rsidRPr="00BA79A1">
        <w:rPr>
          <w:color w:val="auto"/>
        </w:rPr>
        <w:tab/>
      </w:r>
      <w:r w:rsidRPr="00BA79A1">
        <w:rPr>
          <w:color w:val="auto"/>
        </w:rPr>
        <w:tab/>
      </w:r>
      <w:r w:rsidRPr="00BA79A1">
        <w:rPr>
          <w:color w:val="auto"/>
        </w:rPr>
        <w:tab/>
      </w:r>
      <w:r w:rsidRPr="00BA79A1">
        <w:rPr>
          <w:color w:val="auto"/>
        </w:rPr>
        <w:tab/>
      </w:r>
      <w:r w:rsidRPr="00BA79A1">
        <w:rPr>
          <w:color w:val="auto"/>
        </w:rPr>
        <w:tab/>
      </w:r>
      <w:r w:rsidRPr="00BA79A1">
        <w:rPr>
          <w:color w:val="auto"/>
        </w:rPr>
        <w:tab/>
      </w:r>
      <w:r w:rsidRPr="00BA79A1">
        <w:rPr>
          <w:color w:val="auto"/>
        </w:rPr>
        <w:tab/>
      </w:r>
      <w:r w:rsidRPr="00BA79A1">
        <w:rPr>
          <w:color w:val="auto"/>
        </w:rPr>
        <w:tab/>
      </w:r>
    </w:p>
    <w:p w14:paraId="12960374" w14:textId="77777777" w:rsidR="0036178A" w:rsidRPr="00BA79A1" w:rsidRDefault="0036178A" w:rsidP="0036178A">
      <w:pPr>
        <w:rPr>
          <w:color w:val="auto"/>
        </w:rPr>
      </w:pPr>
    </w:p>
    <w:sectPr w:rsidR="0036178A" w:rsidRPr="00BA79A1" w:rsidSect="00C02E11">
      <w:pgSz w:w="16838" w:h="11906" w:orient="landscape" w:code="9"/>
      <w:pgMar w:top="1418" w:right="1701" w:bottom="1134" w:left="1418"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7C10" w14:textId="77777777" w:rsidR="00121260" w:rsidRDefault="00121260" w:rsidP="00D37B04">
      <w:r>
        <w:separator/>
      </w:r>
    </w:p>
  </w:endnote>
  <w:endnote w:type="continuationSeparator" w:id="0">
    <w:p w14:paraId="095CF534" w14:textId="77777777" w:rsidR="00121260" w:rsidRDefault="00121260" w:rsidP="00D37B04">
      <w:r>
        <w:continuationSeparator/>
      </w:r>
    </w:p>
  </w:endnote>
  <w:endnote w:type="continuationNotice" w:id="1">
    <w:p w14:paraId="4001A322" w14:textId="77777777" w:rsidR="00121260" w:rsidRDefault="00121260">
      <w:pPr>
        <w:spacing w:before="0" w:after="0" w:line="240" w:lineRule="auto"/>
      </w:pPr>
    </w:p>
  </w:endnote>
  <w:endnote w:id="2">
    <w:p w14:paraId="0FE2B949" w14:textId="0974D2AB"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1" w:history="1">
        <w:r w:rsidRPr="0050648A">
          <w:rPr>
            <w:rStyle w:val="Hyperlink"/>
          </w:rPr>
          <w:t>Population &amp; Housing | Niue Statistics Office (spc.int)</w:t>
        </w:r>
      </w:hyperlink>
      <w:r w:rsidRPr="0050648A">
        <w:rPr>
          <w:color w:val="auto"/>
        </w:rPr>
        <w:t>, accessed 1/3/2022</w:t>
      </w:r>
    </w:p>
  </w:endnote>
  <w:endnote w:id="3">
    <w:p w14:paraId="7FD503CD" w14:textId="6760E590" w:rsidR="002B5DDD" w:rsidRPr="00F27ADB" w:rsidRDefault="002B5DDD">
      <w:pPr>
        <w:pStyle w:val="EndnoteText"/>
        <w:rPr>
          <w:lang w:val="en-AU"/>
        </w:rPr>
      </w:pPr>
      <w:r>
        <w:rPr>
          <w:rStyle w:val="EndnoteReference"/>
        </w:rPr>
        <w:endnoteRef/>
      </w:r>
      <w:r>
        <w:t xml:space="preserve"> </w:t>
      </w:r>
      <w:hyperlink r:id="rId2" w:history="1">
        <w:r w:rsidRPr="001732A9">
          <w:rPr>
            <w:rStyle w:val="Hyperlink"/>
            <w:rFonts w:cstheme="minorBidi"/>
          </w:rPr>
          <w:t>Government of Niue Media Releases</w:t>
        </w:r>
      </w:hyperlink>
      <w:r>
        <w:rPr>
          <w:color w:val="auto"/>
        </w:rPr>
        <w:t>, accessed 10/5/2022</w:t>
      </w:r>
    </w:p>
  </w:endnote>
  <w:endnote w:id="4">
    <w:p w14:paraId="34D3AF16" w14:textId="6258C85C"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3" w:history="1">
        <w:r w:rsidRPr="0050648A">
          <w:rPr>
            <w:rStyle w:val="Hyperlink"/>
          </w:rPr>
          <w:t>Niue: Country Classification (adb.org)</w:t>
        </w:r>
      </w:hyperlink>
      <w:r w:rsidRPr="0050648A">
        <w:rPr>
          <w:color w:val="auto"/>
        </w:rPr>
        <w:t>, accessed 1/3/2022</w:t>
      </w:r>
    </w:p>
  </w:endnote>
  <w:endnote w:id="5">
    <w:p w14:paraId="258E43DD" w14:textId="2401F915"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4" w:history="1">
        <w:r w:rsidRPr="0050648A">
          <w:rPr>
            <w:rStyle w:val="Hyperlink"/>
          </w:rPr>
          <w:t>GON Snapshot Report of the Niue National Economy- 31Jan21.pdf (gov.nu)</w:t>
        </w:r>
      </w:hyperlink>
      <w:r w:rsidRPr="0050648A">
        <w:rPr>
          <w:color w:val="auto"/>
        </w:rPr>
        <w:t>, accessed 1/3/2022</w:t>
      </w:r>
    </w:p>
  </w:endnote>
  <w:endnote w:id="6">
    <w:p w14:paraId="36CFDFE2" w14:textId="2A8EEBE2"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5" w:history="1">
        <w:r w:rsidRPr="0050648A">
          <w:rPr>
            <w:rStyle w:val="Hyperlink"/>
          </w:rPr>
          <w:t>Population &amp; Housing | Niue Statistics Office (spc.int)</w:t>
        </w:r>
      </w:hyperlink>
      <w:r w:rsidRPr="0050648A">
        <w:rPr>
          <w:color w:val="auto"/>
        </w:rPr>
        <w:t>, accessed 1/3/2022</w:t>
      </w:r>
    </w:p>
  </w:endnote>
  <w:endnote w:id="7">
    <w:p w14:paraId="663753C2" w14:textId="175DCAF8"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6" w:history="1">
        <w:r w:rsidRPr="0050648A">
          <w:rPr>
            <w:rStyle w:val="Hyperlink"/>
          </w:rPr>
          <w:t>Niue: Country Classification (adb.org)</w:t>
        </w:r>
      </w:hyperlink>
      <w:r w:rsidRPr="0050648A">
        <w:rPr>
          <w:color w:val="auto"/>
        </w:rPr>
        <w:t>, accessed 24/02/2022</w:t>
      </w:r>
    </w:p>
  </w:endnote>
  <w:endnote w:id="8">
    <w:p w14:paraId="0055FD14" w14:textId="618710F3"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7" w:history="1">
        <w:r w:rsidRPr="0050648A">
          <w:rPr>
            <w:rStyle w:val="Hyperlink"/>
          </w:rPr>
          <w:t>Niue: Country Classification (adb.org)</w:t>
        </w:r>
      </w:hyperlink>
      <w:r w:rsidRPr="0050648A">
        <w:rPr>
          <w:color w:val="auto"/>
        </w:rPr>
        <w:t>, accessed 1/3/2022</w:t>
      </w:r>
    </w:p>
  </w:endnote>
  <w:endnote w:id="9">
    <w:p w14:paraId="795F6522" w14:textId="5A520377"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8" w:history="1">
        <w:r w:rsidRPr="0050648A">
          <w:rPr>
            <w:rStyle w:val="Hyperlink"/>
          </w:rPr>
          <w:t>Niue: Country Classification (adb.org)</w:t>
        </w:r>
      </w:hyperlink>
      <w:r w:rsidRPr="0050648A">
        <w:rPr>
          <w:color w:val="auto"/>
        </w:rPr>
        <w:t>, page 12, accessed 24/02/2022</w:t>
      </w:r>
    </w:p>
  </w:endnote>
  <w:endnote w:id="10">
    <w:p w14:paraId="6FADA111" w14:textId="1837B34C"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Government of Niue, </w:t>
      </w:r>
      <w:r w:rsidRPr="0050648A">
        <w:rPr>
          <w:color w:val="auto"/>
          <w:lang w:val="en-AU"/>
        </w:rPr>
        <w:t xml:space="preserve">NITF </w:t>
      </w:r>
      <w:r w:rsidRPr="0050648A">
        <w:rPr>
          <w:color w:val="auto"/>
        </w:rPr>
        <w:t>Statement of Investment Policy and Objectives, May 2020</w:t>
      </w:r>
    </w:p>
  </w:endnote>
  <w:endnote w:id="11">
    <w:p w14:paraId="7A4680D2" w14:textId="7A6D9626"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9" w:history="1">
        <w:r w:rsidRPr="0050648A">
          <w:rPr>
            <w:rStyle w:val="Hyperlink"/>
          </w:rPr>
          <w:t>Niue: Country Classification (adb.org)</w:t>
        </w:r>
      </w:hyperlink>
      <w:r w:rsidRPr="0050648A">
        <w:rPr>
          <w:color w:val="auto"/>
        </w:rPr>
        <w:t>, accessed 24/02/2022</w:t>
      </w:r>
    </w:p>
  </w:endnote>
  <w:endnote w:id="12">
    <w:p w14:paraId="3E96F719" w14:textId="77777777" w:rsidR="002B5DDD" w:rsidRPr="0050648A" w:rsidRDefault="002B5DDD" w:rsidP="00632DEE">
      <w:pPr>
        <w:pStyle w:val="EndnoteText"/>
        <w:rPr>
          <w:color w:val="auto"/>
          <w:lang w:val="en-AU"/>
        </w:rPr>
      </w:pPr>
      <w:r w:rsidRPr="0050648A">
        <w:rPr>
          <w:rStyle w:val="EndnoteReference"/>
          <w:color w:val="auto"/>
        </w:rPr>
        <w:endnoteRef/>
      </w:r>
      <w:r w:rsidRPr="0050648A">
        <w:rPr>
          <w:color w:val="auto"/>
        </w:rPr>
        <w:t xml:space="preserve"> </w:t>
      </w:r>
      <w:hyperlink r:id="rId10" w:history="1">
        <w:r w:rsidRPr="0050648A">
          <w:rPr>
            <w:rStyle w:val="Hyperlink"/>
          </w:rPr>
          <w:t>Niue: Country Classification (adb.org)</w:t>
        </w:r>
      </w:hyperlink>
      <w:r w:rsidRPr="0050648A">
        <w:rPr>
          <w:color w:val="auto"/>
        </w:rPr>
        <w:t>, accessed 1/3/2022</w:t>
      </w:r>
    </w:p>
  </w:endnote>
  <w:endnote w:id="13">
    <w:p w14:paraId="077D0278" w14:textId="0328A547"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11" w:history="1">
        <w:r w:rsidRPr="0050648A">
          <w:rPr>
            <w:rStyle w:val="Hyperlink"/>
          </w:rPr>
          <w:t>Niue: Country Classification (adb.org)</w:t>
        </w:r>
      </w:hyperlink>
      <w:r w:rsidRPr="0050648A">
        <w:rPr>
          <w:color w:val="auto"/>
        </w:rPr>
        <w:t>, accessed 1/3/2022</w:t>
      </w:r>
    </w:p>
  </w:endnote>
  <w:endnote w:id="14">
    <w:p w14:paraId="1BE3D077" w14:textId="604FA4C1"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12" w:history="1">
        <w:r w:rsidRPr="0050648A">
          <w:rPr>
            <w:rStyle w:val="Hyperlink"/>
          </w:rPr>
          <w:t>Population &amp; Housing | Niue Statistics Office (spc.int)</w:t>
        </w:r>
      </w:hyperlink>
      <w:r w:rsidRPr="0050648A">
        <w:rPr>
          <w:color w:val="auto"/>
        </w:rPr>
        <w:t>, accessed 1/3/2022</w:t>
      </w:r>
    </w:p>
  </w:endnote>
  <w:endnote w:id="15">
    <w:p w14:paraId="5EEDF1B7" w14:textId="29942287"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13" w:history="1">
        <w:r w:rsidRPr="0050648A">
          <w:rPr>
            <w:rStyle w:val="Hyperlink"/>
          </w:rPr>
          <w:t>Niue: Country Classification (adb.org)</w:t>
        </w:r>
      </w:hyperlink>
      <w:r w:rsidRPr="0050648A">
        <w:rPr>
          <w:color w:val="auto"/>
        </w:rPr>
        <w:t>, accessed 1/3/2022</w:t>
      </w:r>
    </w:p>
  </w:endnote>
  <w:endnote w:id="16">
    <w:p w14:paraId="77C3E2EF" w14:textId="2A018FD1"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14" w:history="1">
        <w:r w:rsidRPr="0050648A">
          <w:rPr>
            <w:rStyle w:val="Hyperlink"/>
          </w:rPr>
          <w:t>Population &amp; Housing | Niue Statistics Office (spc.int)</w:t>
        </w:r>
      </w:hyperlink>
      <w:r w:rsidRPr="0050648A">
        <w:rPr>
          <w:color w:val="auto"/>
        </w:rPr>
        <w:t>, accessed 1/3/2022</w:t>
      </w:r>
    </w:p>
  </w:endnote>
  <w:endnote w:id="17">
    <w:p w14:paraId="5F768C86" w14:textId="1850340F"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15" w:history="1">
        <w:r w:rsidRPr="0050648A">
          <w:rPr>
            <w:rStyle w:val="Hyperlink"/>
          </w:rPr>
          <w:t>7feb-media-release-gon-niue-vaccination-rollout-approved-for-children-aged-5-11-years.pdf (gov.nu)</w:t>
        </w:r>
      </w:hyperlink>
      <w:r w:rsidRPr="0050648A">
        <w:rPr>
          <w:color w:val="auto"/>
        </w:rPr>
        <w:t>, accessed 1/3/2022</w:t>
      </w:r>
    </w:p>
  </w:endnote>
  <w:endnote w:id="18">
    <w:p w14:paraId="3A44CB55" w14:textId="12C6AC8D"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16" w:history="1">
        <w:r w:rsidRPr="0050648A">
          <w:rPr>
            <w:rStyle w:val="Hyperlink"/>
          </w:rPr>
          <w:t>Niue: Country Classification (adb.org)</w:t>
        </w:r>
      </w:hyperlink>
      <w:r w:rsidRPr="0050648A">
        <w:rPr>
          <w:color w:val="auto"/>
        </w:rPr>
        <w:t>, accessed 24/02/2022</w:t>
      </w:r>
    </w:p>
  </w:endnote>
  <w:endnote w:id="19">
    <w:p w14:paraId="210A7AF7" w14:textId="73B2E182"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17" w:history="1">
        <w:r w:rsidRPr="0050648A">
          <w:rPr>
            <w:rStyle w:val="Hyperlink"/>
          </w:rPr>
          <w:t>Home - USP Niue Campus</w:t>
        </w:r>
      </w:hyperlink>
      <w:r w:rsidRPr="0050648A">
        <w:rPr>
          <w:color w:val="auto"/>
        </w:rPr>
        <w:t>, accessed 28/02/2022</w:t>
      </w:r>
    </w:p>
  </w:endnote>
  <w:endnote w:id="20">
    <w:p w14:paraId="3E5CE14C" w14:textId="186574C4"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18" w:history="1">
        <w:r w:rsidRPr="0050648A">
          <w:rPr>
            <w:rStyle w:val="Hyperlink"/>
          </w:rPr>
          <w:t>Niue: Country Classification (adb.org)</w:t>
        </w:r>
      </w:hyperlink>
      <w:r w:rsidRPr="0050648A">
        <w:rPr>
          <w:color w:val="auto"/>
        </w:rPr>
        <w:t xml:space="preserve"> accessed 24/02/2022</w:t>
      </w:r>
    </w:p>
  </w:endnote>
  <w:endnote w:id="21">
    <w:p w14:paraId="2A723B22" w14:textId="05882FE3"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Government of Niue, </w:t>
      </w:r>
      <w:r w:rsidRPr="0050648A">
        <w:rPr>
          <w:color w:val="auto"/>
          <w:lang w:val="en-AU"/>
        </w:rPr>
        <w:t>Niue National Strategic Plan (2016-2026), 2016</w:t>
      </w:r>
    </w:p>
  </w:endnote>
  <w:endnote w:id="22">
    <w:p w14:paraId="66C38C9D" w14:textId="508DC200"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19" w:history="1">
        <w:r w:rsidRPr="0050648A">
          <w:rPr>
            <w:rStyle w:val="Hyperlink"/>
          </w:rPr>
          <w:t>2019-Niue-PopHH-Census-2.0.pdf</w:t>
        </w:r>
      </w:hyperlink>
      <w:r w:rsidRPr="0050648A">
        <w:rPr>
          <w:color w:val="auto"/>
        </w:rPr>
        <w:t>, accessed 1/3/2022</w:t>
      </w:r>
    </w:p>
  </w:endnote>
  <w:endnote w:id="23">
    <w:p w14:paraId="700978D3" w14:textId="681F0B00" w:rsidR="002B5DDD" w:rsidRPr="0050648A" w:rsidRDefault="002B5DDD">
      <w:pPr>
        <w:pStyle w:val="EndnoteText"/>
        <w:rPr>
          <w:color w:val="auto"/>
          <w:lang w:val="en-AU"/>
        </w:rPr>
      </w:pPr>
      <w:r w:rsidRPr="0050648A">
        <w:rPr>
          <w:rStyle w:val="EndnoteReference"/>
          <w:color w:val="auto"/>
        </w:rPr>
        <w:endnoteRef/>
      </w:r>
      <w:r w:rsidRPr="0050648A">
        <w:rPr>
          <w:color w:val="auto"/>
        </w:rPr>
        <w:t xml:space="preserve"> </w:t>
      </w:r>
      <w:hyperlink r:id="rId20" w:history="1">
        <w:r w:rsidRPr="0050648A">
          <w:rPr>
            <w:rStyle w:val="Hyperlink"/>
          </w:rPr>
          <w:t>2019-Niue-PopHH-Census-2.0.pdf</w:t>
        </w:r>
      </w:hyperlink>
      <w:r w:rsidRPr="0050648A">
        <w:rPr>
          <w:color w:val="auto"/>
        </w:rPr>
        <w:t xml:space="preserve"> accessed 1/3/2022</w:t>
      </w:r>
    </w:p>
  </w:endnote>
  <w:endnote w:id="24">
    <w:p w14:paraId="7F4FF69E" w14:textId="4A3ABC87" w:rsidR="002B5DDD" w:rsidRPr="00F27ADB" w:rsidRDefault="002B5DDD">
      <w:pPr>
        <w:pStyle w:val="EndnoteText"/>
        <w:rPr>
          <w:lang w:val="en-AU"/>
        </w:rPr>
      </w:pPr>
      <w:r>
        <w:rPr>
          <w:rStyle w:val="EndnoteReference"/>
        </w:rPr>
        <w:endnoteRef/>
      </w:r>
      <w:r>
        <w:t xml:space="preserve"> </w:t>
      </w:r>
      <w:hyperlink r:id="rId21" w:history="1">
        <w:r>
          <w:rPr>
            <w:rStyle w:val="Hyperlink"/>
            <w:rFonts w:cstheme="minorBidi"/>
          </w:rPr>
          <w:t xml:space="preserve">TV Niue News </w:t>
        </w:r>
        <w:r w:rsidRPr="003F4F9D">
          <w:rPr>
            <w:rStyle w:val="Hyperlink"/>
            <w:rFonts w:cstheme="minorBidi"/>
          </w:rPr>
          <w:t>/accessed</w:t>
        </w:r>
      </w:hyperlink>
      <w:r>
        <w:t xml:space="preserve"> 10/5/2022</w:t>
      </w:r>
    </w:p>
  </w:endnote>
  <w:endnote w:id="25">
    <w:p w14:paraId="1EF8564C" w14:textId="2487D8D0" w:rsidR="002B5DDD" w:rsidRPr="00BE6E35" w:rsidRDefault="002B5DDD">
      <w:pPr>
        <w:pStyle w:val="EndnoteText"/>
        <w:rPr>
          <w:lang w:val="en-AU"/>
        </w:rPr>
      </w:pPr>
      <w:r w:rsidRPr="0050648A">
        <w:rPr>
          <w:rStyle w:val="EndnoteReference"/>
          <w:color w:val="auto"/>
        </w:rPr>
        <w:endnoteRef/>
      </w:r>
      <w:r w:rsidRPr="0050648A">
        <w:rPr>
          <w:color w:val="auto"/>
        </w:rPr>
        <w:t xml:space="preserve"> </w:t>
      </w:r>
      <w:hyperlink r:id="rId22" w:history="1">
        <w:r w:rsidRPr="0050648A">
          <w:rPr>
            <w:rStyle w:val="Hyperlink"/>
          </w:rPr>
          <w:t>Workbook: OECD DAC Aid at a glance by recipient_new (tableau.com)</w:t>
        </w:r>
      </w:hyperlink>
      <w:r w:rsidRPr="0050648A">
        <w:rPr>
          <w:color w:val="auto"/>
        </w:rPr>
        <w:t xml:space="preserve">, </w:t>
      </w:r>
      <w:r>
        <w:rPr>
          <w:color w:val="auto"/>
        </w:rPr>
        <w:t>acc</w:t>
      </w:r>
      <w:r w:rsidRPr="0050648A">
        <w:rPr>
          <w:color w:val="auto"/>
        </w:rPr>
        <w:t>essed 1/3/2022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A659" w14:textId="77777777" w:rsidR="007C121D" w:rsidRDefault="007C1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916890"/>
      <w:docPartObj>
        <w:docPartGallery w:val="Page Numbers (Bottom of Page)"/>
        <w:docPartUnique/>
      </w:docPartObj>
    </w:sdtPr>
    <w:sdtEndPr>
      <w:rPr>
        <w:noProof/>
      </w:rPr>
    </w:sdtEndPr>
    <w:sdtContent>
      <w:p w14:paraId="65081A38" w14:textId="3BA3F588" w:rsidR="002B5DDD" w:rsidRPr="009D1D2E" w:rsidRDefault="002B5DDD">
        <w:pPr>
          <w:pStyle w:val="Footer"/>
          <w:jc w:val="right"/>
        </w:pPr>
        <w:r w:rsidRPr="009D1D2E">
          <w:rPr>
            <w:sz w:val="20"/>
          </w:rPr>
          <w:fldChar w:fldCharType="begin"/>
        </w:r>
        <w:r w:rsidRPr="009D1D2E">
          <w:rPr>
            <w:sz w:val="20"/>
          </w:rPr>
          <w:instrText xml:space="preserve"> PAGE   \* MERGEFORMAT </w:instrText>
        </w:r>
        <w:r w:rsidRPr="009D1D2E">
          <w:rPr>
            <w:sz w:val="20"/>
          </w:rPr>
          <w:fldChar w:fldCharType="separate"/>
        </w:r>
        <w:r w:rsidRPr="009D1D2E">
          <w:rPr>
            <w:noProof/>
            <w:sz w:val="20"/>
          </w:rPr>
          <w:t>5</w:t>
        </w:r>
        <w:r w:rsidRPr="009D1D2E">
          <w:rPr>
            <w:noProof/>
            <w:sz w:val="20"/>
          </w:rPr>
          <w:fldChar w:fldCharType="end"/>
        </w:r>
      </w:p>
    </w:sdtContent>
  </w:sdt>
  <w:p w14:paraId="02E2C8FD" w14:textId="77777777" w:rsidR="002B5DDD" w:rsidRPr="00FC322F" w:rsidRDefault="002B5DDD"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627806"/>
      <w:docPartObj>
        <w:docPartGallery w:val="Page Numbers (Bottom of Page)"/>
        <w:docPartUnique/>
      </w:docPartObj>
    </w:sdtPr>
    <w:sdtEndPr>
      <w:rPr>
        <w:noProof/>
      </w:rPr>
    </w:sdtEndPr>
    <w:sdtContent>
      <w:p w14:paraId="4B11FD81" w14:textId="56DA1A2C" w:rsidR="002B5DDD" w:rsidRDefault="002B5DDD">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0C3712FC" w14:textId="77777777" w:rsidR="002B5DDD" w:rsidRPr="00FC322F" w:rsidRDefault="002B5DDD"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222E" w14:textId="77777777" w:rsidR="00121260" w:rsidRPr="008C5A0E" w:rsidRDefault="00121260" w:rsidP="00D37B04">
      <w:pPr>
        <w:pStyle w:val="Footer"/>
      </w:pPr>
    </w:p>
  </w:footnote>
  <w:footnote w:type="continuationSeparator" w:id="0">
    <w:p w14:paraId="2D908481" w14:textId="77777777" w:rsidR="00121260" w:rsidRDefault="00121260" w:rsidP="00D37B04">
      <w:r>
        <w:continuationSeparator/>
      </w:r>
    </w:p>
  </w:footnote>
  <w:footnote w:type="continuationNotice" w:id="1">
    <w:p w14:paraId="2C53D635" w14:textId="77777777" w:rsidR="00121260" w:rsidRDefault="0012126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26E7" w14:textId="77777777" w:rsidR="007C121D" w:rsidRDefault="007C1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00D2" w14:textId="60E20A2D" w:rsidR="002B5DDD" w:rsidRPr="000854FD" w:rsidRDefault="002B5DDD" w:rsidP="00DB058C">
    <w:pPr>
      <w:pStyle w:val="Header"/>
      <w:tabs>
        <w:tab w:val="clear" w:pos="4513"/>
        <w:tab w:val="clear" w:pos="9026"/>
        <w:tab w:val="left" w:pos="9484"/>
      </w:tabs>
    </w:pPr>
    <w:r w:rsidRPr="00943730">
      <w:rPr>
        <w:noProof/>
        <w:lang w:val="en-AU" w:eastAsia="en-AU"/>
      </w:rPr>
      <w:drawing>
        <wp:anchor distT="0" distB="0" distL="114300" distR="114300" simplePos="0" relativeHeight="251658243" behindDoc="1" locked="1" layoutInCell="1" allowOverlap="1" wp14:anchorId="47599557" wp14:editId="114FC011">
          <wp:simplePos x="0" y="0"/>
          <wp:positionH relativeFrom="page">
            <wp:posOffset>15240</wp:posOffset>
          </wp:positionH>
          <wp:positionV relativeFrom="page">
            <wp:posOffset>0</wp:posOffset>
          </wp:positionV>
          <wp:extent cx="10246995" cy="10692765"/>
          <wp:effectExtent l="0" t="0" r="190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4699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7E96" w14:textId="639D6DA3" w:rsidR="002B5DDD" w:rsidRPr="00943730" w:rsidRDefault="007C121D" w:rsidP="00943730">
    <w:pPr>
      <w:pStyle w:val="Header"/>
    </w:pPr>
    <w:r w:rsidRPr="00943730">
      <w:rPr>
        <w:noProof/>
        <w:lang w:val="en-AU" w:eastAsia="en-AU"/>
      </w:rPr>
      <w:drawing>
        <wp:inline distT="0" distB="0" distL="0" distR="0" wp14:anchorId="29840512" wp14:editId="48C34ADF">
          <wp:extent cx="3166920" cy="554400"/>
          <wp:effectExtent l="0" t="0" r="0" b="0"/>
          <wp:docPr id="32" name="Picture 32" descr="Department of Foreign Affairs and Trade cre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epartment of Foreign Affairs and Trade cres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sidR="002B5DDD" w:rsidRPr="00943730">
      <w:fldChar w:fldCharType="begin"/>
    </w:r>
    <w:r w:rsidR="002B5DDD" w:rsidRPr="00943730">
      <w:instrText xml:space="preserve"> DATE  \@ "MMMM yyyy"  \* MERGEFORMAT </w:instrText>
    </w:r>
    <w:r w:rsidR="002B5DDD" w:rsidRPr="00943730">
      <w:fldChar w:fldCharType="separate"/>
    </w:r>
    <w:r>
      <w:rPr>
        <w:noProof/>
      </w:rPr>
      <w:t>August 2022</w:t>
    </w:r>
    <w:r w:rsidR="002B5DDD" w:rsidRPr="00943730">
      <w:fldChar w:fldCharType="end"/>
    </w:r>
    <w:r w:rsidR="002B5DDD" w:rsidRPr="00252C04">
      <w:rPr>
        <w:noProof/>
        <w:lang w:val="en-AU" w:eastAsia="en-AU"/>
      </w:rPr>
      <w:drawing>
        <wp:anchor distT="0" distB="0" distL="114300" distR="114300" simplePos="0" relativeHeight="251658242" behindDoc="1" locked="1" layoutInCell="1" allowOverlap="1" wp14:anchorId="20F29F8B" wp14:editId="3B87F3F7">
          <wp:simplePos x="0" y="0"/>
          <wp:positionH relativeFrom="page">
            <wp:posOffset>11541760</wp:posOffset>
          </wp:positionH>
          <wp:positionV relativeFrom="page">
            <wp:posOffset>928370</wp:posOffset>
          </wp:positionV>
          <wp:extent cx="1115060" cy="512445"/>
          <wp:effectExtent l="0" t="0" r="8890" b="190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002B5DDD" w:rsidRPr="00943730">
      <w:rPr>
        <w:noProof/>
        <w:lang w:val="en-AU" w:eastAsia="en-AU"/>
      </w:rPr>
      <w:drawing>
        <wp:anchor distT="0" distB="0" distL="114300" distR="114300" simplePos="0" relativeHeight="251658240" behindDoc="1" locked="1" layoutInCell="1" allowOverlap="1" wp14:anchorId="67BC759D" wp14:editId="490B0B0D">
          <wp:simplePos x="0" y="0"/>
          <wp:positionH relativeFrom="page">
            <wp:posOffset>-615315</wp:posOffset>
          </wp:positionH>
          <wp:positionV relativeFrom="page">
            <wp:posOffset>0</wp:posOffset>
          </wp:positionV>
          <wp:extent cx="14582775" cy="10692130"/>
          <wp:effectExtent l="0" t="0" r="9525"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458277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525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2A79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1889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1C14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22EE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FEE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C7A5FFB"/>
    <w:multiLevelType w:val="multilevel"/>
    <w:tmpl w:val="C920726E"/>
    <w:styleLink w:val="NumberedLists"/>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65C5B4" w:themeColor="accent1"/>
      </w:rPr>
    </w:lvl>
    <w:lvl w:ilvl="2">
      <w:start w:val="1"/>
      <w:numFmt w:val="lowerLetter"/>
      <w:lvlText w:val="%3."/>
      <w:lvlJc w:val="left"/>
      <w:pPr>
        <w:ind w:left="864" w:hanging="432"/>
      </w:pPr>
      <w:rPr>
        <w:rFonts w:asciiTheme="minorHAnsi" w:hAnsiTheme="minorHAnsi" w:hint="default"/>
        <w:color w:val="D3875F"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76550"/>
    <w:multiLevelType w:val="hybridMultilevel"/>
    <w:tmpl w:val="EA6E1E3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7D45D05"/>
    <w:multiLevelType w:val="hybridMultilevel"/>
    <w:tmpl w:val="B17C7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E559EC"/>
    <w:multiLevelType w:val="multilevel"/>
    <w:tmpl w:val="C920726E"/>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65C5B4" w:themeColor="accent1"/>
      </w:rPr>
    </w:lvl>
    <w:lvl w:ilvl="2">
      <w:start w:val="1"/>
      <w:numFmt w:val="lowerLetter"/>
      <w:lvlText w:val="%3."/>
      <w:lvlJc w:val="left"/>
      <w:pPr>
        <w:ind w:left="864" w:hanging="432"/>
      </w:pPr>
      <w:rPr>
        <w:rFonts w:asciiTheme="minorHAnsi" w:hAnsiTheme="minorHAnsi" w:hint="default"/>
        <w:color w:val="D3875F"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B11F7A"/>
    <w:multiLevelType w:val="hybridMultilevel"/>
    <w:tmpl w:val="62665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CE557F"/>
    <w:multiLevelType w:val="hybridMultilevel"/>
    <w:tmpl w:val="69287B08"/>
    <w:lvl w:ilvl="0" w:tplc="0C090001">
      <w:start w:val="1"/>
      <w:numFmt w:val="bullet"/>
      <w:lvlText w:val=""/>
      <w:lvlJc w:val="left"/>
      <w:pPr>
        <w:ind w:left="720" w:hanging="360"/>
      </w:pPr>
      <w:rPr>
        <w:rFonts w:ascii="Symbol" w:hAnsi="Symbol" w:hint="default"/>
        <w:b/>
        <w:color w:val="495965" w:themeColor="text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0F0AB8"/>
    <w:multiLevelType w:val="hybridMultilevel"/>
    <w:tmpl w:val="9C04EB8C"/>
    <w:lvl w:ilvl="0" w:tplc="0C09000F">
      <w:start w:val="1"/>
      <w:numFmt w:val="decimal"/>
      <w:lvlText w:val="%1."/>
      <w:lvlJc w:val="left"/>
      <w:pPr>
        <w:ind w:left="720" w:hanging="360"/>
      </w:pPr>
      <w:rPr>
        <w:rFonts w:hint="default"/>
      </w:rPr>
    </w:lvl>
    <w:lvl w:ilvl="1" w:tplc="03A076A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30BE1BAF"/>
    <w:multiLevelType w:val="hybridMultilevel"/>
    <w:tmpl w:val="8D64AE84"/>
    <w:lvl w:ilvl="0" w:tplc="59928E88">
      <w:start w:val="2017"/>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79781D"/>
    <w:multiLevelType w:val="hybridMultilevel"/>
    <w:tmpl w:val="6FE2B8F4"/>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876964"/>
    <w:multiLevelType w:val="hybridMultilevel"/>
    <w:tmpl w:val="11069A28"/>
    <w:lvl w:ilvl="0" w:tplc="8D20A9EE">
      <w:start w:val="1"/>
      <w:numFmt w:val="upperLetter"/>
      <w:lvlText w:val="%1."/>
      <w:lvlJc w:val="left"/>
      <w:pPr>
        <w:ind w:left="720" w:hanging="360"/>
      </w:pPr>
      <w:rPr>
        <w:b/>
        <w:color w:val="495965" w:themeColor="text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3836B7"/>
    <w:multiLevelType w:val="hybridMultilevel"/>
    <w:tmpl w:val="3B9AF9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9226C1F"/>
    <w:multiLevelType w:val="hybridMultilevel"/>
    <w:tmpl w:val="843691DE"/>
    <w:lvl w:ilvl="0" w:tplc="17768A98">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553D9F"/>
    <w:multiLevelType w:val="multilevel"/>
    <w:tmpl w:val="A6FA45D0"/>
    <w:numStyleLink w:val="BulletsList"/>
  </w:abstractNum>
  <w:abstractNum w:abstractNumId="27" w15:restartNumberingAfterBreak="0">
    <w:nsid w:val="52EB46A6"/>
    <w:multiLevelType w:val="hybridMultilevel"/>
    <w:tmpl w:val="13563D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B372672"/>
    <w:multiLevelType w:val="hybridMultilevel"/>
    <w:tmpl w:val="43FC8EE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3C1EA7"/>
    <w:multiLevelType w:val="multilevel"/>
    <w:tmpl w:val="A6FA45D0"/>
    <w:numStyleLink w:val="BulletsList"/>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6F8922A4"/>
    <w:multiLevelType w:val="hybridMultilevel"/>
    <w:tmpl w:val="676C2EA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15:restartNumberingAfterBreak="0">
    <w:nsid w:val="6FCA559E"/>
    <w:multiLevelType w:val="hybridMultilevel"/>
    <w:tmpl w:val="AADA1280"/>
    <w:lvl w:ilvl="0" w:tplc="17768A98">
      <w:start w:val="1"/>
      <w:numFmt w:val="bullet"/>
      <w:lvlText w:val="›"/>
      <w:lvlJc w:val="left"/>
      <w:pPr>
        <w:ind w:left="862" w:hanging="360"/>
      </w:pPr>
      <w:rPr>
        <w:rFonts w:ascii="Times New Roman" w:hAnsi="Times New Roman" w:cs="Times New Roman"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4" w15:restartNumberingAfterBreak="0">
    <w:nsid w:val="73107305"/>
    <w:multiLevelType w:val="multilevel"/>
    <w:tmpl w:val="A6FA45D0"/>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8"/>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0"/>
  </w:num>
  <w:num w:numId="23">
    <w:abstractNumId w:val="20"/>
  </w:num>
  <w:num w:numId="24">
    <w:abstractNumId w:val="30"/>
  </w:num>
  <w:num w:numId="25">
    <w:abstractNumId w:val="30"/>
  </w:num>
  <w:num w:numId="26">
    <w:abstractNumId w:val="30"/>
  </w:num>
  <w:num w:numId="27">
    <w:abstractNumId w:val="28"/>
  </w:num>
  <w:num w:numId="28">
    <w:abstractNumId w:val="10"/>
  </w:num>
  <w:num w:numId="29">
    <w:abstractNumId w:val="10"/>
  </w:num>
  <w:num w:numId="30">
    <w:abstractNumId w:val="10"/>
  </w:num>
  <w:num w:numId="31">
    <w:abstractNumId w:val="14"/>
  </w:num>
  <w:num w:numId="32">
    <w:abstractNumId w:val="35"/>
  </w:num>
  <w:num w:numId="33">
    <w:abstractNumId w:val="26"/>
  </w:num>
  <w:num w:numId="34">
    <w:abstractNumId w:val="23"/>
  </w:num>
  <w:num w:numId="35">
    <w:abstractNumId w:val="33"/>
  </w:num>
  <w:num w:numId="36">
    <w:abstractNumId w:val="25"/>
  </w:num>
  <w:num w:numId="37">
    <w:abstractNumId w:val="36"/>
  </w:num>
  <w:num w:numId="38">
    <w:abstractNumId w:val="22"/>
  </w:num>
  <w:num w:numId="39">
    <w:abstractNumId w:val="17"/>
  </w:num>
  <w:num w:numId="40">
    <w:abstractNumId w:val="11"/>
  </w:num>
  <w:num w:numId="41">
    <w:abstractNumId w:val="16"/>
  </w:num>
  <w:num w:numId="42">
    <w:abstractNumId w:val="21"/>
  </w:num>
  <w:num w:numId="43">
    <w:abstractNumId w:val="19"/>
  </w:num>
  <w:num w:numId="44">
    <w:abstractNumId w:val="29"/>
  </w:num>
  <w:num w:numId="45">
    <w:abstractNumId w:val="18"/>
  </w:num>
  <w:num w:numId="46">
    <w:abstractNumId w:val="24"/>
  </w:num>
  <w:num w:numId="47">
    <w:abstractNumId w:val="27"/>
  </w:num>
  <w:num w:numId="48">
    <w:abstractNumId w:val="15"/>
  </w:num>
  <w:num w:numId="49">
    <w:abstractNumId w:val="3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583"/>
    <w:rsid w:val="00000D3A"/>
    <w:rsid w:val="00001DA8"/>
    <w:rsid w:val="000020C1"/>
    <w:rsid w:val="000025C0"/>
    <w:rsid w:val="00002A45"/>
    <w:rsid w:val="00003730"/>
    <w:rsid w:val="00003D3C"/>
    <w:rsid w:val="000056D3"/>
    <w:rsid w:val="0000580D"/>
    <w:rsid w:val="00013647"/>
    <w:rsid w:val="00013827"/>
    <w:rsid w:val="00017ABB"/>
    <w:rsid w:val="0002080A"/>
    <w:rsid w:val="0002782F"/>
    <w:rsid w:val="000313C2"/>
    <w:rsid w:val="0003155B"/>
    <w:rsid w:val="0003434A"/>
    <w:rsid w:val="00035BBF"/>
    <w:rsid w:val="0003672D"/>
    <w:rsid w:val="000416F2"/>
    <w:rsid w:val="00050010"/>
    <w:rsid w:val="00050806"/>
    <w:rsid w:val="00051096"/>
    <w:rsid w:val="00052081"/>
    <w:rsid w:val="000546D9"/>
    <w:rsid w:val="000547C5"/>
    <w:rsid w:val="00054E4D"/>
    <w:rsid w:val="000550A1"/>
    <w:rsid w:val="000559FA"/>
    <w:rsid w:val="00055E8F"/>
    <w:rsid w:val="00057439"/>
    <w:rsid w:val="0005779C"/>
    <w:rsid w:val="00057831"/>
    <w:rsid w:val="00060073"/>
    <w:rsid w:val="0006106C"/>
    <w:rsid w:val="000616C6"/>
    <w:rsid w:val="0006235A"/>
    <w:rsid w:val="00064998"/>
    <w:rsid w:val="00065BB2"/>
    <w:rsid w:val="00065D05"/>
    <w:rsid w:val="00067D20"/>
    <w:rsid w:val="000708B2"/>
    <w:rsid w:val="00070E4A"/>
    <w:rsid w:val="00070EE6"/>
    <w:rsid w:val="00071554"/>
    <w:rsid w:val="00073DB4"/>
    <w:rsid w:val="000741EF"/>
    <w:rsid w:val="00080FBE"/>
    <w:rsid w:val="000811DD"/>
    <w:rsid w:val="00081F6E"/>
    <w:rsid w:val="000823D4"/>
    <w:rsid w:val="00083280"/>
    <w:rsid w:val="000854FD"/>
    <w:rsid w:val="00087E5E"/>
    <w:rsid w:val="00090287"/>
    <w:rsid w:val="00094133"/>
    <w:rsid w:val="000953F0"/>
    <w:rsid w:val="00095A25"/>
    <w:rsid w:val="0009687E"/>
    <w:rsid w:val="00096E0B"/>
    <w:rsid w:val="00096E89"/>
    <w:rsid w:val="000A04A2"/>
    <w:rsid w:val="000A0FD9"/>
    <w:rsid w:val="000A2F08"/>
    <w:rsid w:val="000A5533"/>
    <w:rsid w:val="000A79A3"/>
    <w:rsid w:val="000A7CF6"/>
    <w:rsid w:val="000B13F0"/>
    <w:rsid w:val="000B2BDB"/>
    <w:rsid w:val="000B37F5"/>
    <w:rsid w:val="000C17B8"/>
    <w:rsid w:val="000C357F"/>
    <w:rsid w:val="000C6086"/>
    <w:rsid w:val="000C76AF"/>
    <w:rsid w:val="000D24CF"/>
    <w:rsid w:val="000D3993"/>
    <w:rsid w:val="000D56D4"/>
    <w:rsid w:val="000D5FBB"/>
    <w:rsid w:val="000D66D6"/>
    <w:rsid w:val="000E5AEC"/>
    <w:rsid w:val="000E6FA1"/>
    <w:rsid w:val="000F0D62"/>
    <w:rsid w:val="000F1856"/>
    <w:rsid w:val="000F27A6"/>
    <w:rsid w:val="000F5140"/>
    <w:rsid w:val="00100AFE"/>
    <w:rsid w:val="001056EE"/>
    <w:rsid w:val="00110C0F"/>
    <w:rsid w:val="00113288"/>
    <w:rsid w:val="00113C88"/>
    <w:rsid w:val="00121260"/>
    <w:rsid w:val="001214BE"/>
    <w:rsid w:val="0012174F"/>
    <w:rsid w:val="001225AE"/>
    <w:rsid w:val="0013101C"/>
    <w:rsid w:val="001320EF"/>
    <w:rsid w:val="001327D7"/>
    <w:rsid w:val="0013796A"/>
    <w:rsid w:val="001461D6"/>
    <w:rsid w:val="0015157F"/>
    <w:rsid w:val="001541EA"/>
    <w:rsid w:val="00156D53"/>
    <w:rsid w:val="0015726A"/>
    <w:rsid w:val="00161C95"/>
    <w:rsid w:val="00167DEA"/>
    <w:rsid w:val="001732A9"/>
    <w:rsid w:val="001802E4"/>
    <w:rsid w:val="001819DB"/>
    <w:rsid w:val="00183725"/>
    <w:rsid w:val="0019167B"/>
    <w:rsid w:val="00194F8F"/>
    <w:rsid w:val="001959A9"/>
    <w:rsid w:val="00197D32"/>
    <w:rsid w:val="001A0DDA"/>
    <w:rsid w:val="001A1B3D"/>
    <w:rsid w:val="001A31B0"/>
    <w:rsid w:val="001A34AB"/>
    <w:rsid w:val="001A7A55"/>
    <w:rsid w:val="001B0F81"/>
    <w:rsid w:val="001B0FDC"/>
    <w:rsid w:val="001B3850"/>
    <w:rsid w:val="001B604C"/>
    <w:rsid w:val="001C3DE8"/>
    <w:rsid w:val="001C47FD"/>
    <w:rsid w:val="001D26A4"/>
    <w:rsid w:val="001D3459"/>
    <w:rsid w:val="001D40B8"/>
    <w:rsid w:val="001D4759"/>
    <w:rsid w:val="001D4A90"/>
    <w:rsid w:val="001D4F6A"/>
    <w:rsid w:val="001D532D"/>
    <w:rsid w:val="001D5859"/>
    <w:rsid w:val="001D663E"/>
    <w:rsid w:val="001D68F9"/>
    <w:rsid w:val="001E0E90"/>
    <w:rsid w:val="001E1DC0"/>
    <w:rsid w:val="001E2D4C"/>
    <w:rsid w:val="001F6C8E"/>
    <w:rsid w:val="001F714F"/>
    <w:rsid w:val="001F72EA"/>
    <w:rsid w:val="0020219A"/>
    <w:rsid w:val="00203277"/>
    <w:rsid w:val="002037F2"/>
    <w:rsid w:val="002039FD"/>
    <w:rsid w:val="00205606"/>
    <w:rsid w:val="00205B2E"/>
    <w:rsid w:val="002066BC"/>
    <w:rsid w:val="00207A0E"/>
    <w:rsid w:val="00210603"/>
    <w:rsid w:val="00210E1A"/>
    <w:rsid w:val="00212D2F"/>
    <w:rsid w:val="0021478B"/>
    <w:rsid w:val="00215C4D"/>
    <w:rsid w:val="00216237"/>
    <w:rsid w:val="00216D1E"/>
    <w:rsid w:val="00221A27"/>
    <w:rsid w:val="00221AD6"/>
    <w:rsid w:val="0022250D"/>
    <w:rsid w:val="00222BEC"/>
    <w:rsid w:val="00223930"/>
    <w:rsid w:val="0022413D"/>
    <w:rsid w:val="00225A22"/>
    <w:rsid w:val="00225AED"/>
    <w:rsid w:val="00226529"/>
    <w:rsid w:val="00227F58"/>
    <w:rsid w:val="002306F8"/>
    <w:rsid w:val="00234595"/>
    <w:rsid w:val="00236780"/>
    <w:rsid w:val="00237201"/>
    <w:rsid w:val="00250FDD"/>
    <w:rsid w:val="002517E4"/>
    <w:rsid w:val="00252C04"/>
    <w:rsid w:val="00255169"/>
    <w:rsid w:val="00256656"/>
    <w:rsid w:val="00261EB0"/>
    <w:rsid w:val="0026272E"/>
    <w:rsid w:val="002645D7"/>
    <w:rsid w:val="0026647A"/>
    <w:rsid w:val="002667B4"/>
    <w:rsid w:val="00267009"/>
    <w:rsid w:val="00267A21"/>
    <w:rsid w:val="002701C9"/>
    <w:rsid w:val="00270B86"/>
    <w:rsid w:val="0027114E"/>
    <w:rsid w:val="00271E90"/>
    <w:rsid w:val="00272707"/>
    <w:rsid w:val="002806DA"/>
    <w:rsid w:val="002826BA"/>
    <w:rsid w:val="00285834"/>
    <w:rsid w:val="0028602A"/>
    <w:rsid w:val="00290867"/>
    <w:rsid w:val="00291029"/>
    <w:rsid w:val="00293696"/>
    <w:rsid w:val="0029599A"/>
    <w:rsid w:val="0029785F"/>
    <w:rsid w:val="00297DCB"/>
    <w:rsid w:val="00297EFB"/>
    <w:rsid w:val="002A01B1"/>
    <w:rsid w:val="002A1BFD"/>
    <w:rsid w:val="002A2580"/>
    <w:rsid w:val="002A4022"/>
    <w:rsid w:val="002A48E9"/>
    <w:rsid w:val="002A53F5"/>
    <w:rsid w:val="002A7B40"/>
    <w:rsid w:val="002B2B6F"/>
    <w:rsid w:val="002B5DDD"/>
    <w:rsid w:val="002B5E10"/>
    <w:rsid w:val="002B60C2"/>
    <w:rsid w:val="002B6D31"/>
    <w:rsid w:val="002C398C"/>
    <w:rsid w:val="002C45BA"/>
    <w:rsid w:val="002C695D"/>
    <w:rsid w:val="002C706A"/>
    <w:rsid w:val="002C793D"/>
    <w:rsid w:val="002D12E2"/>
    <w:rsid w:val="002D291E"/>
    <w:rsid w:val="002D5B25"/>
    <w:rsid w:val="002E5AF6"/>
    <w:rsid w:val="002E5C7F"/>
    <w:rsid w:val="002E735D"/>
    <w:rsid w:val="002F309F"/>
    <w:rsid w:val="002F4F2B"/>
    <w:rsid w:val="003002C0"/>
    <w:rsid w:val="00301144"/>
    <w:rsid w:val="00301ACE"/>
    <w:rsid w:val="0030278A"/>
    <w:rsid w:val="003031C6"/>
    <w:rsid w:val="00303EB8"/>
    <w:rsid w:val="003046B3"/>
    <w:rsid w:val="00304984"/>
    <w:rsid w:val="00304DA6"/>
    <w:rsid w:val="00306188"/>
    <w:rsid w:val="00310953"/>
    <w:rsid w:val="00312107"/>
    <w:rsid w:val="00312BF8"/>
    <w:rsid w:val="0031321A"/>
    <w:rsid w:val="003148B7"/>
    <w:rsid w:val="0031504D"/>
    <w:rsid w:val="003158C3"/>
    <w:rsid w:val="00321520"/>
    <w:rsid w:val="0032579D"/>
    <w:rsid w:val="003274CD"/>
    <w:rsid w:val="003301F5"/>
    <w:rsid w:val="003329DE"/>
    <w:rsid w:val="00333501"/>
    <w:rsid w:val="00337A9A"/>
    <w:rsid w:val="0034271D"/>
    <w:rsid w:val="003457C4"/>
    <w:rsid w:val="00347083"/>
    <w:rsid w:val="00350B75"/>
    <w:rsid w:val="0035119D"/>
    <w:rsid w:val="00353E91"/>
    <w:rsid w:val="00355EFD"/>
    <w:rsid w:val="00357D6B"/>
    <w:rsid w:val="003613C4"/>
    <w:rsid w:val="003616AF"/>
    <w:rsid w:val="0036178A"/>
    <w:rsid w:val="0037296F"/>
    <w:rsid w:val="00372B58"/>
    <w:rsid w:val="0037350A"/>
    <w:rsid w:val="00374D09"/>
    <w:rsid w:val="0037680E"/>
    <w:rsid w:val="00376CF4"/>
    <w:rsid w:val="003811F6"/>
    <w:rsid w:val="0038203B"/>
    <w:rsid w:val="00384D40"/>
    <w:rsid w:val="003861E5"/>
    <w:rsid w:val="003872DE"/>
    <w:rsid w:val="00391AF9"/>
    <w:rsid w:val="003924BD"/>
    <w:rsid w:val="0039344A"/>
    <w:rsid w:val="00395163"/>
    <w:rsid w:val="003A0448"/>
    <w:rsid w:val="003A1542"/>
    <w:rsid w:val="003A2241"/>
    <w:rsid w:val="003A2701"/>
    <w:rsid w:val="003A41A0"/>
    <w:rsid w:val="003B1886"/>
    <w:rsid w:val="003B2027"/>
    <w:rsid w:val="003B4F12"/>
    <w:rsid w:val="003C0629"/>
    <w:rsid w:val="003C32B4"/>
    <w:rsid w:val="003C5D51"/>
    <w:rsid w:val="003C695C"/>
    <w:rsid w:val="003C7A82"/>
    <w:rsid w:val="003D1D1D"/>
    <w:rsid w:val="003D251C"/>
    <w:rsid w:val="003D4F5D"/>
    <w:rsid w:val="003D5665"/>
    <w:rsid w:val="003D5FB9"/>
    <w:rsid w:val="003D6838"/>
    <w:rsid w:val="003D7C60"/>
    <w:rsid w:val="003E1EF0"/>
    <w:rsid w:val="003E2DD1"/>
    <w:rsid w:val="003E4014"/>
    <w:rsid w:val="003E6D79"/>
    <w:rsid w:val="003F0367"/>
    <w:rsid w:val="003F1015"/>
    <w:rsid w:val="003F2041"/>
    <w:rsid w:val="003F58E9"/>
    <w:rsid w:val="00402ACC"/>
    <w:rsid w:val="00402EFF"/>
    <w:rsid w:val="004031B6"/>
    <w:rsid w:val="0040441F"/>
    <w:rsid w:val="00406435"/>
    <w:rsid w:val="004120EC"/>
    <w:rsid w:val="00412EBF"/>
    <w:rsid w:val="0041380A"/>
    <w:rsid w:val="004143C8"/>
    <w:rsid w:val="004155F4"/>
    <w:rsid w:val="004219AB"/>
    <w:rsid w:val="00423F31"/>
    <w:rsid w:val="00424436"/>
    <w:rsid w:val="004263AE"/>
    <w:rsid w:val="00426C42"/>
    <w:rsid w:val="00430F0D"/>
    <w:rsid w:val="00431899"/>
    <w:rsid w:val="00431C95"/>
    <w:rsid w:val="00435F26"/>
    <w:rsid w:val="00442055"/>
    <w:rsid w:val="00446986"/>
    <w:rsid w:val="00446DC6"/>
    <w:rsid w:val="00447A3F"/>
    <w:rsid w:val="004509E4"/>
    <w:rsid w:val="00451604"/>
    <w:rsid w:val="00452882"/>
    <w:rsid w:val="00453888"/>
    <w:rsid w:val="00453950"/>
    <w:rsid w:val="00466B8B"/>
    <w:rsid w:val="00466CB3"/>
    <w:rsid w:val="0046773C"/>
    <w:rsid w:val="00472681"/>
    <w:rsid w:val="00473D49"/>
    <w:rsid w:val="00480B0C"/>
    <w:rsid w:val="004815AE"/>
    <w:rsid w:val="00481E8C"/>
    <w:rsid w:val="00482AE8"/>
    <w:rsid w:val="00482AEF"/>
    <w:rsid w:val="0048492D"/>
    <w:rsid w:val="00486804"/>
    <w:rsid w:val="00486CAB"/>
    <w:rsid w:val="00490185"/>
    <w:rsid w:val="00491C3F"/>
    <w:rsid w:val="00493683"/>
    <w:rsid w:val="004939C4"/>
    <w:rsid w:val="00495E73"/>
    <w:rsid w:val="004973EE"/>
    <w:rsid w:val="004A0BE9"/>
    <w:rsid w:val="004A0F84"/>
    <w:rsid w:val="004A1AED"/>
    <w:rsid w:val="004A4BB0"/>
    <w:rsid w:val="004A5D8D"/>
    <w:rsid w:val="004B1CF9"/>
    <w:rsid w:val="004B240A"/>
    <w:rsid w:val="004B3775"/>
    <w:rsid w:val="004B3886"/>
    <w:rsid w:val="004C03BD"/>
    <w:rsid w:val="004C45D7"/>
    <w:rsid w:val="004C6342"/>
    <w:rsid w:val="004C74F8"/>
    <w:rsid w:val="004D0BA0"/>
    <w:rsid w:val="004D16C0"/>
    <w:rsid w:val="004D2381"/>
    <w:rsid w:val="004D2F11"/>
    <w:rsid w:val="004D5589"/>
    <w:rsid w:val="004E0244"/>
    <w:rsid w:val="004E058F"/>
    <w:rsid w:val="004E3B87"/>
    <w:rsid w:val="004E703A"/>
    <w:rsid w:val="004F2666"/>
    <w:rsid w:val="004F2AF9"/>
    <w:rsid w:val="004F52AB"/>
    <w:rsid w:val="004F55A2"/>
    <w:rsid w:val="004F6204"/>
    <w:rsid w:val="004F6AE3"/>
    <w:rsid w:val="004F6EC1"/>
    <w:rsid w:val="004F70E2"/>
    <w:rsid w:val="00502F7F"/>
    <w:rsid w:val="0050363A"/>
    <w:rsid w:val="00503ECF"/>
    <w:rsid w:val="005041EA"/>
    <w:rsid w:val="00505365"/>
    <w:rsid w:val="0050648A"/>
    <w:rsid w:val="00510921"/>
    <w:rsid w:val="00510AD3"/>
    <w:rsid w:val="00513348"/>
    <w:rsid w:val="00513AD8"/>
    <w:rsid w:val="00515A19"/>
    <w:rsid w:val="0051730A"/>
    <w:rsid w:val="005204D2"/>
    <w:rsid w:val="00522396"/>
    <w:rsid w:val="005238C7"/>
    <w:rsid w:val="0052600C"/>
    <w:rsid w:val="00527362"/>
    <w:rsid w:val="005278A0"/>
    <w:rsid w:val="00533B5D"/>
    <w:rsid w:val="00535B3F"/>
    <w:rsid w:val="00537F45"/>
    <w:rsid w:val="00537F9B"/>
    <w:rsid w:val="00540A80"/>
    <w:rsid w:val="005421B7"/>
    <w:rsid w:val="005425D2"/>
    <w:rsid w:val="00542F63"/>
    <w:rsid w:val="005458AF"/>
    <w:rsid w:val="00546621"/>
    <w:rsid w:val="00547224"/>
    <w:rsid w:val="00555464"/>
    <w:rsid w:val="00555D15"/>
    <w:rsid w:val="0055772A"/>
    <w:rsid w:val="005601FE"/>
    <w:rsid w:val="005603FA"/>
    <w:rsid w:val="00560D3F"/>
    <w:rsid w:val="00567671"/>
    <w:rsid w:val="0057031A"/>
    <w:rsid w:val="00574B54"/>
    <w:rsid w:val="0057578D"/>
    <w:rsid w:val="00576FA5"/>
    <w:rsid w:val="00584DAB"/>
    <w:rsid w:val="00585BC0"/>
    <w:rsid w:val="005865DE"/>
    <w:rsid w:val="00593D70"/>
    <w:rsid w:val="00593F95"/>
    <w:rsid w:val="0059564B"/>
    <w:rsid w:val="00595C76"/>
    <w:rsid w:val="005A1B92"/>
    <w:rsid w:val="005A20F6"/>
    <w:rsid w:val="005A3CD7"/>
    <w:rsid w:val="005B12FB"/>
    <w:rsid w:val="005B1CE0"/>
    <w:rsid w:val="005B20DC"/>
    <w:rsid w:val="005B3234"/>
    <w:rsid w:val="005B53E7"/>
    <w:rsid w:val="005B552E"/>
    <w:rsid w:val="005B55E8"/>
    <w:rsid w:val="005C1E4C"/>
    <w:rsid w:val="005C3E78"/>
    <w:rsid w:val="005C6877"/>
    <w:rsid w:val="005C76B8"/>
    <w:rsid w:val="005D0EC8"/>
    <w:rsid w:val="005D21C1"/>
    <w:rsid w:val="005D3655"/>
    <w:rsid w:val="005E070B"/>
    <w:rsid w:val="005E0ABF"/>
    <w:rsid w:val="005E28D1"/>
    <w:rsid w:val="005E3B54"/>
    <w:rsid w:val="005E4190"/>
    <w:rsid w:val="005E4830"/>
    <w:rsid w:val="005E60FC"/>
    <w:rsid w:val="005E67A2"/>
    <w:rsid w:val="005F6377"/>
    <w:rsid w:val="0060052A"/>
    <w:rsid w:val="0061093B"/>
    <w:rsid w:val="00610D05"/>
    <w:rsid w:val="00615F7A"/>
    <w:rsid w:val="0061647B"/>
    <w:rsid w:val="00620C81"/>
    <w:rsid w:val="0062276D"/>
    <w:rsid w:val="00622B86"/>
    <w:rsid w:val="00623BA1"/>
    <w:rsid w:val="006240D2"/>
    <w:rsid w:val="0062676C"/>
    <w:rsid w:val="00632763"/>
    <w:rsid w:val="00632DEE"/>
    <w:rsid w:val="00633E20"/>
    <w:rsid w:val="006346BC"/>
    <w:rsid w:val="00634BB1"/>
    <w:rsid w:val="006350BC"/>
    <w:rsid w:val="0064014E"/>
    <w:rsid w:val="006411B8"/>
    <w:rsid w:val="00647928"/>
    <w:rsid w:val="00650630"/>
    <w:rsid w:val="00652BE3"/>
    <w:rsid w:val="0065440C"/>
    <w:rsid w:val="006544C3"/>
    <w:rsid w:val="0065496F"/>
    <w:rsid w:val="006601C0"/>
    <w:rsid w:val="00663790"/>
    <w:rsid w:val="0066652A"/>
    <w:rsid w:val="006719C3"/>
    <w:rsid w:val="00671B9E"/>
    <w:rsid w:val="00674801"/>
    <w:rsid w:val="006779BF"/>
    <w:rsid w:val="00680522"/>
    <w:rsid w:val="00682167"/>
    <w:rsid w:val="00687F56"/>
    <w:rsid w:val="00691237"/>
    <w:rsid w:val="006929DF"/>
    <w:rsid w:val="00692AD2"/>
    <w:rsid w:val="00696216"/>
    <w:rsid w:val="006A0332"/>
    <w:rsid w:val="006A23EB"/>
    <w:rsid w:val="006A4B58"/>
    <w:rsid w:val="006A537D"/>
    <w:rsid w:val="006A6DDA"/>
    <w:rsid w:val="006B3A27"/>
    <w:rsid w:val="006B4C4F"/>
    <w:rsid w:val="006B6DBE"/>
    <w:rsid w:val="006B711E"/>
    <w:rsid w:val="006C42AF"/>
    <w:rsid w:val="006C4360"/>
    <w:rsid w:val="006D1727"/>
    <w:rsid w:val="006D3DA5"/>
    <w:rsid w:val="006D77BC"/>
    <w:rsid w:val="006E128C"/>
    <w:rsid w:val="006E2697"/>
    <w:rsid w:val="006E2708"/>
    <w:rsid w:val="006E2B3C"/>
    <w:rsid w:val="006E53B7"/>
    <w:rsid w:val="006E57C8"/>
    <w:rsid w:val="006F47EA"/>
    <w:rsid w:val="006F48A7"/>
    <w:rsid w:val="006F5CA3"/>
    <w:rsid w:val="006F602A"/>
    <w:rsid w:val="007043A5"/>
    <w:rsid w:val="00704931"/>
    <w:rsid w:val="00707478"/>
    <w:rsid w:val="007076FB"/>
    <w:rsid w:val="00711D8E"/>
    <w:rsid w:val="00712672"/>
    <w:rsid w:val="00716657"/>
    <w:rsid w:val="007166BE"/>
    <w:rsid w:val="007208D0"/>
    <w:rsid w:val="007211C1"/>
    <w:rsid w:val="00721696"/>
    <w:rsid w:val="00724445"/>
    <w:rsid w:val="0072465D"/>
    <w:rsid w:val="00732AB3"/>
    <w:rsid w:val="00733630"/>
    <w:rsid w:val="00734C81"/>
    <w:rsid w:val="00734E3F"/>
    <w:rsid w:val="00736985"/>
    <w:rsid w:val="00736A4A"/>
    <w:rsid w:val="00736E7E"/>
    <w:rsid w:val="007422F2"/>
    <w:rsid w:val="0074233A"/>
    <w:rsid w:val="00743080"/>
    <w:rsid w:val="00744A6C"/>
    <w:rsid w:val="00745DF5"/>
    <w:rsid w:val="00751C5E"/>
    <w:rsid w:val="0075367D"/>
    <w:rsid w:val="007536A4"/>
    <w:rsid w:val="00755360"/>
    <w:rsid w:val="00760000"/>
    <w:rsid w:val="00760170"/>
    <w:rsid w:val="00760CEF"/>
    <w:rsid w:val="007624A7"/>
    <w:rsid w:val="0076250F"/>
    <w:rsid w:val="0076339E"/>
    <w:rsid w:val="00767F61"/>
    <w:rsid w:val="007706B8"/>
    <w:rsid w:val="00774EE4"/>
    <w:rsid w:val="00776742"/>
    <w:rsid w:val="00777C9C"/>
    <w:rsid w:val="00780FA5"/>
    <w:rsid w:val="00781EC4"/>
    <w:rsid w:val="00782A48"/>
    <w:rsid w:val="00782BF1"/>
    <w:rsid w:val="00782C48"/>
    <w:rsid w:val="00785DF6"/>
    <w:rsid w:val="0079166A"/>
    <w:rsid w:val="007934E5"/>
    <w:rsid w:val="007940AB"/>
    <w:rsid w:val="007945EA"/>
    <w:rsid w:val="00794EC2"/>
    <w:rsid w:val="0079683D"/>
    <w:rsid w:val="00796CB4"/>
    <w:rsid w:val="007A06C0"/>
    <w:rsid w:val="007A0CAC"/>
    <w:rsid w:val="007A0EA8"/>
    <w:rsid w:val="007A22ED"/>
    <w:rsid w:val="007A569B"/>
    <w:rsid w:val="007A6A73"/>
    <w:rsid w:val="007B166B"/>
    <w:rsid w:val="007B363B"/>
    <w:rsid w:val="007B6200"/>
    <w:rsid w:val="007C121D"/>
    <w:rsid w:val="007C4FCB"/>
    <w:rsid w:val="007C5888"/>
    <w:rsid w:val="007C6771"/>
    <w:rsid w:val="007C785A"/>
    <w:rsid w:val="007D2C70"/>
    <w:rsid w:val="007D7CC1"/>
    <w:rsid w:val="007E0307"/>
    <w:rsid w:val="007E0538"/>
    <w:rsid w:val="007E2139"/>
    <w:rsid w:val="007E2995"/>
    <w:rsid w:val="007E2CF0"/>
    <w:rsid w:val="007E3255"/>
    <w:rsid w:val="007E4D57"/>
    <w:rsid w:val="007E5C13"/>
    <w:rsid w:val="007E6187"/>
    <w:rsid w:val="007F3395"/>
    <w:rsid w:val="007F72A9"/>
    <w:rsid w:val="007F78DD"/>
    <w:rsid w:val="007F7E3B"/>
    <w:rsid w:val="008007D6"/>
    <w:rsid w:val="00801B9F"/>
    <w:rsid w:val="0080204D"/>
    <w:rsid w:val="008021A5"/>
    <w:rsid w:val="00804D27"/>
    <w:rsid w:val="00805B9C"/>
    <w:rsid w:val="00805E02"/>
    <w:rsid w:val="00806836"/>
    <w:rsid w:val="00807767"/>
    <w:rsid w:val="008124E5"/>
    <w:rsid w:val="00813A4F"/>
    <w:rsid w:val="00815A9B"/>
    <w:rsid w:val="00816E65"/>
    <w:rsid w:val="0081729D"/>
    <w:rsid w:val="00817727"/>
    <w:rsid w:val="00821A08"/>
    <w:rsid w:val="00821E41"/>
    <w:rsid w:val="00822A1B"/>
    <w:rsid w:val="00823832"/>
    <w:rsid w:val="00824625"/>
    <w:rsid w:val="0082659F"/>
    <w:rsid w:val="0083052F"/>
    <w:rsid w:val="00833272"/>
    <w:rsid w:val="00833F88"/>
    <w:rsid w:val="00835854"/>
    <w:rsid w:val="0084147B"/>
    <w:rsid w:val="00846577"/>
    <w:rsid w:val="008475F0"/>
    <w:rsid w:val="0085067B"/>
    <w:rsid w:val="00851135"/>
    <w:rsid w:val="0085124A"/>
    <w:rsid w:val="008557A7"/>
    <w:rsid w:val="00861B1D"/>
    <w:rsid w:val="00863F70"/>
    <w:rsid w:val="00867941"/>
    <w:rsid w:val="00870928"/>
    <w:rsid w:val="00873A5A"/>
    <w:rsid w:val="00873F8A"/>
    <w:rsid w:val="00885A62"/>
    <w:rsid w:val="00885CE3"/>
    <w:rsid w:val="0089079B"/>
    <w:rsid w:val="00891070"/>
    <w:rsid w:val="008913BB"/>
    <w:rsid w:val="00891B5F"/>
    <w:rsid w:val="00892464"/>
    <w:rsid w:val="0089405C"/>
    <w:rsid w:val="00894F78"/>
    <w:rsid w:val="00896760"/>
    <w:rsid w:val="0089715F"/>
    <w:rsid w:val="008973F7"/>
    <w:rsid w:val="00897FA2"/>
    <w:rsid w:val="008A0825"/>
    <w:rsid w:val="008A0D42"/>
    <w:rsid w:val="008A25C6"/>
    <w:rsid w:val="008A39BF"/>
    <w:rsid w:val="008A3D01"/>
    <w:rsid w:val="008A43D0"/>
    <w:rsid w:val="008A463E"/>
    <w:rsid w:val="008A5AFE"/>
    <w:rsid w:val="008A5D84"/>
    <w:rsid w:val="008A6A6D"/>
    <w:rsid w:val="008A7E42"/>
    <w:rsid w:val="008B00D8"/>
    <w:rsid w:val="008B3495"/>
    <w:rsid w:val="008B5D29"/>
    <w:rsid w:val="008B72CF"/>
    <w:rsid w:val="008C0473"/>
    <w:rsid w:val="008C0C2C"/>
    <w:rsid w:val="008C3932"/>
    <w:rsid w:val="008C5A0E"/>
    <w:rsid w:val="008D5DEA"/>
    <w:rsid w:val="008D62AB"/>
    <w:rsid w:val="008E0A46"/>
    <w:rsid w:val="008E4639"/>
    <w:rsid w:val="008E6405"/>
    <w:rsid w:val="008F2E59"/>
    <w:rsid w:val="008F3FD2"/>
    <w:rsid w:val="008F6B00"/>
    <w:rsid w:val="0090266F"/>
    <w:rsid w:val="00903B1F"/>
    <w:rsid w:val="0090629E"/>
    <w:rsid w:val="0090649F"/>
    <w:rsid w:val="00906EEB"/>
    <w:rsid w:val="00915195"/>
    <w:rsid w:val="00917DAD"/>
    <w:rsid w:val="009226AC"/>
    <w:rsid w:val="009229FF"/>
    <w:rsid w:val="00922CA3"/>
    <w:rsid w:val="00923040"/>
    <w:rsid w:val="0092350F"/>
    <w:rsid w:val="0093243E"/>
    <w:rsid w:val="009331B2"/>
    <w:rsid w:val="00933E74"/>
    <w:rsid w:val="0093662B"/>
    <w:rsid w:val="00936FCA"/>
    <w:rsid w:val="00940C69"/>
    <w:rsid w:val="00942063"/>
    <w:rsid w:val="00943730"/>
    <w:rsid w:val="00943BF1"/>
    <w:rsid w:val="00944251"/>
    <w:rsid w:val="00944FE7"/>
    <w:rsid w:val="00946C04"/>
    <w:rsid w:val="00952A98"/>
    <w:rsid w:val="00954A1F"/>
    <w:rsid w:val="00956946"/>
    <w:rsid w:val="00960A4B"/>
    <w:rsid w:val="00961E72"/>
    <w:rsid w:val="00961ECD"/>
    <w:rsid w:val="00962AAB"/>
    <w:rsid w:val="00964390"/>
    <w:rsid w:val="00966012"/>
    <w:rsid w:val="009708DD"/>
    <w:rsid w:val="0097287A"/>
    <w:rsid w:val="00972C7E"/>
    <w:rsid w:val="00973197"/>
    <w:rsid w:val="0097334C"/>
    <w:rsid w:val="009741F1"/>
    <w:rsid w:val="00975CA5"/>
    <w:rsid w:val="009771F0"/>
    <w:rsid w:val="00977955"/>
    <w:rsid w:val="00980F59"/>
    <w:rsid w:val="00982727"/>
    <w:rsid w:val="00982839"/>
    <w:rsid w:val="00983AED"/>
    <w:rsid w:val="00986590"/>
    <w:rsid w:val="0098693E"/>
    <w:rsid w:val="00991E53"/>
    <w:rsid w:val="00992C76"/>
    <w:rsid w:val="00994A2A"/>
    <w:rsid w:val="009969D6"/>
    <w:rsid w:val="009A0803"/>
    <w:rsid w:val="009A26E0"/>
    <w:rsid w:val="009A3DD2"/>
    <w:rsid w:val="009A70AC"/>
    <w:rsid w:val="009B1186"/>
    <w:rsid w:val="009B1A30"/>
    <w:rsid w:val="009B1CB9"/>
    <w:rsid w:val="009B4D3B"/>
    <w:rsid w:val="009B5725"/>
    <w:rsid w:val="009B5C9D"/>
    <w:rsid w:val="009B6281"/>
    <w:rsid w:val="009B7942"/>
    <w:rsid w:val="009C4E9C"/>
    <w:rsid w:val="009C7A0B"/>
    <w:rsid w:val="009D1D2E"/>
    <w:rsid w:val="009D54FA"/>
    <w:rsid w:val="009D7218"/>
    <w:rsid w:val="009D7407"/>
    <w:rsid w:val="009E0866"/>
    <w:rsid w:val="009E089E"/>
    <w:rsid w:val="009E2239"/>
    <w:rsid w:val="009E273C"/>
    <w:rsid w:val="009E2E4E"/>
    <w:rsid w:val="009E5699"/>
    <w:rsid w:val="009F035B"/>
    <w:rsid w:val="009F1350"/>
    <w:rsid w:val="009F2379"/>
    <w:rsid w:val="009F4B9F"/>
    <w:rsid w:val="009F5854"/>
    <w:rsid w:val="009F6423"/>
    <w:rsid w:val="00A01F72"/>
    <w:rsid w:val="00A07161"/>
    <w:rsid w:val="00A10B7C"/>
    <w:rsid w:val="00A12FAC"/>
    <w:rsid w:val="00A13F7A"/>
    <w:rsid w:val="00A175B3"/>
    <w:rsid w:val="00A24A62"/>
    <w:rsid w:val="00A25C85"/>
    <w:rsid w:val="00A2626D"/>
    <w:rsid w:val="00A27FF1"/>
    <w:rsid w:val="00A31C9F"/>
    <w:rsid w:val="00A31EDF"/>
    <w:rsid w:val="00A32858"/>
    <w:rsid w:val="00A330E9"/>
    <w:rsid w:val="00A3315B"/>
    <w:rsid w:val="00A37B8A"/>
    <w:rsid w:val="00A4144F"/>
    <w:rsid w:val="00A44688"/>
    <w:rsid w:val="00A45BFF"/>
    <w:rsid w:val="00A556B7"/>
    <w:rsid w:val="00A5757B"/>
    <w:rsid w:val="00A61B4D"/>
    <w:rsid w:val="00A622FA"/>
    <w:rsid w:val="00A6354F"/>
    <w:rsid w:val="00A7056E"/>
    <w:rsid w:val="00A71009"/>
    <w:rsid w:val="00A72B05"/>
    <w:rsid w:val="00A7360D"/>
    <w:rsid w:val="00A7384A"/>
    <w:rsid w:val="00A7492D"/>
    <w:rsid w:val="00A757CC"/>
    <w:rsid w:val="00A80F95"/>
    <w:rsid w:val="00A824C5"/>
    <w:rsid w:val="00A8265D"/>
    <w:rsid w:val="00A82F59"/>
    <w:rsid w:val="00A8548A"/>
    <w:rsid w:val="00A91795"/>
    <w:rsid w:val="00A918C1"/>
    <w:rsid w:val="00A92977"/>
    <w:rsid w:val="00A9581C"/>
    <w:rsid w:val="00A9667D"/>
    <w:rsid w:val="00A96ABF"/>
    <w:rsid w:val="00A97BF1"/>
    <w:rsid w:val="00AA298A"/>
    <w:rsid w:val="00AA2BD9"/>
    <w:rsid w:val="00AA315B"/>
    <w:rsid w:val="00AA3448"/>
    <w:rsid w:val="00AA5EDD"/>
    <w:rsid w:val="00AA7969"/>
    <w:rsid w:val="00AB0D09"/>
    <w:rsid w:val="00AB30D2"/>
    <w:rsid w:val="00AB33FE"/>
    <w:rsid w:val="00AB6324"/>
    <w:rsid w:val="00AC03AE"/>
    <w:rsid w:val="00AC164A"/>
    <w:rsid w:val="00AC5AA6"/>
    <w:rsid w:val="00AD0933"/>
    <w:rsid w:val="00AD56CB"/>
    <w:rsid w:val="00AE0E40"/>
    <w:rsid w:val="00AE2A5A"/>
    <w:rsid w:val="00AE448A"/>
    <w:rsid w:val="00AE4E3F"/>
    <w:rsid w:val="00AE5508"/>
    <w:rsid w:val="00AE6CED"/>
    <w:rsid w:val="00AE7768"/>
    <w:rsid w:val="00AF2050"/>
    <w:rsid w:val="00AF38CF"/>
    <w:rsid w:val="00AF4DD4"/>
    <w:rsid w:val="00AF72D9"/>
    <w:rsid w:val="00AF77A3"/>
    <w:rsid w:val="00AF77BD"/>
    <w:rsid w:val="00B019F2"/>
    <w:rsid w:val="00B021DF"/>
    <w:rsid w:val="00B03CA8"/>
    <w:rsid w:val="00B03E9D"/>
    <w:rsid w:val="00B04E5D"/>
    <w:rsid w:val="00B065AE"/>
    <w:rsid w:val="00B13D13"/>
    <w:rsid w:val="00B20CFA"/>
    <w:rsid w:val="00B21379"/>
    <w:rsid w:val="00B21FBC"/>
    <w:rsid w:val="00B22583"/>
    <w:rsid w:val="00B238B4"/>
    <w:rsid w:val="00B241B9"/>
    <w:rsid w:val="00B2762A"/>
    <w:rsid w:val="00B30205"/>
    <w:rsid w:val="00B31B1F"/>
    <w:rsid w:val="00B31FA6"/>
    <w:rsid w:val="00B334DE"/>
    <w:rsid w:val="00B33C0A"/>
    <w:rsid w:val="00B33E6F"/>
    <w:rsid w:val="00B34184"/>
    <w:rsid w:val="00B35A9C"/>
    <w:rsid w:val="00B35BEC"/>
    <w:rsid w:val="00B373E5"/>
    <w:rsid w:val="00B4011F"/>
    <w:rsid w:val="00B4629D"/>
    <w:rsid w:val="00B527DB"/>
    <w:rsid w:val="00B535DC"/>
    <w:rsid w:val="00B55E19"/>
    <w:rsid w:val="00B5612C"/>
    <w:rsid w:val="00B56A14"/>
    <w:rsid w:val="00B63F57"/>
    <w:rsid w:val="00B6545B"/>
    <w:rsid w:val="00B66144"/>
    <w:rsid w:val="00B669AB"/>
    <w:rsid w:val="00B67107"/>
    <w:rsid w:val="00B71251"/>
    <w:rsid w:val="00B74740"/>
    <w:rsid w:val="00B7708F"/>
    <w:rsid w:val="00B84D36"/>
    <w:rsid w:val="00B90B5A"/>
    <w:rsid w:val="00B911A5"/>
    <w:rsid w:val="00B9156E"/>
    <w:rsid w:val="00B946A6"/>
    <w:rsid w:val="00B94758"/>
    <w:rsid w:val="00B9488C"/>
    <w:rsid w:val="00B971D4"/>
    <w:rsid w:val="00BA084B"/>
    <w:rsid w:val="00BA35CD"/>
    <w:rsid w:val="00BA4062"/>
    <w:rsid w:val="00BA4B6D"/>
    <w:rsid w:val="00BA4EA2"/>
    <w:rsid w:val="00BA79A1"/>
    <w:rsid w:val="00BA7C73"/>
    <w:rsid w:val="00BB1198"/>
    <w:rsid w:val="00BB26C5"/>
    <w:rsid w:val="00BC2F7D"/>
    <w:rsid w:val="00BC31BD"/>
    <w:rsid w:val="00BC35A3"/>
    <w:rsid w:val="00BC6D41"/>
    <w:rsid w:val="00BD0559"/>
    <w:rsid w:val="00BD4243"/>
    <w:rsid w:val="00BD4E92"/>
    <w:rsid w:val="00BD71D6"/>
    <w:rsid w:val="00BE6074"/>
    <w:rsid w:val="00BE6697"/>
    <w:rsid w:val="00BE6E35"/>
    <w:rsid w:val="00BF4DE6"/>
    <w:rsid w:val="00BF5CDB"/>
    <w:rsid w:val="00BF76F6"/>
    <w:rsid w:val="00BF7BED"/>
    <w:rsid w:val="00C01DA9"/>
    <w:rsid w:val="00C02E11"/>
    <w:rsid w:val="00C0395E"/>
    <w:rsid w:val="00C0607D"/>
    <w:rsid w:val="00C06B13"/>
    <w:rsid w:val="00C12F71"/>
    <w:rsid w:val="00C1315A"/>
    <w:rsid w:val="00C15569"/>
    <w:rsid w:val="00C21862"/>
    <w:rsid w:val="00C220B4"/>
    <w:rsid w:val="00C27D25"/>
    <w:rsid w:val="00C3380E"/>
    <w:rsid w:val="00C349DE"/>
    <w:rsid w:val="00C40F1E"/>
    <w:rsid w:val="00C41600"/>
    <w:rsid w:val="00C42541"/>
    <w:rsid w:val="00C42CDE"/>
    <w:rsid w:val="00C439A8"/>
    <w:rsid w:val="00C4413A"/>
    <w:rsid w:val="00C470AA"/>
    <w:rsid w:val="00C47249"/>
    <w:rsid w:val="00C4755F"/>
    <w:rsid w:val="00C5182A"/>
    <w:rsid w:val="00C531FE"/>
    <w:rsid w:val="00C54FD6"/>
    <w:rsid w:val="00C57A1E"/>
    <w:rsid w:val="00C63189"/>
    <w:rsid w:val="00C63EE9"/>
    <w:rsid w:val="00C6483B"/>
    <w:rsid w:val="00C65F62"/>
    <w:rsid w:val="00C671F5"/>
    <w:rsid w:val="00C75710"/>
    <w:rsid w:val="00C77C59"/>
    <w:rsid w:val="00C81883"/>
    <w:rsid w:val="00C84DCA"/>
    <w:rsid w:val="00C93E6B"/>
    <w:rsid w:val="00C94188"/>
    <w:rsid w:val="00CA0DE1"/>
    <w:rsid w:val="00CA1129"/>
    <w:rsid w:val="00CA14B5"/>
    <w:rsid w:val="00CA16F3"/>
    <w:rsid w:val="00CA37B1"/>
    <w:rsid w:val="00CA4488"/>
    <w:rsid w:val="00CA6633"/>
    <w:rsid w:val="00CA6860"/>
    <w:rsid w:val="00CA78B7"/>
    <w:rsid w:val="00CB1959"/>
    <w:rsid w:val="00CB4A17"/>
    <w:rsid w:val="00CB542C"/>
    <w:rsid w:val="00CB6028"/>
    <w:rsid w:val="00CC1612"/>
    <w:rsid w:val="00CC1B40"/>
    <w:rsid w:val="00CC45DA"/>
    <w:rsid w:val="00CC7099"/>
    <w:rsid w:val="00CC741B"/>
    <w:rsid w:val="00CD0E4B"/>
    <w:rsid w:val="00CD2D1C"/>
    <w:rsid w:val="00CD7C42"/>
    <w:rsid w:val="00CE1F19"/>
    <w:rsid w:val="00CE4C89"/>
    <w:rsid w:val="00CE5B39"/>
    <w:rsid w:val="00CE5FF3"/>
    <w:rsid w:val="00CE6529"/>
    <w:rsid w:val="00CE73A9"/>
    <w:rsid w:val="00CF07BA"/>
    <w:rsid w:val="00CF3D16"/>
    <w:rsid w:val="00D0288E"/>
    <w:rsid w:val="00D0296C"/>
    <w:rsid w:val="00D0464D"/>
    <w:rsid w:val="00D04EA1"/>
    <w:rsid w:val="00D058F0"/>
    <w:rsid w:val="00D11E15"/>
    <w:rsid w:val="00D148A8"/>
    <w:rsid w:val="00D1526A"/>
    <w:rsid w:val="00D16417"/>
    <w:rsid w:val="00D16D3C"/>
    <w:rsid w:val="00D17B90"/>
    <w:rsid w:val="00D202F0"/>
    <w:rsid w:val="00D2130E"/>
    <w:rsid w:val="00D221C6"/>
    <w:rsid w:val="00D22C61"/>
    <w:rsid w:val="00D24451"/>
    <w:rsid w:val="00D30C56"/>
    <w:rsid w:val="00D32A8B"/>
    <w:rsid w:val="00D32D6F"/>
    <w:rsid w:val="00D335FD"/>
    <w:rsid w:val="00D37B04"/>
    <w:rsid w:val="00D41720"/>
    <w:rsid w:val="00D42A4E"/>
    <w:rsid w:val="00D43B5D"/>
    <w:rsid w:val="00D43E5B"/>
    <w:rsid w:val="00D449F9"/>
    <w:rsid w:val="00D44F0A"/>
    <w:rsid w:val="00D45582"/>
    <w:rsid w:val="00D47290"/>
    <w:rsid w:val="00D51884"/>
    <w:rsid w:val="00D526FE"/>
    <w:rsid w:val="00D527A4"/>
    <w:rsid w:val="00D540C6"/>
    <w:rsid w:val="00D57942"/>
    <w:rsid w:val="00D61236"/>
    <w:rsid w:val="00D630E8"/>
    <w:rsid w:val="00D64BD1"/>
    <w:rsid w:val="00D70C05"/>
    <w:rsid w:val="00D7168A"/>
    <w:rsid w:val="00D71A5D"/>
    <w:rsid w:val="00D723F3"/>
    <w:rsid w:val="00D742DE"/>
    <w:rsid w:val="00D815C8"/>
    <w:rsid w:val="00D83E2C"/>
    <w:rsid w:val="00D876E9"/>
    <w:rsid w:val="00D90FA5"/>
    <w:rsid w:val="00D92254"/>
    <w:rsid w:val="00DA230B"/>
    <w:rsid w:val="00DA4ADC"/>
    <w:rsid w:val="00DA6136"/>
    <w:rsid w:val="00DA6DA4"/>
    <w:rsid w:val="00DB058C"/>
    <w:rsid w:val="00DB19D1"/>
    <w:rsid w:val="00DB2070"/>
    <w:rsid w:val="00DB47A3"/>
    <w:rsid w:val="00DB4981"/>
    <w:rsid w:val="00DC0D2B"/>
    <w:rsid w:val="00DC5D51"/>
    <w:rsid w:val="00DC6DA5"/>
    <w:rsid w:val="00DC7545"/>
    <w:rsid w:val="00DD0E1B"/>
    <w:rsid w:val="00DD45BE"/>
    <w:rsid w:val="00DD5CF2"/>
    <w:rsid w:val="00DD69F4"/>
    <w:rsid w:val="00DE084C"/>
    <w:rsid w:val="00DE43EF"/>
    <w:rsid w:val="00DE7323"/>
    <w:rsid w:val="00DF213A"/>
    <w:rsid w:val="00DF664B"/>
    <w:rsid w:val="00DF688A"/>
    <w:rsid w:val="00DF6BF1"/>
    <w:rsid w:val="00E04652"/>
    <w:rsid w:val="00E069D4"/>
    <w:rsid w:val="00E10D86"/>
    <w:rsid w:val="00E11091"/>
    <w:rsid w:val="00E144B3"/>
    <w:rsid w:val="00E14728"/>
    <w:rsid w:val="00E14F51"/>
    <w:rsid w:val="00E161B1"/>
    <w:rsid w:val="00E216D1"/>
    <w:rsid w:val="00E25CE3"/>
    <w:rsid w:val="00E27AA6"/>
    <w:rsid w:val="00E31AE4"/>
    <w:rsid w:val="00E34CDE"/>
    <w:rsid w:val="00E357B7"/>
    <w:rsid w:val="00E3686B"/>
    <w:rsid w:val="00E36C00"/>
    <w:rsid w:val="00E47975"/>
    <w:rsid w:val="00E52ABE"/>
    <w:rsid w:val="00E52FC6"/>
    <w:rsid w:val="00E53740"/>
    <w:rsid w:val="00E53800"/>
    <w:rsid w:val="00E54C18"/>
    <w:rsid w:val="00E57001"/>
    <w:rsid w:val="00E57026"/>
    <w:rsid w:val="00E5765E"/>
    <w:rsid w:val="00E6081F"/>
    <w:rsid w:val="00E62CF4"/>
    <w:rsid w:val="00E646E5"/>
    <w:rsid w:val="00E6501F"/>
    <w:rsid w:val="00E65763"/>
    <w:rsid w:val="00E6776E"/>
    <w:rsid w:val="00E750F5"/>
    <w:rsid w:val="00E8296D"/>
    <w:rsid w:val="00E8457B"/>
    <w:rsid w:val="00E858BA"/>
    <w:rsid w:val="00E8785A"/>
    <w:rsid w:val="00E90249"/>
    <w:rsid w:val="00E926EE"/>
    <w:rsid w:val="00E97084"/>
    <w:rsid w:val="00EA04B2"/>
    <w:rsid w:val="00EA20F3"/>
    <w:rsid w:val="00EA37D1"/>
    <w:rsid w:val="00EA7EC9"/>
    <w:rsid w:val="00EB0846"/>
    <w:rsid w:val="00EB26D6"/>
    <w:rsid w:val="00EB59DB"/>
    <w:rsid w:val="00EB74EB"/>
    <w:rsid w:val="00EC086B"/>
    <w:rsid w:val="00EC3D91"/>
    <w:rsid w:val="00EC4525"/>
    <w:rsid w:val="00EC4C81"/>
    <w:rsid w:val="00EC6D59"/>
    <w:rsid w:val="00EC7113"/>
    <w:rsid w:val="00ED096A"/>
    <w:rsid w:val="00ED13D8"/>
    <w:rsid w:val="00ED279B"/>
    <w:rsid w:val="00ED2831"/>
    <w:rsid w:val="00ED30DD"/>
    <w:rsid w:val="00ED43D1"/>
    <w:rsid w:val="00ED749D"/>
    <w:rsid w:val="00ED78EC"/>
    <w:rsid w:val="00EE25F4"/>
    <w:rsid w:val="00EE4EE1"/>
    <w:rsid w:val="00EE5DB4"/>
    <w:rsid w:val="00EE6535"/>
    <w:rsid w:val="00EE6673"/>
    <w:rsid w:val="00EE73BA"/>
    <w:rsid w:val="00EE7673"/>
    <w:rsid w:val="00EF11E5"/>
    <w:rsid w:val="00EF1A8A"/>
    <w:rsid w:val="00EF4574"/>
    <w:rsid w:val="00EF5E48"/>
    <w:rsid w:val="00EF5FB3"/>
    <w:rsid w:val="00F00DBB"/>
    <w:rsid w:val="00F02AA5"/>
    <w:rsid w:val="00F037B3"/>
    <w:rsid w:val="00F062AE"/>
    <w:rsid w:val="00F1008A"/>
    <w:rsid w:val="00F10599"/>
    <w:rsid w:val="00F13FE6"/>
    <w:rsid w:val="00F14A3E"/>
    <w:rsid w:val="00F151CF"/>
    <w:rsid w:val="00F235B2"/>
    <w:rsid w:val="00F25A93"/>
    <w:rsid w:val="00F2684E"/>
    <w:rsid w:val="00F27ADB"/>
    <w:rsid w:val="00F3095B"/>
    <w:rsid w:val="00F33449"/>
    <w:rsid w:val="00F350B1"/>
    <w:rsid w:val="00F35A18"/>
    <w:rsid w:val="00F40411"/>
    <w:rsid w:val="00F4344B"/>
    <w:rsid w:val="00F43AB6"/>
    <w:rsid w:val="00F46E6E"/>
    <w:rsid w:val="00F533B1"/>
    <w:rsid w:val="00F5404C"/>
    <w:rsid w:val="00F55310"/>
    <w:rsid w:val="00F60697"/>
    <w:rsid w:val="00F64271"/>
    <w:rsid w:val="00F729EF"/>
    <w:rsid w:val="00F72F6F"/>
    <w:rsid w:val="00F744A2"/>
    <w:rsid w:val="00F74857"/>
    <w:rsid w:val="00F75335"/>
    <w:rsid w:val="00F77434"/>
    <w:rsid w:val="00F77CAE"/>
    <w:rsid w:val="00F8087C"/>
    <w:rsid w:val="00F82271"/>
    <w:rsid w:val="00F83428"/>
    <w:rsid w:val="00F9145A"/>
    <w:rsid w:val="00F96BB9"/>
    <w:rsid w:val="00F979F2"/>
    <w:rsid w:val="00FA059F"/>
    <w:rsid w:val="00FA126E"/>
    <w:rsid w:val="00FA4FBD"/>
    <w:rsid w:val="00FA5388"/>
    <w:rsid w:val="00FA6A96"/>
    <w:rsid w:val="00FB4E0B"/>
    <w:rsid w:val="00FB4E94"/>
    <w:rsid w:val="00FB500D"/>
    <w:rsid w:val="00FB529A"/>
    <w:rsid w:val="00FB621F"/>
    <w:rsid w:val="00FC0BFD"/>
    <w:rsid w:val="00FC322F"/>
    <w:rsid w:val="00FC38A3"/>
    <w:rsid w:val="00FC38A5"/>
    <w:rsid w:val="00FC444D"/>
    <w:rsid w:val="00FC6043"/>
    <w:rsid w:val="00FD057B"/>
    <w:rsid w:val="00FD0844"/>
    <w:rsid w:val="00FD0ECB"/>
    <w:rsid w:val="00FD1B42"/>
    <w:rsid w:val="00FD5CD0"/>
    <w:rsid w:val="00FE0609"/>
    <w:rsid w:val="00FE331A"/>
    <w:rsid w:val="00FE4040"/>
    <w:rsid w:val="00FE6D51"/>
    <w:rsid w:val="00FE6F2A"/>
    <w:rsid w:val="00FF0DFB"/>
    <w:rsid w:val="00FF1098"/>
    <w:rsid w:val="00FF12FA"/>
    <w:rsid w:val="00FF1833"/>
    <w:rsid w:val="00FF49EE"/>
    <w:rsid w:val="00FF7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spacing w:before="0"/>
      <w:ind w:left="284" w:hanging="284"/>
    </w:pPr>
  </w:style>
  <w:style w:type="paragraph" w:customStyle="1" w:styleId="Bullet2">
    <w:name w:val="Bullet 2"/>
    <w:basedOn w:val="Bullet1"/>
    <w:qFormat/>
    <w:rsid w:val="00F2684E"/>
    <w:pPr>
      <w:ind w:left="568"/>
    </w:pPr>
  </w:style>
  <w:style w:type="paragraph" w:customStyle="1" w:styleId="Bullet3">
    <w:name w:val="Bullet 3"/>
    <w:basedOn w:val="Bullet2"/>
    <w:qFormat/>
    <w:rsid w:val="00F2684E"/>
    <w:pPr>
      <w:ind w:left="852"/>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A32858"/>
    <w:pPr>
      <w:ind w:left="720"/>
      <w:contextualSpacing/>
    </w:pPr>
  </w:style>
  <w:style w:type="paragraph" w:styleId="ListBullet">
    <w:name w:val="List Bullet"/>
    <w:basedOn w:val="BodyText"/>
    <w:qFormat/>
    <w:locked/>
    <w:rsid w:val="00A32858"/>
    <w:pPr>
      <w:numPr>
        <w:numId w:val="37"/>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table" w:customStyle="1" w:styleId="TableGrid1">
    <w:name w:val="Table Grid1"/>
    <w:basedOn w:val="TableNormal"/>
    <w:next w:val="TableGrid"/>
    <w:uiPriority w:val="39"/>
    <w:locked/>
    <w:rsid w:val="00B2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B22583"/>
    <w:rPr>
      <w:rFonts w:ascii="Calibri" w:eastAsiaTheme="majorEastAsia" w:hAnsi="Calibri" w:cstheme="majorBidi"/>
      <w:b/>
      <w:caps w:val="0"/>
      <w:color w:val="7C8C88"/>
      <w:sz w:val="26"/>
      <w:szCs w:val="26"/>
      <w:lang w:val="en-GB"/>
    </w:rPr>
  </w:style>
  <w:style w:type="paragraph" w:customStyle="1" w:styleId="Tablecolumnheading">
    <w:name w:val="Table column heading"/>
    <w:basedOn w:val="Normal"/>
    <w:qFormat/>
    <w:rsid w:val="00B22583"/>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B22583"/>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B22583"/>
    <w:rPr>
      <w:rFonts w:ascii="Calibri" w:hAnsi="Calibri"/>
      <w:color w:val="000000" w:themeColor="text1"/>
      <w:lang w:val="en-GB" w:eastAsia="en-AU"/>
    </w:rPr>
  </w:style>
  <w:style w:type="table" w:styleId="GridTable1Light">
    <w:name w:val="Grid Table 1 Light"/>
    <w:basedOn w:val="TableNormal"/>
    <w:uiPriority w:val="46"/>
    <w:locked/>
    <w:rsid w:val="003617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074"/>
    <w:rPr>
      <w:color w:val="800080" w:themeColor="followedHyperlink"/>
      <w:u w:val="single"/>
    </w:rPr>
  </w:style>
  <w:style w:type="numbering" w:customStyle="1" w:styleId="NumberedLists">
    <w:name w:val="NumberedLists"/>
    <w:uiPriority w:val="99"/>
    <w:rsid w:val="00F8087C"/>
    <w:pPr>
      <w:numPr>
        <w:numId w:val="40"/>
      </w:numPr>
    </w:pPr>
  </w:style>
  <w:style w:type="paragraph" w:styleId="ListNumber">
    <w:name w:val="List Number"/>
    <w:basedOn w:val="Normal"/>
    <w:uiPriority w:val="99"/>
    <w:qFormat/>
    <w:locked/>
    <w:rsid w:val="00F8087C"/>
    <w:pPr>
      <w:suppressAutoHyphens w:val="0"/>
      <w:spacing w:before="0" w:after="210" w:line="276" w:lineRule="auto"/>
      <w:ind w:left="432" w:hanging="432"/>
    </w:pPr>
    <w:rPr>
      <w:rFonts w:cs="Times New Roman"/>
      <w:color w:val="000000" w:themeColor="text1"/>
      <w:sz w:val="21"/>
      <w:szCs w:val="21"/>
      <w:lang w:val="en-AU"/>
    </w:rPr>
  </w:style>
  <w:style w:type="paragraph" w:styleId="ListNumber2">
    <w:name w:val="List Number 2"/>
    <w:basedOn w:val="Normal"/>
    <w:uiPriority w:val="99"/>
    <w:qFormat/>
    <w:locked/>
    <w:rsid w:val="00F8087C"/>
    <w:pPr>
      <w:suppressAutoHyphens w:val="0"/>
      <w:spacing w:before="0" w:after="210" w:line="276" w:lineRule="auto"/>
      <w:ind w:left="864" w:hanging="432"/>
      <w:contextualSpacing/>
    </w:pPr>
    <w:rPr>
      <w:rFonts w:cs="Times New Roman"/>
      <w:color w:val="000000" w:themeColor="text1"/>
      <w:sz w:val="21"/>
      <w:szCs w:val="21"/>
      <w:lang w:val="en-AU"/>
    </w:rPr>
  </w:style>
  <w:style w:type="paragraph" w:styleId="ListNumber3">
    <w:name w:val="List Number 3"/>
    <w:basedOn w:val="Normal"/>
    <w:uiPriority w:val="99"/>
    <w:semiHidden/>
    <w:unhideWhenUsed/>
    <w:locked/>
    <w:rsid w:val="00F8087C"/>
    <w:pPr>
      <w:suppressAutoHyphens w:val="0"/>
      <w:spacing w:before="0" w:after="210" w:line="276" w:lineRule="auto"/>
      <w:ind w:left="1440" w:hanging="360"/>
      <w:contextualSpacing/>
    </w:pPr>
    <w:rPr>
      <w:rFonts w:cs="Times New Roman"/>
      <w:color w:val="000000" w:themeColor="text1"/>
      <w:sz w:val="21"/>
      <w:szCs w:val="21"/>
      <w:lang w:val="en-AU"/>
    </w:rPr>
  </w:style>
  <w:style w:type="paragraph" w:styleId="ListNumber4">
    <w:name w:val="List Number 4"/>
    <w:basedOn w:val="Normal"/>
    <w:uiPriority w:val="99"/>
    <w:semiHidden/>
    <w:unhideWhenUsed/>
    <w:locked/>
    <w:rsid w:val="00F8087C"/>
    <w:pPr>
      <w:suppressAutoHyphens w:val="0"/>
      <w:spacing w:before="0" w:after="210" w:line="276" w:lineRule="auto"/>
      <w:ind w:left="1800" w:hanging="360"/>
      <w:contextualSpacing/>
    </w:pPr>
    <w:rPr>
      <w:rFonts w:cs="Times New Roman"/>
      <w:color w:val="000000" w:themeColor="text1"/>
      <w:sz w:val="21"/>
      <w:szCs w:val="21"/>
      <w:lang w:val="en-AU"/>
    </w:rPr>
  </w:style>
  <w:style w:type="paragraph" w:styleId="ListNumber5">
    <w:name w:val="List Number 5"/>
    <w:basedOn w:val="Normal"/>
    <w:uiPriority w:val="99"/>
    <w:semiHidden/>
    <w:unhideWhenUsed/>
    <w:locked/>
    <w:rsid w:val="00F8087C"/>
    <w:pPr>
      <w:suppressAutoHyphens w:val="0"/>
      <w:spacing w:before="0" w:after="210" w:line="276" w:lineRule="auto"/>
      <w:ind w:left="2160" w:hanging="360"/>
      <w:contextualSpacing/>
    </w:pPr>
    <w:rPr>
      <w:rFonts w:cs="Times New Roman"/>
      <w:color w:val="000000" w:themeColor="text1"/>
      <w:sz w:val="21"/>
      <w:szCs w:val="21"/>
      <w:lang w:val="en-AU"/>
    </w:rPr>
  </w:style>
  <w:style w:type="paragraph" w:styleId="EndnoteText">
    <w:name w:val="endnote text"/>
    <w:basedOn w:val="Normal"/>
    <w:link w:val="EndnoteTextChar"/>
    <w:uiPriority w:val="99"/>
    <w:semiHidden/>
    <w:unhideWhenUsed/>
    <w:rsid w:val="00F43AB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43AB6"/>
    <w:rPr>
      <w:color w:val="495965" w:themeColor="text2"/>
      <w:sz w:val="20"/>
      <w:szCs w:val="20"/>
      <w:lang w:val="en-GB"/>
    </w:rPr>
  </w:style>
  <w:style w:type="character" w:styleId="EndnoteReference">
    <w:name w:val="endnote reference"/>
    <w:basedOn w:val="DefaultParagraphFont"/>
    <w:uiPriority w:val="99"/>
    <w:semiHidden/>
    <w:unhideWhenUsed/>
    <w:rsid w:val="00F43AB6"/>
    <w:rPr>
      <w:vertAlign w:val="superscript"/>
    </w:rPr>
  </w:style>
  <w:style w:type="character" w:styleId="UnresolvedMention">
    <w:name w:val="Unresolved Mention"/>
    <w:basedOn w:val="DefaultParagraphFont"/>
    <w:uiPriority w:val="99"/>
    <w:semiHidden/>
    <w:unhideWhenUsed/>
    <w:rsid w:val="00F27ADB"/>
    <w:rPr>
      <w:color w:val="605E5C"/>
      <w:shd w:val="clear" w:color="auto" w:fill="E1DFDD"/>
    </w:rPr>
  </w:style>
  <w:style w:type="paragraph" w:styleId="NoSpacing">
    <w:name w:val="No Spacing"/>
    <w:link w:val="NoSpacingChar"/>
    <w:uiPriority w:val="1"/>
    <w:qFormat/>
    <w:rsid w:val="0067480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480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4963">
      <w:bodyDiv w:val="1"/>
      <w:marLeft w:val="0"/>
      <w:marRight w:val="0"/>
      <w:marTop w:val="0"/>
      <w:marBottom w:val="0"/>
      <w:divBdr>
        <w:top w:val="none" w:sz="0" w:space="0" w:color="auto"/>
        <w:left w:val="none" w:sz="0" w:space="0" w:color="auto"/>
        <w:bottom w:val="none" w:sz="0" w:space="0" w:color="auto"/>
        <w:right w:val="none" w:sz="0" w:space="0" w:color="auto"/>
      </w:divBdr>
    </w:div>
    <w:div w:id="352732441">
      <w:bodyDiv w:val="1"/>
      <w:marLeft w:val="0"/>
      <w:marRight w:val="0"/>
      <w:marTop w:val="0"/>
      <w:marBottom w:val="0"/>
      <w:divBdr>
        <w:top w:val="none" w:sz="0" w:space="0" w:color="auto"/>
        <w:left w:val="none" w:sz="0" w:space="0" w:color="auto"/>
        <w:bottom w:val="none" w:sz="0" w:space="0" w:color="auto"/>
        <w:right w:val="none" w:sz="0" w:space="0" w:color="auto"/>
      </w:divBdr>
    </w:div>
    <w:div w:id="694812763">
      <w:bodyDiv w:val="1"/>
      <w:marLeft w:val="0"/>
      <w:marRight w:val="0"/>
      <w:marTop w:val="0"/>
      <w:marBottom w:val="0"/>
      <w:divBdr>
        <w:top w:val="none" w:sz="0" w:space="0" w:color="auto"/>
        <w:left w:val="none" w:sz="0" w:space="0" w:color="auto"/>
        <w:bottom w:val="none" w:sz="0" w:space="0" w:color="auto"/>
        <w:right w:val="none" w:sz="0" w:space="0" w:color="auto"/>
      </w:divBdr>
    </w:div>
    <w:div w:id="786586265">
      <w:bodyDiv w:val="1"/>
      <w:marLeft w:val="0"/>
      <w:marRight w:val="0"/>
      <w:marTop w:val="0"/>
      <w:marBottom w:val="0"/>
      <w:divBdr>
        <w:top w:val="none" w:sz="0" w:space="0" w:color="auto"/>
        <w:left w:val="none" w:sz="0" w:space="0" w:color="auto"/>
        <w:bottom w:val="none" w:sz="0" w:space="0" w:color="auto"/>
        <w:right w:val="none" w:sz="0" w:space="0" w:color="auto"/>
      </w:divBdr>
    </w:div>
    <w:div w:id="1075393245">
      <w:bodyDiv w:val="1"/>
      <w:marLeft w:val="0"/>
      <w:marRight w:val="0"/>
      <w:marTop w:val="0"/>
      <w:marBottom w:val="0"/>
      <w:divBdr>
        <w:top w:val="none" w:sz="0" w:space="0" w:color="auto"/>
        <w:left w:val="none" w:sz="0" w:space="0" w:color="auto"/>
        <w:bottom w:val="none" w:sz="0" w:space="0" w:color="auto"/>
        <w:right w:val="none" w:sz="0" w:space="0" w:color="auto"/>
      </w:divBdr>
    </w:div>
    <w:div w:id="1989282819">
      <w:bodyDiv w:val="1"/>
      <w:marLeft w:val="0"/>
      <w:marRight w:val="0"/>
      <w:marTop w:val="0"/>
      <w:marBottom w:val="0"/>
      <w:divBdr>
        <w:top w:val="none" w:sz="0" w:space="0" w:color="auto"/>
        <w:left w:val="none" w:sz="0" w:space="0" w:color="auto"/>
        <w:bottom w:val="none" w:sz="0" w:space="0" w:color="auto"/>
        <w:right w:val="none" w:sz="0" w:space="0" w:color="auto"/>
      </w:divBdr>
    </w:div>
    <w:div w:id="1994797713">
      <w:bodyDiv w:val="1"/>
      <w:marLeft w:val="0"/>
      <w:marRight w:val="0"/>
      <w:marTop w:val="0"/>
      <w:marBottom w:val="0"/>
      <w:divBdr>
        <w:top w:val="none" w:sz="0" w:space="0" w:color="auto"/>
        <w:left w:val="none" w:sz="0" w:space="0" w:color="auto"/>
        <w:bottom w:val="none" w:sz="0" w:space="0" w:color="auto"/>
        <w:right w:val="none" w:sz="0" w:space="0" w:color="auto"/>
      </w:divBdr>
    </w:div>
    <w:div w:id="21183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dworks.titan.satin.lo/Activity/26901"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fat.gov.au/about-us/publications/Pages/risk-and-safeguard-tool.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adb.org/sites/default/files/institutional-document/752631/niue-country-classification.pdf" TargetMode="External"/><Relationship Id="rId13" Type="http://schemas.openxmlformats.org/officeDocument/2006/relationships/hyperlink" Target="https://www.adb.org/sites/default/files/institutional-document/752631/niue-country-classification.pdf" TargetMode="External"/><Relationship Id="rId18" Type="http://schemas.openxmlformats.org/officeDocument/2006/relationships/hyperlink" Target="https://www.adb.org/sites/default/files/institutional-document/752631/niue-country-classification.pdf" TargetMode="External"/><Relationship Id="rId3" Type="http://schemas.openxmlformats.org/officeDocument/2006/relationships/hyperlink" Target="https://www.adb.org/sites/default/files/institutional-document/752631/niue-country-classification.pdf" TargetMode="External"/><Relationship Id="rId21" Type="http://schemas.openxmlformats.org/officeDocument/2006/relationships/hyperlink" Target="https://tvniue.com/2022/01/islandwide-bacterial-contamination-in-the-water-public-told-to-boil-all-drinking-water-until-further-notice/acessed" TargetMode="External"/><Relationship Id="rId7" Type="http://schemas.openxmlformats.org/officeDocument/2006/relationships/hyperlink" Target="https://www.adb.org/sites/default/files/institutional-document/752631/niue-country-classification.pdf" TargetMode="External"/><Relationship Id="rId12" Type="http://schemas.openxmlformats.org/officeDocument/2006/relationships/hyperlink" Target="https://niue.prism.spc.int/census/population-housing/" TargetMode="External"/><Relationship Id="rId17" Type="http://schemas.openxmlformats.org/officeDocument/2006/relationships/hyperlink" Target="https://www.usp.ac.fj/usp-niue/" TargetMode="External"/><Relationship Id="rId2" Type="http://schemas.openxmlformats.org/officeDocument/2006/relationships/hyperlink" Target="https://www.gov.nu/media-releases/" TargetMode="External"/><Relationship Id="rId16" Type="http://schemas.openxmlformats.org/officeDocument/2006/relationships/hyperlink" Target="https://www.adb.org/sites/default/files/institutional-document/752631/niue-country-classification.pdf" TargetMode="External"/><Relationship Id="rId20" Type="http://schemas.openxmlformats.org/officeDocument/2006/relationships/hyperlink" Target="file:///C:\Users\lellerto\Downloads\2019-Niue-PopHH-Census-2.0.pdf" TargetMode="External"/><Relationship Id="rId1" Type="http://schemas.openxmlformats.org/officeDocument/2006/relationships/hyperlink" Target="https://niue.prism.spc.int/census/population-housing/" TargetMode="External"/><Relationship Id="rId6" Type="http://schemas.openxmlformats.org/officeDocument/2006/relationships/hyperlink" Target="https://www.adb.org/sites/default/files/institutional-document/752631/niue-country-classification.pdf" TargetMode="External"/><Relationship Id="rId11" Type="http://schemas.openxmlformats.org/officeDocument/2006/relationships/hyperlink" Target="https://www.adb.org/sites/default/files/institutional-document/752631/niue-country-classification.pdf" TargetMode="External"/><Relationship Id="rId5" Type="http://schemas.openxmlformats.org/officeDocument/2006/relationships/hyperlink" Target="https://niue.prism.spc.int/census/population-housing/" TargetMode="External"/><Relationship Id="rId15" Type="http://schemas.openxmlformats.org/officeDocument/2006/relationships/hyperlink" Target="https://www.gov.nu/wp-content/uploads/2022/02/7feb-media-release-gon-niue-vaccination-rollout-approved-for-children-aged-5-11-years.pdf" TargetMode="External"/><Relationship Id="rId10" Type="http://schemas.openxmlformats.org/officeDocument/2006/relationships/hyperlink" Target="https://www.adb.org/sites/default/files/institutional-document/752631/niue-country-classification.pdf" TargetMode="External"/><Relationship Id="rId19" Type="http://schemas.openxmlformats.org/officeDocument/2006/relationships/hyperlink" Target="file:///C:\Users\lellerto\Downloads\2019-Niue-PopHH-Census-2.0.pdf" TargetMode="External"/><Relationship Id="rId4" Type="http://schemas.openxmlformats.org/officeDocument/2006/relationships/hyperlink" Target="https://www.gov.nu/wb/media/2021/GON%20Snapshot%20Report%20of%20the%20Niue%20National%20Economy-%2031Jan21.pdf" TargetMode="External"/><Relationship Id="rId9" Type="http://schemas.openxmlformats.org/officeDocument/2006/relationships/hyperlink" Target="https://www.adb.org/sites/default/files/institutional-document/752631/niue-country-classification.pdf" TargetMode="External"/><Relationship Id="rId14" Type="http://schemas.openxmlformats.org/officeDocument/2006/relationships/hyperlink" Target="https://niue.prism.spc.int/census/population-housing/" TargetMode="External"/><Relationship Id="rId22" Type="http://schemas.openxmlformats.org/officeDocument/2006/relationships/hyperlink" Target="https://public.tableau.com/views/OECDDACAidataglancebyrecipient_new/Recipients?:embed=y&amp;:display_count=yes&amp;:showTabs=y&amp;:toolbar=no?&amp;:showVizHome=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C378-F66F-464F-ADAA-9EF07A05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7207</Words>
  <Characters>41301</Characters>
  <Application>Microsoft Office Word</Application>
  <DocSecurity>0</DocSecurity>
  <Lines>860</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Niue Development Program Investment Design 2021-25</dc:title>
  <dc:creator/>
  <cp:keywords> [SEC=OFFICIAL]</cp:keywords>
  <cp:lastModifiedBy/>
  <cp:revision>1</cp:revision>
  <dcterms:created xsi:type="dcterms:W3CDTF">2022-08-18T01:00:00Z</dcterms:created>
  <dcterms:modified xsi:type="dcterms:W3CDTF">2022-08-18T01:05:00Z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DE55C32B50BD4659A9AAC959D4391CEB</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2022-08-18T01:05:11Z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649CBF3DE05620D043A342B34785721F</vt:lpwstr>
  </property>
  <property fmtid="{D5CDD505-2E9C-101B-9397-08002B2CF9AE}" pid="20" name="PM_Hash_Salt">
    <vt:lpwstr>2E3E2953C8C95152CB4C03C80ACB989F</vt:lpwstr>
  </property>
  <property fmtid="{D5CDD505-2E9C-101B-9397-08002B2CF9AE}" pid="21" name="PM_Hash_SHA1">
    <vt:lpwstr>240CD26B0BDB9BEA592E9A766910891B8F6C159E</vt:lpwstr>
  </property>
  <property fmtid="{D5CDD505-2E9C-101B-9397-08002B2CF9AE}" pid="22" name="PM_SecurityClassification_Prev">
    <vt:lpwstr>OFFICIAL</vt:lpwstr>
  </property>
  <property fmtid="{D5CDD505-2E9C-101B-9397-08002B2CF9AE}" pid="23" name="PM_Qualifier_Prev">
    <vt:lpwstr/>
  </property>
</Properties>
</file>