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ED80D" w14:textId="77777777" w:rsidR="005178F3" w:rsidRPr="00542841" w:rsidRDefault="005178F3" w:rsidP="005178F3">
      <w:pPr>
        <w:pStyle w:val="Heading1"/>
        <w:spacing w:after="200"/>
        <w:rPr>
          <w:rFonts w:cs="Arial"/>
          <w:b/>
          <w:caps/>
          <w:sz w:val="28"/>
          <w:szCs w:val="28"/>
        </w:rPr>
      </w:pPr>
      <w:r w:rsidRPr="00542841">
        <w:rPr>
          <w:rFonts w:cs="Arial"/>
          <w:b/>
          <w:caps/>
          <w:sz w:val="28"/>
          <w:szCs w:val="28"/>
        </w:rPr>
        <w:t>OUTCOMES: professional and OTHER BUSINESS services</w:t>
      </w:r>
    </w:p>
    <w:p w14:paraId="11C3622A" w14:textId="5CBE45EC" w:rsidR="005178F3" w:rsidRDefault="005178F3" w:rsidP="005178F3">
      <w:pPr>
        <w:spacing w:after="200" w:line="276" w:lineRule="auto"/>
        <w:rPr>
          <w:rFonts w:cs="Arial"/>
          <w:sz w:val="22"/>
          <w:lang w:eastAsia="en-AU"/>
        </w:rPr>
      </w:pPr>
      <w:r>
        <w:rPr>
          <w:rFonts w:cs="Arial"/>
          <w:sz w:val="22"/>
          <w:lang w:eastAsia="en-AU"/>
        </w:rPr>
        <w:t>Australian professional service providers are important contributors to the Australian economy, with exports including world</w:t>
      </w:r>
      <w:r w:rsidR="007D659E">
        <w:rPr>
          <w:rFonts w:cs="Arial"/>
          <w:sz w:val="22"/>
          <w:lang w:eastAsia="en-AU"/>
        </w:rPr>
        <w:t>-</w:t>
      </w:r>
      <w:r>
        <w:rPr>
          <w:rFonts w:cs="Arial"/>
          <w:sz w:val="22"/>
          <w:lang w:eastAsia="en-AU"/>
        </w:rPr>
        <w:t xml:space="preserve">class legal, accounting, engineering, architecture, surveying and urban planning, and research and development services.  </w:t>
      </w:r>
    </w:p>
    <w:p w14:paraId="0F99925E" w14:textId="28BDED41" w:rsidR="005178F3" w:rsidRDefault="005178F3" w:rsidP="005178F3">
      <w:pPr>
        <w:spacing w:after="200" w:line="276" w:lineRule="auto"/>
        <w:rPr>
          <w:rFonts w:cs="Arial"/>
          <w:sz w:val="22"/>
          <w:lang w:eastAsia="en-AU"/>
        </w:rPr>
      </w:pPr>
      <w:r w:rsidRPr="001B1226">
        <w:rPr>
          <w:rFonts w:cs="Arial"/>
          <w:sz w:val="22"/>
        </w:rPr>
        <w:t>Australian exports of professio</w:t>
      </w:r>
      <w:bookmarkStart w:id="0" w:name="_GoBack"/>
      <w:bookmarkEnd w:id="0"/>
      <w:r w:rsidRPr="001B1226">
        <w:rPr>
          <w:rFonts w:cs="Arial"/>
          <w:sz w:val="22"/>
        </w:rPr>
        <w:t>nal, technical and other business services to TPP countries were valued at $</w:t>
      </w:r>
      <w:r w:rsidR="003C0C96" w:rsidRPr="001B1226">
        <w:rPr>
          <w:rFonts w:cs="Arial"/>
          <w:sz w:val="22"/>
        </w:rPr>
        <w:t>5.</w:t>
      </w:r>
      <w:r w:rsidR="00232A76" w:rsidRPr="001B1226">
        <w:rPr>
          <w:rFonts w:cs="Arial"/>
          <w:sz w:val="22"/>
        </w:rPr>
        <w:t xml:space="preserve">5 </w:t>
      </w:r>
      <w:r w:rsidRPr="001B1226">
        <w:rPr>
          <w:rFonts w:cs="Arial"/>
          <w:sz w:val="22"/>
        </w:rPr>
        <w:t>billion in 20</w:t>
      </w:r>
      <w:r w:rsidR="006E2A7D" w:rsidRPr="001B1226">
        <w:rPr>
          <w:rFonts w:cs="Arial"/>
          <w:sz w:val="22"/>
        </w:rPr>
        <w:t>15</w:t>
      </w:r>
      <w:r w:rsidR="00232A76" w:rsidRPr="001B1226">
        <w:rPr>
          <w:rFonts w:cs="Arial"/>
          <w:sz w:val="22"/>
        </w:rPr>
        <w:t>-16</w:t>
      </w:r>
      <w:r w:rsidRPr="001B1226">
        <w:rPr>
          <w:rFonts w:cs="Arial"/>
          <w:sz w:val="22"/>
        </w:rPr>
        <w:t xml:space="preserve">, which accounted for </w:t>
      </w:r>
      <w:r w:rsidR="003C0C96" w:rsidRPr="001B1226">
        <w:rPr>
          <w:rFonts w:cs="Arial"/>
          <w:sz w:val="22"/>
        </w:rPr>
        <w:t xml:space="preserve">56 </w:t>
      </w:r>
      <w:r w:rsidRPr="001B1226">
        <w:rPr>
          <w:rFonts w:cs="Arial"/>
          <w:sz w:val="22"/>
        </w:rPr>
        <w:t>per cent of total exports of these services (valued at $</w:t>
      </w:r>
      <w:r w:rsidR="003C0C96" w:rsidRPr="001B1226">
        <w:rPr>
          <w:rFonts w:cs="Arial"/>
          <w:sz w:val="22"/>
        </w:rPr>
        <w:t>9.</w:t>
      </w:r>
      <w:r w:rsidR="00232A76" w:rsidRPr="001B1226">
        <w:rPr>
          <w:rFonts w:cs="Arial"/>
          <w:sz w:val="22"/>
        </w:rPr>
        <w:t xml:space="preserve">9 </w:t>
      </w:r>
      <w:r w:rsidRPr="001B1226">
        <w:rPr>
          <w:rFonts w:cs="Arial"/>
          <w:sz w:val="22"/>
        </w:rPr>
        <w:t>billion in 20</w:t>
      </w:r>
      <w:r w:rsidR="006E2A7D" w:rsidRPr="001B1226">
        <w:rPr>
          <w:rFonts w:cs="Arial"/>
          <w:sz w:val="22"/>
        </w:rPr>
        <w:t>15</w:t>
      </w:r>
      <w:r w:rsidR="00232A76" w:rsidRPr="001B1226">
        <w:rPr>
          <w:rFonts w:cs="Arial"/>
          <w:sz w:val="22"/>
        </w:rPr>
        <w:t>-16</w:t>
      </w:r>
      <w:r w:rsidRPr="001B1226">
        <w:rPr>
          <w:rFonts w:cs="Arial"/>
          <w:sz w:val="22"/>
        </w:rPr>
        <w:t>).</w:t>
      </w:r>
    </w:p>
    <w:p w14:paraId="1190E0F7" w14:textId="076F9749" w:rsidR="005178F3" w:rsidRDefault="005178F3" w:rsidP="005178F3">
      <w:pPr>
        <w:spacing w:after="200" w:line="276" w:lineRule="auto"/>
        <w:rPr>
          <w:rFonts w:cs="Arial"/>
          <w:sz w:val="22"/>
          <w:lang w:eastAsia="en-AU"/>
        </w:rPr>
      </w:pPr>
      <w:r>
        <w:rPr>
          <w:rFonts w:cs="Arial"/>
          <w:sz w:val="22"/>
          <w:lang w:eastAsia="en-AU"/>
        </w:rPr>
        <w:t>The TPP provides a strong platform for continued growth in Australian exports of professional, technical and other business services</w:t>
      </w:r>
      <w:r w:rsidR="00ED0F78">
        <w:rPr>
          <w:rFonts w:cs="Arial"/>
          <w:sz w:val="22"/>
          <w:lang w:eastAsia="en-AU"/>
        </w:rPr>
        <w:t>.  It will</w:t>
      </w:r>
      <w:r w:rsidR="000E12CC">
        <w:rPr>
          <w:rFonts w:cs="Arial"/>
          <w:sz w:val="22"/>
          <w:lang w:eastAsia="en-AU"/>
        </w:rPr>
        <w:t xml:space="preserve"> </w:t>
      </w:r>
      <w:r w:rsidR="00ED0F78">
        <w:rPr>
          <w:rFonts w:cs="Arial"/>
          <w:sz w:val="22"/>
          <w:lang w:eastAsia="en-AU"/>
        </w:rPr>
        <w:t>remove</w:t>
      </w:r>
      <w:r>
        <w:rPr>
          <w:rFonts w:cs="Arial"/>
          <w:sz w:val="22"/>
          <w:lang w:eastAsia="en-AU"/>
        </w:rPr>
        <w:t xml:space="preserve"> key barriers, provi</w:t>
      </w:r>
      <w:r w:rsidR="00ED0F78">
        <w:rPr>
          <w:rFonts w:cs="Arial"/>
          <w:sz w:val="22"/>
          <w:lang w:eastAsia="en-AU"/>
        </w:rPr>
        <w:t>de</w:t>
      </w:r>
      <w:r>
        <w:rPr>
          <w:rFonts w:cs="Arial"/>
          <w:sz w:val="22"/>
          <w:lang w:eastAsia="en-AU"/>
        </w:rPr>
        <w:t xml:space="preserve"> </w:t>
      </w:r>
      <w:r w:rsidR="00ED0F78">
        <w:rPr>
          <w:rFonts w:cs="Arial"/>
          <w:sz w:val="22"/>
          <w:lang w:eastAsia="en-AU"/>
        </w:rPr>
        <w:t xml:space="preserve">for </w:t>
      </w:r>
      <w:r>
        <w:rPr>
          <w:rFonts w:cs="Arial"/>
          <w:sz w:val="22"/>
          <w:lang w:eastAsia="en-AU"/>
        </w:rPr>
        <w:t>more transparent and predictable operating conditions in TPP countries, and enabl</w:t>
      </w:r>
      <w:r w:rsidR="00ED0F78">
        <w:rPr>
          <w:rFonts w:cs="Arial"/>
          <w:sz w:val="22"/>
          <w:lang w:eastAsia="en-AU"/>
        </w:rPr>
        <w:t>e</w:t>
      </w:r>
      <w:r>
        <w:rPr>
          <w:rFonts w:cs="Arial"/>
          <w:sz w:val="22"/>
          <w:lang w:eastAsia="en-AU"/>
        </w:rPr>
        <w:t xml:space="preserve"> suppliers to benefit from future </w:t>
      </w:r>
      <w:r w:rsidR="00ED0F78">
        <w:rPr>
          <w:rFonts w:cs="Arial"/>
          <w:sz w:val="22"/>
          <w:lang w:eastAsia="en-AU"/>
        </w:rPr>
        <w:t>market</w:t>
      </w:r>
      <w:r>
        <w:rPr>
          <w:rFonts w:cs="Arial"/>
          <w:sz w:val="22"/>
          <w:lang w:eastAsia="en-AU"/>
        </w:rPr>
        <w:t xml:space="preserve"> reforms.  </w:t>
      </w:r>
    </w:p>
    <w:p w14:paraId="7E131BC6" w14:textId="77777777" w:rsidR="005178F3" w:rsidRDefault="005178F3" w:rsidP="005178F3">
      <w:pPr>
        <w:spacing w:after="200" w:line="276" w:lineRule="auto"/>
        <w:rPr>
          <w:rFonts w:cs="Arial"/>
          <w:sz w:val="22"/>
          <w:lang w:eastAsia="en-AU"/>
        </w:rPr>
      </w:pPr>
      <w:r>
        <w:rPr>
          <w:rFonts w:cs="Arial"/>
          <w:sz w:val="22"/>
          <w:lang w:eastAsia="en-AU"/>
        </w:rPr>
        <w:t>TPP countries have also agreed to work cooperatively to foster enhanced recognition of professional qualifications, and improved licensing and recognition arrangements in professional services sectors.</w:t>
      </w:r>
    </w:p>
    <w:p w14:paraId="3E1D760A" w14:textId="37466536" w:rsidR="005178F3" w:rsidRDefault="005178F3" w:rsidP="005178F3">
      <w:pPr>
        <w:keepNext/>
        <w:keepLines/>
        <w:spacing w:after="200" w:line="276" w:lineRule="auto"/>
        <w:outlineLvl w:val="1"/>
        <w:rPr>
          <w:rFonts w:eastAsiaTheme="majorEastAsia" w:cs="Arial"/>
          <w:b/>
          <w:bCs/>
          <w:caps/>
          <w:color w:val="1A6887"/>
          <w:sz w:val="22"/>
          <w:lang w:eastAsia="en-AU"/>
        </w:rPr>
      </w:pPr>
      <w:r>
        <w:rPr>
          <w:rFonts w:eastAsiaTheme="majorEastAsia" w:cs="Arial"/>
          <w:b/>
          <w:bCs/>
          <w:caps/>
          <w:color w:val="1A6887"/>
          <w:sz w:val="22"/>
          <w:lang w:eastAsia="en-AU"/>
        </w:rPr>
        <w:t>Key outcomes</w:t>
      </w:r>
    </w:p>
    <w:p w14:paraId="0B4621E5" w14:textId="77777777" w:rsidR="005178F3" w:rsidRDefault="005178F3" w:rsidP="005178F3">
      <w:pPr>
        <w:keepNext/>
        <w:keepLines/>
        <w:spacing w:after="200" w:line="276" w:lineRule="auto"/>
        <w:outlineLvl w:val="2"/>
        <w:rPr>
          <w:rFonts w:eastAsiaTheme="majorEastAsia" w:cs="Arial"/>
          <w:bCs/>
          <w:color w:val="1A6887"/>
          <w:sz w:val="22"/>
          <w:lang w:eastAsia="en-AU"/>
        </w:rPr>
      </w:pPr>
      <w:r>
        <w:rPr>
          <w:rFonts w:eastAsiaTheme="majorEastAsia" w:cs="Arial"/>
          <w:bCs/>
          <w:color w:val="1A6887"/>
          <w:sz w:val="22"/>
          <w:lang w:eastAsia="en-AU"/>
        </w:rPr>
        <w:t>Legal services</w:t>
      </w:r>
    </w:p>
    <w:p w14:paraId="1C8F13E1" w14:textId="77777777" w:rsidR="005178F3" w:rsidRDefault="005178F3" w:rsidP="005178F3">
      <w:pPr>
        <w:spacing w:after="200" w:line="276" w:lineRule="auto"/>
        <w:rPr>
          <w:rFonts w:cs="Arial"/>
          <w:sz w:val="22"/>
          <w:lang w:eastAsia="en-AU"/>
        </w:rPr>
      </w:pPr>
      <w:r>
        <w:rPr>
          <w:rFonts w:cs="Arial"/>
          <w:sz w:val="22"/>
          <w:lang w:eastAsia="en-AU"/>
        </w:rPr>
        <w:t>Australian lawyers and law firms will benefit from the following commitments by TPP countries:</w:t>
      </w:r>
    </w:p>
    <w:p w14:paraId="7A36D824" w14:textId="752302E3" w:rsidR="00E54BEC" w:rsidRPr="00453405" w:rsidRDefault="005178F3" w:rsidP="00453405">
      <w:pPr>
        <w:pStyle w:val="ListParagraph"/>
        <w:numPr>
          <w:ilvl w:val="0"/>
          <w:numId w:val="9"/>
        </w:numPr>
        <w:tabs>
          <w:tab w:val="left" w:pos="714"/>
        </w:tabs>
        <w:spacing w:after="0" w:line="276" w:lineRule="auto"/>
        <w:ind w:left="568" w:hanging="284"/>
        <w:rPr>
          <w:rFonts w:cs="Arial"/>
          <w:sz w:val="22"/>
          <w:lang w:eastAsia="en-AU"/>
        </w:rPr>
      </w:pPr>
      <w:r w:rsidRPr="008617A0">
        <w:rPr>
          <w:rFonts w:cs="Arial"/>
          <w:sz w:val="22"/>
          <w:lang w:eastAsia="en-AU"/>
        </w:rPr>
        <w:t xml:space="preserve">Brunei Darussalam, Mexico, Malaysia, Peru and </w:t>
      </w:r>
      <w:r w:rsidR="00ED0F78" w:rsidRPr="008617A0">
        <w:rPr>
          <w:rFonts w:cs="Arial"/>
          <w:sz w:val="22"/>
          <w:lang w:eastAsia="en-AU"/>
        </w:rPr>
        <w:t>several</w:t>
      </w:r>
      <w:r w:rsidRPr="008617A0">
        <w:rPr>
          <w:rFonts w:cs="Arial"/>
          <w:sz w:val="22"/>
          <w:lang w:eastAsia="en-AU"/>
        </w:rPr>
        <w:t xml:space="preserve"> American States (</w:t>
      </w:r>
      <w:r w:rsidR="007D659E" w:rsidRPr="008617A0">
        <w:rPr>
          <w:rFonts w:cs="Arial"/>
          <w:sz w:val="22"/>
          <w:lang w:eastAsia="en-AU"/>
        </w:rPr>
        <w:t>beyond those covered in</w:t>
      </w:r>
      <w:r w:rsidR="00ED0F78" w:rsidRPr="008617A0">
        <w:rPr>
          <w:rFonts w:cs="Arial"/>
          <w:sz w:val="22"/>
          <w:lang w:eastAsia="en-AU"/>
        </w:rPr>
        <w:t xml:space="preserve"> our bilateral free trade agreement - </w:t>
      </w:r>
      <w:r w:rsidRPr="008617A0">
        <w:rPr>
          <w:rFonts w:cs="Arial"/>
          <w:sz w:val="22"/>
          <w:lang w:eastAsia="en-AU"/>
        </w:rPr>
        <w:t xml:space="preserve">Arizona, Indiana, Louisiana, Massachusetts, New Mexico, North Carolina, Missouri and Utah) have guaranteed access </w:t>
      </w:r>
      <w:r w:rsidR="0030482E">
        <w:rPr>
          <w:rFonts w:cs="Arial"/>
          <w:sz w:val="22"/>
          <w:lang w:eastAsia="en-AU"/>
        </w:rPr>
        <w:t xml:space="preserve">for Australian lawyers </w:t>
      </w:r>
      <w:r w:rsidRPr="008617A0">
        <w:rPr>
          <w:rFonts w:cs="Arial"/>
          <w:sz w:val="22"/>
          <w:lang w:eastAsia="en-AU"/>
        </w:rPr>
        <w:t xml:space="preserve">to </w:t>
      </w:r>
      <w:r w:rsidR="00E54BEC" w:rsidRPr="00453405">
        <w:rPr>
          <w:rFonts w:cs="Arial"/>
          <w:sz w:val="22"/>
          <w:lang w:eastAsia="en-AU"/>
        </w:rPr>
        <w:t xml:space="preserve">provide advice on Australian, international or third party law on a fly-in, fly-out basis.  </w:t>
      </w:r>
      <w:r w:rsidR="00CD1CA6">
        <w:rPr>
          <w:rFonts w:cs="Arial"/>
          <w:sz w:val="22"/>
          <w:lang w:eastAsia="en-AU"/>
        </w:rPr>
        <w:t xml:space="preserve">This </w:t>
      </w:r>
      <w:r w:rsidR="00E54BEC" w:rsidRPr="00453405">
        <w:rPr>
          <w:rFonts w:cs="Arial"/>
          <w:sz w:val="22"/>
          <w:lang w:eastAsia="en-AU"/>
        </w:rPr>
        <w:t xml:space="preserve">will be an enabler </w:t>
      </w:r>
      <w:r w:rsidR="00CD1CA6">
        <w:rPr>
          <w:rFonts w:cs="Arial"/>
          <w:sz w:val="22"/>
          <w:lang w:eastAsia="en-AU"/>
        </w:rPr>
        <w:t xml:space="preserve">for exports of transnational commercial and business legal services </w:t>
      </w:r>
      <w:r w:rsidR="00E54BEC" w:rsidRPr="00453405">
        <w:rPr>
          <w:rFonts w:cs="Arial"/>
          <w:sz w:val="22"/>
          <w:lang w:eastAsia="en-AU"/>
        </w:rPr>
        <w:t>to these TPP countries;</w:t>
      </w:r>
    </w:p>
    <w:p w14:paraId="250EDE42" w14:textId="77777777" w:rsidR="00E54BEC" w:rsidRPr="00453405" w:rsidRDefault="00E54BEC" w:rsidP="00453405">
      <w:pPr>
        <w:pStyle w:val="ListParagraph"/>
        <w:rPr>
          <w:rFonts w:cs="Arial"/>
          <w:sz w:val="22"/>
          <w:lang w:eastAsia="en-AU"/>
        </w:rPr>
      </w:pPr>
    </w:p>
    <w:p w14:paraId="19459695" w14:textId="77777777"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Malaysia has agreed to open up its legal services sector so that:</w:t>
      </w:r>
    </w:p>
    <w:p w14:paraId="1DAE877B" w14:textId="77777777" w:rsidR="005178F3" w:rsidRDefault="005178F3" w:rsidP="005178F3">
      <w:pPr>
        <w:pStyle w:val="ListParagraph"/>
        <w:tabs>
          <w:tab w:val="left" w:pos="714"/>
        </w:tabs>
        <w:spacing w:after="200" w:line="276" w:lineRule="auto"/>
        <w:ind w:left="0"/>
        <w:rPr>
          <w:rFonts w:cs="Arial"/>
          <w:sz w:val="22"/>
          <w:lang w:eastAsia="en-AU"/>
        </w:rPr>
      </w:pPr>
    </w:p>
    <w:p w14:paraId="6A932D28" w14:textId="4367E7B3" w:rsidR="00CD4AAD" w:rsidRDefault="00CD4AAD" w:rsidP="0083195D">
      <w:pPr>
        <w:pStyle w:val="ListParagraph"/>
        <w:numPr>
          <w:ilvl w:val="0"/>
          <w:numId w:val="11"/>
        </w:numPr>
        <w:spacing w:after="200" w:line="276" w:lineRule="auto"/>
        <w:ind w:left="1418" w:hanging="284"/>
        <w:rPr>
          <w:rFonts w:eastAsia="Times New Roman" w:cs="Arial"/>
          <w:sz w:val="22"/>
        </w:rPr>
      </w:pPr>
      <w:r>
        <w:rPr>
          <w:rFonts w:eastAsia="Times New Roman" w:cs="Arial"/>
          <w:sz w:val="22"/>
        </w:rPr>
        <w:t xml:space="preserve">Australian lawyers will be able to provide legal advice on Australian, international or third party law on a ‘fly-in, fly-out’ basis, following </w:t>
      </w:r>
      <w:r w:rsidR="00CD1CA6">
        <w:rPr>
          <w:rFonts w:eastAsia="Times New Roman" w:cs="Arial"/>
          <w:sz w:val="22"/>
        </w:rPr>
        <w:t xml:space="preserve">the </w:t>
      </w:r>
      <w:r w:rsidR="00ED0F78">
        <w:rPr>
          <w:rFonts w:eastAsia="Times New Roman" w:cs="Arial"/>
          <w:sz w:val="22"/>
        </w:rPr>
        <w:t xml:space="preserve">recent </w:t>
      </w:r>
      <w:r>
        <w:rPr>
          <w:rFonts w:eastAsia="Times New Roman" w:cs="Arial"/>
          <w:sz w:val="22"/>
        </w:rPr>
        <w:t>removal of a ban;</w:t>
      </w:r>
    </w:p>
    <w:p w14:paraId="10F3E35B" w14:textId="77777777" w:rsidR="00DB41B5" w:rsidRPr="00ED0F78" w:rsidRDefault="00DB41B5" w:rsidP="0083195D">
      <w:pPr>
        <w:pStyle w:val="ListParagraph"/>
        <w:spacing w:after="200" w:line="276" w:lineRule="auto"/>
        <w:ind w:left="1418" w:hanging="284"/>
        <w:rPr>
          <w:rFonts w:eastAsia="Times New Roman" w:cs="Arial"/>
          <w:sz w:val="22"/>
        </w:rPr>
      </w:pPr>
    </w:p>
    <w:p w14:paraId="4B9039BF" w14:textId="04309F97" w:rsidR="005178F3" w:rsidRDefault="005178F3" w:rsidP="0083195D">
      <w:pPr>
        <w:pStyle w:val="ListParagraph"/>
        <w:numPr>
          <w:ilvl w:val="0"/>
          <w:numId w:val="11"/>
        </w:numPr>
        <w:spacing w:after="200" w:line="276" w:lineRule="auto"/>
        <w:ind w:left="1418" w:hanging="284"/>
        <w:rPr>
          <w:rFonts w:eastAsia="Times New Roman" w:cs="Arial"/>
          <w:sz w:val="22"/>
        </w:rPr>
      </w:pPr>
      <w:r>
        <w:rPr>
          <w:rFonts w:cs="Arial"/>
          <w:sz w:val="22"/>
        </w:rPr>
        <w:t xml:space="preserve">Australian law firms will be able to practice aspects of Malaysian law through </w:t>
      </w:r>
      <w:r w:rsidR="00CD1CA6">
        <w:rPr>
          <w:rFonts w:cs="Arial"/>
          <w:sz w:val="22"/>
        </w:rPr>
        <w:t xml:space="preserve">an International Partnership with a Malaysian firm or by establishing </w:t>
      </w:r>
      <w:r>
        <w:rPr>
          <w:rFonts w:cs="Arial"/>
          <w:sz w:val="22"/>
        </w:rPr>
        <w:t>a Qualified Foreign Law Firm (a firm which may be 100 per cent foreign owned);</w:t>
      </w:r>
    </w:p>
    <w:p w14:paraId="770439D6" w14:textId="77777777" w:rsidR="005178F3" w:rsidRDefault="005178F3" w:rsidP="0083195D">
      <w:pPr>
        <w:pStyle w:val="ListParagraph"/>
        <w:spacing w:after="200" w:line="276" w:lineRule="auto"/>
        <w:ind w:left="1418" w:hanging="284"/>
        <w:rPr>
          <w:rFonts w:cs="Arial"/>
          <w:sz w:val="22"/>
          <w:u w:val="single"/>
        </w:rPr>
      </w:pPr>
    </w:p>
    <w:p w14:paraId="782BC4B2" w14:textId="40FFBF8C" w:rsidR="005178F3" w:rsidRDefault="005178F3" w:rsidP="0083195D">
      <w:pPr>
        <w:pStyle w:val="ListParagraph"/>
        <w:numPr>
          <w:ilvl w:val="0"/>
          <w:numId w:val="11"/>
        </w:numPr>
        <w:spacing w:after="200" w:line="276" w:lineRule="auto"/>
        <w:ind w:left="1418" w:hanging="284"/>
        <w:rPr>
          <w:rFonts w:cs="Arial"/>
          <w:sz w:val="22"/>
          <w:u w:val="single"/>
        </w:rPr>
      </w:pPr>
      <w:r>
        <w:rPr>
          <w:rFonts w:cs="Arial"/>
          <w:sz w:val="22"/>
        </w:rPr>
        <w:t xml:space="preserve">Australian lawyers will be able to practise in a Malaysian law firm, Qualified Foreign Law Firm and </w:t>
      </w:r>
      <w:r w:rsidR="00CD1CA6">
        <w:rPr>
          <w:rFonts w:cs="Arial"/>
          <w:sz w:val="22"/>
        </w:rPr>
        <w:t xml:space="preserve">in </w:t>
      </w:r>
      <w:r>
        <w:rPr>
          <w:rFonts w:cs="Arial"/>
          <w:sz w:val="22"/>
        </w:rPr>
        <w:t>an International Partnership with a Malaysian firm; and</w:t>
      </w:r>
    </w:p>
    <w:p w14:paraId="4225C78A" w14:textId="77777777" w:rsidR="005178F3" w:rsidRDefault="005178F3" w:rsidP="0083195D">
      <w:pPr>
        <w:pStyle w:val="ListParagraph"/>
        <w:spacing w:after="200" w:line="276" w:lineRule="auto"/>
        <w:ind w:left="1418" w:hanging="284"/>
        <w:rPr>
          <w:rFonts w:cs="Arial"/>
          <w:sz w:val="22"/>
          <w:u w:val="single"/>
        </w:rPr>
      </w:pPr>
    </w:p>
    <w:p w14:paraId="3E64E21C" w14:textId="6D1AE174" w:rsidR="005178F3" w:rsidRDefault="00241A9E" w:rsidP="0083195D">
      <w:pPr>
        <w:pStyle w:val="ListParagraph"/>
        <w:numPr>
          <w:ilvl w:val="0"/>
          <w:numId w:val="11"/>
        </w:numPr>
        <w:spacing w:after="200" w:line="276" w:lineRule="auto"/>
        <w:ind w:left="1418" w:hanging="284"/>
        <w:rPr>
          <w:rFonts w:cs="Arial"/>
          <w:sz w:val="22"/>
          <w:u w:val="single"/>
        </w:rPr>
      </w:pPr>
      <w:r>
        <w:rPr>
          <w:rFonts w:cs="Arial"/>
          <w:sz w:val="22"/>
        </w:rPr>
        <w:t>The benefits of any f</w:t>
      </w:r>
      <w:r w:rsidR="005178F3">
        <w:rPr>
          <w:rFonts w:cs="Arial"/>
          <w:sz w:val="22"/>
        </w:rPr>
        <w:t xml:space="preserve">uture </w:t>
      </w:r>
      <w:r w:rsidR="00ED0F78">
        <w:rPr>
          <w:rFonts w:cs="Arial"/>
          <w:sz w:val="22"/>
        </w:rPr>
        <w:t>reforms in</w:t>
      </w:r>
      <w:r w:rsidR="005178F3">
        <w:rPr>
          <w:rFonts w:cs="Arial"/>
          <w:sz w:val="22"/>
        </w:rPr>
        <w:t xml:space="preserve"> the </w:t>
      </w:r>
      <w:r w:rsidR="00ED0F78">
        <w:rPr>
          <w:rFonts w:cs="Arial"/>
          <w:sz w:val="22"/>
        </w:rPr>
        <w:t xml:space="preserve">Malaysian </w:t>
      </w:r>
      <w:r w:rsidR="005178F3">
        <w:rPr>
          <w:rFonts w:cs="Arial"/>
          <w:sz w:val="22"/>
        </w:rPr>
        <w:t xml:space="preserve">legal services sector will </w:t>
      </w:r>
      <w:r>
        <w:rPr>
          <w:rFonts w:cs="Arial"/>
          <w:sz w:val="22"/>
        </w:rPr>
        <w:t xml:space="preserve">automatically flow to Australia </w:t>
      </w:r>
      <w:r w:rsidR="005178F3">
        <w:rPr>
          <w:rFonts w:cs="Arial"/>
          <w:sz w:val="22"/>
        </w:rPr>
        <w:t>as a TPP commitment.</w:t>
      </w:r>
    </w:p>
    <w:p w14:paraId="3F431201" w14:textId="77777777" w:rsidR="005178F3" w:rsidRDefault="005178F3" w:rsidP="005178F3">
      <w:pPr>
        <w:pStyle w:val="ListParagraph"/>
        <w:spacing w:after="200" w:line="276" w:lineRule="auto"/>
        <w:ind w:left="0"/>
        <w:rPr>
          <w:rFonts w:cs="Arial"/>
          <w:sz w:val="22"/>
          <w:u w:val="single"/>
        </w:rPr>
      </w:pPr>
    </w:p>
    <w:p w14:paraId="65967A60" w14:textId="58670400" w:rsidR="00CD4AAD" w:rsidRPr="00A45299" w:rsidRDefault="00CD4AAD" w:rsidP="00667039">
      <w:pPr>
        <w:pStyle w:val="ListParagraph"/>
        <w:numPr>
          <w:ilvl w:val="0"/>
          <w:numId w:val="9"/>
        </w:numPr>
        <w:tabs>
          <w:tab w:val="left" w:pos="714"/>
        </w:tabs>
        <w:spacing w:after="200" w:line="276" w:lineRule="auto"/>
        <w:ind w:left="568" w:hanging="284"/>
        <w:rPr>
          <w:rFonts w:cs="Arial"/>
          <w:sz w:val="22"/>
          <w:lang w:eastAsia="en-AU"/>
        </w:rPr>
      </w:pPr>
      <w:r w:rsidRPr="00A45299">
        <w:rPr>
          <w:rFonts w:cs="Arial"/>
          <w:sz w:val="22"/>
          <w:lang w:eastAsia="en-AU"/>
        </w:rPr>
        <w:t>Greater certainty regarding the operating conditions in Vietnam’s legal services sector, including clarification that Australian lawyers and legal firms</w:t>
      </w:r>
      <w:r w:rsidR="00CD1CA6">
        <w:rPr>
          <w:rFonts w:cs="Arial"/>
          <w:sz w:val="22"/>
          <w:lang w:eastAsia="en-AU"/>
        </w:rPr>
        <w:t xml:space="preserve"> can </w:t>
      </w:r>
      <w:r w:rsidR="00CD1CA6" w:rsidRPr="00CD1CA6">
        <w:rPr>
          <w:rFonts w:cs="Arial"/>
          <w:sz w:val="22"/>
          <w:lang w:eastAsia="en-AU"/>
        </w:rPr>
        <w:t xml:space="preserve">provide written legal advices and other Australian, international and third party law legal advice </w:t>
      </w:r>
      <w:r w:rsidRPr="00A45299">
        <w:rPr>
          <w:rFonts w:cs="Arial"/>
          <w:sz w:val="22"/>
          <w:lang w:eastAsia="en-AU"/>
        </w:rPr>
        <w:t>in Vietnam;</w:t>
      </w:r>
    </w:p>
    <w:p w14:paraId="2E21E68D" w14:textId="77777777" w:rsidR="00CD4AAD" w:rsidRDefault="00CD4AAD" w:rsidP="00ED0F78">
      <w:pPr>
        <w:pStyle w:val="ListParagraph"/>
        <w:tabs>
          <w:tab w:val="left" w:pos="714"/>
        </w:tabs>
        <w:spacing w:after="200" w:line="276" w:lineRule="auto"/>
        <w:ind w:left="568"/>
        <w:rPr>
          <w:rFonts w:cs="Arial"/>
          <w:sz w:val="22"/>
          <w:lang w:eastAsia="en-AU"/>
        </w:rPr>
      </w:pPr>
    </w:p>
    <w:p w14:paraId="0B16954C" w14:textId="436596B7"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rPr>
        <w:t xml:space="preserve">Australian law firms will be able to bid for government procurement contracts for legal services in Brunei </w:t>
      </w:r>
      <w:r>
        <w:rPr>
          <w:rFonts w:cs="Arial"/>
          <w:sz w:val="22"/>
          <w:lang w:eastAsia="en-AU"/>
        </w:rPr>
        <w:t>Darussalam</w:t>
      </w:r>
      <w:r>
        <w:rPr>
          <w:rFonts w:cs="Arial"/>
          <w:sz w:val="22"/>
        </w:rPr>
        <w:t>, Canada and Peru</w:t>
      </w:r>
      <w:r w:rsidR="00DB41B5">
        <w:rPr>
          <w:rFonts w:cs="Arial"/>
          <w:sz w:val="22"/>
        </w:rPr>
        <w:t>; and</w:t>
      </w:r>
    </w:p>
    <w:p w14:paraId="7C6A2B6B" w14:textId="77777777" w:rsidR="005178F3" w:rsidRDefault="005178F3" w:rsidP="005178F3">
      <w:pPr>
        <w:pStyle w:val="ListParagraph"/>
        <w:tabs>
          <w:tab w:val="left" w:pos="714"/>
        </w:tabs>
        <w:spacing w:after="200" w:line="276" w:lineRule="auto"/>
        <w:ind w:left="568" w:hanging="284"/>
        <w:rPr>
          <w:rFonts w:cs="Arial"/>
          <w:sz w:val="22"/>
          <w:lang w:eastAsia="en-AU"/>
        </w:rPr>
      </w:pPr>
    </w:p>
    <w:p w14:paraId="1010AB86" w14:textId="5F3B6828" w:rsidR="005178F3" w:rsidRDefault="005178F3" w:rsidP="005178F3">
      <w:pPr>
        <w:pStyle w:val="ListParagraph"/>
        <w:numPr>
          <w:ilvl w:val="0"/>
          <w:numId w:val="9"/>
        </w:numPr>
        <w:tabs>
          <w:tab w:val="left" w:pos="714"/>
        </w:tabs>
        <w:spacing w:after="200" w:line="276" w:lineRule="auto"/>
        <w:ind w:left="568" w:hanging="284"/>
        <w:rPr>
          <w:rFonts w:eastAsia="Times New Roman" w:cs="Arial"/>
          <w:sz w:val="22"/>
        </w:rPr>
      </w:pPr>
      <w:r>
        <w:rPr>
          <w:rFonts w:cs="Arial"/>
          <w:sz w:val="22"/>
        </w:rPr>
        <w:t xml:space="preserve">Australian lawyers will be guaranteed the ability to temporarily enter and work in TPP countries, including the ability to transfer partners and lawyers to work in offshore offices for temporary periods </w:t>
      </w:r>
      <w:r w:rsidR="00ED0F78">
        <w:rPr>
          <w:rFonts w:cs="Arial"/>
          <w:sz w:val="22"/>
        </w:rPr>
        <w:t>and for independent Australian lawyers to work in Canada and Malaysia without being subject to labour market testing</w:t>
      </w:r>
      <w:r>
        <w:rPr>
          <w:rFonts w:cs="Arial"/>
          <w:sz w:val="22"/>
        </w:rPr>
        <w:t>.</w:t>
      </w:r>
    </w:p>
    <w:p w14:paraId="6A90ECB3" w14:textId="0517BCFF" w:rsidR="005178F3" w:rsidRDefault="005178F3" w:rsidP="005178F3">
      <w:pPr>
        <w:spacing w:after="200" w:line="276" w:lineRule="auto"/>
        <w:rPr>
          <w:rFonts w:eastAsiaTheme="majorEastAsia" w:cs="Arial"/>
          <w:bCs/>
          <w:color w:val="1A6887"/>
          <w:sz w:val="22"/>
          <w:lang w:eastAsia="en-AU"/>
        </w:rPr>
      </w:pPr>
      <w:r>
        <w:rPr>
          <w:rFonts w:eastAsiaTheme="majorEastAsia" w:cs="Arial"/>
          <w:bCs/>
          <w:color w:val="1A6887"/>
          <w:sz w:val="22"/>
          <w:lang w:eastAsia="en-AU"/>
        </w:rPr>
        <w:t>Construction, architecture, engineering and surveying</w:t>
      </w:r>
      <w:r w:rsidR="00E73B0B">
        <w:rPr>
          <w:rFonts w:eastAsiaTheme="majorEastAsia" w:cs="Arial"/>
          <w:bCs/>
          <w:color w:val="1A6887"/>
          <w:sz w:val="22"/>
          <w:lang w:eastAsia="en-AU"/>
        </w:rPr>
        <w:t xml:space="preserve"> services</w:t>
      </w:r>
    </w:p>
    <w:p w14:paraId="79A02E62" w14:textId="4BF525D9" w:rsidR="005178F3" w:rsidRPr="00ED0F78" w:rsidRDefault="005178F3" w:rsidP="00ED0F78">
      <w:pPr>
        <w:spacing w:after="200" w:line="276" w:lineRule="auto"/>
        <w:rPr>
          <w:lang w:eastAsia="en-AU"/>
        </w:rPr>
      </w:pPr>
      <w:r>
        <w:rPr>
          <w:rFonts w:cs="Arial"/>
          <w:sz w:val="22"/>
          <w:lang w:eastAsia="en-AU"/>
        </w:rPr>
        <w:t>Australian providers of construction, architecture, engineering and surveying services will benefit from the following commitments:</w:t>
      </w:r>
    </w:p>
    <w:p w14:paraId="11205FAA" w14:textId="6CDD0302"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 xml:space="preserve">Malaysia has agreed to remove </w:t>
      </w:r>
      <w:r w:rsidR="00CD4AAD">
        <w:rPr>
          <w:rFonts w:cs="Arial"/>
          <w:sz w:val="22"/>
          <w:lang w:eastAsia="en-AU"/>
        </w:rPr>
        <w:t xml:space="preserve">a number of </w:t>
      </w:r>
      <w:r>
        <w:rPr>
          <w:rFonts w:cs="Arial"/>
          <w:sz w:val="22"/>
          <w:lang w:eastAsia="en-AU"/>
        </w:rPr>
        <w:t xml:space="preserve">operating restrictions for architecture, engineering and quantity surveying service providers, including removal of the requirement for architects, engineers and quantity surveyors to be Malaysian citizens to provide these services in Malaysia. </w:t>
      </w:r>
      <w:r w:rsidR="00CD4AAD">
        <w:rPr>
          <w:rFonts w:cs="Arial"/>
          <w:sz w:val="22"/>
          <w:lang w:eastAsia="en-AU"/>
        </w:rPr>
        <w:t xml:space="preserve"> </w:t>
      </w:r>
      <w:r>
        <w:rPr>
          <w:rFonts w:cs="Arial"/>
          <w:sz w:val="22"/>
          <w:lang w:eastAsia="en-AU"/>
        </w:rPr>
        <w:t xml:space="preserve">Future </w:t>
      </w:r>
      <w:r w:rsidR="000E12CC">
        <w:rPr>
          <w:rFonts w:cs="Arial"/>
          <w:sz w:val="22"/>
          <w:lang w:eastAsia="en-AU"/>
        </w:rPr>
        <w:t>reforms</w:t>
      </w:r>
      <w:r>
        <w:rPr>
          <w:rFonts w:cs="Arial"/>
          <w:sz w:val="22"/>
          <w:lang w:eastAsia="en-AU"/>
        </w:rPr>
        <w:t xml:space="preserve"> of these sectors by Malaysia will be </w:t>
      </w:r>
      <w:r w:rsidR="000E12CC">
        <w:rPr>
          <w:rFonts w:cs="Arial"/>
          <w:sz w:val="22"/>
          <w:lang w:eastAsia="en-AU"/>
        </w:rPr>
        <w:t>captured</w:t>
      </w:r>
      <w:r>
        <w:rPr>
          <w:rFonts w:cs="Arial"/>
          <w:sz w:val="22"/>
          <w:lang w:eastAsia="en-AU"/>
        </w:rPr>
        <w:t xml:space="preserve"> as a TPP commitment benefiting Australian service suppliers;</w:t>
      </w:r>
    </w:p>
    <w:p w14:paraId="2202AC31" w14:textId="77777777" w:rsidR="005178F3" w:rsidRDefault="005178F3" w:rsidP="005178F3">
      <w:pPr>
        <w:pStyle w:val="ListParagraph"/>
        <w:spacing w:after="200" w:line="276" w:lineRule="auto"/>
        <w:ind w:left="568" w:hanging="284"/>
        <w:rPr>
          <w:rFonts w:cs="Arial"/>
          <w:sz w:val="22"/>
          <w:lang w:eastAsia="en-AU"/>
        </w:rPr>
      </w:pPr>
    </w:p>
    <w:p w14:paraId="5C57A366" w14:textId="5F66BFF0" w:rsidR="00ED0F78" w:rsidRPr="00ED0F78" w:rsidRDefault="005178F3" w:rsidP="00ED0F78">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 xml:space="preserve">Malaysia has agreed to </w:t>
      </w:r>
      <w:r w:rsidR="00195188">
        <w:rPr>
          <w:rFonts w:cs="Arial"/>
          <w:sz w:val="22"/>
          <w:lang w:eastAsia="en-AU"/>
        </w:rPr>
        <w:t>lock in</w:t>
      </w:r>
      <w:r>
        <w:rPr>
          <w:rFonts w:cs="Arial"/>
          <w:sz w:val="22"/>
          <w:lang w:eastAsia="en-AU"/>
        </w:rPr>
        <w:t xml:space="preserve"> current market access arrangements in the construction and related engineering services sector, and guaranteed that future </w:t>
      </w:r>
      <w:r w:rsidR="000E12CC">
        <w:rPr>
          <w:rFonts w:cs="Arial"/>
          <w:sz w:val="22"/>
          <w:lang w:eastAsia="en-AU"/>
        </w:rPr>
        <w:t>reforms</w:t>
      </w:r>
      <w:r>
        <w:rPr>
          <w:rFonts w:cs="Arial"/>
          <w:sz w:val="22"/>
          <w:lang w:eastAsia="en-AU"/>
        </w:rPr>
        <w:t xml:space="preserve"> of these sectors will be </w:t>
      </w:r>
      <w:r w:rsidR="000E12CC">
        <w:rPr>
          <w:rFonts w:cs="Arial"/>
          <w:sz w:val="22"/>
          <w:lang w:eastAsia="en-AU"/>
        </w:rPr>
        <w:t>captured</w:t>
      </w:r>
      <w:r>
        <w:rPr>
          <w:rFonts w:cs="Arial"/>
          <w:sz w:val="22"/>
          <w:lang w:eastAsia="en-AU"/>
        </w:rPr>
        <w:t xml:space="preserve"> as a TPP commitment benefiting Australian service suppliers;  </w:t>
      </w:r>
    </w:p>
    <w:p w14:paraId="1DD054F3" w14:textId="77777777" w:rsidR="00ED0F78" w:rsidRPr="00ED0F78" w:rsidRDefault="00ED0F78" w:rsidP="00ED0F78">
      <w:pPr>
        <w:pStyle w:val="ListParagraph"/>
        <w:spacing w:after="200" w:line="276" w:lineRule="auto"/>
        <w:ind w:left="568" w:hanging="284"/>
        <w:rPr>
          <w:rFonts w:cs="Arial"/>
          <w:sz w:val="22"/>
          <w:lang w:eastAsia="en-AU"/>
        </w:rPr>
      </w:pPr>
    </w:p>
    <w:p w14:paraId="58E3134A" w14:textId="016A4AE4" w:rsidR="00ED0F78" w:rsidRDefault="00ED0F78" w:rsidP="00ED0F78">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Australia has secured first-time commitments which guarantee access arrangements for Australian engineers (including for integrated engineering services), urban planners and architects (including landscape architectural services) in Brunei</w:t>
      </w:r>
      <w:r w:rsidR="0033027B">
        <w:rPr>
          <w:rFonts w:cs="Arial"/>
          <w:sz w:val="22"/>
          <w:lang w:eastAsia="en-AU"/>
        </w:rPr>
        <w:t xml:space="preserve"> Darussalam</w:t>
      </w:r>
      <w:r>
        <w:rPr>
          <w:rFonts w:cs="Arial"/>
          <w:sz w:val="22"/>
          <w:lang w:eastAsia="en-AU"/>
        </w:rPr>
        <w:t>, Canada, Chile, Mexico and Peru;</w:t>
      </w:r>
    </w:p>
    <w:p w14:paraId="6BF6E1E3" w14:textId="77777777" w:rsidR="005178F3" w:rsidRDefault="005178F3" w:rsidP="005178F3">
      <w:pPr>
        <w:pStyle w:val="ListParagraph"/>
        <w:spacing w:after="200" w:line="276" w:lineRule="auto"/>
        <w:ind w:left="568" w:hanging="284"/>
        <w:rPr>
          <w:rFonts w:cs="Arial"/>
          <w:sz w:val="22"/>
          <w:lang w:eastAsia="en-AU"/>
        </w:rPr>
      </w:pPr>
    </w:p>
    <w:p w14:paraId="7944A1D2" w14:textId="56375449"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Australian architecture, engineering and other technical service suppliers will be able to bid for government procurement contracts in Brunei</w:t>
      </w:r>
      <w:r w:rsidR="0033027B">
        <w:rPr>
          <w:rFonts w:cs="Arial"/>
          <w:sz w:val="22"/>
          <w:lang w:eastAsia="en-AU"/>
        </w:rPr>
        <w:t xml:space="preserve"> Darussalam</w:t>
      </w:r>
      <w:r>
        <w:rPr>
          <w:rFonts w:cs="Arial"/>
          <w:sz w:val="22"/>
          <w:lang w:eastAsia="en-AU"/>
        </w:rPr>
        <w:t xml:space="preserve">, Canada, Malaysia, Mexico, Peru and Vietnam; </w:t>
      </w:r>
      <w:r w:rsidR="0033027B">
        <w:rPr>
          <w:rFonts w:cs="Arial"/>
          <w:sz w:val="22"/>
          <w:lang w:eastAsia="en-AU"/>
        </w:rPr>
        <w:t>and</w:t>
      </w:r>
    </w:p>
    <w:p w14:paraId="5900E5E8" w14:textId="77777777" w:rsidR="005178F3" w:rsidRDefault="005178F3" w:rsidP="005178F3">
      <w:pPr>
        <w:pStyle w:val="ListParagraph"/>
        <w:spacing w:after="200" w:line="276" w:lineRule="auto"/>
        <w:ind w:left="568" w:hanging="284"/>
        <w:rPr>
          <w:rFonts w:cs="Arial"/>
          <w:sz w:val="22"/>
          <w:lang w:eastAsia="en-AU"/>
        </w:rPr>
      </w:pPr>
    </w:p>
    <w:p w14:paraId="5974B890" w14:textId="77777777" w:rsidR="00302C5D" w:rsidRDefault="005178F3" w:rsidP="00302C5D">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Australian construction service suppliers will be able to bid for government procurement construction projects in Brunei</w:t>
      </w:r>
      <w:r w:rsidR="0033027B">
        <w:rPr>
          <w:rFonts w:cs="Arial"/>
          <w:sz w:val="22"/>
          <w:lang w:eastAsia="en-AU"/>
        </w:rPr>
        <w:t xml:space="preserve"> Darussalam</w:t>
      </w:r>
      <w:r>
        <w:rPr>
          <w:rFonts w:cs="Arial"/>
          <w:sz w:val="22"/>
          <w:lang w:eastAsia="en-AU"/>
        </w:rPr>
        <w:t>, Canada, Mexico, Peru and Vietnam</w:t>
      </w:r>
      <w:r w:rsidR="0033027B">
        <w:rPr>
          <w:rFonts w:cs="Arial"/>
          <w:sz w:val="22"/>
          <w:lang w:eastAsia="en-AU"/>
        </w:rPr>
        <w:t>.</w:t>
      </w:r>
      <w:r w:rsidR="00ED0F78">
        <w:rPr>
          <w:rFonts w:cs="Arial"/>
          <w:sz w:val="22"/>
          <w:lang w:eastAsia="en-AU"/>
        </w:rPr>
        <w:t xml:space="preserve"> </w:t>
      </w:r>
    </w:p>
    <w:p w14:paraId="4647D69A" w14:textId="77777777" w:rsidR="00302C5D" w:rsidRPr="00302C5D" w:rsidRDefault="00302C5D" w:rsidP="00302C5D">
      <w:pPr>
        <w:pStyle w:val="ListParagraph"/>
        <w:rPr>
          <w:rFonts w:cs="Arial"/>
          <w:sz w:val="22"/>
          <w:lang w:eastAsia="en-AU"/>
        </w:rPr>
      </w:pPr>
    </w:p>
    <w:p w14:paraId="1280CF6C" w14:textId="6E914EED" w:rsidR="005178F3" w:rsidRPr="00302C5D" w:rsidRDefault="00ED0F78" w:rsidP="00302C5D">
      <w:pPr>
        <w:pStyle w:val="ListParagraph"/>
        <w:numPr>
          <w:ilvl w:val="0"/>
          <w:numId w:val="9"/>
        </w:numPr>
        <w:tabs>
          <w:tab w:val="left" w:pos="714"/>
        </w:tabs>
        <w:spacing w:after="200" w:line="276" w:lineRule="auto"/>
        <w:ind w:left="568" w:hanging="284"/>
        <w:rPr>
          <w:rFonts w:cs="Arial"/>
          <w:sz w:val="22"/>
          <w:lang w:eastAsia="en-AU"/>
        </w:rPr>
      </w:pPr>
      <w:r w:rsidRPr="00302C5D">
        <w:rPr>
          <w:rFonts w:cs="Arial"/>
          <w:sz w:val="22"/>
          <w:lang w:eastAsia="en-AU"/>
        </w:rPr>
        <w:t>Major new opportunities for those providers offering services in the mining and energy sectors</w:t>
      </w:r>
      <w:r w:rsidR="000E12CC" w:rsidRPr="00302C5D">
        <w:rPr>
          <w:rFonts w:cs="Arial"/>
          <w:sz w:val="22"/>
          <w:lang w:eastAsia="en-AU"/>
        </w:rPr>
        <w:t>.</w:t>
      </w:r>
      <w:r w:rsidRPr="00302C5D">
        <w:rPr>
          <w:rFonts w:cs="Arial"/>
          <w:sz w:val="22"/>
          <w:lang w:eastAsia="en-AU"/>
        </w:rPr>
        <w:t xml:space="preserve">  For more information refer to </w:t>
      </w:r>
      <w:hyperlink r:id="rId12" w:history="1">
        <w:r w:rsidRPr="00261B03">
          <w:rPr>
            <w:rStyle w:val="Hyperlink"/>
            <w:rFonts w:eastAsiaTheme="majorEastAsia" w:cs="Arial"/>
            <w:bCs/>
            <w:sz w:val="22"/>
            <w:lang w:eastAsia="en-AU"/>
          </w:rPr>
          <w:t xml:space="preserve">Outcomes: </w:t>
        </w:r>
        <w:r w:rsidR="0048443E" w:rsidRPr="00261B03">
          <w:rPr>
            <w:rStyle w:val="Hyperlink"/>
            <w:rFonts w:eastAsiaTheme="majorEastAsia" w:cs="Arial"/>
            <w:bCs/>
            <w:sz w:val="22"/>
            <w:lang w:eastAsia="en-AU"/>
          </w:rPr>
          <w:t xml:space="preserve">Resources and </w:t>
        </w:r>
        <w:r w:rsidRPr="00261B03">
          <w:rPr>
            <w:rStyle w:val="Hyperlink"/>
            <w:rFonts w:eastAsiaTheme="majorEastAsia" w:cs="Arial"/>
            <w:bCs/>
            <w:sz w:val="22"/>
            <w:lang w:eastAsia="en-AU"/>
          </w:rPr>
          <w:t>Energy</w:t>
        </w:r>
      </w:hyperlink>
      <w:r w:rsidRPr="00302C5D">
        <w:rPr>
          <w:rFonts w:cs="Arial"/>
          <w:sz w:val="22"/>
          <w:lang w:eastAsia="en-AU"/>
        </w:rPr>
        <w:t xml:space="preserve"> </w:t>
      </w:r>
    </w:p>
    <w:p w14:paraId="72A2296A" w14:textId="77777777" w:rsidR="005178F3" w:rsidRDefault="005178F3" w:rsidP="001A626C">
      <w:pPr>
        <w:keepNext/>
        <w:keepLines/>
        <w:spacing w:after="200" w:line="276" w:lineRule="auto"/>
        <w:rPr>
          <w:rFonts w:eastAsiaTheme="majorEastAsia" w:cs="Arial"/>
          <w:bCs/>
          <w:color w:val="1A6887"/>
          <w:sz w:val="22"/>
          <w:lang w:eastAsia="en-AU"/>
        </w:rPr>
      </w:pPr>
      <w:r>
        <w:rPr>
          <w:rFonts w:eastAsiaTheme="majorEastAsia" w:cs="Arial"/>
          <w:bCs/>
          <w:color w:val="1A6887"/>
          <w:sz w:val="22"/>
          <w:lang w:eastAsia="en-AU"/>
        </w:rPr>
        <w:lastRenderedPageBreak/>
        <w:t>Accounting and auditing services</w:t>
      </w:r>
    </w:p>
    <w:p w14:paraId="521BB6C7" w14:textId="77777777" w:rsidR="005178F3" w:rsidRDefault="005178F3" w:rsidP="001A626C">
      <w:pPr>
        <w:keepNext/>
        <w:keepLines/>
        <w:spacing w:after="200" w:line="276" w:lineRule="auto"/>
        <w:rPr>
          <w:rFonts w:cs="Arial"/>
          <w:sz w:val="22"/>
          <w:lang w:eastAsia="en-AU"/>
        </w:rPr>
      </w:pPr>
      <w:r>
        <w:rPr>
          <w:rFonts w:cs="Arial"/>
          <w:sz w:val="22"/>
          <w:lang w:eastAsia="en-AU"/>
        </w:rPr>
        <w:t>Australian providers of accounting, auditing and book-keeping services will benefit from the following commitments:</w:t>
      </w:r>
    </w:p>
    <w:p w14:paraId="0C3FC018" w14:textId="5613159C" w:rsidR="005178F3" w:rsidRDefault="005178F3" w:rsidP="001A626C">
      <w:pPr>
        <w:pStyle w:val="ListParagraph"/>
        <w:keepNext/>
        <w:keepLines/>
        <w:numPr>
          <w:ilvl w:val="0"/>
          <w:numId w:val="9"/>
        </w:numPr>
        <w:tabs>
          <w:tab w:val="left" w:pos="714"/>
        </w:tabs>
        <w:spacing w:after="200" w:line="276" w:lineRule="auto"/>
        <w:ind w:left="568" w:hanging="284"/>
        <w:rPr>
          <w:rFonts w:cs="Arial"/>
          <w:sz w:val="22"/>
          <w:lang w:eastAsia="en-AU"/>
        </w:rPr>
      </w:pPr>
      <w:r>
        <w:rPr>
          <w:rFonts w:cs="Arial"/>
          <w:sz w:val="22"/>
          <w:lang w:eastAsia="en-AU"/>
        </w:rPr>
        <w:t xml:space="preserve">All TPP countries have guaranteed </w:t>
      </w:r>
      <w:r w:rsidR="009A1EB4">
        <w:rPr>
          <w:rFonts w:cs="Arial"/>
          <w:sz w:val="22"/>
          <w:lang w:eastAsia="en-AU"/>
        </w:rPr>
        <w:t>that they will</w:t>
      </w:r>
      <w:r>
        <w:rPr>
          <w:rFonts w:cs="Arial"/>
          <w:sz w:val="22"/>
          <w:lang w:eastAsia="en-AU"/>
        </w:rPr>
        <w:t xml:space="preserve"> maintain existing</w:t>
      </w:r>
      <w:r w:rsidR="00371F26">
        <w:rPr>
          <w:rFonts w:cs="Arial"/>
          <w:sz w:val="22"/>
          <w:lang w:eastAsia="en-AU"/>
        </w:rPr>
        <w:t xml:space="preserve"> access in accounting, auditing and</w:t>
      </w:r>
      <w:r>
        <w:rPr>
          <w:rFonts w:cs="Arial"/>
          <w:sz w:val="22"/>
          <w:lang w:eastAsia="en-AU"/>
        </w:rPr>
        <w:t xml:space="preserve"> book</w:t>
      </w:r>
      <w:r w:rsidR="009A1EB4">
        <w:rPr>
          <w:rFonts w:cs="Arial"/>
          <w:sz w:val="22"/>
          <w:lang w:eastAsia="en-AU"/>
        </w:rPr>
        <w:t>-</w:t>
      </w:r>
      <w:r>
        <w:rPr>
          <w:rFonts w:cs="Arial"/>
          <w:sz w:val="22"/>
          <w:lang w:eastAsia="en-AU"/>
        </w:rPr>
        <w:t>keeping services, and will not introduce new measures that discriminate against, or limit the licenses available to, Australian service suppliers;</w:t>
      </w:r>
    </w:p>
    <w:p w14:paraId="04B91D5B" w14:textId="77777777" w:rsidR="005178F3" w:rsidRDefault="005178F3" w:rsidP="005178F3">
      <w:pPr>
        <w:pStyle w:val="ListParagraph"/>
        <w:tabs>
          <w:tab w:val="left" w:pos="714"/>
        </w:tabs>
        <w:spacing w:after="200" w:line="276" w:lineRule="auto"/>
        <w:ind w:left="568" w:hanging="284"/>
        <w:rPr>
          <w:rFonts w:cs="Arial"/>
          <w:sz w:val="22"/>
          <w:lang w:eastAsia="en-AU"/>
        </w:rPr>
      </w:pPr>
    </w:p>
    <w:p w14:paraId="4CA7EE38" w14:textId="33047C04"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 xml:space="preserve">Future </w:t>
      </w:r>
      <w:r w:rsidR="00ED0F78">
        <w:rPr>
          <w:rFonts w:cs="Arial"/>
          <w:sz w:val="22"/>
          <w:lang w:eastAsia="en-AU"/>
        </w:rPr>
        <w:t>reform in</w:t>
      </w:r>
      <w:r>
        <w:rPr>
          <w:rFonts w:cs="Arial"/>
          <w:sz w:val="22"/>
          <w:lang w:eastAsia="en-AU"/>
        </w:rPr>
        <w:t xml:space="preserve"> the auditing sector by Brunei</w:t>
      </w:r>
      <w:r w:rsidR="0033027B">
        <w:rPr>
          <w:rFonts w:cs="Arial"/>
          <w:sz w:val="22"/>
          <w:lang w:eastAsia="en-AU"/>
        </w:rPr>
        <w:t xml:space="preserve"> Darussalam</w:t>
      </w:r>
      <w:r>
        <w:rPr>
          <w:rFonts w:cs="Arial"/>
          <w:sz w:val="22"/>
          <w:lang w:eastAsia="en-AU"/>
        </w:rPr>
        <w:t xml:space="preserve"> will be </w:t>
      </w:r>
      <w:r w:rsidR="00ED0F78">
        <w:rPr>
          <w:rFonts w:cs="Arial"/>
          <w:sz w:val="22"/>
          <w:lang w:eastAsia="en-AU"/>
        </w:rPr>
        <w:t>captured</w:t>
      </w:r>
      <w:r>
        <w:rPr>
          <w:rFonts w:cs="Arial"/>
          <w:sz w:val="22"/>
          <w:lang w:eastAsia="en-AU"/>
        </w:rPr>
        <w:t xml:space="preserve"> as a TPP commitment;  </w:t>
      </w:r>
    </w:p>
    <w:p w14:paraId="616AC317" w14:textId="77777777" w:rsidR="005178F3" w:rsidRDefault="005178F3" w:rsidP="005178F3">
      <w:pPr>
        <w:pStyle w:val="ListParagraph"/>
        <w:rPr>
          <w:rFonts w:cs="Arial"/>
          <w:sz w:val="22"/>
          <w:lang w:eastAsia="en-AU"/>
        </w:rPr>
      </w:pPr>
    </w:p>
    <w:p w14:paraId="57CB4702" w14:textId="16197348" w:rsidR="005178F3" w:rsidRDefault="0033027B"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G</w:t>
      </w:r>
      <w:r w:rsidR="005178F3">
        <w:rPr>
          <w:rFonts w:cs="Arial"/>
          <w:sz w:val="22"/>
          <w:lang w:eastAsia="en-AU"/>
        </w:rPr>
        <w:t>uaranteed access for Australian providers of taxation services</w:t>
      </w:r>
      <w:r>
        <w:rPr>
          <w:rFonts w:cs="Arial"/>
          <w:sz w:val="22"/>
          <w:lang w:eastAsia="en-AU"/>
        </w:rPr>
        <w:t xml:space="preserve"> in key markets</w:t>
      </w:r>
      <w:r w:rsidR="005178F3">
        <w:rPr>
          <w:rFonts w:cs="Arial"/>
          <w:sz w:val="22"/>
          <w:lang w:eastAsia="en-AU"/>
        </w:rPr>
        <w:t>; and</w:t>
      </w:r>
    </w:p>
    <w:p w14:paraId="2C700905" w14:textId="77777777" w:rsidR="005178F3" w:rsidRDefault="005178F3" w:rsidP="005178F3">
      <w:pPr>
        <w:pStyle w:val="ListParagraph"/>
        <w:spacing w:after="200" w:line="276" w:lineRule="auto"/>
        <w:ind w:left="568" w:hanging="284"/>
        <w:rPr>
          <w:rFonts w:cs="Arial"/>
          <w:sz w:val="22"/>
          <w:lang w:eastAsia="en-AU"/>
        </w:rPr>
      </w:pPr>
    </w:p>
    <w:p w14:paraId="6116D0DE" w14:textId="332365E3" w:rsidR="005178F3" w:rsidRDefault="005178F3" w:rsidP="005178F3">
      <w:pPr>
        <w:pStyle w:val="ListParagraph"/>
        <w:numPr>
          <w:ilvl w:val="0"/>
          <w:numId w:val="9"/>
        </w:numPr>
        <w:tabs>
          <w:tab w:val="left" w:pos="714"/>
        </w:tabs>
        <w:spacing w:after="200" w:line="276" w:lineRule="auto"/>
        <w:ind w:left="568" w:hanging="284"/>
        <w:rPr>
          <w:rFonts w:cs="Arial"/>
          <w:sz w:val="22"/>
          <w:lang w:eastAsia="en-AU"/>
        </w:rPr>
      </w:pPr>
      <w:r>
        <w:rPr>
          <w:rFonts w:cs="Arial"/>
          <w:sz w:val="22"/>
          <w:lang w:eastAsia="en-AU"/>
        </w:rPr>
        <w:t>Australian suppliers will be able to bid for government procurement contracts for accounting, auditing and book-keeping services, along with taxation services contracts, in Brunei</w:t>
      </w:r>
      <w:r w:rsidR="0033027B">
        <w:rPr>
          <w:rFonts w:cs="Arial"/>
          <w:sz w:val="22"/>
          <w:lang w:eastAsia="en-AU"/>
        </w:rPr>
        <w:t xml:space="preserve"> Darussalam</w:t>
      </w:r>
      <w:r>
        <w:rPr>
          <w:rFonts w:cs="Arial"/>
          <w:sz w:val="22"/>
          <w:lang w:eastAsia="en-AU"/>
        </w:rPr>
        <w:t xml:space="preserve">, Canada, Malaysia, Mexico, Peru and Vietnam.  </w:t>
      </w:r>
    </w:p>
    <w:p w14:paraId="4357BC80" w14:textId="77777777" w:rsidR="005178F3" w:rsidRDefault="005178F3" w:rsidP="005178F3">
      <w:pPr>
        <w:pStyle w:val="ListParagraph"/>
        <w:spacing w:after="200" w:line="276" w:lineRule="auto"/>
        <w:ind w:left="0"/>
        <w:rPr>
          <w:rFonts w:eastAsia="Times New Roman" w:cs="Arial"/>
          <w:sz w:val="22"/>
        </w:rPr>
      </w:pPr>
    </w:p>
    <w:p w14:paraId="5F59E03B" w14:textId="1F312F93" w:rsidR="009E727B" w:rsidRPr="0052077E" w:rsidRDefault="009E727B" w:rsidP="0052077E">
      <w:pPr>
        <w:spacing w:after="200" w:line="276" w:lineRule="auto"/>
        <w:rPr>
          <w:sz w:val="22"/>
        </w:rPr>
      </w:pPr>
    </w:p>
    <w:sectPr w:rsidR="009E727B" w:rsidRPr="0052077E" w:rsidSect="00802369">
      <w:headerReference w:type="default" r:id="rId13"/>
      <w:footerReference w:type="even" r:id="rId14"/>
      <w:footerReference w:type="default" r:id="rId15"/>
      <w:headerReference w:type="first" r:id="rId16"/>
      <w:footerReference w:type="first" r:id="rId17"/>
      <w:footnotePr>
        <w:numFmt w:val="chicago"/>
      </w:footnotePr>
      <w:pgSz w:w="11900" w:h="16840"/>
      <w:pgMar w:top="1304" w:right="851" w:bottom="1814"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0DF40" w14:textId="77777777" w:rsidR="00CD1CA6" w:rsidRDefault="00CD1CA6" w:rsidP="00E8641D">
      <w:pPr>
        <w:spacing w:line="240" w:lineRule="auto"/>
      </w:pPr>
      <w:r>
        <w:separator/>
      </w:r>
    </w:p>
  </w:endnote>
  <w:endnote w:type="continuationSeparator" w:id="0">
    <w:p w14:paraId="60E60FF9" w14:textId="77777777" w:rsidR="00CD1CA6" w:rsidRDefault="00CD1CA6"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CD1CA6" w:rsidRDefault="00CD1CA6"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CD1CA6" w:rsidRDefault="00CD1CA6"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515426D0" w:rsidR="00CD1CA6" w:rsidRDefault="00CD1CA6"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226">
      <w:rPr>
        <w:rStyle w:val="PageNumber"/>
        <w:noProof/>
      </w:rPr>
      <w:t>3</w:t>
    </w:r>
    <w:r>
      <w:rPr>
        <w:rStyle w:val="PageNumber"/>
      </w:rPr>
      <w:fldChar w:fldCharType="end"/>
    </w:r>
  </w:p>
  <w:p w14:paraId="05243470" w14:textId="19439987" w:rsidR="00CD1CA6" w:rsidRDefault="00CD1CA6"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B1226">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51658B63" w:rsidR="00CD1CA6" w:rsidRDefault="00CD1CA6"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1B1226">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AED6" w14:textId="77777777" w:rsidR="00CD1CA6" w:rsidRDefault="00CD1CA6" w:rsidP="00E8641D">
      <w:pPr>
        <w:spacing w:line="240" w:lineRule="auto"/>
      </w:pPr>
      <w:r>
        <w:separator/>
      </w:r>
    </w:p>
  </w:footnote>
  <w:footnote w:type="continuationSeparator" w:id="0">
    <w:p w14:paraId="065B5069" w14:textId="77777777" w:rsidR="00CD1CA6" w:rsidRDefault="00CD1CA6"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20EAA1C8" w:rsidR="00CD1CA6" w:rsidRDefault="00CD1CA6">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317EC21B" w:rsidR="00CD1CA6" w:rsidRDefault="00CD1CA6">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C671F28"/>
    <w:multiLevelType w:val="hybridMultilevel"/>
    <w:tmpl w:val="08B6A048"/>
    <w:lvl w:ilvl="0" w:tplc="0C090003">
      <w:start w:val="1"/>
      <w:numFmt w:val="bullet"/>
      <w:lvlText w:val="o"/>
      <w:lvlJc w:val="left"/>
      <w:pPr>
        <w:ind w:left="2154" w:hanging="360"/>
      </w:pPr>
      <w:rPr>
        <w:rFonts w:ascii="Courier New" w:hAnsi="Courier New" w:cs="Courier New" w:hint="default"/>
      </w:rPr>
    </w:lvl>
    <w:lvl w:ilvl="1" w:tplc="0C090003">
      <w:start w:val="1"/>
      <w:numFmt w:val="bullet"/>
      <w:lvlText w:val="o"/>
      <w:lvlJc w:val="left"/>
      <w:pPr>
        <w:ind w:left="2874" w:hanging="360"/>
      </w:pPr>
      <w:rPr>
        <w:rFonts w:ascii="Courier New" w:hAnsi="Courier New" w:cs="Courier New" w:hint="default"/>
      </w:rPr>
    </w:lvl>
    <w:lvl w:ilvl="2" w:tplc="0C090005">
      <w:start w:val="1"/>
      <w:numFmt w:val="bullet"/>
      <w:lvlText w:val=""/>
      <w:lvlJc w:val="left"/>
      <w:pPr>
        <w:ind w:left="3594" w:hanging="360"/>
      </w:pPr>
      <w:rPr>
        <w:rFonts w:ascii="Wingdings" w:hAnsi="Wingdings" w:hint="default"/>
      </w:rPr>
    </w:lvl>
    <w:lvl w:ilvl="3" w:tplc="0C090001">
      <w:start w:val="1"/>
      <w:numFmt w:val="bullet"/>
      <w:lvlText w:val=""/>
      <w:lvlJc w:val="left"/>
      <w:pPr>
        <w:ind w:left="4314" w:hanging="360"/>
      </w:pPr>
      <w:rPr>
        <w:rFonts w:ascii="Symbol" w:hAnsi="Symbol" w:hint="default"/>
      </w:rPr>
    </w:lvl>
    <w:lvl w:ilvl="4" w:tplc="0C090003">
      <w:start w:val="1"/>
      <w:numFmt w:val="bullet"/>
      <w:lvlText w:val="o"/>
      <w:lvlJc w:val="left"/>
      <w:pPr>
        <w:ind w:left="5034" w:hanging="360"/>
      </w:pPr>
      <w:rPr>
        <w:rFonts w:ascii="Courier New" w:hAnsi="Courier New" w:cs="Courier New" w:hint="default"/>
      </w:rPr>
    </w:lvl>
    <w:lvl w:ilvl="5" w:tplc="0C090005">
      <w:start w:val="1"/>
      <w:numFmt w:val="bullet"/>
      <w:lvlText w:val=""/>
      <w:lvlJc w:val="left"/>
      <w:pPr>
        <w:ind w:left="5754" w:hanging="360"/>
      </w:pPr>
      <w:rPr>
        <w:rFonts w:ascii="Wingdings" w:hAnsi="Wingdings" w:hint="default"/>
      </w:rPr>
    </w:lvl>
    <w:lvl w:ilvl="6" w:tplc="0C090001">
      <w:start w:val="1"/>
      <w:numFmt w:val="bullet"/>
      <w:lvlText w:val=""/>
      <w:lvlJc w:val="left"/>
      <w:pPr>
        <w:ind w:left="6474" w:hanging="360"/>
      </w:pPr>
      <w:rPr>
        <w:rFonts w:ascii="Symbol" w:hAnsi="Symbol" w:hint="default"/>
      </w:rPr>
    </w:lvl>
    <w:lvl w:ilvl="7" w:tplc="0C090003">
      <w:start w:val="1"/>
      <w:numFmt w:val="bullet"/>
      <w:lvlText w:val="o"/>
      <w:lvlJc w:val="left"/>
      <w:pPr>
        <w:ind w:left="7194" w:hanging="360"/>
      </w:pPr>
      <w:rPr>
        <w:rFonts w:ascii="Courier New" w:hAnsi="Courier New" w:cs="Courier New" w:hint="default"/>
      </w:rPr>
    </w:lvl>
    <w:lvl w:ilvl="8" w:tplc="0C090005">
      <w:start w:val="1"/>
      <w:numFmt w:val="bullet"/>
      <w:lvlText w:val=""/>
      <w:lvlJc w:val="left"/>
      <w:pPr>
        <w:ind w:left="7914" w:hanging="360"/>
      </w:pPr>
      <w:rPr>
        <w:rFonts w:ascii="Wingdings" w:hAnsi="Wingdings" w:hint="default"/>
      </w:rPr>
    </w:lvl>
  </w:abstractNum>
  <w:abstractNum w:abstractNumId="4"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F444D"/>
    <w:multiLevelType w:val="hybridMultilevel"/>
    <w:tmpl w:val="0BFC1492"/>
    <w:lvl w:ilvl="0" w:tplc="673C093C">
      <w:start w:val="1"/>
      <w:numFmt w:val="bullet"/>
      <w:lvlText w:val=""/>
      <w:lvlJc w:val="left"/>
      <w:pPr>
        <w:ind w:left="2154" w:hanging="360"/>
      </w:pPr>
      <w:rPr>
        <w:rFonts w:ascii="Symbol" w:hAnsi="Symbol" w:hint="default"/>
      </w:rPr>
    </w:lvl>
    <w:lvl w:ilvl="1" w:tplc="0C090003">
      <w:start w:val="1"/>
      <w:numFmt w:val="bullet"/>
      <w:lvlText w:val="o"/>
      <w:lvlJc w:val="left"/>
      <w:pPr>
        <w:ind w:left="2874" w:hanging="360"/>
      </w:pPr>
      <w:rPr>
        <w:rFonts w:ascii="Courier New" w:hAnsi="Courier New" w:cs="Courier New" w:hint="default"/>
      </w:rPr>
    </w:lvl>
    <w:lvl w:ilvl="2" w:tplc="0C090005">
      <w:start w:val="1"/>
      <w:numFmt w:val="bullet"/>
      <w:lvlText w:val=""/>
      <w:lvlJc w:val="left"/>
      <w:pPr>
        <w:ind w:left="3594" w:hanging="360"/>
      </w:pPr>
      <w:rPr>
        <w:rFonts w:ascii="Wingdings" w:hAnsi="Wingdings" w:hint="default"/>
      </w:rPr>
    </w:lvl>
    <w:lvl w:ilvl="3" w:tplc="0C090001">
      <w:start w:val="1"/>
      <w:numFmt w:val="bullet"/>
      <w:lvlText w:val=""/>
      <w:lvlJc w:val="left"/>
      <w:pPr>
        <w:ind w:left="4314" w:hanging="360"/>
      </w:pPr>
      <w:rPr>
        <w:rFonts w:ascii="Symbol" w:hAnsi="Symbol" w:hint="default"/>
      </w:rPr>
    </w:lvl>
    <w:lvl w:ilvl="4" w:tplc="0C090003">
      <w:start w:val="1"/>
      <w:numFmt w:val="bullet"/>
      <w:lvlText w:val="o"/>
      <w:lvlJc w:val="left"/>
      <w:pPr>
        <w:ind w:left="5034" w:hanging="360"/>
      </w:pPr>
      <w:rPr>
        <w:rFonts w:ascii="Courier New" w:hAnsi="Courier New" w:cs="Courier New" w:hint="default"/>
      </w:rPr>
    </w:lvl>
    <w:lvl w:ilvl="5" w:tplc="0C090005">
      <w:start w:val="1"/>
      <w:numFmt w:val="bullet"/>
      <w:lvlText w:val=""/>
      <w:lvlJc w:val="left"/>
      <w:pPr>
        <w:ind w:left="5754" w:hanging="360"/>
      </w:pPr>
      <w:rPr>
        <w:rFonts w:ascii="Wingdings" w:hAnsi="Wingdings" w:hint="default"/>
      </w:rPr>
    </w:lvl>
    <w:lvl w:ilvl="6" w:tplc="0C090001">
      <w:start w:val="1"/>
      <w:numFmt w:val="bullet"/>
      <w:lvlText w:val=""/>
      <w:lvlJc w:val="left"/>
      <w:pPr>
        <w:ind w:left="6474" w:hanging="360"/>
      </w:pPr>
      <w:rPr>
        <w:rFonts w:ascii="Symbol" w:hAnsi="Symbol" w:hint="default"/>
      </w:rPr>
    </w:lvl>
    <w:lvl w:ilvl="7" w:tplc="0C090003">
      <w:start w:val="1"/>
      <w:numFmt w:val="bullet"/>
      <w:lvlText w:val="o"/>
      <w:lvlJc w:val="left"/>
      <w:pPr>
        <w:ind w:left="7194" w:hanging="360"/>
      </w:pPr>
      <w:rPr>
        <w:rFonts w:ascii="Courier New" w:hAnsi="Courier New" w:cs="Courier New" w:hint="default"/>
      </w:rPr>
    </w:lvl>
    <w:lvl w:ilvl="8" w:tplc="0C090005">
      <w:start w:val="1"/>
      <w:numFmt w:val="bullet"/>
      <w:lvlText w:val=""/>
      <w:lvlJc w:val="left"/>
      <w:pPr>
        <w:ind w:left="7914" w:hanging="360"/>
      </w:pPr>
      <w:rPr>
        <w:rFonts w:ascii="Wingdings" w:hAnsi="Wingdings" w:hint="default"/>
      </w:rPr>
    </w:lvl>
  </w:abstractNum>
  <w:abstractNum w:abstractNumId="6"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1"/>
  </w:num>
  <w:num w:numId="6">
    <w:abstractNumId w:val="7"/>
  </w:num>
  <w:num w:numId="7">
    <w:abstractNumId w:val="2"/>
  </w:num>
  <w:num w:numId="8">
    <w:abstractNumId w:val="8"/>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8913"/>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9261C"/>
    <w:rsid w:val="000C644C"/>
    <w:rsid w:val="000E12CC"/>
    <w:rsid w:val="00143D2A"/>
    <w:rsid w:val="00195188"/>
    <w:rsid w:val="00195558"/>
    <w:rsid w:val="001A626C"/>
    <w:rsid w:val="001B1226"/>
    <w:rsid w:val="001C13A2"/>
    <w:rsid w:val="001D6FFE"/>
    <w:rsid w:val="00232A76"/>
    <w:rsid w:val="00240283"/>
    <w:rsid w:val="00241A9E"/>
    <w:rsid w:val="00261B03"/>
    <w:rsid w:val="002C428A"/>
    <w:rsid w:val="002E1149"/>
    <w:rsid w:val="0030018E"/>
    <w:rsid w:val="00302C5D"/>
    <w:rsid w:val="0030482E"/>
    <w:rsid w:val="00306851"/>
    <w:rsid w:val="0033027B"/>
    <w:rsid w:val="00371F26"/>
    <w:rsid w:val="00397A11"/>
    <w:rsid w:val="003C0C96"/>
    <w:rsid w:val="00401E7C"/>
    <w:rsid w:val="00410909"/>
    <w:rsid w:val="00423641"/>
    <w:rsid w:val="00423B1D"/>
    <w:rsid w:val="00453405"/>
    <w:rsid w:val="00465C6F"/>
    <w:rsid w:val="0048443E"/>
    <w:rsid w:val="004B2171"/>
    <w:rsid w:val="004C1D59"/>
    <w:rsid w:val="005178F3"/>
    <w:rsid w:val="0052077E"/>
    <w:rsid w:val="00542841"/>
    <w:rsid w:val="00576FDA"/>
    <w:rsid w:val="005833CB"/>
    <w:rsid w:val="005E0927"/>
    <w:rsid w:val="0064211D"/>
    <w:rsid w:val="00667039"/>
    <w:rsid w:val="006E2A7D"/>
    <w:rsid w:val="006E30BE"/>
    <w:rsid w:val="006F4F7E"/>
    <w:rsid w:val="00734E00"/>
    <w:rsid w:val="00734F37"/>
    <w:rsid w:val="00756B6C"/>
    <w:rsid w:val="0079782B"/>
    <w:rsid w:val="007A6F6F"/>
    <w:rsid w:val="007C57D5"/>
    <w:rsid w:val="007D659E"/>
    <w:rsid w:val="00802369"/>
    <w:rsid w:val="008253BC"/>
    <w:rsid w:val="0083195D"/>
    <w:rsid w:val="008617A0"/>
    <w:rsid w:val="0089567B"/>
    <w:rsid w:val="00931B3F"/>
    <w:rsid w:val="009606BB"/>
    <w:rsid w:val="0097219F"/>
    <w:rsid w:val="00986B0B"/>
    <w:rsid w:val="009A1EB4"/>
    <w:rsid w:val="009E727B"/>
    <w:rsid w:val="009F037C"/>
    <w:rsid w:val="00A45299"/>
    <w:rsid w:val="00AD4C0C"/>
    <w:rsid w:val="00B679AA"/>
    <w:rsid w:val="00B95C02"/>
    <w:rsid w:val="00BB54B9"/>
    <w:rsid w:val="00C14483"/>
    <w:rsid w:val="00C5250B"/>
    <w:rsid w:val="00C81FC7"/>
    <w:rsid w:val="00C939D5"/>
    <w:rsid w:val="00CA2CBC"/>
    <w:rsid w:val="00CD1CA6"/>
    <w:rsid w:val="00CD4AAD"/>
    <w:rsid w:val="00D15978"/>
    <w:rsid w:val="00D36BE8"/>
    <w:rsid w:val="00DA0943"/>
    <w:rsid w:val="00DA68A6"/>
    <w:rsid w:val="00DB41B5"/>
    <w:rsid w:val="00DC5B75"/>
    <w:rsid w:val="00DD3FB5"/>
    <w:rsid w:val="00E54BEC"/>
    <w:rsid w:val="00E636B8"/>
    <w:rsid w:val="00E73B0B"/>
    <w:rsid w:val="00E8641D"/>
    <w:rsid w:val="00EC62D6"/>
    <w:rsid w:val="00ED0F78"/>
    <w:rsid w:val="00EE5FDD"/>
    <w:rsid w:val="00EE7A01"/>
    <w:rsid w:val="00F14C62"/>
    <w:rsid w:val="00F202F2"/>
    <w:rsid w:val="00F8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D2E6936"/>
  <w14:defaultImageDpi w14:val="300"/>
  <w15:docId w15:val="{620D6E54-8B36-4239-99A7-623B9FD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ED0F78"/>
    <w:rPr>
      <w:sz w:val="16"/>
      <w:szCs w:val="16"/>
    </w:rPr>
  </w:style>
  <w:style w:type="paragraph" w:styleId="CommentText">
    <w:name w:val="annotation text"/>
    <w:basedOn w:val="Normal"/>
    <w:link w:val="CommentTextChar"/>
    <w:uiPriority w:val="99"/>
    <w:semiHidden/>
    <w:unhideWhenUsed/>
    <w:rsid w:val="00ED0F78"/>
    <w:pPr>
      <w:spacing w:line="240" w:lineRule="auto"/>
    </w:pPr>
    <w:rPr>
      <w:szCs w:val="20"/>
    </w:rPr>
  </w:style>
  <w:style w:type="character" w:customStyle="1" w:styleId="CommentTextChar">
    <w:name w:val="Comment Text Char"/>
    <w:basedOn w:val="DefaultParagraphFont"/>
    <w:link w:val="CommentText"/>
    <w:uiPriority w:val="99"/>
    <w:semiHidden/>
    <w:rsid w:val="00ED0F78"/>
    <w:rPr>
      <w:color w:val="auto"/>
      <w:sz w:val="20"/>
      <w:szCs w:val="20"/>
    </w:rPr>
  </w:style>
  <w:style w:type="paragraph" w:styleId="CommentSubject">
    <w:name w:val="annotation subject"/>
    <w:basedOn w:val="CommentText"/>
    <w:next w:val="CommentText"/>
    <w:link w:val="CommentSubjectChar"/>
    <w:uiPriority w:val="99"/>
    <w:semiHidden/>
    <w:unhideWhenUsed/>
    <w:rsid w:val="00ED0F78"/>
    <w:rPr>
      <w:b/>
      <w:bCs/>
    </w:rPr>
  </w:style>
  <w:style w:type="character" w:customStyle="1" w:styleId="CommentSubjectChar">
    <w:name w:val="Comment Subject Char"/>
    <w:basedOn w:val="CommentTextChar"/>
    <w:link w:val="CommentSubject"/>
    <w:uiPriority w:val="99"/>
    <w:semiHidden/>
    <w:rsid w:val="00ED0F78"/>
    <w:rPr>
      <w:b/>
      <w:bCs/>
      <w:color w:val="auto"/>
      <w:sz w:val="20"/>
      <w:szCs w:val="20"/>
    </w:rPr>
  </w:style>
  <w:style w:type="paragraph" w:styleId="Revision">
    <w:name w:val="Revision"/>
    <w:hidden/>
    <w:uiPriority w:val="99"/>
    <w:semiHidden/>
    <w:rsid w:val="00ED0F78"/>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155222348">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dfat.gov.au/trade/agreements/tpp/outcomes-documents/Pages/outcomes-resources-and-energy.aspx"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E432-24A8-4106-A11D-00B49F0167D3}">
  <ds:schemaRefs>
    <ds:schemaRef ds:uri="http://schemas.microsoft.com/sharepoint/v3/contenttype/forms"/>
  </ds:schemaRefs>
</ds:datastoreItem>
</file>

<file path=customXml/itemProps2.xml><?xml version="1.0" encoding="utf-8"?>
<ds:datastoreItem xmlns:ds="http://schemas.openxmlformats.org/officeDocument/2006/customXml" ds:itemID="{4C4CBBF1-6B31-4B10-BF79-5D712BD8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9C685-8123-4D8D-A3BE-53A81437E48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4314725-A36E-40B4-A92C-CD78A9CE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2016-07-18T02:15:00Z</cp:lastPrinted>
  <dcterms:created xsi:type="dcterms:W3CDTF">2016-12-07T01:52:00Z</dcterms:created>
  <dcterms:modified xsi:type="dcterms:W3CDTF">2016-12-07T02:38:00Z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d6dcd762-d633-4b4e-94cb-ba33495584ee</vt:lpwstr>
  </property>
  <property fmtid="{D5CDD505-2E9C-101B-9397-08002B2CF9AE}" pid="10" name="SEC">
    <vt:lpwstr>UNCLASSIFIED</vt:lpwstr>
  </property>
  <property fmtid="{D5CDD505-2E9C-101B-9397-08002B2CF9AE}" pid="11" name="DLM">
    <vt:lpwstr>No DLM</vt:lpwstr>
  </property>
</Properties>
</file>